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ADB800">
      <w:pPr>
        <w:rPr>
          <w:rFonts w:ascii="宋体" w:hAnsi="宋体" w:eastAsia="宋体" w:cs="宋体"/>
          <w:b/>
          <w:bCs/>
          <w:color w:val="auto"/>
          <w:highlight w:val="none"/>
        </w:rPr>
      </w:pPr>
      <w:r>
        <w:rPr>
          <w:rFonts w:hint="eastAsia" w:ascii="宋体" w:hAnsi="宋体" w:eastAsia="宋体" w:cs="宋体"/>
          <w:b/>
          <w:bCs/>
          <w:color w:val="auto"/>
          <w:highlight w:val="none"/>
        </w:rPr>
        <w:t>版本号：202</w:t>
      </w:r>
      <w:r>
        <w:rPr>
          <w:rFonts w:hint="eastAsia" w:ascii="宋体" w:hAnsi="宋体" w:eastAsia="宋体" w:cs="宋体"/>
          <w:b/>
          <w:bCs/>
          <w:color w:val="auto"/>
          <w:highlight w:val="none"/>
          <w:lang w:val="en-US" w:eastAsia="zh-CN"/>
        </w:rPr>
        <w:t>5</w:t>
      </w:r>
      <w:r>
        <w:rPr>
          <w:rFonts w:hint="eastAsia" w:ascii="宋体" w:hAnsi="宋体" w:eastAsia="宋体" w:cs="宋体"/>
          <w:b/>
          <w:bCs/>
          <w:color w:val="auto"/>
          <w:highlight w:val="none"/>
        </w:rPr>
        <w:t>年1</w:t>
      </w:r>
      <w:r>
        <w:rPr>
          <w:rFonts w:hint="eastAsia" w:ascii="宋体" w:hAnsi="宋体" w:eastAsia="宋体" w:cs="宋体"/>
          <w:b/>
          <w:bCs/>
          <w:color w:val="auto"/>
          <w:highlight w:val="none"/>
          <w:lang w:val="en-US" w:eastAsia="zh-CN"/>
        </w:rPr>
        <w:t>2</w:t>
      </w:r>
      <w:r>
        <w:rPr>
          <w:rFonts w:hint="eastAsia" w:ascii="宋体" w:hAnsi="宋体" w:eastAsia="宋体" w:cs="宋体"/>
          <w:b/>
          <w:bCs/>
          <w:color w:val="auto"/>
          <w:highlight w:val="none"/>
        </w:rPr>
        <w:t>月版</w:t>
      </w:r>
    </w:p>
    <w:p w14:paraId="27A5498D">
      <w:pPr>
        <w:adjustRightInd w:val="0"/>
        <w:snapToGrid w:val="0"/>
        <w:spacing w:line="360" w:lineRule="auto"/>
        <w:ind w:firstLine="4779" w:firstLineChars="1700"/>
        <w:rPr>
          <w:rFonts w:ascii="宋体" w:hAnsi="宋体" w:eastAsia="宋体" w:cs="宋体"/>
          <w:color w:val="auto"/>
          <w:sz w:val="44"/>
          <w:highlight w:val="none"/>
        </w:rPr>
      </w:pPr>
      <w:r>
        <w:rPr>
          <w:rFonts w:hint="eastAsia" w:ascii="宋体" w:hAnsi="宋体" w:eastAsia="宋体" w:cs="宋体"/>
          <w:b/>
          <w:bCs/>
          <w:color w:val="auto"/>
          <w:sz w:val="28"/>
          <w:highlight w:val="none"/>
        </w:rPr>
        <w:t>标段编号：</w:t>
      </w:r>
      <w:r>
        <w:rPr>
          <w:rFonts w:hint="eastAsia" w:ascii="宋体" w:hAnsi="宋体" w:eastAsia="宋体" w:cs="宋体"/>
          <w:bCs/>
          <w:color w:val="auto"/>
          <w:sz w:val="28"/>
          <w:highlight w:val="none"/>
          <w:u w:val="single"/>
        </w:rPr>
        <w:t xml:space="preserve">      </w:t>
      </w:r>
    </w:p>
    <w:p w14:paraId="6675EC4A">
      <w:pPr>
        <w:adjustRightInd w:val="0"/>
        <w:snapToGrid w:val="0"/>
        <w:spacing w:line="360" w:lineRule="auto"/>
        <w:rPr>
          <w:rFonts w:ascii="黑体" w:eastAsia="黑体"/>
          <w:b/>
          <w:bCs/>
          <w:color w:val="auto"/>
          <w:sz w:val="52"/>
          <w:szCs w:val="52"/>
          <w:highlight w:val="none"/>
        </w:rPr>
      </w:pPr>
    </w:p>
    <w:p w14:paraId="6E8B57EC">
      <w:pPr>
        <w:adjustRightInd w:val="0"/>
        <w:snapToGrid w:val="0"/>
        <w:spacing w:line="360" w:lineRule="auto"/>
        <w:rPr>
          <w:rFonts w:ascii="黑体" w:eastAsia="黑体"/>
          <w:b/>
          <w:bCs/>
          <w:color w:val="auto"/>
          <w:sz w:val="52"/>
          <w:szCs w:val="52"/>
          <w:highlight w:val="none"/>
        </w:rPr>
      </w:pPr>
    </w:p>
    <w:p w14:paraId="5BAB3223">
      <w:pPr>
        <w:adjustRightInd w:val="0"/>
        <w:snapToGrid w:val="0"/>
        <w:spacing w:line="360" w:lineRule="auto"/>
        <w:rPr>
          <w:rFonts w:ascii="黑体" w:eastAsia="黑体"/>
          <w:b/>
          <w:bCs/>
          <w:color w:val="auto"/>
          <w:sz w:val="52"/>
          <w:szCs w:val="52"/>
          <w:highlight w:val="none"/>
        </w:rPr>
      </w:pPr>
    </w:p>
    <w:p w14:paraId="6E5FB1AA">
      <w:pPr>
        <w:adjustRightInd w:val="0"/>
        <w:snapToGrid w:val="0"/>
        <w:spacing w:line="360" w:lineRule="auto"/>
        <w:jc w:val="center"/>
        <w:rPr>
          <w:rFonts w:ascii="黑体" w:eastAsia="黑体"/>
          <w:b/>
          <w:bCs/>
          <w:color w:val="auto"/>
          <w:sz w:val="72"/>
          <w:highlight w:val="none"/>
        </w:rPr>
      </w:pPr>
      <w:r>
        <w:rPr>
          <w:rFonts w:hint="eastAsia" w:ascii="黑体" w:eastAsia="黑体"/>
          <w:b/>
          <w:bCs/>
          <w:color w:val="auto"/>
          <w:sz w:val="72"/>
          <w:highlight w:val="none"/>
        </w:rPr>
        <w:t>深圳市建设工程</w:t>
      </w:r>
    </w:p>
    <w:p w14:paraId="7AF8649C">
      <w:pPr>
        <w:adjustRightInd w:val="0"/>
        <w:snapToGrid w:val="0"/>
        <w:spacing w:line="360" w:lineRule="auto"/>
        <w:jc w:val="center"/>
        <w:rPr>
          <w:rFonts w:ascii="黑体" w:eastAsia="黑体"/>
          <w:b/>
          <w:bCs/>
          <w:color w:val="auto"/>
          <w:sz w:val="72"/>
          <w:highlight w:val="none"/>
        </w:rPr>
      </w:pPr>
      <w:r>
        <w:rPr>
          <w:rFonts w:hint="eastAsia" w:ascii="黑体" w:eastAsia="黑体"/>
          <w:b/>
          <w:bCs/>
          <w:color w:val="auto"/>
          <w:sz w:val="72"/>
          <w:highlight w:val="none"/>
        </w:rPr>
        <w:t>施工类招标文件</w:t>
      </w:r>
    </w:p>
    <w:p w14:paraId="71C37213">
      <w:pPr>
        <w:adjustRightInd w:val="0"/>
        <w:snapToGrid w:val="0"/>
        <w:spacing w:line="360" w:lineRule="auto"/>
        <w:jc w:val="center"/>
        <w:rPr>
          <w:b/>
          <w:color w:val="auto"/>
          <w:sz w:val="36"/>
          <w:szCs w:val="36"/>
          <w:highlight w:val="none"/>
        </w:rPr>
      </w:pPr>
      <w:r>
        <w:rPr>
          <w:rFonts w:hint="eastAsia"/>
          <w:b/>
          <w:color w:val="auto"/>
          <w:sz w:val="36"/>
          <w:szCs w:val="36"/>
          <w:highlight w:val="none"/>
        </w:rPr>
        <w:t>（示范文本）</w:t>
      </w:r>
    </w:p>
    <w:p w14:paraId="4326B559">
      <w:pPr>
        <w:adjustRightInd w:val="0"/>
        <w:snapToGrid w:val="0"/>
        <w:spacing w:line="360" w:lineRule="auto"/>
        <w:ind w:firstLine="1561" w:firstLineChars="300"/>
        <w:rPr>
          <w:b/>
          <w:bCs/>
          <w:color w:val="auto"/>
          <w:sz w:val="52"/>
          <w:szCs w:val="52"/>
          <w:highlight w:val="none"/>
        </w:rPr>
      </w:pPr>
    </w:p>
    <w:p w14:paraId="0C5EE17B">
      <w:pPr>
        <w:adjustRightInd w:val="0"/>
        <w:snapToGrid w:val="0"/>
        <w:spacing w:line="360" w:lineRule="auto"/>
        <w:ind w:firstLine="1561" w:firstLineChars="300"/>
        <w:rPr>
          <w:b/>
          <w:bCs/>
          <w:color w:val="auto"/>
          <w:sz w:val="52"/>
          <w:szCs w:val="52"/>
          <w:highlight w:val="none"/>
        </w:rPr>
      </w:pPr>
    </w:p>
    <w:p w14:paraId="5B1EFD0A">
      <w:pPr>
        <w:adjustRightInd w:val="0"/>
        <w:snapToGrid w:val="0"/>
        <w:spacing w:line="360" w:lineRule="auto"/>
        <w:ind w:firstLine="840" w:firstLineChars="300"/>
        <w:rPr>
          <w:b/>
          <w:bCs/>
          <w:color w:val="auto"/>
          <w:sz w:val="28"/>
          <w:highlight w:val="none"/>
        </w:rPr>
      </w:pPr>
    </w:p>
    <w:p w14:paraId="39D81278">
      <w:pPr>
        <w:adjustRightInd w:val="0"/>
        <w:snapToGrid w:val="0"/>
        <w:spacing w:line="360" w:lineRule="auto"/>
        <w:ind w:firstLine="843" w:firstLineChars="300"/>
        <w:rPr>
          <w:rFonts w:ascii="宋体" w:hAnsi="宋体" w:eastAsia="宋体" w:cs="宋体"/>
          <w:b/>
          <w:bCs/>
          <w:color w:val="auto"/>
          <w:sz w:val="28"/>
          <w:highlight w:val="none"/>
        </w:rPr>
      </w:pPr>
      <w:r>
        <w:rPr>
          <w:rFonts w:hint="eastAsia" w:ascii="宋体" w:hAnsi="宋体" w:eastAsia="宋体" w:cs="宋体"/>
          <w:b/>
          <w:bCs/>
          <w:color w:val="auto"/>
          <w:sz w:val="28"/>
          <w:highlight w:val="none"/>
        </w:rPr>
        <w:t>标段名称：</w:t>
      </w:r>
      <w:r>
        <w:rPr>
          <w:rFonts w:hint="eastAsia" w:ascii="宋体" w:hAnsi="宋体" w:eastAsia="宋体" w:cs="宋体"/>
          <w:bCs/>
          <w:color w:val="auto"/>
          <w:sz w:val="28"/>
          <w:highlight w:val="none"/>
          <w:u w:val="single"/>
        </w:rPr>
        <w:t xml:space="preserve">      </w:t>
      </w:r>
    </w:p>
    <w:p w14:paraId="2BA331C9">
      <w:pPr>
        <w:adjustRightInd w:val="0"/>
        <w:snapToGrid w:val="0"/>
        <w:spacing w:line="360" w:lineRule="auto"/>
        <w:ind w:firstLine="843" w:firstLineChars="300"/>
        <w:rPr>
          <w:rFonts w:ascii="宋体" w:hAnsi="宋体" w:eastAsia="宋体" w:cs="宋体"/>
          <w:b/>
          <w:bCs/>
          <w:color w:val="auto"/>
          <w:sz w:val="28"/>
          <w:highlight w:val="none"/>
        </w:rPr>
      </w:pPr>
      <w:r>
        <w:rPr>
          <w:rFonts w:hint="eastAsia" w:ascii="宋体" w:hAnsi="宋体" w:eastAsia="宋体" w:cs="宋体"/>
          <w:b/>
          <w:bCs/>
          <w:color w:val="auto"/>
          <w:sz w:val="28"/>
          <w:highlight w:val="none"/>
        </w:rPr>
        <w:t>招 标 人：</w:t>
      </w:r>
      <w:r>
        <w:rPr>
          <w:rFonts w:hint="eastAsia" w:ascii="宋体" w:hAnsi="宋体" w:eastAsia="宋体" w:cs="宋体"/>
          <w:bCs/>
          <w:color w:val="auto"/>
          <w:sz w:val="28"/>
          <w:highlight w:val="none"/>
          <w:u w:val="single"/>
        </w:rPr>
        <w:t xml:space="preserve">      </w:t>
      </w:r>
    </w:p>
    <w:p w14:paraId="290E092F">
      <w:pPr>
        <w:adjustRightInd w:val="0"/>
        <w:snapToGrid w:val="0"/>
        <w:spacing w:line="360" w:lineRule="auto"/>
        <w:ind w:firstLine="843" w:firstLineChars="300"/>
        <w:rPr>
          <w:rFonts w:ascii="宋体" w:hAnsi="宋体" w:eastAsia="宋体" w:cs="宋体"/>
          <w:b/>
          <w:bCs/>
          <w:color w:val="auto"/>
          <w:sz w:val="28"/>
          <w:highlight w:val="none"/>
        </w:rPr>
      </w:pPr>
      <w:r>
        <w:rPr>
          <w:rFonts w:hint="eastAsia" w:ascii="宋体" w:hAnsi="宋体" w:eastAsia="宋体" w:cs="宋体"/>
          <w:b/>
          <w:bCs/>
          <w:color w:val="auto"/>
          <w:sz w:val="28"/>
          <w:highlight w:val="none"/>
        </w:rPr>
        <w:t>法定代表人或其委托代理人：</w:t>
      </w:r>
      <w:r>
        <w:rPr>
          <w:rFonts w:hint="eastAsia" w:ascii="宋体" w:hAnsi="宋体" w:eastAsia="宋体" w:cs="宋体"/>
          <w:bCs/>
          <w:color w:val="auto"/>
          <w:sz w:val="28"/>
          <w:highlight w:val="none"/>
          <w:u w:val="single"/>
        </w:rPr>
        <w:t xml:space="preserve">      </w:t>
      </w:r>
    </w:p>
    <w:p w14:paraId="156294BE">
      <w:pPr>
        <w:adjustRightInd w:val="0"/>
        <w:snapToGrid w:val="0"/>
        <w:spacing w:line="360" w:lineRule="auto"/>
        <w:ind w:firstLine="843" w:firstLineChars="300"/>
        <w:rPr>
          <w:rFonts w:ascii="宋体" w:hAnsi="宋体" w:eastAsia="宋体" w:cs="宋体"/>
          <w:b/>
          <w:bCs/>
          <w:color w:val="auto"/>
          <w:sz w:val="28"/>
          <w:highlight w:val="none"/>
        </w:rPr>
      </w:pPr>
      <w:r>
        <w:rPr>
          <w:rFonts w:hint="eastAsia" w:ascii="宋体" w:hAnsi="宋体" w:eastAsia="宋体" w:cs="宋体"/>
          <w:b/>
          <w:bCs/>
          <w:color w:val="auto"/>
          <w:sz w:val="28"/>
          <w:highlight w:val="none"/>
        </w:rPr>
        <w:t>招标代理机构：</w:t>
      </w:r>
      <w:r>
        <w:rPr>
          <w:rFonts w:hint="eastAsia" w:ascii="宋体" w:hAnsi="宋体" w:eastAsia="宋体" w:cs="宋体"/>
          <w:bCs/>
          <w:color w:val="auto"/>
          <w:sz w:val="28"/>
          <w:highlight w:val="none"/>
          <w:u w:val="single"/>
        </w:rPr>
        <w:t xml:space="preserve">      </w:t>
      </w:r>
    </w:p>
    <w:p w14:paraId="0618C3ED">
      <w:pPr>
        <w:adjustRightInd w:val="0"/>
        <w:snapToGrid w:val="0"/>
        <w:spacing w:line="360" w:lineRule="auto"/>
        <w:ind w:firstLine="843" w:firstLineChars="300"/>
        <w:rPr>
          <w:rFonts w:ascii="宋体" w:hAnsi="宋体" w:eastAsia="宋体" w:cs="宋体"/>
          <w:b/>
          <w:bCs/>
          <w:color w:val="auto"/>
          <w:sz w:val="28"/>
          <w:highlight w:val="none"/>
        </w:rPr>
      </w:pPr>
      <w:r>
        <w:rPr>
          <w:rFonts w:hint="eastAsia" w:ascii="宋体" w:hAnsi="宋体" w:eastAsia="宋体" w:cs="宋体"/>
          <w:b/>
          <w:bCs/>
          <w:color w:val="auto"/>
          <w:sz w:val="28"/>
          <w:highlight w:val="none"/>
        </w:rPr>
        <w:t>法定代表人或其委托代理人：</w:t>
      </w:r>
      <w:r>
        <w:rPr>
          <w:rFonts w:hint="eastAsia" w:ascii="宋体" w:hAnsi="宋体" w:eastAsia="宋体" w:cs="宋体"/>
          <w:bCs/>
          <w:color w:val="auto"/>
          <w:sz w:val="28"/>
          <w:highlight w:val="none"/>
          <w:u w:val="single"/>
        </w:rPr>
        <w:t xml:space="preserve">      </w:t>
      </w:r>
    </w:p>
    <w:p w14:paraId="253A7A72">
      <w:pPr>
        <w:adjustRightInd w:val="0"/>
        <w:snapToGrid w:val="0"/>
        <w:spacing w:line="360" w:lineRule="auto"/>
        <w:jc w:val="center"/>
        <w:rPr>
          <w:b/>
          <w:bCs/>
          <w:color w:val="auto"/>
          <w:sz w:val="28"/>
          <w:highlight w:val="none"/>
        </w:rPr>
      </w:pPr>
    </w:p>
    <w:p w14:paraId="6E1A7B49">
      <w:pPr>
        <w:adjustRightInd w:val="0"/>
        <w:snapToGrid w:val="0"/>
        <w:spacing w:line="360" w:lineRule="auto"/>
        <w:jc w:val="both"/>
        <w:rPr>
          <w:color w:val="auto"/>
          <w:highlight w:val="none"/>
        </w:rPr>
      </w:pPr>
      <w:r>
        <w:rPr>
          <w:color w:val="auto"/>
          <w:highlight w:val="none"/>
        </w:rPr>
        <w:br w:type="page"/>
      </w:r>
    </w:p>
    <w:p w14:paraId="1A64164A">
      <w:pPr>
        <w:jc w:val="center"/>
        <w:rPr>
          <w:rFonts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目  录</w:t>
      </w:r>
    </w:p>
    <w:p w14:paraId="6CDC4C34">
      <w:pPr>
        <w:pStyle w:val="27"/>
        <w:tabs>
          <w:tab w:val="right" w:leader="dot" w:pos="9073"/>
        </w:tabs>
        <w:rPr>
          <w:color w:val="auto"/>
          <w:highlight w:val="none"/>
        </w:rPr>
      </w:pPr>
      <w:r>
        <w:rPr>
          <w:rFonts w:hint="eastAsia"/>
          <w:b w:val="0"/>
          <w:caps w:val="0"/>
          <w:color w:val="auto"/>
          <w:sz w:val="24"/>
          <w:szCs w:val="24"/>
          <w:highlight w:val="none"/>
        </w:rPr>
        <w:fldChar w:fldCharType="begin"/>
      </w:r>
      <w:r>
        <w:rPr>
          <w:rFonts w:hint="eastAsia"/>
          <w:b w:val="0"/>
          <w:caps w:val="0"/>
          <w:color w:val="auto"/>
          <w:sz w:val="24"/>
          <w:szCs w:val="24"/>
          <w:highlight w:val="none"/>
        </w:rPr>
        <w:instrText xml:space="preserve">TOC \o "1-3" \h \u </w:instrText>
      </w:r>
      <w:r>
        <w:rPr>
          <w:rFonts w:hint="eastAsia"/>
          <w:b w:val="0"/>
          <w:caps w:val="0"/>
          <w:color w:val="auto"/>
          <w:sz w:val="24"/>
          <w:szCs w:val="24"/>
          <w:highlight w:val="none"/>
        </w:rPr>
        <w:fldChar w:fldCharType="separate"/>
      </w: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_Toc21400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第一章  使用说明</w:t>
      </w:r>
      <w:r>
        <w:rPr>
          <w:color w:val="auto"/>
          <w:highlight w:val="none"/>
        </w:rPr>
        <w:tab/>
      </w:r>
      <w:r>
        <w:rPr>
          <w:color w:val="auto"/>
          <w:highlight w:val="none"/>
        </w:rPr>
        <w:fldChar w:fldCharType="begin"/>
      </w:r>
      <w:r>
        <w:rPr>
          <w:color w:val="auto"/>
          <w:highlight w:val="none"/>
        </w:rPr>
        <w:instrText xml:space="preserve"> PAGEREF _Toc21400 \h </w:instrText>
      </w:r>
      <w:r>
        <w:rPr>
          <w:color w:val="auto"/>
          <w:highlight w:val="none"/>
        </w:rPr>
        <w:fldChar w:fldCharType="separate"/>
      </w:r>
      <w:r>
        <w:rPr>
          <w:color w:val="auto"/>
          <w:highlight w:val="none"/>
        </w:rPr>
        <w:t>3</w:t>
      </w:r>
      <w:r>
        <w:rPr>
          <w:color w:val="auto"/>
          <w:highlight w:val="none"/>
        </w:rPr>
        <w:fldChar w:fldCharType="end"/>
      </w:r>
      <w:r>
        <w:rPr>
          <w:rFonts w:hint="eastAsia" w:ascii="宋体" w:hAnsi="宋体" w:eastAsia="宋体" w:cs="宋体"/>
          <w:color w:val="auto"/>
          <w:szCs w:val="24"/>
          <w:highlight w:val="none"/>
        </w:rPr>
        <w:fldChar w:fldCharType="end"/>
      </w:r>
    </w:p>
    <w:p w14:paraId="72EE0DB0">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_Toc15779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第二章  投标须知</w:t>
      </w:r>
      <w:r>
        <w:rPr>
          <w:color w:val="auto"/>
          <w:highlight w:val="none"/>
        </w:rPr>
        <w:tab/>
      </w:r>
      <w:r>
        <w:rPr>
          <w:color w:val="auto"/>
          <w:highlight w:val="none"/>
        </w:rPr>
        <w:fldChar w:fldCharType="begin"/>
      </w:r>
      <w:r>
        <w:rPr>
          <w:color w:val="auto"/>
          <w:highlight w:val="none"/>
        </w:rPr>
        <w:instrText xml:space="preserve"> PAGEREF _Toc15779 \h </w:instrText>
      </w:r>
      <w:r>
        <w:rPr>
          <w:color w:val="auto"/>
          <w:highlight w:val="none"/>
        </w:rPr>
        <w:fldChar w:fldCharType="separate"/>
      </w:r>
      <w:r>
        <w:rPr>
          <w:color w:val="auto"/>
          <w:highlight w:val="none"/>
        </w:rPr>
        <w:t>8</w:t>
      </w:r>
      <w:r>
        <w:rPr>
          <w:color w:val="auto"/>
          <w:highlight w:val="none"/>
        </w:rPr>
        <w:fldChar w:fldCharType="end"/>
      </w:r>
      <w:r>
        <w:rPr>
          <w:rFonts w:hint="eastAsia" w:ascii="宋体" w:hAnsi="宋体" w:eastAsia="宋体" w:cs="宋体"/>
          <w:color w:val="auto"/>
          <w:szCs w:val="24"/>
          <w:highlight w:val="none"/>
        </w:rPr>
        <w:fldChar w:fldCharType="end"/>
      </w:r>
    </w:p>
    <w:p w14:paraId="2C0EFD63">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_Toc3225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一、投标须知前附表</w:t>
      </w:r>
      <w:r>
        <w:rPr>
          <w:color w:val="auto"/>
          <w:highlight w:val="none"/>
        </w:rPr>
        <w:tab/>
      </w:r>
      <w:r>
        <w:rPr>
          <w:color w:val="auto"/>
          <w:highlight w:val="none"/>
        </w:rPr>
        <w:fldChar w:fldCharType="begin"/>
      </w:r>
      <w:r>
        <w:rPr>
          <w:color w:val="auto"/>
          <w:highlight w:val="none"/>
        </w:rPr>
        <w:instrText xml:space="preserve"> PAGEREF _Toc3225 \h </w:instrText>
      </w:r>
      <w:r>
        <w:rPr>
          <w:color w:val="auto"/>
          <w:highlight w:val="none"/>
        </w:rPr>
        <w:fldChar w:fldCharType="separate"/>
      </w:r>
      <w:r>
        <w:rPr>
          <w:color w:val="auto"/>
          <w:highlight w:val="none"/>
        </w:rPr>
        <w:t>8</w:t>
      </w:r>
      <w:r>
        <w:rPr>
          <w:color w:val="auto"/>
          <w:highlight w:val="none"/>
        </w:rPr>
        <w:fldChar w:fldCharType="end"/>
      </w:r>
      <w:r>
        <w:rPr>
          <w:rFonts w:hint="eastAsia" w:ascii="宋体" w:hAnsi="宋体" w:eastAsia="宋体" w:cs="宋体"/>
          <w:color w:val="auto"/>
          <w:szCs w:val="24"/>
          <w:highlight w:val="none"/>
        </w:rPr>
        <w:fldChar w:fldCharType="end"/>
      </w:r>
    </w:p>
    <w:p w14:paraId="39063452">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_Toc6954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二、投标文件否决性条款</w:t>
      </w:r>
      <w:r>
        <w:rPr>
          <w:color w:val="auto"/>
          <w:highlight w:val="none"/>
        </w:rPr>
        <w:tab/>
      </w:r>
      <w:r>
        <w:rPr>
          <w:color w:val="auto"/>
          <w:highlight w:val="none"/>
        </w:rPr>
        <w:fldChar w:fldCharType="begin"/>
      </w:r>
      <w:r>
        <w:rPr>
          <w:color w:val="auto"/>
          <w:highlight w:val="none"/>
        </w:rPr>
        <w:instrText xml:space="preserve"> PAGEREF _Toc6954 \h </w:instrText>
      </w:r>
      <w:r>
        <w:rPr>
          <w:color w:val="auto"/>
          <w:highlight w:val="none"/>
        </w:rPr>
        <w:fldChar w:fldCharType="separate"/>
      </w:r>
      <w:r>
        <w:rPr>
          <w:color w:val="auto"/>
          <w:highlight w:val="none"/>
        </w:rPr>
        <w:t>16</w:t>
      </w:r>
      <w:r>
        <w:rPr>
          <w:color w:val="auto"/>
          <w:highlight w:val="none"/>
        </w:rPr>
        <w:fldChar w:fldCharType="end"/>
      </w:r>
      <w:r>
        <w:rPr>
          <w:rFonts w:hint="eastAsia" w:ascii="宋体" w:hAnsi="宋体" w:eastAsia="宋体" w:cs="宋体"/>
          <w:color w:val="auto"/>
          <w:szCs w:val="24"/>
          <w:highlight w:val="none"/>
        </w:rPr>
        <w:fldChar w:fldCharType="end"/>
      </w:r>
    </w:p>
    <w:p w14:paraId="4D61208B">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_Toc20415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三、招投标须知正文</w:t>
      </w:r>
      <w:r>
        <w:rPr>
          <w:color w:val="auto"/>
          <w:highlight w:val="none"/>
        </w:rPr>
        <w:tab/>
      </w:r>
      <w:r>
        <w:rPr>
          <w:color w:val="auto"/>
          <w:highlight w:val="none"/>
        </w:rPr>
        <w:fldChar w:fldCharType="begin"/>
      </w:r>
      <w:r>
        <w:rPr>
          <w:color w:val="auto"/>
          <w:highlight w:val="none"/>
        </w:rPr>
        <w:instrText xml:space="preserve"> PAGEREF _Toc20415 \h </w:instrText>
      </w:r>
      <w:r>
        <w:rPr>
          <w:color w:val="auto"/>
          <w:highlight w:val="none"/>
        </w:rPr>
        <w:fldChar w:fldCharType="separate"/>
      </w:r>
      <w:r>
        <w:rPr>
          <w:color w:val="auto"/>
          <w:highlight w:val="none"/>
        </w:rPr>
        <w:t>19</w:t>
      </w:r>
      <w:r>
        <w:rPr>
          <w:color w:val="auto"/>
          <w:highlight w:val="none"/>
        </w:rPr>
        <w:fldChar w:fldCharType="end"/>
      </w:r>
      <w:r>
        <w:rPr>
          <w:rFonts w:hint="eastAsia" w:ascii="宋体" w:hAnsi="宋体" w:eastAsia="宋体" w:cs="宋体"/>
          <w:color w:val="auto"/>
          <w:szCs w:val="24"/>
          <w:highlight w:val="none"/>
        </w:rPr>
        <w:fldChar w:fldCharType="end"/>
      </w:r>
    </w:p>
    <w:p w14:paraId="7F203E90">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_Toc19475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（一）招标</w:t>
      </w:r>
      <w:r>
        <w:rPr>
          <w:color w:val="auto"/>
          <w:highlight w:val="none"/>
        </w:rPr>
        <w:tab/>
      </w:r>
      <w:r>
        <w:rPr>
          <w:color w:val="auto"/>
          <w:highlight w:val="none"/>
        </w:rPr>
        <w:fldChar w:fldCharType="begin"/>
      </w:r>
      <w:r>
        <w:rPr>
          <w:color w:val="auto"/>
          <w:highlight w:val="none"/>
        </w:rPr>
        <w:instrText xml:space="preserve"> PAGEREF _Toc19475 \h </w:instrText>
      </w:r>
      <w:r>
        <w:rPr>
          <w:color w:val="auto"/>
          <w:highlight w:val="none"/>
        </w:rPr>
        <w:fldChar w:fldCharType="separate"/>
      </w:r>
      <w:r>
        <w:rPr>
          <w:color w:val="auto"/>
          <w:highlight w:val="none"/>
        </w:rPr>
        <w:t>19</w:t>
      </w:r>
      <w:r>
        <w:rPr>
          <w:color w:val="auto"/>
          <w:highlight w:val="none"/>
        </w:rPr>
        <w:fldChar w:fldCharType="end"/>
      </w:r>
      <w:r>
        <w:rPr>
          <w:rFonts w:hint="eastAsia" w:ascii="宋体" w:hAnsi="宋体" w:eastAsia="宋体" w:cs="宋体"/>
          <w:color w:val="auto"/>
          <w:szCs w:val="24"/>
          <w:highlight w:val="none"/>
        </w:rPr>
        <w:fldChar w:fldCharType="end"/>
      </w:r>
    </w:p>
    <w:p w14:paraId="51FAD332">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_Toc8539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（二）投标</w:t>
      </w:r>
      <w:r>
        <w:rPr>
          <w:color w:val="auto"/>
          <w:highlight w:val="none"/>
        </w:rPr>
        <w:tab/>
      </w:r>
      <w:r>
        <w:rPr>
          <w:color w:val="auto"/>
          <w:highlight w:val="none"/>
        </w:rPr>
        <w:fldChar w:fldCharType="begin"/>
      </w:r>
      <w:r>
        <w:rPr>
          <w:color w:val="auto"/>
          <w:highlight w:val="none"/>
        </w:rPr>
        <w:instrText xml:space="preserve"> PAGEREF _Toc8539 \h </w:instrText>
      </w:r>
      <w:r>
        <w:rPr>
          <w:color w:val="auto"/>
          <w:highlight w:val="none"/>
        </w:rPr>
        <w:fldChar w:fldCharType="separate"/>
      </w:r>
      <w:r>
        <w:rPr>
          <w:color w:val="auto"/>
          <w:highlight w:val="none"/>
        </w:rPr>
        <w:t>20</w:t>
      </w:r>
      <w:r>
        <w:rPr>
          <w:color w:val="auto"/>
          <w:highlight w:val="none"/>
        </w:rPr>
        <w:fldChar w:fldCharType="end"/>
      </w:r>
      <w:r>
        <w:rPr>
          <w:rFonts w:hint="eastAsia" w:ascii="宋体" w:hAnsi="宋体" w:eastAsia="宋体" w:cs="宋体"/>
          <w:color w:val="auto"/>
          <w:szCs w:val="24"/>
          <w:highlight w:val="none"/>
        </w:rPr>
        <w:fldChar w:fldCharType="end"/>
      </w:r>
    </w:p>
    <w:p w14:paraId="34C57EC7">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_Toc19176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（三）资格后审</w:t>
      </w:r>
      <w:r>
        <w:rPr>
          <w:color w:val="auto"/>
          <w:highlight w:val="none"/>
        </w:rPr>
        <w:tab/>
      </w:r>
      <w:r>
        <w:rPr>
          <w:color w:val="auto"/>
          <w:highlight w:val="none"/>
        </w:rPr>
        <w:fldChar w:fldCharType="begin"/>
      </w:r>
      <w:r>
        <w:rPr>
          <w:color w:val="auto"/>
          <w:highlight w:val="none"/>
        </w:rPr>
        <w:instrText xml:space="preserve"> PAGEREF _Toc19176 \h </w:instrText>
      </w:r>
      <w:r>
        <w:rPr>
          <w:color w:val="auto"/>
          <w:highlight w:val="none"/>
        </w:rPr>
        <w:fldChar w:fldCharType="separate"/>
      </w:r>
      <w:r>
        <w:rPr>
          <w:color w:val="auto"/>
          <w:highlight w:val="none"/>
        </w:rPr>
        <w:t>25</w:t>
      </w:r>
      <w:r>
        <w:rPr>
          <w:color w:val="auto"/>
          <w:highlight w:val="none"/>
        </w:rPr>
        <w:fldChar w:fldCharType="end"/>
      </w:r>
      <w:r>
        <w:rPr>
          <w:rFonts w:hint="eastAsia" w:ascii="宋体" w:hAnsi="宋体" w:eastAsia="宋体" w:cs="宋体"/>
          <w:color w:val="auto"/>
          <w:szCs w:val="24"/>
          <w:highlight w:val="none"/>
        </w:rPr>
        <w:fldChar w:fldCharType="end"/>
      </w:r>
    </w:p>
    <w:p w14:paraId="573DA45C">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_Toc31112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（四）开标</w:t>
      </w:r>
      <w:r>
        <w:rPr>
          <w:color w:val="auto"/>
          <w:highlight w:val="none"/>
        </w:rPr>
        <w:tab/>
      </w:r>
      <w:r>
        <w:rPr>
          <w:color w:val="auto"/>
          <w:highlight w:val="none"/>
        </w:rPr>
        <w:fldChar w:fldCharType="begin"/>
      </w:r>
      <w:r>
        <w:rPr>
          <w:color w:val="auto"/>
          <w:highlight w:val="none"/>
        </w:rPr>
        <w:instrText xml:space="preserve"> PAGEREF _Toc31112 \h </w:instrText>
      </w:r>
      <w:r>
        <w:rPr>
          <w:color w:val="auto"/>
          <w:highlight w:val="none"/>
        </w:rPr>
        <w:fldChar w:fldCharType="separate"/>
      </w:r>
      <w:r>
        <w:rPr>
          <w:color w:val="auto"/>
          <w:highlight w:val="none"/>
        </w:rPr>
        <w:t>25</w:t>
      </w:r>
      <w:r>
        <w:rPr>
          <w:color w:val="auto"/>
          <w:highlight w:val="none"/>
        </w:rPr>
        <w:fldChar w:fldCharType="end"/>
      </w:r>
      <w:r>
        <w:rPr>
          <w:rFonts w:hint="eastAsia" w:ascii="宋体" w:hAnsi="宋体" w:eastAsia="宋体" w:cs="宋体"/>
          <w:color w:val="auto"/>
          <w:szCs w:val="24"/>
          <w:highlight w:val="none"/>
        </w:rPr>
        <w:fldChar w:fldCharType="end"/>
      </w:r>
    </w:p>
    <w:p w14:paraId="43783B0A">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_Toc13700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（五）评标</w:t>
      </w:r>
      <w:r>
        <w:rPr>
          <w:color w:val="auto"/>
          <w:highlight w:val="none"/>
        </w:rPr>
        <w:tab/>
      </w:r>
      <w:r>
        <w:rPr>
          <w:color w:val="auto"/>
          <w:highlight w:val="none"/>
        </w:rPr>
        <w:fldChar w:fldCharType="begin"/>
      </w:r>
      <w:r>
        <w:rPr>
          <w:color w:val="auto"/>
          <w:highlight w:val="none"/>
        </w:rPr>
        <w:instrText xml:space="preserve"> PAGEREF _Toc13700 \h </w:instrText>
      </w:r>
      <w:r>
        <w:rPr>
          <w:color w:val="auto"/>
          <w:highlight w:val="none"/>
        </w:rPr>
        <w:fldChar w:fldCharType="separate"/>
      </w:r>
      <w:r>
        <w:rPr>
          <w:color w:val="auto"/>
          <w:highlight w:val="none"/>
        </w:rPr>
        <w:t>26</w:t>
      </w:r>
      <w:r>
        <w:rPr>
          <w:color w:val="auto"/>
          <w:highlight w:val="none"/>
        </w:rPr>
        <w:fldChar w:fldCharType="end"/>
      </w:r>
      <w:r>
        <w:rPr>
          <w:rFonts w:hint="eastAsia" w:ascii="宋体" w:hAnsi="宋体" w:eastAsia="宋体" w:cs="宋体"/>
          <w:color w:val="auto"/>
          <w:szCs w:val="24"/>
          <w:highlight w:val="none"/>
        </w:rPr>
        <w:fldChar w:fldCharType="end"/>
      </w:r>
    </w:p>
    <w:p w14:paraId="6459D70E">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_Toc31697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（六）定标</w:t>
      </w:r>
      <w:r>
        <w:rPr>
          <w:color w:val="auto"/>
          <w:highlight w:val="none"/>
        </w:rPr>
        <w:tab/>
      </w:r>
      <w:r>
        <w:rPr>
          <w:color w:val="auto"/>
          <w:highlight w:val="none"/>
        </w:rPr>
        <w:fldChar w:fldCharType="begin"/>
      </w:r>
      <w:r>
        <w:rPr>
          <w:color w:val="auto"/>
          <w:highlight w:val="none"/>
        </w:rPr>
        <w:instrText xml:space="preserve"> PAGEREF _Toc31697 \h </w:instrText>
      </w:r>
      <w:r>
        <w:rPr>
          <w:color w:val="auto"/>
          <w:highlight w:val="none"/>
        </w:rPr>
        <w:fldChar w:fldCharType="separate"/>
      </w:r>
      <w:r>
        <w:rPr>
          <w:color w:val="auto"/>
          <w:highlight w:val="none"/>
        </w:rPr>
        <w:t>32</w:t>
      </w:r>
      <w:r>
        <w:rPr>
          <w:color w:val="auto"/>
          <w:highlight w:val="none"/>
        </w:rPr>
        <w:fldChar w:fldCharType="end"/>
      </w:r>
      <w:r>
        <w:rPr>
          <w:rFonts w:hint="eastAsia" w:ascii="宋体" w:hAnsi="宋体" w:eastAsia="宋体" w:cs="宋体"/>
          <w:color w:val="auto"/>
          <w:szCs w:val="24"/>
          <w:highlight w:val="none"/>
        </w:rPr>
        <w:fldChar w:fldCharType="end"/>
      </w:r>
    </w:p>
    <w:p w14:paraId="1B7EB149">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_Toc19005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（七）中标通知书</w:t>
      </w:r>
      <w:r>
        <w:rPr>
          <w:color w:val="auto"/>
          <w:highlight w:val="none"/>
        </w:rPr>
        <w:tab/>
      </w:r>
      <w:r>
        <w:rPr>
          <w:color w:val="auto"/>
          <w:highlight w:val="none"/>
        </w:rPr>
        <w:fldChar w:fldCharType="begin"/>
      </w:r>
      <w:r>
        <w:rPr>
          <w:color w:val="auto"/>
          <w:highlight w:val="none"/>
        </w:rPr>
        <w:instrText xml:space="preserve"> PAGEREF _Toc19005 \h </w:instrText>
      </w:r>
      <w:r>
        <w:rPr>
          <w:color w:val="auto"/>
          <w:highlight w:val="none"/>
        </w:rPr>
        <w:fldChar w:fldCharType="separate"/>
      </w:r>
      <w:r>
        <w:rPr>
          <w:color w:val="auto"/>
          <w:highlight w:val="none"/>
        </w:rPr>
        <w:t>37</w:t>
      </w:r>
      <w:r>
        <w:rPr>
          <w:color w:val="auto"/>
          <w:highlight w:val="none"/>
        </w:rPr>
        <w:fldChar w:fldCharType="end"/>
      </w:r>
      <w:r>
        <w:rPr>
          <w:rFonts w:hint="eastAsia" w:ascii="宋体" w:hAnsi="宋体" w:eastAsia="宋体" w:cs="宋体"/>
          <w:color w:val="auto"/>
          <w:szCs w:val="24"/>
          <w:highlight w:val="none"/>
        </w:rPr>
        <w:fldChar w:fldCharType="end"/>
      </w:r>
    </w:p>
    <w:p w14:paraId="61DD2971">
      <w:pPr>
        <w:pStyle w:val="19"/>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_Toc24147 </w:instrText>
      </w:r>
      <w:r>
        <w:rPr>
          <w:rFonts w:hint="eastAsia" w:ascii="宋体" w:hAnsi="宋体" w:eastAsia="宋体" w:cs="宋体"/>
          <w:color w:val="auto"/>
          <w:szCs w:val="24"/>
          <w:highlight w:val="none"/>
        </w:rPr>
        <w:fldChar w:fldCharType="separate"/>
      </w:r>
      <w:r>
        <w:rPr>
          <w:rFonts w:hint="eastAsia" w:eastAsia="宋体"/>
          <w:bCs w:val="0"/>
          <w:color w:val="auto"/>
          <w:highlight w:val="none"/>
          <w:lang w:val="en-US"/>
        </w:rPr>
        <w:t>（八）合同的授予</w:t>
      </w:r>
      <w:r>
        <w:rPr>
          <w:color w:val="auto"/>
          <w:highlight w:val="none"/>
        </w:rPr>
        <w:tab/>
      </w:r>
      <w:r>
        <w:rPr>
          <w:color w:val="auto"/>
          <w:highlight w:val="none"/>
        </w:rPr>
        <w:fldChar w:fldCharType="begin"/>
      </w:r>
      <w:r>
        <w:rPr>
          <w:color w:val="auto"/>
          <w:highlight w:val="none"/>
        </w:rPr>
        <w:instrText xml:space="preserve"> PAGEREF _Toc24147 \h </w:instrText>
      </w:r>
      <w:r>
        <w:rPr>
          <w:color w:val="auto"/>
          <w:highlight w:val="none"/>
        </w:rPr>
        <w:fldChar w:fldCharType="separate"/>
      </w:r>
      <w:r>
        <w:rPr>
          <w:color w:val="auto"/>
          <w:highlight w:val="none"/>
        </w:rPr>
        <w:t>37</w:t>
      </w:r>
      <w:r>
        <w:rPr>
          <w:color w:val="auto"/>
          <w:highlight w:val="none"/>
        </w:rPr>
        <w:fldChar w:fldCharType="end"/>
      </w:r>
      <w:r>
        <w:rPr>
          <w:rFonts w:hint="eastAsia" w:ascii="宋体" w:hAnsi="宋体" w:eastAsia="宋体" w:cs="宋体"/>
          <w:color w:val="auto"/>
          <w:szCs w:val="24"/>
          <w:highlight w:val="none"/>
        </w:rPr>
        <w:fldChar w:fldCharType="end"/>
      </w:r>
    </w:p>
    <w:p w14:paraId="234FDFCA">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_Toc29169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44"/>
          <w:highlight w:val="none"/>
        </w:rPr>
        <w:t>第三章  招标人对招标文件及合同范本的补充/修改</w:t>
      </w:r>
      <w:r>
        <w:rPr>
          <w:color w:val="auto"/>
          <w:highlight w:val="none"/>
        </w:rPr>
        <w:tab/>
      </w:r>
      <w:r>
        <w:rPr>
          <w:color w:val="auto"/>
          <w:highlight w:val="none"/>
        </w:rPr>
        <w:fldChar w:fldCharType="begin"/>
      </w:r>
      <w:r>
        <w:rPr>
          <w:color w:val="auto"/>
          <w:highlight w:val="none"/>
        </w:rPr>
        <w:instrText xml:space="preserve"> PAGEREF _Toc29169 \h </w:instrText>
      </w:r>
      <w:r>
        <w:rPr>
          <w:color w:val="auto"/>
          <w:highlight w:val="none"/>
        </w:rPr>
        <w:fldChar w:fldCharType="separate"/>
      </w:r>
      <w:r>
        <w:rPr>
          <w:color w:val="auto"/>
          <w:highlight w:val="none"/>
        </w:rPr>
        <w:t>39</w:t>
      </w:r>
      <w:r>
        <w:rPr>
          <w:color w:val="auto"/>
          <w:highlight w:val="none"/>
        </w:rPr>
        <w:fldChar w:fldCharType="end"/>
      </w:r>
      <w:r>
        <w:rPr>
          <w:rFonts w:hint="eastAsia" w:ascii="宋体" w:hAnsi="宋体" w:eastAsia="宋体" w:cs="宋体"/>
          <w:color w:val="auto"/>
          <w:szCs w:val="24"/>
          <w:highlight w:val="none"/>
        </w:rPr>
        <w:fldChar w:fldCharType="end"/>
      </w:r>
    </w:p>
    <w:p w14:paraId="5FB1E3FA">
      <w:pPr>
        <w:pStyle w:val="27"/>
        <w:tabs>
          <w:tab w:val="right" w:leader="dot" w:pos="9073"/>
        </w:tabs>
        <w:rPr>
          <w:rFonts w:hint="eastAsia" w:ascii="黑体" w:hAnsi="黑体" w:eastAsia="黑体" w:cs="黑体"/>
          <w:color w:val="auto"/>
          <w:szCs w:val="44"/>
          <w:highlight w:val="none"/>
        </w:rPr>
      </w:pPr>
      <w:r>
        <w:rPr>
          <w:rFonts w:hint="eastAsia" w:ascii="黑体" w:hAnsi="黑体" w:eastAsia="黑体" w:cs="黑体"/>
          <w:color w:val="auto"/>
          <w:szCs w:val="44"/>
          <w:highlight w:val="none"/>
        </w:rPr>
        <w:fldChar w:fldCharType="begin"/>
      </w:r>
      <w:r>
        <w:rPr>
          <w:rFonts w:hint="eastAsia" w:ascii="黑体" w:hAnsi="黑体" w:eastAsia="黑体" w:cs="黑体"/>
          <w:color w:val="auto"/>
          <w:szCs w:val="44"/>
          <w:highlight w:val="none"/>
        </w:rPr>
        <w:instrText xml:space="preserve"> HYPERLINK \l _Toc7592 </w:instrText>
      </w:r>
      <w:r>
        <w:rPr>
          <w:rFonts w:hint="eastAsia" w:ascii="黑体" w:hAnsi="黑体" w:eastAsia="黑体" w:cs="黑体"/>
          <w:color w:val="auto"/>
          <w:szCs w:val="44"/>
          <w:highlight w:val="none"/>
        </w:rPr>
        <w:fldChar w:fldCharType="separate"/>
      </w:r>
      <w:r>
        <w:rPr>
          <w:rFonts w:hint="eastAsia" w:ascii="黑体" w:hAnsi="黑体" w:eastAsia="黑体" w:cs="黑体"/>
          <w:bCs/>
          <w:color w:val="auto"/>
          <w:szCs w:val="44"/>
          <w:highlight w:val="none"/>
        </w:rPr>
        <w:t>第四章  合同条款</w:t>
      </w:r>
      <w:r>
        <w:rPr>
          <w:rFonts w:hint="eastAsia" w:ascii="黑体" w:hAnsi="黑体" w:eastAsia="黑体" w:cs="黑体"/>
          <w:color w:val="auto"/>
          <w:szCs w:val="44"/>
          <w:highlight w:val="none"/>
        </w:rPr>
        <w:tab/>
      </w:r>
      <w:r>
        <w:rPr>
          <w:rFonts w:hint="eastAsia" w:ascii="黑体" w:hAnsi="黑体" w:eastAsia="黑体" w:cs="黑体"/>
          <w:color w:val="auto"/>
          <w:szCs w:val="44"/>
          <w:highlight w:val="none"/>
          <w:lang w:val="en-US" w:eastAsia="zh-CN"/>
        </w:rPr>
        <w:t>40</w:t>
      </w:r>
      <w:r>
        <w:rPr>
          <w:rFonts w:hint="eastAsia" w:ascii="黑体" w:hAnsi="黑体" w:eastAsia="黑体" w:cs="黑体"/>
          <w:color w:val="auto"/>
          <w:szCs w:val="44"/>
          <w:highlight w:val="none"/>
        </w:rPr>
        <w:fldChar w:fldCharType="end"/>
      </w:r>
    </w:p>
    <w:p w14:paraId="73C33B37">
      <w:pPr>
        <w:pStyle w:val="33"/>
        <w:tabs>
          <w:tab w:val="right" w:leader="dot" w:pos="9073"/>
        </w:tabs>
        <w:rPr>
          <w:rFonts w:hint="eastAsia" w:eastAsia="宋体"/>
          <w:color w:val="auto"/>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_Toc3225 </w:instrText>
      </w:r>
      <w:r>
        <w:rPr>
          <w:rFonts w:hint="eastAsia" w:ascii="宋体" w:hAnsi="宋体" w:eastAsia="宋体" w:cs="宋体"/>
          <w:color w:val="auto"/>
          <w:szCs w:val="24"/>
          <w:highlight w:val="none"/>
        </w:rPr>
        <w:fldChar w:fldCharType="separate"/>
      </w:r>
      <w:r>
        <w:rPr>
          <w:rFonts w:hint="eastAsia" w:ascii="黑体" w:hAnsi="黑体" w:eastAsia="黑体" w:cs="黑体"/>
          <w:bCs w:val="0"/>
          <w:snapToGrid/>
          <w:color w:val="auto"/>
          <w:kern w:val="0"/>
          <w:szCs w:val="24"/>
          <w:highlight w:val="none"/>
          <w:lang w:val="en-US" w:eastAsia="zh-CN" w:bidi="ar-SA"/>
        </w:rPr>
        <w:t>第一部分 协议书</w:t>
      </w:r>
      <w:r>
        <w:rPr>
          <w:color w:val="auto"/>
          <w:highlight w:val="none"/>
        </w:rPr>
        <w:tab/>
      </w:r>
      <w:r>
        <w:rPr>
          <w:rFonts w:hint="eastAsia"/>
          <w:color w:val="auto"/>
          <w:highlight w:val="none"/>
          <w:lang w:val="en-US" w:eastAsia="zh-CN"/>
        </w:rPr>
        <w:t>4</w:t>
      </w:r>
      <w:r>
        <w:rPr>
          <w:rFonts w:hint="eastAsia" w:ascii="宋体" w:hAnsi="宋体" w:eastAsia="宋体" w:cs="宋体"/>
          <w:color w:val="auto"/>
          <w:szCs w:val="24"/>
          <w:highlight w:val="none"/>
        </w:rPr>
        <w:fldChar w:fldCharType="end"/>
      </w:r>
      <w:r>
        <w:rPr>
          <w:rFonts w:hint="eastAsia" w:cs="宋体"/>
          <w:color w:val="auto"/>
          <w:szCs w:val="24"/>
          <w:highlight w:val="none"/>
          <w:lang w:val="en-US" w:eastAsia="zh-CN"/>
        </w:rPr>
        <w:t>4</w:t>
      </w:r>
    </w:p>
    <w:p w14:paraId="66ED3064">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_Toc6954 </w:instrText>
      </w:r>
      <w:r>
        <w:rPr>
          <w:rFonts w:hint="eastAsia" w:ascii="宋体" w:hAnsi="宋体" w:eastAsia="宋体" w:cs="宋体"/>
          <w:color w:val="auto"/>
          <w:szCs w:val="24"/>
          <w:highlight w:val="none"/>
        </w:rPr>
        <w:fldChar w:fldCharType="separate"/>
      </w:r>
      <w:r>
        <w:rPr>
          <w:rFonts w:hint="eastAsia" w:ascii="黑体" w:hAnsi="黑体" w:eastAsia="黑体" w:cs="黑体"/>
          <w:bCs w:val="0"/>
          <w:snapToGrid/>
          <w:color w:val="auto"/>
          <w:kern w:val="0"/>
          <w:szCs w:val="24"/>
          <w:highlight w:val="none"/>
          <w:lang w:val="en-US" w:eastAsia="zh-CN" w:bidi="ar-SA"/>
        </w:rPr>
        <w:t>第二部分  通用条款</w:t>
      </w:r>
      <w:r>
        <w:rPr>
          <w:color w:val="auto"/>
          <w:highlight w:val="none"/>
        </w:rPr>
        <w:tab/>
      </w:r>
      <w:r>
        <w:rPr>
          <w:rFonts w:hint="eastAsia"/>
          <w:color w:val="auto"/>
          <w:highlight w:val="none"/>
          <w:lang w:val="en-US" w:eastAsia="zh-CN"/>
        </w:rPr>
        <w:t>49</w:t>
      </w:r>
      <w:r>
        <w:rPr>
          <w:rFonts w:hint="eastAsia" w:ascii="宋体" w:hAnsi="宋体" w:eastAsia="宋体" w:cs="宋体"/>
          <w:color w:val="auto"/>
          <w:szCs w:val="24"/>
          <w:highlight w:val="none"/>
        </w:rPr>
        <w:fldChar w:fldCharType="end"/>
      </w:r>
    </w:p>
    <w:p w14:paraId="7C19C0D0">
      <w:pPr>
        <w:pStyle w:val="33"/>
        <w:tabs>
          <w:tab w:val="right" w:leader="dot" w:pos="9073"/>
        </w:tabs>
        <w:rPr>
          <w:rFonts w:hint="default" w:eastAsia="宋体"/>
          <w:color w:val="auto"/>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_Toc20415 </w:instrText>
      </w:r>
      <w:r>
        <w:rPr>
          <w:rFonts w:hint="eastAsia" w:ascii="宋体" w:hAnsi="宋体" w:eastAsia="宋体" w:cs="宋体"/>
          <w:color w:val="auto"/>
          <w:szCs w:val="24"/>
          <w:highlight w:val="none"/>
        </w:rPr>
        <w:fldChar w:fldCharType="separate"/>
      </w:r>
      <w:r>
        <w:rPr>
          <w:rFonts w:hint="eastAsia" w:ascii="黑体" w:hAnsi="黑体" w:eastAsia="黑体" w:cs="黑体"/>
          <w:bCs w:val="0"/>
          <w:snapToGrid/>
          <w:color w:val="auto"/>
          <w:kern w:val="0"/>
          <w:szCs w:val="24"/>
          <w:highlight w:val="none"/>
          <w:lang w:val="en-US" w:eastAsia="zh-CN" w:bidi="ar-SA"/>
        </w:rPr>
        <w:t>第三部分 专用条款</w:t>
      </w:r>
      <w:r>
        <w:rPr>
          <w:color w:val="auto"/>
          <w:highlight w:val="none"/>
        </w:rPr>
        <w:tab/>
      </w:r>
      <w:r>
        <w:rPr>
          <w:rFonts w:hint="eastAsia"/>
          <w:color w:val="auto"/>
          <w:highlight w:val="none"/>
          <w:lang w:val="en-US" w:eastAsia="zh-CN"/>
        </w:rPr>
        <w:t>1</w:t>
      </w:r>
      <w:r>
        <w:rPr>
          <w:rFonts w:hint="eastAsia" w:ascii="宋体" w:hAnsi="宋体" w:eastAsia="宋体" w:cs="宋体"/>
          <w:color w:val="auto"/>
          <w:szCs w:val="24"/>
          <w:highlight w:val="none"/>
        </w:rPr>
        <w:fldChar w:fldCharType="end"/>
      </w:r>
      <w:r>
        <w:rPr>
          <w:rFonts w:hint="eastAsia" w:cs="宋体"/>
          <w:color w:val="auto"/>
          <w:szCs w:val="24"/>
          <w:highlight w:val="none"/>
          <w:lang w:val="en-US" w:eastAsia="zh-CN"/>
        </w:rPr>
        <w:t>06</w:t>
      </w:r>
    </w:p>
    <w:p w14:paraId="4EB0F06D">
      <w:pPr>
        <w:pStyle w:val="33"/>
        <w:tabs>
          <w:tab w:val="right" w:leader="dot" w:pos="9073"/>
        </w:tabs>
        <w:rPr>
          <w:rFonts w:hint="default" w:eastAsia="宋体"/>
          <w:color w:val="auto"/>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_Toc20415 </w:instrText>
      </w:r>
      <w:r>
        <w:rPr>
          <w:rFonts w:hint="eastAsia" w:ascii="宋体" w:hAnsi="宋体" w:eastAsia="宋体" w:cs="宋体"/>
          <w:color w:val="auto"/>
          <w:szCs w:val="24"/>
          <w:highlight w:val="none"/>
        </w:rPr>
        <w:fldChar w:fldCharType="separate"/>
      </w:r>
      <w:r>
        <w:rPr>
          <w:rFonts w:hint="eastAsia" w:ascii="黑体" w:hAnsi="黑体" w:eastAsia="黑体" w:cs="黑体"/>
          <w:bCs w:val="0"/>
          <w:snapToGrid/>
          <w:color w:val="auto"/>
          <w:kern w:val="0"/>
          <w:szCs w:val="24"/>
          <w:highlight w:val="none"/>
          <w:lang w:val="en-US" w:eastAsia="zh-CN" w:bidi="ar-SA"/>
        </w:rPr>
        <w:t>第四部分 补充条款</w:t>
      </w:r>
      <w:r>
        <w:rPr>
          <w:color w:val="auto"/>
          <w:highlight w:val="none"/>
        </w:rPr>
        <w:tab/>
      </w:r>
      <w:r>
        <w:rPr>
          <w:rFonts w:hint="eastAsia"/>
          <w:color w:val="auto"/>
          <w:highlight w:val="none"/>
          <w:lang w:val="en-US" w:eastAsia="zh-CN"/>
        </w:rPr>
        <w:t>1</w:t>
      </w:r>
      <w:r>
        <w:rPr>
          <w:rFonts w:hint="eastAsia" w:ascii="宋体" w:hAnsi="宋体" w:eastAsia="宋体" w:cs="宋体"/>
          <w:color w:val="auto"/>
          <w:szCs w:val="24"/>
          <w:highlight w:val="none"/>
        </w:rPr>
        <w:fldChar w:fldCharType="end"/>
      </w:r>
      <w:r>
        <w:rPr>
          <w:rFonts w:hint="eastAsia" w:cs="宋体"/>
          <w:color w:val="auto"/>
          <w:szCs w:val="24"/>
          <w:highlight w:val="none"/>
          <w:lang w:val="en-US" w:eastAsia="zh-CN"/>
        </w:rPr>
        <w:t>34</w:t>
      </w:r>
    </w:p>
    <w:p w14:paraId="4E644BAF">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_Toc17066 </w:instrText>
      </w:r>
      <w:r>
        <w:rPr>
          <w:rFonts w:hint="eastAsia" w:ascii="宋体" w:hAnsi="宋体" w:eastAsia="宋体" w:cs="宋体"/>
          <w:color w:val="auto"/>
          <w:szCs w:val="24"/>
          <w:highlight w:val="none"/>
        </w:rPr>
        <w:fldChar w:fldCharType="separate"/>
      </w:r>
      <w:r>
        <w:rPr>
          <w:rFonts w:hint="eastAsia" w:ascii="黑体" w:hAnsi="黑体" w:eastAsia="黑体" w:cs="黑体"/>
          <w:bCs w:val="0"/>
          <w:color w:val="auto"/>
          <w:szCs w:val="32"/>
          <w:highlight w:val="none"/>
        </w:rPr>
        <w:t>第</w:t>
      </w:r>
      <w:r>
        <w:rPr>
          <w:rFonts w:hint="eastAsia" w:ascii="黑体" w:hAnsi="黑体" w:eastAsia="黑体" w:cs="黑体"/>
          <w:bCs w:val="0"/>
          <w:color w:val="auto"/>
          <w:szCs w:val="32"/>
          <w:highlight w:val="none"/>
          <w:lang w:eastAsia="zh-CN"/>
        </w:rPr>
        <w:t>五</w:t>
      </w:r>
      <w:r>
        <w:rPr>
          <w:rFonts w:hint="eastAsia" w:ascii="黑体" w:hAnsi="黑体" w:eastAsia="黑体" w:cs="黑体"/>
          <w:bCs w:val="0"/>
          <w:color w:val="auto"/>
          <w:szCs w:val="32"/>
          <w:highlight w:val="none"/>
        </w:rPr>
        <w:t xml:space="preserve">章  </w:t>
      </w:r>
      <w:r>
        <w:rPr>
          <w:rFonts w:hint="eastAsia" w:ascii="黑体" w:hAnsi="黑体" w:eastAsia="黑体" w:cs="黑体"/>
          <w:bCs w:val="0"/>
          <w:color w:val="auto"/>
          <w:szCs w:val="32"/>
          <w:highlight w:val="none"/>
          <w:lang w:eastAsia="zh-CN"/>
        </w:rPr>
        <w:t>合同附件格式</w:t>
      </w:r>
      <w:r>
        <w:rPr>
          <w:color w:val="auto"/>
          <w:highlight w:val="none"/>
        </w:rPr>
        <w:tab/>
      </w:r>
      <w:r>
        <w:rPr>
          <w:color w:val="auto"/>
          <w:highlight w:val="none"/>
        </w:rPr>
        <w:fldChar w:fldCharType="begin"/>
      </w:r>
      <w:r>
        <w:rPr>
          <w:color w:val="auto"/>
          <w:highlight w:val="none"/>
        </w:rPr>
        <w:instrText xml:space="preserve"> PAGEREF _Toc17066 \h </w:instrText>
      </w:r>
      <w:r>
        <w:rPr>
          <w:color w:val="auto"/>
          <w:highlight w:val="none"/>
        </w:rPr>
        <w:fldChar w:fldCharType="separate"/>
      </w:r>
      <w:r>
        <w:rPr>
          <w:color w:val="auto"/>
          <w:highlight w:val="none"/>
        </w:rPr>
        <w:t>13</w:t>
      </w:r>
      <w:r>
        <w:rPr>
          <w:rFonts w:hint="eastAsia"/>
          <w:color w:val="auto"/>
          <w:highlight w:val="none"/>
          <w:lang w:val="en-US" w:eastAsia="zh-CN"/>
        </w:rPr>
        <w:t>5</w:t>
      </w:r>
      <w:r>
        <w:rPr>
          <w:color w:val="auto"/>
          <w:highlight w:val="none"/>
        </w:rPr>
        <w:fldChar w:fldCharType="end"/>
      </w:r>
      <w:r>
        <w:rPr>
          <w:rFonts w:hint="eastAsia" w:ascii="宋体" w:hAnsi="宋体" w:eastAsia="宋体" w:cs="宋体"/>
          <w:color w:val="auto"/>
          <w:szCs w:val="24"/>
          <w:highlight w:val="none"/>
        </w:rPr>
        <w:fldChar w:fldCharType="end"/>
      </w:r>
    </w:p>
    <w:p w14:paraId="09676027">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_Toc21821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第六章  标准、规范和技术要求</w:t>
      </w:r>
      <w:r>
        <w:rPr>
          <w:color w:val="auto"/>
          <w:highlight w:val="none"/>
        </w:rPr>
        <w:tab/>
      </w:r>
      <w:r>
        <w:rPr>
          <w:color w:val="auto"/>
          <w:highlight w:val="none"/>
        </w:rPr>
        <w:fldChar w:fldCharType="begin"/>
      </w:r>
      <w:r>
        <w:rPr>
          <w:color w:val="auto"/>
          <w:highlight w:val="none"/>
        </w:rPr>
        <w:instrText xml:space="preserve"> PAGEREF _Toc21821 \h </w:instrText>
      </w:r>
      <w:r>
        <w:rPr>
          <w:color w:val="auto"/>
          <w:highlight w:val="none"/>
        </w:rPr>
        <w:fldChar w:fldCharType="separate"/>
      </w:r>
      <w:r>
        <w:rPr>
          <w:color w:val="auto"/>
          <w:highlight w:val="none"/>
        </w:rPr>
        <w:t>13</w:t>
      </w:r>
      <w:r>
        <w:rPr>
          <w:rFonts w:hint="eastAsia"/>
          <w:color w:val="auto"/>
          <w:highlight w:val="none"/>
          <w:lang w:val="en-US" w:eastAsia="zh-CN"/>
        </w:rPr>
        <w:t>7</w:t>
      </w:r>
      <w:r>
        <w:rPr>
          <w:color w:val="auto"/>
          <w:highlight w:val="none"/>
        </w:rPr>
        <w:fldChar w:fldCharType="end"/>
      </w:r>
      <w:r>
        <w:rPr>
          <w:rFonts w:hint="eastAsia" w:ascii="宋体" w:hAnsi="宋体" w:eastAsia="宋体" w:cs="宋体"/>
          <w:color w:val="auto"/>
          <w:szCs w:val="24"/>
          <w:highlight w:val="none"/>
        </w:rPr>
        <w:fldChar w:fldCharType="end"/>
      </w:r>
    </w:p>
    <w:p w14:paraId="4D3933E4">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_Toc21838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一、一般标准和技术规范</w:t>
      </w:r>
      <w:r>
        <w:rPr>
          <w:color w:val="auto"/>
          <w:highlight w:val="none"/>
        </w:rPr>
        <w:tab/>
      </w:r>
      <w:r>
        <w:rPr>
          <w:color w:val="auto"/>
          <w:highlight w:val="none"/>
        </w:rPr>
        <w:fldChar w:fldCharType="begin"/>
      </w:r>
      <w:r>
        <w:rPr>
          <w:color w:val="auto"/>
          <w:highlight w:val="none"/>
        </w:rPr>
        <w:instrText xml:space="preserve"> PAGEREF _Toc21838 \h </w:instrText>
      </w:r>
      <w:r>
        <w:rPr>
          <w:color w:val="auto"/>
          <w:highlight w:val="none"/>
        </w:rPr>
        <w:fldChar w:fldCharType="separate"/>
      </w:r>
      <w:r>
        <w:rPr>
          <w:color w:val="auto"/>
          <w:highlight w:val="none"/>
        </w:rPr>
        <w:t>13</w:t>
      </w:r>
      <w:r>
        <w:rPr>
          <w:rFonts w:hint="eastAsia"/>
          <w:color w:val="auto"/>
          <w:highlight w:val="none"/>
          <w:lang w:val="en-US" w:eastAsia="zh-CN"/>
        </w:rPr>
        <w:t>7</w:t>
      </w:r>
      <w:r>
        <w:rPr>
          <w:color w:val="auto"/>
          <w:highlight w:val="none"/>
        </w:rPr>
        <w:fldChar w:fldCharType="end"/>
      </w:r>
      <w:r>
        <w:rPr>
          <w:rFonts w:hint="eastAsia" w:ascii="宋体" w:hAnsi="宋体" w:eastAsia="宋体" w:cs="宋体"/>
          <w:color w:val="auto"/>
          <w:szCs w:val="24"/>
          <w:highlight w:val="none"/>
        </w:rPr>
        <w:fldChar w:fldCharType="end"/>
      </w:r>
    </w:p>
    <w:p w14:paraId="18045F50">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_Toc13031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二、特殊标准和技术规范</w:t>
      </w:r>
      <w:r>
        <w:rPr>
          <w:color w:val="auto"/>
          <w:highlight w:val="none"/>
        </w:rPr>
        <w:tab/>
      </w:r>
      <w:r>
        <w:rPr>
          <w:color w:val="auto"/>
          <w:highlight w:val="none"/>
        </w:rPr>
        <w:fldChar w:fldCharType="begin"/>
      </w:r>
      <w:r>
        <w:rPr>
          <w:color w:val="auto"/>
          <w:highlight w:val="none"/>
        </w:rPr>
        <w:instrText xml:space="preserve"> PAGEREF _Toc13031 \h </w:instrText>
      </w:r>
      <w:r>
        <w:rPr>
          <w:color w:val="auto"/>
          <w:highlight w:val="none"/>
        </w:rPr>
        <w:fldChar w:fldCharType="separate"/>
      </w:r>
      <w:r>
        <w:rPr>
          <w:color w:val="auto"/>
          <w:highlight w:val="none"/>
        </w:rPr>
        <w:t>13</w:t>
      </w:r>
      <w:r>
        <w:rPr>
          <w:rFonts w:hint="eastAsia"/>
          <w:color w:val="auto"/>
          <w:highlight w:val="none"/>
          <w:lang w:val="en-US" w:eastAsia="zh-CN"/>
        </w:rPr>
        <w:t>7</w:t>
      </w:r>
      <w:r>
        <w:rPr>
          <w:color w:val="auto"/>
          <w:highlight w:val="none"/>
        </w:rPr>
        <w:fldChar w:fldCharType="end"/>
      </w:r>
      <w:r>
        <w:rPr>
          <w:rFonts w:hint="eastAsia" w:ascii="宋体" w:hAnsi="宋体" w:eastAsia="宋体" w:cs="宋体"/>
          <w:color w:val="auto"/>
          <w:szCs w:val="24"/>
          <w:highlight w:val="none"/>
        </w:rPr>
        <w:fldChar w:fldCharType="end"/>
      </w:r>
    </w:p>
    <w:p w14:paraId="2242946F">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_Toc22470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三、工程技术要求</w:t>
      </w:r>
      <w:r>
        <w:rPr>
          <w:color w:val="auto"/>
          <w:highlight w:val="none"/>
        </w:rPr>
        <w:tab/>
      </w:r>
      <w:r>
        <w:rPr>
          <w:color w:val="auto"/>
          <w:highlight w:val="none"/>
        </w:rPr>
        <w:fldChar w:fldCharType="begin"/>
      </w:r>
      <w:r>
        <w:rPr>
          <w:color w:val="auto"/>
          <w:highlight w:val="none"/>
        </w:rPr>
        <w:instrText xml:space="preserve"> PAGEREF _Toc22470 \h </w:instrText>
      </w:r>
      <w:r>
        <w:rPr>
          <w:color w:val="auto"/>
          <w:highlight w:val="none"/>
        </w:rPr>
        <w:fldChar w:fldCharType="separate"/>
      </w:r>
      <w:r>
        <w:rPr>
          <w:color w:val="auto"/>
          <w:highlight w:val="none"/>
        </w:rPr>
        <w:t>13</w:t>
      </w:r>
      <w:r>
        <w:rPr>
          <w:rFonts w:hint="eastAsia"/>
          <w:color w:val="auto"/>
          <w:highlight w:val="none"/>
          <w:lang w:val="en-US" w:eastAsia="zh-CN"/>
        </w:rPr>
        <w:t>8</w:t>
      </w:r>
      <w:r>
        <w:rPr>
          <w:color w:val="auto"/>
          <w:highlight w:val="none"/>
        </w:rPr>
        <w:fldChar w:fldCharType="end"/>
      </w:r>
      <w:r>
        <w:rPr>
          <w:rFonts w:hint="eastAsia" w:ascii="宋体" w:hAnsi="宋体" w:eastAsia="宋体" w:cs="宋体"/>
          <w:color w:val="auto"/>
          <w:szCs w:val="24"/>
          <w:highlight w:val="none"/>
        </w:rPr>
        <w:fldChar w:fldCharType="end"/>
      </w:r>
    </w:p>
    <w:p w14:paraId="04B242F3">
      <w:pPr>
        <w:pStyle w:val="27"/>
        <w:tabs>
          <w:tab w:val="right" w:leader="dot" w:pos="9073"/>
        </w:tabs>
        <w:rPr>
          <w:rFonts w:hint="eastAsia" w:eastAsia="宋体"/>
          <w:color w:val="auto"/>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_Toc27841 </w:instrText>
      </w:r>
      <w:r>
        <w:rPr>
          <w:rFonts w:hint="eastAsia" w:ascii="宋体" w:hAnsi="宋体" w:eastAsia="宋体" w:cs="宋体"/>
          <w:color w:val="auto"/>
          <w:szCs w:val="24"/>
          <w:highlight w:val="none"/>
        </w:rPr>
        <w:fldChar w:fldCharType="separate"/>
      </w:r>
      <w:r>
        <w:rPr>
          <w:rFonts w:hint="eastAsia" w:ascii="黑体" w:hAnsi="黑体" w:eastAsia="黑体" w:cs="黑体"/>
          <w:color w:val="auto"/>
          <w:szCs w:val="32"/>
          <w:highlight w:val="none"/>
        </w:rPr>
        <w:t>第七章  图纸</w:t>
      </w:r>
      <w:r>
        <w:rPr>
          <w:color w:val="auto"/>
          <w:highlight w:val="none"/>
        </w:rPr>
        <w:tab/>
      </w:r>
      <w:r>
        <w:rPr>
          <w:color w:val="auto"/>
          <w:highlight w:val="none"/>
        </w:rPr>
        <w:fldChar w:fldCharType="begin"/>
      </w:r>
      <w:r>
        <w:rPr>
          <w:color w:val="auto"/>
          <w:highlight w:val="none"/>
        </w:rPr>
        <w:instrText xml:space="preserve"> PAGEREF _Toc27841 \h </w:instrText>
      </w:r>
      <w:r>
        <w:rPr>
          <w:color w:val="auto"/>
          <w:highlight w:val="none"/>
        </w:rPr>
        <w:fldChar w:fldCharType="separate"/>
      </w:r>
      <w:r>
        <w:rPr>
          <w:color w:val="auto"/>
          <w:highlight w:val="none"/>
        </w:rPr>
        <w:t>1</w:t>
      </w:r>
      <w:r>
        <w:rPr>
          <w:rFonts w:hint="eastAsia"/>
          <w:color w:val="auto"/>
          <w:highlight w:val="none"/>
          <w:lang w:val="en-US" w:eastAsia="zh-CN"/>
        </w:rPr>
        <w:t>3</w:t>
      </w:r>
      <w:r>
        <w:rPr>
          <w:color w:val="auto"/>
          <w:highlight w:val="none"/>
        </w:rPr>
        <w:fldChar w:fldCharType="end"/>
      </w:r>
      <w:r>
        <w:rPr>
          <w:rFonts w:hint="eastAsia" w:ascii="宋体" w:hAnsi="宋体" w:eastAsia="宋体" w:cs="宋体"/>
          <w:color w:val="auto"/>
          <w:szCs w:val="24"/>
          <w:highlight w:val="none"/>
        </w:rPr>
        <w:fldChar w:fldCharType="end"/>
      </w:r>
      <w:r>
        <w:rPr>
          <w:rFonts w:hint="eastAsia" w:cs="宋体"/>
          <w:color w:val="auto"/>
          <w:szCs w:val="24"/>
          <w:highlight w:val="none"/>
          <w:lang w:val="en-US" w:eastAsia="zh-CN"/>
        </w:rPr>
        <w:t>9</w:t>
      </w:r>
    </w:p>
    <w:p w14:paraId="7C9C6352">
      <w:pPr>
        <w:pStyle w:val="33"/>
        <w:tabs>
          <w:tab w:val="right" w:leader="dot" w:pos="9073"/>
        </w:tabs>
        <w:rPr>
          <w:rFonts w:hint="eastAsia" w:eastAsia="宋体"/>
          <w:color w:val="auto"/>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_Toc29501 </w:instrText>
      </w:r>
      <w:r>
        <w:rPr>
          <w:rFonts w:hint="eastAsia" w:ascii="宋体" w:hAnsi="宋体" w:eastAsia="宋体" w:cs="宋体"/>
          <w:color w:val="auto"/>
          <w:szCs w:val="24"/>
          <w:highlight w:val="none"/>
        </w:rPr>
        <w:fldChar w:fldCharType="separate"/>
      </w:r>
      <w:r>
        <w:rPr>
          <w:rFonts w:hint="eastAsia" w:ascii="黑体" w:hAnsi="黑体" w:eastAsia="黑体" w:cs="黑体"/>
          <w:color w:val="auto"/>
          <w:szCs w:val="32"/>
          <w:highlight w:val="none"/>
        </w:rPr>
        <w:t>一、图纸清单</w:t>
      </w:r>
      <w:r>
        <w:rPr>
          <w:color w:val="auto"/>
          <w:highlight w:val="none"/>
        </w:rPr>
        <w:tab/>
      </w:r>
      <w:r>
        <w:rPr>
          <w:color w:val="auto"/>
          <w:highlight w:val="none"/>
        </w:rPr>
        <w:fldChar w:fldCharType="begin"/>
      </w:r>
      <w:r>
        <w:rPr>
          <w:color w:val="auto"/>
          <w:highlight w:val="none"/>
        </w:rPr>
        <w:instrText xml:space="preserve"> PAGEREF _Toc29501 \h </w:instrText>
      </w:r>
      <w:r>
        <w:rPr>
          <w:color w:val="auto"/>
          <w:highlight w:val="none"/>
        </w:rPr>
        <w:fldChar w:fldCharType="separate"/>
      </w:r>
      <w:r>
        <w:rPr>
          <w:color w:val="auto"/>
          <w:highlight w:val="none"/>
        </w:rPr>
        <w:t>1</w:t>
      </w:r>
      <w:r>
        <w:rPr>
          <w:rFonts w:hint="eastAsia"/>
          <w:color w:val="auto"/>
          <w:highlight w:val="none"/>
          <w:lang w:val="en-US" w:eastAsia="zh-CN"/>
        </w:rPr>
        <w:t>3</w:t>
      </w:r>
      <w:r>
        <w:rPr>
          <w:color w:val="auto"/>
          <w:highlight w:val="none"/>
        </w:rPr>
        <w:fldChar w:fldCharType="end"/>
      </w:r>
      <w:r>
        <w:rPr>
          <w:rFonts w:hint="eastAsia" w:ascii="宋体" w:hAnsi="宋体" w:eastAsia="宋体" w:cs="宋体"/>
          <w:color w:val="auto"/>
          <w:szCs w:val="24"/>
          <w:highlight w:val="none"/>
        </w:rPr>
        <w:fldChar w:fldCharType="end"/>
      </w:r>
      <w:r>
        <w:rPr>
          <w:rFonts w:hint="eastAsia" w:cs="宋体"/>
          <w:color w:val="auto"/>
          <w:szCs w:val="24"/>
          <w:highlight w:val="none"/>
          <w:lang w:val="en-US" w:eastAsia="zh-CN"/>
        </w:rPr>
        <w:t>9</w:t>
      </w:r>
    </w:p>
    <w:p w14:paraId="58DB1E38">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_Toc24305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二、标准图集清单</w:t>
      </w:r>
      <w:r>
        <w:rPr>
          <w:color w:val="auto"/>
          <w:highlight w:val="none"/>
        </w:rPr>
        <w:tab/>
      </w:r>
      <w:r>
        <w:rPr>
          <w:color w:val="auto"/>
          <w:highlight w:val="none"/>
        </w:rPr>
        <w:fldChar w:fldCharType="begin"/>
      </w:r>
      <w:r>
        <w:rPr>
          <w:color w:val="auto"/>
          <w:highlight w:val="none"/>
        </w:rPr>
        <w:instrText xml:space="preserve"> PAGEREF _Toc24305 \h </w:instrText>
      </w:r>
      <w:r>
        <w:rPr>
          <w:color w:val="auto"/>
          <w:highlight w:val="none"/>
        </w:rPr>
        <w:fldChar w:fldCharType="separate"/>
      </w:r>
      <w:r>
        <w:rPr>
          <w:color w:val="auto"/>
          <w:highlight w:val="none"/>
        </w:rPr>
        <w:t>14</w:t>
      </w:r>
      <w:r>
        <w:rPr>
          <w:rFonts w:hint="eastAsia"/>
          <w:color w:val="auto"/>
          <w:highlight w:val="none"/>
          <w:lang w:val="en-US" w:eastAsia="zh-CN"/>
        </w:rPr>
        <w:t>0</w:t>
      </w:r>
      <w:r>
        <w:rPr>
          <w:color w:val="auto"/>
          <w:highlight w:val="none"/>
        </w:rPr>
        <w:fldChar w:fldCharType="end"/>
      </w:r>
      <w:r>
        <w:rPr>
          <w:rFonts w:hint="eastAsia" w:ascii="宋体" w:hAnsi="宋体" w:eastAsia="宋体" w:cs="宋体"/>
          <w:color w:val="auto"/>
          <w:szCs w:val="24"/>
          <w:highlight w:val="none"/>
        </w:rPr>
        <w:fldChar w:fldCharType="end"/>
      </w:r>
    </w:p>
    <w:p w14:paraId="25B49D3C">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_Toc28685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第八章  工程量清单</w:t>
      </w:r>
      <w:r>
        <w:rPr>
          <w:color w:val="auto"/>
          <w:highlight w:val="none"/>
        </w:rPr>
        <w:tab/>
      </w:r>
      <w:r>
        <w:rPr>
          <w:color w:val="auto"/>
          <w:highlight w:val="none"/>
        </w:rPr>
        <w:fldChar w:fldCharType="begin"/>
      </w:r>
      <w:r>
        <w:rPr>
          <w:color w:val="auto"/>
          <w:highlight w:val="none"/>
        </w:rPr>
        <w:instrText xml:space="preserve"> PAGEREF _Toc28685 \h </w:instrText>
      </w:r>
      <w:r>
        <w:rPr>
          <w:color w:val="auto"/>
          <w:highlight w:val="none"/>
        </w:rPr>
        <w:fldChar w:fldCharType="separate"/>
      </w:r>
      <w:r>
        <w:rPr>
          <w:color w:val="auto"/>
          <w:highlight w:val="none"/>
        </w:rPr>
        <w:t>14</w:t>
      </w:r>
      <w:r>
        <w:rPr>
          <w:rFonts w:hint="eastAsia"/>
          <w:color w:val="auto"/>
          <w:highlight w:val="none"/>
          <w:lang w:val="en-US" w:eastAsia="zh-CN"/>
        </w:rPr>
        <w:t>1</w:t>
      </w:r>
      <w:r>
        <w:rPr>
          <w:color w:val="auto"/>
          <w:highlight w:val="none"/>
        </w:rPr>
        <w:fldChar w:fldCharType="end"/>
      </w:r>
      <w:r>
        <w:rPr>
          <w:rFonts w:hint="eastAsia" w:ascii="宋体" w:hAnsi="宋体" w:eastAsia="宋体" w:cs="宋体"/>
          <w:color w:val="auto"/>
          <w:szCs w:val="24"/>
          <w:highlight w:val="none"/>
        </w:rPr>
        <w:fldChar w:fldCharType="end"/>
      </w:r>
    </w:p>
    <w:p w14:paraId="5A9F7A19">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_Toc2822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一、工程量清单的说明及投标报价要求</w:t>
      </w:r>
      <w:r>
        <w:rPr>
          <w:color w:val="auto"/>
          <w:highlight w:val="none"/>
        </w:rPr>
        <w:tab/>
      </w:r>
      <w:r>
        <w:rPr>
          <w:color w:val="auto"/>
          <w:highlight w:val="none"/>
        </w:rPr>
        <w:fldChar w:fldCharType="begin"/>
      </w:r>
      <w:r>
        <w:rPr>
          <w:color w:val="auto"/>
          <w:highlight w:val="none"/>
        </w:rPr>
        <w:instrText xml:space="preserve"> PAGEREF _Toc2822 \h </w:instrText>
      </w:r>
      <w:r>
        <w:rPr>
          <w:color w:val="auto"/>
          <w:highlight w:val="none"/>
        </w:rPr>
        <w:fldChar w:fldCharType="separate"/>
      </w:r>
      <w:r>
        <w:rPr>
          <w:color w:val="auto"/>
          <w:highlight w:val="none"/>
        </w:rPr>
        <w:t>14</w:t>
      </w:r>
      <w:r>
        <w:rPr>
          <w:rFonts w:hint="eastAsia"/>
          <w:color w:val="auto"/>
          <w:highlight w:val="none"/>
          <w:lang w:val="en-US" w:eastAsia="zh-CN"/>
        </w:rPr>
        <w:t>1</w:t>
      </w:r>
      <w:r>
        <w:rPr>
          <w:color w:val="auto"/>
          <w:highlight w:val="none"/>
        </w:rPr>
        <w:fldChar w:fldCharType="end"/>
      </w:r>
      <w:r>
        <w:rPr>
          <w:rFonts w:hint="eastAsia" w:ascii="宋体" w:hAnsi="宋体" w:eastAsia="宋体" w:cs="宋体"/>
          <w:color w:val="auto"/>
          <w:szCs w:val="24"/>
          <w:highlight w:val="none"/>
        </w:rPr>
        <w:fldChar w:fldCharType="end"/>
      </w:r>
    </w:p>
    <w:p w14:paraId="4AD0DFE4">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_Toc11872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二、工程量清单格式</w:t>
      </w:r>
      <w:r>
        <w:rPr>
          <w:color w:val="auto"/>
          <w:highlight w:val="none"/>
        </w:rPr>
        <w:tab/>
      </w:r>
      <w:r>
        <w:rPr>
          <w:color w:val="auto"/>
          <w:highlight w:val="none"/>
        </w:rPr>
        <w:fldChar w:fldCharType="begin"/>
      </w:r>
      <w:r>
        <w:rPr>
          <w:color w:val="auto"/>
          <w:highlight w:val="none"/>
        </w:rPr>
        <w:instrText xml:space="preserve"> PAGEREF _Toc11872 \h </w:instrText>
      </w:r>
      <w:r>
        <w:rPr>
          <w:color w:val="auto"/>
          <w:highlight w:val="none"/>
        </w:rPr>
        <w:fldChar w:fldCharType="separate"/>
      </w:r>
      <w:r>
        <w:rPr>
          <w:color w:val="auto"/>
          <w:highlight w:val="none"/>
        </w:rPr>
        <w:t>14</w:t>
      </w:r>
      <w:r>
        <w:rPr>
          <w:rFonts w:hint="eastAsia"/>
          <w:color w:val="auto"/>
          <w:highlight w:val="none"/>
          <w:lang w:val="en-US" w:eastAsia="zh-CN"/>
        </w:rPr>
        <w:t>4</w:t>
      </w:r>
      <w:r>
        <w:rPr>
          <w:color w:val="auto"/>
          <w:highlight w:val="none"/>
        </w:rPr>
        <w:fldChar w:fldCharType="end"/>
      </w:r>
      <w:r>
        <w:rPr>
          <w:rFonts w:hint="eastAsia" w:ascii="宋体" w:hAnsi="宋体" w:eastAsia="宋体" w:cs="宋体"/>
          <w:color w:val="auto"/>
          <w:szCs w:val="24"/>
          <w:highlight w:val="none"/>
        </w:rPr>
        <w:fldChar w:fldCharType="end"/>
      </w:r>
    </w:p>
    <w:p w14:paraId="1CB11EF2">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_Toc2544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第九章  投标文件格式</w:t>
      </w:r>
      <w:r>
        <w:rPr>
          <w:color w:val="auto"/>
          <w:highlight w:val="none"/>
        </w:rPr>
        <w:tab/>
      </w:r>
      <w:r>
        <w:rPr>
          <w:color w:val="auto"/>
          <w:highlight w:val="none"/>
        </w:rPr>
        <w:fldChar w:fldCharType="begin"/>
      </w:r>
      <w:r>
        <w:rPr>
          <w:color w:val="auto"/>
          <w:highlight w:val="none"/>
        </w:rPr>
        <w:instrText xml:space="preserve"> PAGEREF _Toc2544 \h </w:instrText>
      </w:r>
      <w:r>
        <w:rPr>
          <w:color w:val="auto"/>
          <w:highlight w:val="none"/>
        </w:rPr>
        <w:fldChar w:fldCharType="separate"/>
      </w:r>
      <w:r>
        <w:rPr>
          <w:color w:val="auto"/>
          <w:highlight w:val="none"/>
        </w:rPr>
        <w:t>17</w:t>
      </w:r>
      <w:r>
        <w:rPr>
          <w:rFonts w:hint="eastAsia"/>
          <w:color w:val="auto"/>
          <w:highlight w:val="none"/>
          <w:lang w:val="en-US" w:eastAsia="zh-CN"/>
        </w:rPr>
        <w:t>1</w:t>
      </w:r>
      <w:r>
        <w:rPr>
          <w:color w:val="auto"/>
          <w:highlight w:val="none"/>
        </w:rPr>
        <w:fldChar w:fldCharType="end"/>
      </w:r>
      <w:r>
        <w:rPr>
          <w:rFonts w:hint="eastAsia" w:ascii="宋体" w:hAnsi="宋体" w:eastAsia="宋体" w:cs="宋体"/>
          <w:color w:val="auto"/>
          <w:szCs w:val="24"/>
          <w:highlight w:val="none"/>
        </w:rPr>
        <w:fldChar w:fldCharType="end"/>
      </w:r>
    </w:p>
    <w:p w14:paraId="0E812DD9">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_Toc32533 </w:instrText>
      </w:r>
      <w:r>
        <w:rPr>
          <w:rFonts w:hint="eastAsia" w:ascii="宋体" w:hAnsi="宋体" w:eastAsia="宋体" w:cs="宋体"/>
          <w:color w:val="auto"/>
          <w:szCs w:val="24"/>
          <w:highlight w:val="none"/>
        </w:rPr>
        <w:fldChar w:fldCharType="separate"/>
      </w:r>
      <w:r>
        <w:rPr>
          <w:rFonts w:hint="eastAsia" w:ascii="宋体" w:hAnsi="宋体" w:eastAsia="宋体" w:cs="宋体"/>
          <w:color w:val="auto"/>
          <w:highlight w:val="none"/>
        </w:rPr>
        <w:t>投标文件内容：商务标部分</w:t>
      </w:r>
      <w:r>
        <w:rPr>
          <w:color w:val="auto"/>
          <w:highlight w:val="none"/>
        </w:rPr>
        <w:tab/>
      </w:r>
      <w:r>
        <w:rPr>
          <w:color w:val="auto"/>
          <w:highlight w:val="none"/>
        </w:rPr>
        <w:fldChar w:fldCharType="begin"/>
      </w:r>
      <w:r>
        <w:rPr>
          <w:color w:val="auto"/>
          <w:highlight w:val="none"/>
        </w:rPr>
        <w:instrText xml:space="preserve"> PAGEREF _Toc32533 \h </w:instrText>
      </w:r>
      <w:r>
        <w:rPr>
          <w:color w:val="auto"/>
          <w:highlight w:val="none"/>
        </w:rPr>
        <w:fldChar w:fldCharType="separate"/>
      </w:r>
      <w:r>
        <w:rPr>
          <w:color w:val="auto"/>
          <w:highlight w:val="none"/>
        </w:rPr>
        <w:t>17</w:t>
      </w:r>
      <w:r>
        <w:rPr>
          <w:rFonts w:hint="eastAsia"/>
          <w:color w:val="auto"/>
          <w:highlight w:val="none"/>
          <w:lang w:val="en-US" w:eastAsia="zh-CN"/>
        </w:rPr>
        <w:t>8</w:t>
      </w:r>
      <w:r>
        <w:rPr>
          <w:color w:val="auto"/>
          <w:highlight w:val="none"/>
        </w:rPr>
        <w:fldChar w:fldCharType="end"/>
      </w:r>
      <w:r>
        <w:rPr>
          <w:rFonts w:hint="eastAsia" w:ascii="宋体" w:hAnsi="宋体" w:eastAsia="宋体" w:cs="宋体"/>
          <w:color w:val="auto"/>
          <w:szCs w:val="24"/>
          <w:highlight w:val="none"/>
        </w:rPr>
        <w:fldChar w:fldCharType="end"/>
      </w:r>
    </w:p>
    <w:p w14:paraId="36F340CE">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_Toc15897 </w:instrText>
      </w:r>
      <w:r>
        <w:rPr>
          <w:rFonts w:hint="eastAsia" w:ascii="宋体" w:hAnsi="宋体" w:eastAsia="宋体" w:cs="宋体"/>
          <w:color w:val="auto"/>
          <w:szCs w:val="24"/>
          <w:highlight w:val="none"/>
        </w:rPr>
        <w:fldChar w:fldCharType="separate"/>
      </w:r>
      <w:r>
        <w:rPr>
          <w:rFonts w:hint="eastAsia" w:ascii="宋体" w:hAnsi="宋体" w:eastAsia="宋体" w:cs="宋体"/>
          <w:color w:val="auto"/>
          <w:highlight w:val="none"/>
        </w:rPr>
        <w:t>投标文件内容：技术标部分</w:t>
      </w:r>
      <w:r>
        <w:rPr>
          <w:color w:val="auto"/>
          <w:highlight w:val="none"/>
        </w:rPr>
        <w:tab/>
      </w:r>
      <w:r>
        <w:rPr>
          <w:color w:val="auto"/>
          <w:highlight w:val="none"/>
        </w:rPr>
        <w:fldChar w:fldCharType="begin"/>
      </w:r>
      <w:r>
        <w:rPr>
          <w:color w:val="auto"/>
          <w:highlight w:val="none"/>
        </w:rPr>
        <w:instrText xml:space="preserve"> PAGEREF _Toc15897 \h </w:instrText>
      </w:r>
      <w:r>
        <w:rPr>
          <w:color w:val="auto"/>
          <w:highlight w:val="none"/>
        </w:rPr>
        <w:fldChar w:fldCharType="separate"/>
      </w:r>
      <w:r>
        <w:rPr>
          <w:color w:val="auto"/>
          <w:highlight w:val="none"/>
        </w:rPr>
        <w:t>18</w:t>
      </w:r>
      <w:r>
        <w:rPr>
          <w:rFonts w:hint="eastAsia"/>
          <w:color w:val="auto"/>
          <w:highlight w:val="none"/>
          <w:lang w:val="en-US" w:eastAsia="zh-CN"/>
        </w:rPr>
        <w:t>7</w:t>
      </w:r>
      <w:r>
        <w:rPr>
          <w:color w:val="auto"/>
          <w:highlight w:val="none"/>
        </w:rPr>
        <w:fldChar w:fldCharType="end"/>
      </w:r>
      <w:r>
        <w:rPr>
          <w:rFonts w:hint="eastAsia" w:ascii="宋体" w:hAnsi="宋体" w:eastAsia="宋体" w:cs="宋体"/>
          <w:color w:val="auto"/>
          <w:szCs w:val="24"/>
          <w:highlight w:val="none"/>
        </w:rPr>
        <w:fldChar w:fldCharType="end"/>
      </w:r>
    </w:p>
    <w:p w14:paraId="0CCE4E43">
      <w:pPr>
        <w:pStyle w:val="33"/>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_Toc17383 </w:instrText>
      </w:r>
      <w:r>
        <w:rPr>
          <w:rFonts w:hint="eastAsia" w:ascii="宋体" w:hAnsi="宋体" w:eastAsia="宋体" w:cs="宋体"/>
          <w:color w:val="auto"/>
          <w:szCs w:val="24"/>
          <w:highlight w:val="none"/>
        </w:rPr>
        <w:fldChar w:fldCharType="separate"/>
      </w:r>
      <w:r>
        <w:rPr>
          <w:rFonts w:hint="eastAsia" w:ascii="宋体" w:hAnsi="宋体" w:eastAsia="宋体" w:cs="宋体"/>
          <w:color w:val="auto"/>
          <w:highlight w:val="none"/>
        </w:rPr>
        <w:t>投标文件内容：BIM标部分</w:t>
      </w:r>
      <w:r>
        <w:rPr>
          <w:color w:val="auto"/>
          <w:highlight w:val="none"/>
        </w:rPr>
        <w:tab/>
      </w:r>
      <w:r>
        <w:rPr>
          <w:color w:val="auto"/>
          <w:highlight w:val="none"/>
        </w:rPr>
        <w:fldChar w:fldCharType="begin"/>
      </w:r>
      <w:r>
        <w:rPr>
          <w:color w:val="auto"/>
          <w:highlight w:val="none"/>
        </w:rPr>
        <w:instrText xml:space="preserve"> PAGEREF _Toc17383 \h </w:instrText>
      </w:r>
      <w:r>
        <w:rPr>
          <w:color w:val="auto"/>
          <w:highlight w:val="none"/>
        </w:rPr>
        <w:fldChar w:fldCharType="separate"/>
      </w:r>
      <w:r>
        <w:rPr>
          <w:color w:val="auto"/>
          <w:highlight w:val="none"/>
        </w:rPr>
        <w:t>20</w:t>
      </w:r>
      <w:r>
        <w:rPr>
          <w:rFonts w:hint="eastAsia"/>
          <w:color w:val="auto"/>
          <w:highlight w:val="none"/>
          <w:lang w:val="en-US" w:eastAsia="zh-CN"/>
        </w:rPr>
        <w:t>0</w:t>
      </w:r>
      <w:r>
        <w:rPr>
          <w:color w:val="auto"/>
          <w:highlight w:val="none"/>
        </w:rPr>
        <w:fldChar w:fldCharType="end"/>
      </w:r>
      <w:r>
        <w:rPr>
          <w:rFonts w:hint="eastAsia" w:ascii="宋体" w:hAnsi="宋体" w:eastAsia="宋体" w:cs="宋体"/>
          <w:color w:val="auto"/>
          <w:szCs w:val="24"/>
          <w:highlight w:val="none"/>
        </w:rPr>
        <w:fldChar w:fldCharType="end"/>
      </w:r>
    </w:p>
    <w:p w14:paraId="7F2A11A8">
      <w:pPr>
        <w:pStyle w:val="27"/>
        <w:tabs>
          <w:tab w:val="right" w:leader="dot" w:pos="9073"/>
        </w:tabs>
        <w:rPr>
          <w:color w:val="auto"/>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color w:val="auto"/>
          <w:szCs w:val="24"/>
          <w:highlight w:val="none"/>
        </w:rPr>
        <w:instrText xml:space="preserve"> HYPERLINK \l _Toc20318 </w:instrText>
      </w:r>
      <w:r>
        <w:rPr>
          <w:rFonts w:hint="eastAsia" w:ascii="宋体" w:hAnsi="宋体" w:eastAsia="宋体" w:cs="宋体"/>
          <w:color w:val="auto"/>
          <w:szCs w:val="24"/>
          <w:highlight w:val="none"/>
        </w:rPr>
        <w:fldChar w:fldCharType="separate"/>
      </w:r>
      <w:r>
        <w:rPr>
          <w:rFonts w:hint="eastAsia" w:ascii="黑体" w:hAnsi="黑体" w:eastAsia="黑体" w:cs="黑体"/>
          <w:bCs/>
          <w:color w:val="auto"/>
          <w:szCs w:val="32"/>
          <w:highlight w:val="none"/>
        </w:rPr>
        <w:t>第十章  担保书格式</w:t>
      </w:r>
      <w:r>
        <w:rPr>
          <w:color w:val="auto"/>
          <w:highlight w:val="none"/>
        </w:rPr>
        <w:tab/>
      </w:r>
      <w:r>
        <w:rPr>
          <w:color w:val="auto"/>
          <w:highlight w:val="none"/>
        </w:rPr>
        <w:fldChar w:fldCharType="begin"/>
      </w:r>
      <w:r>
        <w:rPr>
          <w:color w:val="auto"/>
          <w:highlight w:val="none"/>
        </w:rPr>
        <w:instrText xml:space="preserve"> PAGEREF _Toc20318 \h </w:instrText>
      </w:r>
      <w:r>
        <w:rPr>
          <w:color w:val="auto"/>
          <w:highlight w:val="none"/>
        </w:rPr>
        <w:fldChar w:fldCharType="separate"/>
      </w:r>
      <w:r>
        <w:rPr>
          <w:color w:val="auto"/>
          <w:highlight w:val="none"/>
        </w:rPr>
        <w:t>20</w:t>
      </w:r>
      <w:r>
        <w:rPr>
          <w:rFonts w:hint="eastAsia"/>
          <w:color w:val="auto"/>
          <w:highlight w:val="none"/>
          <w:lang w:val="en-US" w:eastAsia="zh-CN"/>
        </w:rPr>
        <w:t>2</w:t>
      </w:r>
      <w:r>
        <w:rPr>
          <w:color w:val="auto"/>
          <w:highlight w:val="none"/>
        </w:rPr>
        <w:fldChar w:fldCharType="end"/>
      </w:r>
      <w:r>
        <w:rPr>
          <w:rFonts w:hint="eastAsia" w:ascii="宋体" w:hAnsi="宋体" w:eastAsia="宋体" w:cs="宋体"/>
          <w:color w:val="auto"/>
          <w:szCs w:val="24"/>
          <w:highlight w:val="none"/>
        </w:rPr>
        <w:fldChar w:fldCharType="end"/>
      </w:r>
      <w:bookmarkStart w:id="6502" w:name="_GoBack"/>
      <w:bookmarkEnd w:id="6502"/>
    </w:p>
    <w:p w14:paraId="3B8785C5">
      <w:pPr>
        <w:jc w:val="left"/>
        <w:rPr>
          <w:color w:val="auto"/>
          <w:highlight w:val="none"/>
        </w:rPr>
      </w:pPr>
      <w:r>
        <w:rPr>
          <w:rFonts w:hint="eastAsia" w:ascii="宋体" w:hAnsi="宋体" w:eastAsia="宋体" w:cs="宋体"/>
          <w:color w:val="auto"/>
          <w:szCs w:val="24"/>
          <w:highlight w:val="none"/>
        </w:rPr>
        <w:fldChar w:fldCharType="end"/>
      </w:r>
      <w:r>
        <w:rPr>
          <w:rFonts w:hint="eastAsia"/>
          <w:color w:val="auto"/>
          <w:highlight w:val="none"/>
        </w:rPr>
        <w:br w:type="page"/>
      </w:r>
    </w:p>
    <w:p w14:paraId="7A3314CA">
      <w:pPr>
        <w:adjustRightInd w:val="0"/>
        <w:snapToGrid w:val="0"/>
        <w:spacing w:line="360" w:lineRule="auto"/>
        <w:jc w:val="center"/>
        <w:outlineLvl w:val="0"/>
        <w:rPr>
          <w:rFonts w:ascii="黑体" w:hAnsi="黑体" w:eastAsia="黑体" w:cs="黑体"/>
          <w:bCs/>
          <w:color w:val="auto"/>
          <w:sz w:val="32"/>
          <w:szCs w:val="32"/>
          <w:highlight w:val="none"/>
        </w:rPr>
      </w:pPr>
      <w:bookmarkStart w:id="0" w:name="_Toc12134"/>
      <w:bookmarkStart w:id="1" w:name="_Toc16"/>
      <w:bookmarkStart w:id="2" w:name="_Toc21400"/>
      <w:bookmarkStart w:id="3" w:name="_Toc30186"/>
      <w:bookmarkStart w:id="4" w:name="_Toc4975"/>
      <w:bookmarkStart w:id="5" w:name="_Toc19718"/>
      <w:r>
        <w:rPr>
          <w:rFonts w:hint="eastAsia" w:ascii="黑体" w:hAnsi="黑体" w:eastAsia="黑体" w:cs="黑体"/>
          <w:bCs/>
          <w:color w:val="auto"/>
          <w:sz w:val="32"/>
          <w:szCs w:val="32"/>
          <w:highlight w:val="none"/>
        </w:rPr>
        <w:t>第一章  使用说明</w:t>
      </w:r>
      <w:bookmarkEnd w:id="0"/>
      <w:bookmarkEnd w:id="1"/>
      <w:bookmarkEnd w:id="2"/>
      <w:bookmarkEnd w:id="3"/>
      <w:bookmarkEnd w:id="4"/>
      <w:bookmarkEnd w:id="5"/>
    </w:p>
    <w:p w14:paraId="76B855AB">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为了规范工程施工招标投标活动，保障招标人和投标人的合法权益，根据国家及深圳市有关法律、法规、规章和规范性文件的规定，结合我市实际，遵循公开、公平、公正和诚实信用的原则，深圳市住房和建设局制定了《深圳市建设工程施工类招标文件示范文本》（以下简称“本范本”）。</w:t>
      </w:r>
    </w:p>
    <w:p w14:paraId="1A8EC791">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二、本范本适用于采用评定分离、资格后审、实行《建设工程工程量清单计价</w:t>
      </w:r>
      <w:r>
        <w:rPr>
          <w:rFonts w:hint="eastAsia" w:ascii="宋体" w:hAnsi="宋体" w:eastAsia="宋体" w:cs="宋体"/>
          <w:color w:val="auto"/>
          <w:szCs w:val="21"/>
          <w:highlight w:val="none"/>
          <w:lang w:eastAsia="zh-CN"/>
        </w:rPr>
        <w:t>标准</w:t>
      </w:r>
      <w:r>
        <w:rPr>
          <w:rFonts w:hint="eastAsia" w:ascii="宋体" w:hAnsi="宋体" w:eastAsia="宋体" w:cs="宋体"/>
          <w:color w:val="auto"/>
          <w:szCs w:val="21"/>
          <w:highlight w:val="none"/>
        </w:rPr>
        <w:t>》(GB</w:t>
      </w:r>
      <w:r>
        <w:rPr>
          <w:rFonts w:hint="eastAsia" w:ascii="宋体" w:hAnsi="宋体" w:eastAsia="宋体" w:cs="宋体"/>
          <w:color w:val="auto"/>
          <w:szCs w:val="21"/>
          <w:highlight w:val="none"/>
          <w:lang w:val="en-US" w:eastAsia="zh-CN"/>
        </w:rPr>
        <w:t xml:space="preserve">/T </w:t>
      </w:r>
      <w:r>
        <w:rPr>
          <w:rFonts w:hint="eastAsia" w:ascii="宋体" w:hAnsi="宋体" w:eastAsia="宋体" w:cs="宋体"/>
          <w:color w:val="auto"/>
          <w:szCs w:val="21"/>
          <w:highlight w:val="none"/>
        </w:rPr>
        <w:t>50500-20</w:t>
      </w:r>
      <w:r>
        <w:rPr>
          <w:rFonts w:hint="eastAsia" w:ascii="宋体" w:hAnsi="宋体" w:eastAsia="宋体" w:cs="宋体"/>
          <w:color w:val="auto"/>
          <w:szCs w:val="21"/>
          <w:highlight w:val="none"/>
          <w:lang w:eastAsia="zh-CN"/>
        </w:rPr>
        <w:t>2</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并采用计算机评标系统（含BIM评审）评标的施工招标工程。因采用总价包干、单位经济指标包干、设计施工总承包等方式招标而无法采用计算机评标系统评标的，招标人需对本范本进行修改后方可使用，但仍应使用电子标书</w:t>
      </w:r>
      <w:r>
        <w:rPr>
          <w:rFonts w:hint="eastAsia" w:ascii="宋体" w:hAnsi="宋体" w:eastAsia="宋体" w:cs="宋体"/>
          <w:color w:val="auto"/>
          <w:szCs w:val="21"/>
          <w:highlight w:val="none"/>
          <w:lang w:eastAsia="zh-CN"/>
        </w:rPr>
        <w:t>编制工具</w:t>
      </w:r>
      <w:r>
        <w:rPr>
          <w:rFonts w:hint="eastAsia" w:ascii="宋体" w:hAnsi="宋体" w:eastAsia="宋体" w:cs="宋体"/>
          <w:color w:val="auto"/>
          <w:szCs w:val="21"/>
          <w:highlight w:val="none"/>
        </w:rPr>
        <w:t>进行招标文件的编制。</w:t>
      </w:r>
    </w:p>
    <w:p w14:paraId="3F9EDC5D">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三、本施工招标文件示范文本的主要编写依据：</w:t>
      </w:r>
    </w:p>
    <w:p w14:paraId="3E17249A">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1．《中华人民共和国建筑法》；</w:t>
      </w:r>
    </w:p>
    <w:p w14:paraId="427DE31D">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2．《中华人民共和国招标投标法》；</w:t>
      </w:r>
    </w:p>
    <w:p w14:paraId="57A697E6">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3．《中华人民共和国民法典》；</w:t>
      </w:r>
    </w:p>
    <w:p w14:paraId="209E6389">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 《电子招标投标办法》；</w:t>
      </w:r>
    </w:p>
    <w:p w14:paraId="3F991F55">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5．《保障农民工工资支付条例》；</w:t>
      </w:r>
    </w:p>
    <w:p w14:paraId="28FEAA29">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 《关于创新完善体制机制推动招标投标市场规范健康发展的意见》(国办发〔2024〕21号）；</w:t>
      </w:r>
    </w:p>
    <w:p w14:paraId="2E8DE1EA">
      <w:pPr>
        <w:adjustRightInd w:val="0"/>
        <w:snapToGrid w:val="0"/>
        <w:spacing w:line="440" w:lineRule="exact"/>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 《招标人主体责任履行指引》（发改法规〔2025〕1358号）；</w:t>
      </w:r>
    </w:p>
    <w:p w14:paraId="66F05527">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．《建设工程工程量清单计价</w:t>
      </w:r>
      <w:r>
        <w:rPr>
          <w:rFonts w:hint="eastAsia" w:ascii="宋体" w:hAnsi="宋体" w:eastAsia="宋体" w:cs="宋体"/>
          <w:color w:val="auto"/>
          <w:szCs w:val="21"/>
          <w:highlight w:val="none"/>
          <w:lang w:eastAsia="zh-CN"/>
        </w:rPr>
        <w:t>标准</w:t>
      </w:r>
      <w:r>
        <w:rPr>
          <w:rFonts w:hint="eastAsia" w:ascii="宋体" w:hAnsi="宋体" w:eastAsia="宋体" w:cs="宋体"/>
          <w:color w:val="auto"/>
          <w:szCs w:val="21"/>
          <w:highlight w:val="none"/>
        </w:rPr>
        <w:t>》(GB</w:t>
      </w:r>
      <w:r>
        <w:rPr>
          <w:rFonts w:hint="eastAsia" w:ascii="宋体" w:hAnsi="宋体" w:eastAsia="宋体" w:cs="宋体"/>
          <w:color w:val="auto"/>
          <w:szCs w:val="21"/>
          <w:highlight w:val="none"/>
          <w:lang w:val="en-US" w:eastAsia="zh-CN"/>
        </w:rPr>
        <w:t xml:space="preserve">/T </w:t>
      </w:r>
      <w:r>
        <w:rPr>
          <w:rFonts w:hint="eastAsia" w:ascii="宋体" w:hAnsi="宋体" w:eastAsia="宋体" w:cs="宋体"/>
          <w:color w:val="auto"/>
          <w:szCs w:val="21"/>
          <w:highlight w:val="none"/>
        </w:rPr>
        <w:t>50500-20</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rPr>
        <w:t>)；</w:t>
      </w:r>
    </w:p>
    <w:p w14:paraId="4CEF03AC">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．《深圳经济特区建设工程施工招标投标条例》；</w:t>
      </w:r>
    </w:p>
    <w:p w14:paraId="71F1FF37">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．《关于建设工程招标投标改革的若干规定》(深府〔2015〕73号)；</w:t>
      </w:r>
    </w:p>
    <w:p w14:paraId="7F38BAF8">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《关于进一步规范建设工程招标投标活动的通知》</w:t>
      </w:r>
      <w:r>
        <w:rPr>
          <w:rFonts w:hint="eastAsia" w:ascii="宋体" w:hAnsi="宋体" w:eastAsia="宋体" w:cs="宋体"/>
          <w:color w:val="auto"/>
          <w:szCs w:val="21"/>
          <w:highlight w:val="none"/>
        </w:rPr>
        <w:t>(深府</w:t>
      </w:r>
      <w:r>
        <w:rPr>
          <w:rFonts w:hint="eastAsia" w:ascii="宋体" w:hAnsi="宋体" w:eastAsia="宋体" w:cs="宋体"/>
          <w:color w:val="auto"/>
          <w:szCs w:val="21"/>
          <w:highlight w:val="none"/>
          <w:lang w:val="en-US" w:eastAsia="zh-CN"/>
        </w:rPr>
        <w:t>规</w:t>
      </w: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号)</w:t>
      </w:r>
      <w:r>
        <w:rPr>
          <w:rFonts w:hint="eastAsia" w:ascii="宋体" w:hAnsi="宋体" w:eastAsia="宋体" w:cs="宋体"/>
          <w:color w:val="auto"/>
          <w:szCs w:val="21"/>
          <w:highlight w:val="none"/>
          <w:lang w:eastAsia="zh-CN"/>
        </w:rPr>
        <w:t>；</w:t>
      </w:r>
    </w:p>
    <w:p w14:paraId="4A89F2E4">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．《深圳市建筑废弃物管理办法》（市政府令第330号）；</w:t>
      </w:r>
    </w:p>
    <w:p w14:paraId="391B42D9">
      <w:pPr>
        <w:adjustRightInd w:val="0"/>
        <w:snapToGrid w:val="0"/>
        <w:spacing w:line="38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《工程信息模型应用统一标准》（GB/T51212-2016）；</w:t>
      </w:r>
    </w:p>
    <w:p w14:paraId="151211BA">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《建筑信息模型设计交付标准》（GB/T51301-2018）</w:t>
      </w:r>
      <w:r>
        <w:rPr>
          <w:rFonts w:hint="eastAsia" w:ascii="宋体" w:hAnsi="宋体" w:eastAsia="宋体" w:cs="宋体"/>
          <w:color w:val="auto"/>
          <w:szCs w:val="21"/>
          <w:highlight w:val="none"/>
        </w:rPr>
        <w:t>；</w:t>
      </w:r>
    </w:p>
    <w:p w14:paraId="64F61871">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．其他有关工程建设的法律、法规、规章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14:paraId="7564A3B1">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四、本工程招标投标活动在</w:t>
      </w:r>
      <w:bookmarkStart w:id="6" w:name="市局4"/>
      <w:r>
        <w:rPr>
          <w:rFonts w:hint="eastAsia" w:ascii="宋体" w:hAnsi="宋体" w:eastAsia="宋体" w:cs="宋体"/>
          <w:b w:val="0"/>
          <w:bCs w:val="0"/>
          <w:i w:val="0"/>
          <w:iCs w:val="0"/>
          <w:color w:val="auto"/>
          <w:spacing w:val="0"/>
          <w:w w:val="100"/>
          <w:sz w:val="21"/>
          <w:szCs w:val="21"/>
          <w:highlight w:val="none"/>
          <w:vertAlign w:val="baseline"/>
        </w:rPr>
        <w:t>深圳交易集团有限公司（深圳公共资源交易中心）</w:t>
      </w:r>
      <w:bookmarkEnd w:id="6"/>
      <w:r>
        <w:rPr>
          <w:rFonts w:hint="eastAsia" w:ascii="宋体" w:hAnsi="宋体" w:eastAsia="宋体" w:cs="宋体"/>
          <w:color w:val="auto"/>
          <w:szCs w:val="21"/>
          <w:highlight w:val="none"/>
        </w:rPr>
        <w:t>进行。</w:t>
      </w:r>
    </w:p>
    <w:p w14:paraId="300F69D5">
      <w:pPr>
        <w:wordWrap w:val="0"/>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五、本招标文件所指交易网为：深圳公共资源交易网（http://www.szggzy.com/）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14:paraId="53C06128">
      <w:pPr>
        <w:wordWrap w:val="0"/>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六、招标人和投标人应事先办理企业的数字证书或电子营业执照，同时应事先办理相关人员的数字证书（</w:t>
      </w:r>
      <w:r>
        <w:rPr>
          <w:rFonts w:hint="eastAsia" w:ascii="宋体" w:hAnsi="宋体" w:eastAsia="宋体" w:cs="宋体"/>
          <w:color w:val="auto"/>
          <w:szCs w:val="21"/>
          <w:highlight w:val="none"/>
          <w:lang w:val="en-US" w:eastAsia="zh-CN"/>
        </w:rPr>
        <w:t>投标人委托</w:t>
      </w:r>
      <w:r>
        <w:rPr>
          <w:rFonts w:hint="eastAsia" w:ascii="宋体" w:hAnsi="宋体" w:eastAsia="宋体" w:cs="宋体"/>
          <w:color w:val="auto"/>
          <w:szCs w:val="21"/>
          <w:highlight w:val="none"/>
        </w:rPr>
        <w:t>工程造价咨询企业</w:t>
      </w:r>
      <w:r>
        <w:rPr>
          <w:rFonts w:hint="eastAsia" w:ascii="宋体" w:hAnsi="宋体" w:eastAsia="宋体" w:cs="宋体"/>
          <w:color w:val="auto"/>
          <w:szCs w:val="21"/>
          <w:highlight w:val="none"/>
          <w:lang w:val="en-US" w:eastAsia="zh-CN"/>
        </w:rPr>
        <w:t>编制商务标书的，需上传委托协议，且</w:t>
      </w:r>
      <w:r>
        <w:rPr>
          <w:rFonts w:hint="eastAsia" w:ascii="宋体" w:hAnsi="宋体" w:eastAsia="宋体" w:cs="宋体"/>
          <w:color w:val="auto"/>
          <w:szCs w:val="21"/>
          <w:highlight w:val="none"/>
        </w:rPr>
        <w:t>工程造价咨询企业</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造价工程师也应办理数字证书）。有关手续请查看交易网中的“</w:t>
      </w:r>
      <w:r>
        <w:rPr>
          <w:rFonts w:hint="eastAsia" w:ascii="宋体" w:hAnsi="宋体" w:eastAsia="宋体" w:cs="宋体"/>
          <w:color w:val="auto"/>
          <w:szCs w:val="21"/>
          <w:highlight w:val="none"/>
          <w:lang w:val="en-US" w:eastAsia="zh-CN"/>
        </w:rPr>
        <w:t>建设工程</w:t>
      </w:r>
      <w:r>
        <w:rPr>
          <w:rFonts w:hint="eastAsia" w:ascii="宋体" w:hAnsi="宋体" w:eastAsia="宋体" w:cs="宋体"/>
          <w:color w:val="auto"/>
          <w:szCs w:val="21"/>
          <w:highlight w:val="none"/>
        </w:rPr>
        <w:t>数字证书办事指南”。使用电子营业执照的，须提前在国家市场监督管理总局“电子营业执照”微信小程序电子营业执照应用程序中下载本企业电子营业执照，</w:t>
      </w:r>
      <w:r>
        <w:rPr>
          <w:rFonts w:hint="eastAsia" w:ascii="宋体" w:hAnsi="宋体" w:eastAsia="宋体" w:cs="宋体"/>
          <w:b w:val="0"/>
          <w:bCs w:val="0"/>
          <w:i w:val="0"/>
          <w:iCs w:val="0"/>
          <w:color w:val="auto"/>
          <w:spacing w:val="0"/>
          <w:w w:val="100"/>
          <w:sz w:val="21"/>
          <w:szCs w:val="21"/>
          <w:highlight w:val="none"/>
          <w:vertAlign w:val="baseline"/>
        </w:rPr>
        <w:t>有关手续请查看交易网“电子营业执照用户使用手册”。</w:t>
      </w:r>
    </w:p>
    <w:p w14:paraId="4744CCEF">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七、电子招标文件通过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14:paraId="2C20A126">
      <w:pPr>
        <w:keepNext w:val="0"/>
        <w:keepLines w:val="0"/>
        <w:pageBreakBefore w:val="0"/>
        <w:widowControl w:val="0"/>
        <w:kinsoku/>
        <w:wordWrap w:val="0"/>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gov.sn/)和中国招标投标公共服务平台(网址:http://www.cebpubservice.com/)发布。</w:t>
      </w:r>
    </w:p>
    <w:p w14:paraId="7A8927D4">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八、有关招标问题的说明</w:t>
      </w:r>
    </w:p>
    <w:p w14:paraId="331ADD21">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招标文件中的所有空格招标人必须按实填写，无内容或不采用应填写“无”。对本招标文件（含合同）示范文本进行补充、删除或修改的内容，应统一写入本招标文件的第三章。同时，应明确注明是对招标文件示范文本具体章节条款进行补充或修改。第三章内容与其他部分有冲突时，以第三章内容为准，但与相关法律、法规、政策相冲突的除外。</w:t>
      </w:r>
    </w:p>
    <w:p w14:paraId="436DA30A">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2．招标文件的建设规模应描述整个建设项目的规模情况和使用功能。</w:t>
      </w:r>
    </w:p>
    <w:p w14:paraId="0F23160F">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3．招标文件的招标范围，应详细说明本次招标工程的具体项目、结构类型等定量规模和项目特征。</w:t>
      </w:r>
    </w:p>
    <w:p w14:paraId="146C2E24">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4．采用本范本以外的评标方法应经建设、交通行政主管部门批准，并且必须在招标文件的评标方法中进行详细描述。</w:t>
      </w:r>
    </w:p>
    <w:p w14:paraId="04E2A692">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5.采用本范本以外的定标方法应经建设、交通行政主管部门批准，并且必须在招标文件中进行详细描述。</w:t>
      </w:r>
    </w:p>
    <w:p w14:paraId="4EB4D63E">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6.招标人注意事项：</w:t>
      </w:r>
    </w:p>
    <w:p w14:paraId="4C679AB3">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6.1招标人提交的电子招标文件格式为*SGZB（简称“SGZB文件”），招标工程量清单电子文件格式为*.</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（简称“SGZQD文件”），送审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电子文件格式为*.SGKZJ（简称“</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文件”），且必须是</w:t>
      </w:r>
      <w:r>
        <w:rPr>
          <w:rFonts w:hint="eastAsia" w:ascii="宋体" w:hAnsi="宋体" w:eastAsia="宋体" w:cs="宋体"/>
          <w:color w:val="auto"/>
          <w:szCs w:val="21"/>
          <w:highlight w:val="none"/>
          <w:lang w:val="en-US" w:eastAsia="zh-CN"/>
        </w:rPr>
        <w:t>交易平台编制生成</w:t>
      </w:r>
      <w:r>
        <w:rPr>
          <w:rFonts w:hint="eastAsia" w:ascii="宋体" w:hAnsi="宋体" w:eastAsia="宋体" w:cs="宋体"/>
          <w:color w:val="auto"/>
          <w:szCs w:val="21"/>
          <w:highlight w:val="none"/>
        </w:rPr>
        <w:t>的。</w:t>
      </w:r>
    </w:p>
    <w:p w14:paraId="142F5CA8">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6.2电子招标文件备案时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如果需要投标人提交SWT格式的投标清单，还必须在提交招标文件（“</w:t>
      </w:r>
      <w:r>
        <w:rPr>
          <w:rFonts w:hint="eastAsia" w:ascii="宋体" w:hAnsi="宋体" w:eastAsia="宋体" w:cs="宋体"/>
          <w:color w:val="auto"/>
          <w:highlight w:val="none"/>
        </w:rPr>
        <w:t>SGZB</w:t>
      </w:r>
      <w:r>
        <w:rPr>
          <w:rFonts w:hint="eastAsia" w:ascii="宋体" w:hAnsi="宋体" w:eastAsia="宋体" w:cs="宋体"/>
          <w:color w:val="auto"/>
          <w:szCs w:val="21"/>
          <w:highlight w:val="none"/>
        </w:rPr>
        <w:t>文件”）备案的同时提交招标工程量清单电子文件（“</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文件”）。</w:t>
      </w:r>
    </w:p>
    <w:p w14:paraId="37EB1C51">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6.3 有关招标工程量清单的任何变更或者补遗，都需要重新生成完整的“</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文件”，招标文件有关评标方法、评审项目等重要评审内容变更或者补遗，都需要重新生成完整的“</w:t>
      </w:r>
      <w:r>
        <w:rPr>
          <w:rFonts w:hint="eastAsia" w:ascii="宋体" w:hAnsi="宋体" w:eastAsia="宋体" w:cs="宋体"/>
          <w:color w:val="auto"/>
          <w:highlight w:val="none"/>
        </w:rPr>
        <w:t>SGZB</w:t>
      </w:r>
      <w:r>
        <w:rPr>
          <w:rFonts w:hint="eastAsia" w:ascii="宋体" w:hAnsi="宋体" w:eastAsia="宋体" w:cs="宋体"/>
          <w:color w:val="auto"/>
          <w:szCs w:val="21"/>
          <w:highlight w:val="none"/>
        </w:rPr>
        <w:t>文件”，并重新备案，不得以其他文件格式（比如Word、Excel等）进行变更或者补遗。招标人应及时将变更后的“</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文件”和“</w:t>
      </w:r>
      <w:r>
        <w:rPr>
          <w:rFonts w:hint="eastAsia" w:ascii="宋体" w:hAnsi="宋体" w:eastAsia="宋体" w:cs="宋体"/>
          <w:color w:val="auto"/>
          <w:highlight w:val="none"/>
        </w:rPr>
        <w:t>SGZB</w:t>
      </w:r>
      <w:r>
        <w:rPr>
          <w:rFonts w:hint="eastAsia" w:ascii="宋体" w:hAnsi="宋体" w:eastAsia="宋体" w:cs="宋体"/>
          <w:color w:val="auto"/>
          <w:szCs w:val="21"/>
          <w:highlight w:val="none"/>
        </w:rPr>
        <w:t>文件”在“招标文件”模块与原文件进行替换。</w:t>
      </w:r>
    </w:p>
    <w:p w14:paraId="095A9D56">
      <w:pPr>
        <w:tabs>
          <w:tab w:val="left" w:pos="7140"/>
        </w:tabs>
        <w:adjustRightInd w:val="0"/>
        <w:snapToGrid w:val="0"/>
        <w:spacing w:line="38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6.4 根据《深圳市人民政府办公厅关于印发加快推进建筑信息模型（BIM）技术应用的实施意见（试行）的通知》（深府办函〔2021〕103号）的规定，2022年1月1日起，新建（立项、核准备案）市区政府投资和国有资金投资建设项目、市区重大项目、重点片区工程项目全面实施BIM技术应用，上述项目于2022年6月1日起，在办理规划许可、施工许可、竣工验收各审批报建环节提交BIM模型，市区政府投资和国有资金投资建设项目在招投标环节采用BIM电子招投标系统。招标人应严格落实上述要求，并在招标策划时明确BIM技术应用阶段、内容、费用和成果文件等内容。</w:t>
      </w:r>
    </w:p>
    <w:p w14:paraId="21B06688">
      <w:pPr>
        <w:adjustRightInd w:val="0"/>
        <w:snapToGrid w:val="0"/>
        <w:spacing w:line="38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6.5 招标人应在招标文件中明确实施BIM的具体要求（如BIM应用范围、内容、深度、成果文件格式等），并提供设计阶段BIM成果文件（如有），同时充分考虑投标人编制BIM标书的时间。</w:t>
      </w:r>
    </w:p>
    <w:p w14:paraId="5354C210">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6.6 </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公布在交易网的交易</w:t>
      </w:r>
      <w:r>
        <w:rPr>
          <w:rFonts w:hint="eastAsia" w:ascii="宋体" w:hAnsi="宋体" w:eastAsia="宋体" w:cs="宋体"/>
          <w:color w:val="auto"/>
          <w:szCs w:val="21"/>
          <w:highlight w:val="none"/>
          <w:lang w:val="en-US" w:eastAsia="zh-CN"/>
        </w:rPr>
        <w:t>公告</w:t>
      </w:r>
      <w:r>
        <w:rPr>
          <w:rFonts w:hint="eastAsia" w:ascii="宋体" w:hAnsi="宋体" w:eastAsia="宋体" w:cs="宋体"/>
          <w:color w:val="auto"/>
          <w:szCs w:val="21"/>
          <w:highlight w:val="none"/>
        </w:rPr>
        <w:t>-建设工程-</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公示模块，“附件信息”所挂文件均为参考文件，如果“附件信息”所挂文件中有关数据与“</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公示”模块公示数据不一致的，以“</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公示”模块公示数据为准。如招标人需更改“</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公示”模块公示数据，则按照重新公示方式进行办理，并确保公示时间符合要求。</w:t>
      </w:r>
    </w:p>
    <w:p w14:paraId="167E3574">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“附件信息”所挂文件需包含</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公示表（PDF格式）及送审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电子文件（“</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文件”），公示的送审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电子文件（“</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文件”）可以是</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格式，也可以是JPG、Word、Excel等其他格式，由招标人自行选择。</w:t>
      </w:r>
    </w:p>
    <w:p w14:paraId="440ECCF5">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6.7</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格式的送审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电子文件用于商务标评审，分部分项工程量清单综合单价应当按照工程量清单的项目特征提供其组价过程中的各项数据，如：材料费及其组成。</w:t>
      </w:r>
    </w:p>
    <w:p w14:paraId="0742C743">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SGKZJ</w:t>
      </w:r>
      <w:r>
        <w:rPr>
          <w:rFonts w:hint="eastAsia" w:ascii="宋体" w:hAnsi="宋体" w:eastAsia="宋体" w:cs="宋体"/>
          <w:color w:val="auto"/>
          <w:szCs w:val="21"/>
          <w:highlight w:val="none"/>
        </w:rPr>
        <w:t>文件由招标人在</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公示或商务标开标时自行导入开标系统，评标结束后，</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格式的送审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电子文件与评标报告一同公示。</w:t>
      </w:r>
    </w:p>
    <w:p w14:paraId="38F839B8">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格式的送审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电子文件中的工程量清单必须与招标工程量清单电子文件（“</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文件”）中的工程量清单保持一致，且必须与交易网“</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公示”模块中公示的数据一致，否则招标人需以“</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文件”中的工程量清单或交易网“</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公示”模块中公示的数据为依据重新编制*.</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格式的送审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电子文件。</w:t>
      </w:r>
    </w:p>
    <w:p w14:paraId="3615BEEC">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用于商务标评审的送审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电子文件（</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格式）原则上应与</w:t>
      </w:r>
      <w:r>
        <w:rPr>
          <w:rFonts w:hint="eastAsia" w:ascii="宋体" w:hAnsi="宋体" w:eastAsia="宋体" w:cs="宋体"/>
          <w:color w:val="auto"/>
          <w:szCs w:val="21"/>
          <w:highlight w:val="none"/>
          <w:lang w:val="en-US" w:eastAsia="zh-CN"/>
        </w:rPr>
        <w:t>最高投标限价</w:t>
      </w:r>
      <w:r>
        <w:rPr>
          <w:rFonts w:hint="eastAsia" w:ascii="宋体" w:hAnsi="宋体" w:eastAsia="宋体" w:cs="宋体"/>
          <w:color w:val="auto"/>
          <w:szCs w:val="21"/>
          <w:highlight w:val="none"/>
        </w:rPr>
        <w:t>公示时所挂送审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电子文件（</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、JPG、Word、Excel等格式）一致，如有不同，则应说明理由并在评标结束后与</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格式的送审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电子文件一同公示。</w:t>
      </w:r>
    </w:p>
    <w:p w14:paraId="63B1EB15">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九、有关投标问题的说明</w:t>
      </w:r>
    </w:p>
    <w:p w14:paraId="2C386225">
      <w:pPr>
        <w:adjustRightInd w:val="0"/>
        <w:snapToGrid w:val="0"/>
        <w:spacing w:line="38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1.参加投标的单位（包含联合体投标的各成员）</w:t>
      </w:r>
      <w:r>
        <w:rPr>
          <w:rFonts w:hint="eastAsia" w:ascii="宋体" w:hAnsi="宋体" w:eastAsia="宋体" w:cs="宋体"/>
          <w:color w:val="auto"/>
          <w:kern w:val="0"/>
          <w:szCs w:val="21"/>
          <w:highlight w:val="none"/>
        </w:rPr>
        <w:t>须办理企业信息登记。勘察、设计、施工、监理、造价、检测等企业须在深圳市住房和建设局“企业与人员信息诚信申报平台”办理信息登记，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14:paraId="2E11EB53">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2.投标人获取招标文件后，应仔细阅读招标文件及附件的全部内容，附件与招标文件具有同等效力。</w:t>
      </w:r>
    </w:p>
    <w:p w14:paraId="0A314126">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3.投标人应在投标截止时间前，登录</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szCs w:val="21"/>
          <w:highlight w:val="none"/>
        </w:rPr>
        <w:t>免费查阅或下载招标文件、答疑及招标文件补充通知。</w:t>
      </w:r>
    </w:p>
    <w:p w14:paraId="120ABFFA">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4.投标人对招标文件有不同意见或不明之处，应在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向招标人提出。</w:t>
      </w:r>
    </w:p>
    <w:p w14:paraId="555E2EEA">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5.投标人应在遵循招标文件的各项规定和要求的前提下，编制投标文件。投标文件必须满足招标文件中的实质性要求和条件。投标文件若出现否决性条款的情形其投标将会被否决。</w:t>
      </w:r>
    </w:p>
    <w:p w14:paraId="012BE5D4">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6.投标人应严格按招标文件要求，在截标前使用投标人（或联合体主体）企业机构数字证书或电子营业执照，通过</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递交电子投标文件，上传成功后打印回执；为防止网络阻塞，建议预留充足时间上传投标文件。</w:t>
      </w:r>
      <w:r>
        <w:rPr>
          <w:rFonts w:hint="eastAsia" w:ascii="宋体" w:hAnsi="宋体" w:eastAsia="宋体" w:cs="宋体"/>
          <w:color w:val="auto"/>
          <w:kern w:val="0"/>
          <w:szCs w:val="21"/>
          <w:highlight w:val="none"/>
        </w:rPr>
        <w:t>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14:paraId="61D312FC">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szCs w:val="21"/>
          <w:highlight w:val="none"/>
        </w:rPr>
        <w:t>是投标人获取建设工程电子招标文件和电子送审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文件的唯一合法渠道。投标人需随时关注交易网</w:t>
      </w:r>
      <w:r>
        <w:rPr>
          <w:rFonts w:hint="eastAsia" w:ascii="宋体" w:hAnsi="宋体" w:eastAsia="宋体" w:cs="宋体"/>
          <w:color w:val="auto"/>
          <w:szCs w:val="21"/>
          <w:highlight w:val="none"/>
          <w:lang w:val="en-US" w:eastAsia="zh-CN"/>
        </w:rPr>
        <w:t>或交易平台</w:t>
      </w:r>
      <w:r>
        <w:rPr>
          <w:rFonts w:hint="eastAsia" w:ascii="宋体" w:hAnsi="宋体" w:eastAsia="宋体" w:cs="宋体"/>
          <w:color w:val="auto"/>
          <w:szCs w:val="21"/>
          <w:highlight w:val="none"/>
        </w:rPr>
        <w:t>，确认所投标的项目招标文件（</w:t>
      </w:r>
      <w:r>
        <w:rPr>
          <w:rFonts w:hint="eastAsia" w:ascii="宋体" w:hAnsi="宋体" w:eastAsia="宋体" w:cs="宋体"/>
          <w:color w:val="auto"/>
          <w:highlight w:val="none"/>
        </w:rPr>
        <w:t>SGZQD</w:t>
      </w:r>
      <w:r>
        <w:rPr>
          <w:rFonts w:hint="eastAsia" w:ascii="宋体" w:hAnsi="宋体" w:eastAsia="宋体" w:cs="宋体"/>
          <w:color w:val="auto"/>
          <w:szCs w:val="21"/>
          <w:highlight w:val="none"/>
        </w:rPr>
        <w:t>、</w:t>
      </w:r>
      <w:r>
        <w:rPr>
          <w:rFonts w:hint="eastAsia" w:ascii="宋体" w:hAnsi="宋体" w:eastAsia="宋体" w:cs="宋体"/>
          <w:color w:val="auto"/>
          <w:highlight w:val="none"/>
        </w:rPr>
        <w:t>SGZB</w:t>
      </w:r>
      <w:r>
        <w:rPr>
          <w:rFonts w:hint="eastAsia" w:ascii="宋体" w:hAnsi="宋体" w:eastAsia="宋体" w:cs="宋体"/>
          <w:color w:val="auto"/>
          <w:szCs w:val="21"/>
          <w:highlight w:val="none"/>
        </w:rPr>
        <w:t>）和电子送审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文件（</w:t>
      </w:r>
      <w:r>
        <w:rPr>
          <w:rFonts w:hint="eastAsia" w:ascii="宋体" w:hAnsi="宋体" w:eastAsia="宋体" w:cs="宋体"/>
          <w:color w:val="auto"/>
          <w:highlight w:val="none"/>
        </w:rPr>
        <w:t>SGKZJ</w:t>
      </w:r>
      <w:r>
        <w:rPr>
          <w:rFonts w:hint="eastAsia" w:ascii="宋体" w:hAnsi="宋体" w:eastAsia="宋体" w:cs="宋体"/>
          <w:color w:val="auto"/>
          <w:szCs w:val="21"/>
          <w:highlight w:val="none"/>
        </w:rPr>
        <w:t>）是否更新。如果有更新，须下载最新的招标文件和电子送审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文件用于制作电子投标文件，否则后果由投标人自行承担。</w:t>
      </w:r>
    </w:p>
    <w:p w14:paraId="13325CFE">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8.投标人应当遵守深圳交易集团有限公司（深圳公共资源交易中心）的相关规定，违反规定导致的不利后果，由投标人自行承担。</w:t>
      </w:r>
    </w:p>
    <w:p w14:paraId="5BE179A9">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须对投标资料的真实性负责。招标人有权将投标文件的部分或全部内容向外公示，若公示期间收到有关弄虚作假投诉的，招标人将提请建设、交通行政主管部门查处。一旦查实将严格按照法律法规以及《施工投标承诺函》的有关承诺作出处理。</w:t>
      </w:r>
    </w:p>
    <w:p w14:paraId="52726980">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10.若投标人资质证书或安全生产许可证被暂扣或吊销，但仍参与投标的，招标人将取消其投标或中标资格、没收其投标保证金，建设、交通行政主管部门将按弄虚作假行为对其进行行政处罚。</w:t>
      </w:r>
    </w:p>
    <w:p w14:paraId="45863CC5">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11.投标人注意事项：</w:t>
      </w:r>
    </w:p>
    <w:p w14:paraId="709256FC">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w:t>
      </w:r>
      <w:r>
        <w:rPr>
          <w:rFonts w:hint="eastAsia" w:ascii="宋体" w:hAnsi="宋体" w:eastAsia="宋体" w:cs="宋体"/>
          <w:b w:val="0"/>
          <w:bCs w:val="0"/>
          <w:i w:val="0"/>
          <w:iCs w:val="0"/>
          <w:color w:val="auto"/>
          <w:spacing w:val="0"/>
          <w:w w:val="100"/>
          <w:sz w:val="21"/>
          <w:szCs w:val="21"/>
          <w:highlight w:val="none"/>
          <w:vertAlign w:val="baseline"/>
        </w:rPr>
        <w:t>电子文件编制工具</w:t>
      </w:r>
      <w:r>
        <w:rPr>
          <w:rFonts w:hint="eastAsia" w:ascii="宋体" w:hAnsi="宋体" w:eastAsia="宋体" w:cs="宋体"/>
          <w:color w:val="auto"/>
          <w:szCs w:val="21"/>
          <w:highlight w:val="none"/>
        </w:rPr>
        <w:t>》安装软件可在</w:t>
      </w:r>
      <w:r>
        <w:rPr>
          <w:rFonts w:hint="eastAsia" w:ascii="宋体" w:hAnsi="宋体" w:eastAsia="宋体" w:cs="宋体"/>
          <w:color w:val="auto"/>
          <w:szCs w:val="21"/>
          <w:highlight w:val="none"/>
          <w:lang w:eastAsia="zh-CN"/>
        </w:rPr>
        <w:t>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中下载，请注意使用正确的版本，并及时更新；</w:t>
      </w:r>
      <w:r>
        <w:rPr>
          <w:rFonts w:hint="eastAsia" w:ascii="宋体" w:hAnsi="宋体" w:eastAsia="宋体" w:cs="宋体"/>
          <w:b w:val="0"/>
          <w:bCs w:val="0"/>
          <w:i w:val="0"/>
          <w:iCs w:val="0"/>
          <w:color w:val="auto"/>
          <w:spacing w:val="0"/>
          <w:w w:val="100"/>
          <w:sz w:val="21"/>
          <w:szCs w:val="21"/>
          <w:highlight w:val="none"/>
          <w:vertAlign w:val="baseline"/>
        </w:rPr>
        <w:t>编制BIM招标项目的BIM模型文件需要使用交易网公示的施工模型标书编制软件。</w:t>
      </w:r>
    </w:p>
    <w:p w14:paraId="0E79B27D">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11.2电子投标文件必须按招标文件要求有数字证书或电子营业执照签名方为合法的投标文件。未对电子文件进行数字证书或电子营业执照签名的以及对投标文件进行加密但在开标会规定的时间内没有进行解密的，开标会现场将作为不予受理的投标文件处理。</w:t>
      </w:r>
    </w:p>
    <w:p w14:paraId="6E507D61">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11.3在电子标书</w:t>
      </w:r>
      <w:r>
        <w:rPr>
          <w:rFonts w:hint="eastAsia" w:ascii="宋体" w:hAnsi="宋体" w:eastAsia="宋体" w:cs="宋体"/>
          <w:color w:val="auto"/>
          <w:szCs w:val="21"/>
          <w:highlight w:val="none"/>
          <w:lang w:eastAsia="zh-CN"/>
        </w:rPr>
        <w:t>编制工具</w:t>
      </w:r>
      <w:r>
        <w:rPr>
          <w:rFonts w:hint="eastAsia" w:ascii="宋体" w:hAnsi="宋体" w:eastAsia="宋体" w:cs="宋体"/>
          <w:color w:val="auto"/>
          <w:szCs w:val="21"/>
          <w:highlight w:val="none"/>
        </w:rPr>
        <w:t>中，生成电子标书时，须将所签名的证书或电子营业执照的电子签名签署到相应的位置中。共包括三类签名：（1）机构证书或电子营业执照；（2）法定代表人证书；（3）人员证书[技术标部分指建造师（项目经理)，商务标部分指注册造价工程师]。</w:t>
      </w:r>
    </w:p>
    <w:p w14:paraId="5C468237">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11.4招标文件导入计价软件时，请勿修改招标文件的标段结构形式及单位工程名称等。</w:t>
      </w:r>
    </w:p>
    <w:p w14:paraId="38259593">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11.5在电子文件编制工具中导入投标数据交换文件(*.SWT)后，请注意检查措施项目“安全文明施工费”是否有报价,且该项报价需要满足招标文件的要求。</w:t>
      </w:r>
    </w:p>
    <w:p w14:paraId="30A897FC">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生成电子投标数据后，点击【浏览投标清单】按钮，核对报价的内容。施工投标承诺函</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，金额必须与电子投标文件中的金额完全一致。</w:t>
      </w:r>
    </w:p>
    <w:p w14:paraId="1BD9A810">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评标时以电子标书为准，因此在制作电子标书的时候，需要反复核对单位工程、单项工程、工程项目的相关报价。</w:t>
      </w:r>
    </w:p>
    <w:p w14:paraId="482E7675">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投标人可使用投标文件</w:t>
      </w:r>
      <w:r>
        <w:rPr>
          <w:rFonts w:hint="eastAsia" w:ascii="宋体" w:hAnsi="宋体" w:eastAsia="宋体" w:cs="宋体"/>
          <w:color w:val="auto"/>
          <w:szCs w:val="21"/>
          <w:highlight w:val="none"/>
          <w:lang w:eastAsia="zh-CN"/>
        </w:rPr>
        <w:t>编制工具</w:t>
      </w:r>
      <w:r>
        <w:rPr>
          <w:rFonts w:hint="eastAsia" w:ascii="宋体" w:hAnsi="宋体" w:eastAsia="宋体" w:cs="宋体"/>
          <w:color w:val="auto"/>
          <w:szCs w:val="21"/>
          <w:highlight w:val="none"/>
        </w:rPr>
        <w:t>中的加密功能对网上传输的投标文件进行加密</w:t>
      </w:r>
      <w:bookmarkStart w:id="7" w:name="_Hlk87635778"/>
      <w:r>
        <w:rPr>
          <w:rFonts w:hint="eastAsia" w:ascii="宋体" w:hAnsi="宋体" w:eastAsia="宋体" w:cs="宋体"/>
          <w:color w:val="auto"/>
          <w:szCs w:val="21"/>
          <w:highlight w:val="none"/>
        </w:rPr>
        <w:t>（可使用数字证书或电子营业执照进行加密）</w:t>
      </w:r>
      <w:bookmarkEnd w:id="7"/>
      <w:r>
        <w:rPr>
          <w:rFonts w:hint="eastAsia" w:ascii="宋体" w:hAnsi="宋体" w:eastAsia="宋体" w:cs="宋体"/>
          <w:color w:val="auto"/>
          <w:szCs w:val="21"/>
          <w:highlight w:val="none"/>
        </w:rPr>
        <w:t>，其中：用于投标文件加密的数字证书必须是本单位的任意一个数字证书，包括机构数字证书、机构个人数字证书。用于投标文件加密的电子营业执照必须是由本单位法定代表人在市场监督管理总局的电子营业执照应用程序中下载的真实有效的电子营业执照，且投标操作人员须法定代表人授权并下载本单位电子营业执照后才可进行标书加密等相关操作。</w:t>
      </w:r>
    </w:p>
    <w:p w14:paraId="2FF5FCF7">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b w:val="0"/>
          <w:bCs w:val="0"/>
          <w:i w:val="0"/>
          <w:iCs w:val="0"/>
          <w:color w:val="auto"/>
          <w:spacing w:val="0"/>
          <w:w w:val="100"/>
          <w:sz w:val="21"/>
          <w:szCs w:val="21"/>
          <w:highlight w:val="none"/>
          <w:vertAlign w:val="baseline"/>
        </w:rPr>
        <w:t>11.</w:t>
      </w:r>
      <w:r>
        <w:rPr>
          <w:rFonts w:hint="eastAsia" w:ascii="宋体" w:hAnsi="宋体" w:eastAsia="宋体" w:cs="宋体"/>
          <w:b w:val="0"/>
          <w:bCs w:val="0"/>
          <w:i w:val="0"/>
          <w:iCs w:val="0"/>
          <w:color w:val="auto"/>
          <w:spacing w:val="0"/>
          <w:w w:val="100"/>
          <w:sz w:val="21"/>
          <w:szCs w:val="21"/>
          <w:highlight w:val="none"/>
          <w:vertAlign w:val="baseline"/>
          <w:lang w:val="en-US" w:eastAsia="zh-CN"/>
        </w:rPr>
        <w:t>9</w:t>
      </w:r>
      <w:r>
        <w:rPr>
          <w:rFonts w:hint="eastAsia" w:ascii="宋体" w:hAnsi="宋体" w:eastAsia="宋体" w:cs="宋体"/>
          <w:b w:val="0"/>
          <w:bCs w:val="0"/>
          <w:i w:val="0"/>
          <w:iCs w:val="0"/>
          <w:color w:val="auto"/>
          <w:spacing w:val="0"/>
          <w:w w:val="100"/>
          <w:sz w:val="21"/>
          <w:szCs w:val="21"/>
          <w:highlight w:val="none"/>
          <w:vertAlign w:val="baseline"/>
        </w:rPr>
        <w:t>在编制</w:t>
      </w:r>
      <w:r>
        <w:rPr>
          <w:rFonts w:hint="eastAsia" w:ascii="宋体" w:hAnsi="宋体" w:eastAsia="宋体" w:cs="宋体"/>
          <w:b w:val="0"/>
          <w:bCs w:val="0"/>
          <w:i w:val="0"/>
          <w:iCs w:val="0"/>
          <w:color w:val="auto"/>
          <w:spacing w:val="0"/>
          <w:w w:val="100"/>
          <w:sz w:val="21"/>
          <w:szCs w:val="21"/>
          <w:highlight w:val="none"/>
          <w:vertAlign w:val="baseline"/>
          <w:lang w:val="en-US" w:eastAsia="zh-CN"/>
        </w:rPr>
        <w:t>技术</w:t>
      </w:r>
      <w:r>
        <w:rPr>
          <w:rFonts w:hint="eastAsia" w:ascii="宋体" w:hAnsi="宋体" w:eastAsia="宋体" w:cs="宋体"/>
          <w:b w:val="0"/>
          <w:bCs w:val="0"/>
          <w:i w:val="0"/>
          <w:iCs w:val="0"/>
          <w:color w:val="auto"/>
          <w:spacing w:val="0"/>
          <w:w w:val="100"/>
          <w:sz w:val="21"/>
          <w:szCs w:val="21"/>
          <w:highlight w:val="none"/>
          <w:vertAlign w:val="baseline"/>
        </w:rPr>
        <w:t>标投标文件时，如果需要粘贴图片，可使用JPG/PNG/BMP格式的文件，并且每张图片的分辨率应小于100dpi，不含BIM文件时，最终的标书文件所占用的磁盘空间必须小于500</w:t>
      </w:r>
      <w:r>
        <w:rPr>
          <w:rFonts w:hint="eastAsia" w:ascii="宋体" w:hAnsi="宋体" w:eastAsia="宋体" w:cs="宋体"/>
          <w:b w:val="0"/>
          <w:bCs w:val="0"/>
          <w:i w:val="0"/>
          <w:iCs w:val="0"/>
          <w:color w:val="auto"/>
          <w:spacing w:val="0"/>
          <w:w w:val="100"/>
          <w:sz w:val="21"/>
          <w:szCs w:val="21"/>
          <w:highlight w:val="none"/>
          <w:vertAlign w:val="baseline"/>
          <w:lang w:val="en-US" w:eastAsia="zh-CN"/>
        </w:rPr>
        <w:t>0</w:t>
      </w:r>
      <w:r>
        <w:rPr>
          <w:rFonts w:hint="eastAsia" w:ascii="宋体" w:hAnsi="宋体" w:eastAsia="宋体" w:cs="宋体"/>
          <w:b w:val="0"/>
          <w:bCs w:val="0"/>
          <w:i w:val="0"/>
          <w:iCs w:val="0"/>
          <w:color w:val="auto"/>
          <w:spacing w:val="0"/>
          <w:w w:val="100"/>
          <w:sz w:val="21"/>
          <w:szCs w:val="21"/>
          <w:highlight w:val="none"/>
          <w:vertAlign w:val="baseline"/>
        </w:rPr>
        <w:t>M；资审文件占用的磁盘空间必须小于</w:t>
      </w:r>
      <w:r>
        <w:rPr>
          <w:rFonts w:hint="eastAsia" w:ascii="宋体" w:hAnsi="宋体" w:eastAsia="宋体" w:cs="宋体"/>
          <w:b w:val="0"/>
          <w:bCs w:val="0"/>
          <w:i w:val="0"/>
          <w:iCs w:val="0"/>
          <w:color w:val="auto"/>
          <w:spacing w:val="0"/>
          <w:w w:val="100"/>
          <w:sz w:val="21"/>
          <w:szCs w:val="21"/>
          <w:highlight w:val="none"/>
          <w:vertAlign w:val="baseline"/>
          <w:lang w:val="en-US" w:eastAsia="zh-CN"/>
        </w:rPr>
        <w:t>2</w:t>
      </w:r>
      <w:r>
        <w:rPr>
          <w:rFonts w:hint="eastAsia" w:ascii="宋体" w:hAnsi="宋体" w:eastAsia="宋体" w:cs="宋体"/>
          <w:b w:val="0"/>
          <w:bCs w:val="0"/>
          <w:i w:val="0"/>
          <w:iCs w:val="0"/>
          <w:color w:val="auto"/>
          <w:spacing w:val="0"/>
          <w:w w:val="100"/>
          <w:sz w:val="21"/>
          <w:szCs w:val="21"/>
          <w:highlight w:val="none"/>
          <w:vertAlign w:val="baseline"/>
        </w:rPr>
        <w:t>00M</w:t>
      </w:r>
      <w:r>
        <w:rPr>
          <w:rFonts w:hint="eastAsia" w:ascii="宋体" w:hAnsi="宋体" w:eastAsia="宋体" w:cs="宋体"/>
          <w:b w:val="0"/>
          <w:bCs w:val="0"/>
          <w:i w:val="0"/>
          <w:iCs w:val="0"/>
          <w:color w:val="auto"/>
          <w:spacing w:val="0"/>
          <w:w w:val="100"/>
          <w:sz w:val="21"/>
          <w:szCs w:val="21"/>
          <w:highlight w:val="none"/>
          <w:vertAlign w:val="baseline"/>
          <w:lang w:eastAsia="zh-CN"/>
        </w:rPr>
        <w:t>。</w:t>
      </w:r>
    </w:p>
    <w:p w14:paraId="6E2EA3CE">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 xml:space="preserve"> 招标人提供了设计阶段BIM成果文件的，投标人应在该文件的基础上应用BIM技术进行深化应用，编制施工阶段BIM标书文件。在编制技术标投标文件时应使用符合</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szCs w:val="21"/>
          <w:highlight w:val="none"/>
        </w:rPr>
        <w:t xml:space="preserve"> BIM 电子招投标系统兼容要求的施工模型标书编制工具，并根据招标文件要求进行BIM模型、商务报价、进度计划等文件的整合，整合完成后，将输出资料导入“电子文件编制工具”进行签名，生成BIM投标文件（格式为*.SGTB）。BIM模型的建模范围、建模精度等应当符合招标文件的要求。BIM投标文件所占用磁盘空间建议小于400M。</w:t>
      </w:r>
    </w:p>
    <w:p w14:paraId="3B670B0C">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 本工程采用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进行投标、开标及评标</w:t>
      </w:r>
      <w:r>
        <w:rPr>
          <w:rFonts w:hint="eastAsia" w:ascii="宋体" w:hAnsi="宋体" w:eastAsia="宋体" w:cs="宋体"/>
          <w:color w:val="auto"/>
          <w:szCs w:val="21"/>
          <w:highlight w:val="none"/>
        </w:rPr>
        <w:t>，请认真阅读本说明，若有疑问可通过载明的联系方式要求技术咨询。</w:t>
      </w:r>
    </w:p>
    <w:p w14:paraId="2B45BEEE">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14:paraId="30A14B05">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tbl>
      <w:tblPr>
        <w:tblStyle w:val="42"/>
        <w:tblpPr w:leftFromText="180" w:rightFromText="180" w:vertAnchor="text" w:horzAnchor="page" w:tblpX="1399" w:tblpY="433"/>
        <w:tblOverlap w:val="never"/>
        <w:tblW w:w="92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69"/>
        <w:gridCol w:w="2835"/>
        <w:gridCol w:w="1873"/>
        <w:gridCol w:w="2913"/>
      </w:tblGrid>
      <w:tr w14:paraId="7E3F5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14:paraId="62290CF8">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p>
        </w:tc>
        <w:tc>
          <w:tcPr>
            <w:tcW w:w="2835" w:type="dxa"/>
            <w:shd w:val="clear" w:color="auto" w:fill="auto"/>
            <w:vAlign w:val="center"/>
          </w:tcPr>
          <w:p w14:paraId="0F7E9CB9">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873" w:type="dxa"/>
            <w:shd w:val="clear" w:color="auto" w:fill="auto"/>
            <w:vAlign w:val="center"/>
          </w:tcPr>
          <w:p w14:paraId="5553BAAC">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2913" w:type="dxa"/>
            <w:shd w:val="clear" w:color="auto" w:fill="auto"/>
            <w:vAlign w:val="center"/>
          </w:tcPr>
          <w:p w14:paraId="1F68C940">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56D2B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14:paraId="3239F2A2">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p>
        </w:tc>
        <w:tc>
          <w:tcPr>
            <w:tcW w:w="2835" w:type="dxa"/>
            <w:shd w:val="clear" w:color="auto" w:fill="auto"/>
            <w:vAlign w:val="center"/>
          </w:tcPr>
          <w:p w14:paraId="0EF8B42B">
            <w:pPr>
              <w:adjustRightInd w:val="0"/>
              <w:snapToGrid w:val="0"/>
              <w:spacing w:line="360" w:lineRule="auto"/>
              <w:rPr>
                <w:rFonts w:ascii="宋体" w:hAnsi="宋体" w:eastAsia="宋体" w:cs="宋体"/>
                <w:bCs/>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873" w:type="dxa"/>
            <w:shd w:val="clear" w:color="auto" w:fill="auto"/>
            <w:vAlign w:val="center"/>
          </w:tcPr>
          <w:p w14:paraId="519BFF8E">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w:t>
            </w:r>
          </w:p>
          <w:p w14:paraId="1F6F5C4B">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其委托代理人：</w:t>
            </w:r>
          </w:p>
        </w:tc>
        <w:tc>
          <w:tcPr>
            <w:tcW w:w="2913" w:type="dxa"/>
            <w:shd w:val="clear" w:color="auto" w:fill="auto"/>
            <w:vAlign w:val="center"/>
          </w:tcPr>
          <w:p w14:paraId="6FC307AA">
            <w:pPr>
              <w:adjustRightInd w:val="0"/>
              <w:snapToGrid w:val="0"/>
              <w:spacing w:line="360" w:lineRule="auto"/>
              <w:rPr>
                <w:rFonts w:ascii="宋体" w:hAnsi="宋体" w:eastAsia="宋体" w:cs="宋体"/>
                <w:bCs/>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41266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14:paraId="6090DA08">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835" w:type="dxa"/>
            <w:shd w:val="clear" w:color="auto" w:fill="auto"/>
            <w:vAlign w:val="center"/>
          </w:tcPr>
          <w:p w14:paraId="379FE78C">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c>
          <w:tcPr>
            <w:tcW w:w="1873" w:type="dxa"/>
            <w:shd w:val="clear" w:color="auto" w:fill="auto"/>
            <w:vAlign w:val="center"/>
          </w:tcPr>
          <w:p w14:paraId="6EF6F6AB">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913" w:type="dxa"/>
            <w:shd w:val="clear" w:color="auto" w:fill="auto"/>
            <w:vAlign w:val="center"/>
          </w:tcPr>
          <w:p w14:paraId="1610467C">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r>
      <w:tr w14:paraId="1990D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14:paraId="5BCCA92B">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835" w:type="dxa"/>
            <w:shd w:val="clear" w:color="auto" w:fill="auto"/>
            <w:vAlign w:val="center"/>
          </w:tcPr>
          <w:p w14:paraId="5D4CA346">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c>
          <w:tcPr>
            <w:tcW w:w="1873" w:type="dxa"/>
            <w:shd w:val="clear" w:color="auto" w:fill="auto"/>
            <w:vAlign w:val="center"/>
          </w:tcPr>
          <w:p w14:paraId="0E4322C4">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913" w:type="dxa"/>
            <w:shd w:val="clear" w:color="auto" w:fill="auto"/>
            <w:vAlign w:val="center"/>
          </w:tcPr>
          <w:p w14:paraId="1841A846">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r>
      <w:tr w14:paraId="42706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14:paraId="66808410">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835" w:type="dxa"/>
            <w:shd w:val="clear" w:color="auto" w:fill="auto"/>
            <w:vAlign w:val="center"/>
          </w:tcPr>
          <w:p w14:paraId="0BC0952A">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c>
          <w:tcPr>
            <w:tcW w:w="1873" w:type="dxa"/>
            <w:shd w:val="clear" w:color="auto" w:fill="auto"/>
            <w:vAlign w:val="center"/>
          </w:tcPr>
          <w:p w14:paraId="1410BC2F">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913" w:type="dxa"/>
            <w:shd w:val="clear" w:color="auto" w:fill="auto"/>
            <w:vAlign w:val="center"/>
          </w:tcPr>
          <w:p w14:paraId="0878F30A">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r>
      <w:tr w14:paraId="0CB09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14:paraId="45E61047">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835" w:type="dxa"/>
            <w:shd w:val="clear" w:color="auto" w:fill="auto"/>
            <w:vAlign w:val="center"/>
          </w:tcPr>
          <w:p w14:paraId="3395BF5E">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1873" w:type="dxa"/>
            <w:shd w:val="clear" w:color="auto" w:fill="auto"/>
            <w:vAlign w:val="center"/>
          </w:tcPr>
          <w:p w14:paraId="43E87CC4">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913" w:type="dxa"/>
            <w:shd w:val="clear" w:color="auto" w:fill="auto"/>
            <w:vAlign w:val="center"/>
          </w:tcPr>
          <w:p w14:paraId="37E10A73">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7C8B7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669" w:type="dxa"/>
            <w:shd w:val="clear" w:color="auto" w:fill="auto"/>
            <w:vAlign w:val="center"/>
          </w:tcPr>
          <w:p w14:paraId="488919E6">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835" w:type="dxa"/>
            <w:shd w:val="clear" w:color="auto" w:fill="auto"/>
            <w:vAlign w:val="center"/>
          </w:tcPr>
          <w:p w14:paraId="7AB7BB7B">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c>
          <w:tcPr>
            <w:tcW w:w="1873" w:type="dxa"/>
            <w:shd w:val="clear" w:color="auto" w:fill="auto"/>
            <w:vAlign w:val="center"/>
          </w:tcPr>
          <w:p w14:paraId="1DB6BA7B">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913" w:type="dxa"/>
            <w:shd w:val="clear" w:color="auto" w:fill="auto"/>
            <w:vAlign w:val="center"/>
          </w:tcPr>
          <w:p w14:paraId="185224F9">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u w:val="single"/>
              </w:rPr>
              <w:t xml:space="preserve">      </w:t>
            </w:r>
          </w:p>
        </w:tc>
      </w:tr>
    </w:tbl>
    <w:p w14:paraId="49994C71">
      <w:pPr>
        <w:adjustRightInd w:val="0"/>
        <w:snapToGrid w:val="0"/>
        <w:spacing w:line="20" w:lineRule="exact"/>
        <w:rPr>
          <w:color w:val="auto"/>
          <w:highlight w:val="none"/>
        </w:rPr>
      </w:pPr>
      <w:r>
        <w:rPr>
          <w:color w:val="auto"/>
          <w:highlight w:val="none"/>
        </w:rPr>
        <w:br w:type="page"/>
      </w:r>
    </w:p>
    <w:p w14:paraId="2AA653C7">
      <w:pPr>
        <w:adjustRightInd w:val="0"/>
        <w:snapToGrid w:val="0"/>
        <w:spacing w:line="360" w:lineRule="auto"/>
        <w:jc w:val="center"/>
        <w:outlineLvl w:val="0"/>
        <w:rPr>
          <w:rFonts w:ascii="黑体" w:hAnsi="黑体" w:eastAsia="黑体" w:cs="黑体"/>
          <w:bCs/>
          <w:color w:val="auto"/>
          <w:sz w:val="32"/>
          <w:szCs w:val="32"/>
          <w:highlight w:val="none"/>
        </w:rPr>
      </w:pPr>
      <w:bookmarkStart w:id="8" w:name="_Toc23009"/>
      <w:bookmarkStart w:id="9" w:name="_Toc4234"/>
      <w:bookmarkStart w:id="10" w:name="_Toc17213"/>
      <w:bookmarkStart w:id="11" w:name="_Toc2221"/>
      <w:bookmarkStart w:id="12" w:name="_Toc32104"/>
      <w:bookmarkStart w:id="13" w:name="_Toc15779"/>
      <w:r>
        <w:rPr>
          <w:rFonts w:hint="eastAsia" w:ascii="黑体" w:hAnsi="黑体" w:eastAsia="黑体" w:cs="黑体"/>
          <w:bCs/>
          <w:color w:val="auto"/>
          <w:sz w:val="32"/>
          <w:szCs w:val="32"/>
          <w:highlight w:val="none"/>
        </w:rPr>
        <w:t>第二章  投标须知</w:t>
      </w:r>
      <w:bookmarkEnd w:id="8"/>
      <w:bookmarkEnd w:id="9"/>
      <w:bookmarkEnd w:id="10"/>
      <w:bookmarkEnd w:id="11"/>
      <w:bookmarkEnd w:id="12"/>
      <w:bookmarkEnd w:id="13"/>
    </w:p>
    <w:p w14:paraId="4FAE4629">
      <w:pPr>
        <w:adjustRightInd w:val="0"/>
        <w:snapToGrid w:val="0"/>
        <w:spacing w:line="360" w:lineRule="auto"/>
        <w:jc w:val="center"/>
        <w:outlineLvl w:val="1"/>
        <w:rPr>
          <w:rFonts w:ascii="黑体" w:hAnsi="黑体" w:eastAsia="黑体" w:cs="黑体"/>
          <w:bCs/>
          <w:color w:val="auto"/>
          <w:sz w:val="32"/>
          <w:szCs w:val="32"/>
          <w:highlight w:val="none"/>
        </w:rPr>
      </w:pPr>
      <w:bookmarkStart w:id="14" w:name="_Toc3225"/>
      <w:bookmarkStart w:id="15" w:name="_Toc25588"/>
      <w:bookmarkStart w:id="16" w:name="_Toc10357"/>
      <w:bookmarkStart w:id="17" w:name="_Toc30690"/>
      <w:bookmarkStart w:id="18" w:name="_Toc29683"/>
      <w:bookmarkStart w:id="19" w:name="_Toc6351"/>
      <w:r>
        <w:rPr>
          <w:rFonts w:hint="eastAsia" w:ascii="黑体" w:hAnsi="黑体" w:eastAsia="黑体" w:cs="黑体"/>
          <w:bCs/>
          <w:color w:val="auto"/>
          <w:sz w:val="32"/>
          <w:szCs w:val="32"/>
          <w:highlight w:val="none"/>
        </w:rPr>
        <w:t>一、投标须知前附表</w:t>
      </w:r>
      <w:bookmarkEnd w:id="14"/>
      <w:bookmarkEnd w:id="15"/>
      <w:bookmarkEnd w:id="16"/>
      <w:bookmarkEnd w:id="17"/>
      <w:bookmarkEnd w:id="18"/>
      <w:bookmarkEnd w:id="19"/>
    </w:p>
    <w:tbl>
      <w:tblPr>
        <w:tblStyle w:val="42"/>
        <w:tblW w:w="9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036"/>
        <w:gridCol w:w="1485"/>
        <w:gridCol w:w="6785"/>
      </w:tblGrid>
      <w:tr w14:paraId="1FF7D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678" w:type="dxa"/>
            <w:shd w:val="clear" w:color="auto" w:fill="auto"/>
            <w:vAlign w:val="center"/>
          </w:tcPr>
          <w:p w14:paraId="1FFC6F5B">
            <w:pPr>
              <w:adjustRightInd w:val="0"/>
              <w:snapToGrid w:val="0"/>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项号</w:t>
            </w:r>
          </w:p>
        </w:tc>
        <w:tc>
          <w:tcPr>
            <w:tcW w:w="1036" w:type="dxa"/>
            <w:shd w:val="clear" w:color="auto" w:fill="auto"/>
            <w:vAlign w:val="center"/>
          </w:tcPr>
          <w:p w14:paraId="1CE20781">
            <w:pPr>
              <w:adjustRightInd w:val="0"/>
              <w:snapToGrid w:val="0"/>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条款号</w:t>
            </w:r>
          </w:p>
        </w:tc>
        <w:tc>
          <w:tcPr>
            <w:tcW w:w="1485" w:type="dxa"/>
            <w:shd w:val="clear" w:color="auto" w:fill="auto"/>
            <w:vAlign w:val="center"/>
          </w:tcPr>
          <w:p w14:paraId="48C1D8E2">
            <w:pPr>
              <w:adjustRightInd w:val="0"/>
              <w:snapToGrid w:val="0"/>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内  容</w:t>
            </w:r>
          </w:p>
        </w:tc>
        <w:tc>
          <w:tcPr>
            <w:tcW w:w="6785" w:type="dxa"/>
            <w:shd w:val="clear" w:color="auto" w:fill="auto"/>
            <w:vAlign w:val="center"/>
          </w:tcPr>
          <w:p w14:paraId="1712892B">
            <w:pPr>
              <w:adjustRightInd w:val="0"/>
              <w:snapToGrid w:val="0"/>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规       定</w:t>
            </w:r>
          </w:p>
        </w:tc>
      </w:tr>
      <w:tr w14:paraId="7B24A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shd w:val="clear" w:color="auto" w:fill="auto"/>
            <w:vAlign w:val="center"/>
          </w:tcPr>
          <w:p w14:paraId="078556D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1036" w:type="dxa"/>
            <w:shd w:val="clear" w:color="auto" w:fill="auto"/>
            <w:vAlign w:val="center"/>
          </w:tcPr>
          <w:p w14:paraId="131BFE3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362C499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标段名称</w:t>
            </w:r>
          </w:p>
        </w:tc>
        <w:tc>
          <w:tcPr>
            <w:tcW w:w="6785" w:type="dxa"/>
            <w:shd w:val="clear" w:color="auto" w:fill="auto"/>
            <w:vAlign w:val="center"/>
          </w:tcPr>
          <w:p w14:paraId="45918E33">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u w:val="single"/>
              </w:rPr>
              <w:t xml:space="preserve">      </w:t>
            </w:r>
          </w:p>
        </w:tc>
      </w:tr>
      <w:tr w14:paraId="043BB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shd w:val="clear" w:color="auto" w:fill="auto"/>
            <w:vAlign w:val="center"/>
          </w:tcPr>
          <w:p w14:paraId="3E01E49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1036" w:type="dxa"/>
            <w:shd w:val="clear" w:color="auto" w:fill="auto"/>
            <w:vAlign w:val="center"/>
          </w:tcPr>
          <w:p w14:paraId="298E6FE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1C8AC68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工程地点</w:t>
            </w:r>
          </w:p>
        </w:tc>
        <w:tc>
          <w:tcPr>
            <w:tcW w:w="6785" w:type="dxa"/>
            <w:shd w:val="clear" w:color="auto" w:fill="auto"/>
            <w:vAlign w:val="center"/>
          </w:tcPr>
          <w:p w14:paraId="0A4B5643">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u w:val="single"/>
              </w:rPr>
              <w:t xml:space="preserve">      </w:t>
            </w:r>
          </w:p>
        </w:tc>
      </w:tr>
      <w:tr w14:paraId="685E7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shd w:val="clear" w:color="auto" w:fill="auto"/>
            <w:vAlign w:val="center"/>
          </w:tcPr>
          <w:p w14:paraId="70E8890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1036" w:type="dxa"/>
            <w:shd w:val="clear" w:color="auto" w:fill="auto"/>
            <w:vAlign w:val="center"/>
          </w:tcPr>
          <w:p w14:paraId="0C7899E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2E1511E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是否场外工程</w:t>
            </w:r>
          </w:p>
        </w:tc>
        <w:tc>
          <w:tcPr>
            <w:tcW w:w="6785" w:type="dxa"/>
            <w:shd w:val="clear" w:color="auto" w:fill="auto"/>
            <w:vAlign w:val="center"/>
          </w:tcPr>
          <w:p w14:paraId="07389E0D">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是   □ 否</w:t>
            </w:r>
          </w:p>
          <w:p w14:paraId="3ADF12B6">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行政监督部门</w:t>
            </w:r>
            <w:r>
              <w:rPr>
                <w:rFonts w:hint="eastAsia" w:ascii="宋体" w:hAnsi="宋体" w:eastAsia="宋体" w:cs="宋体"/>
                <w:bCs/>
                <w:color w:val="auto"/>
                <w:kern w:val="0"/>
                <w:szCs w:val="21"/>
                <w:highlight w:val="none"/>
                <w:u w:val="single"/>
              </w:rPr>
              <w:t xml:space="preserve">      </w:t>
            </w:r>
          </w:p>
        </w:tc>
      </w:tr>
      <w:tr w14:paraId="3C918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shd w:val="clear" w:color="auto" w:fill="auto"/>
            <w:vAlign w:val="center"/>
          </w:tcPr>
          <w:p w14:paraId="7341F3F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1036" w:type="dxa"/>
            <w:shd w:val="clear" w:color="auto" w:fill="auto"/>
            <w:vAlign w:val="center"/>
          </w:tcPr>
          <w:p w14:paraId="5224475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p>
        </w:tc>
        <w:tc>
          <w:tcPr>
            <w:tcW w:w="1485" w:type="dxa"/>
            <w:shd w:val="clear" w:color="auto" w:fill="auto"/>
            <w:vAlign w:val="center"/>
          </w:tcPr>
          <w:p w14:paraId="00790D5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工程规模</w:t>
            </w:r>
          </w:p>
          <w:p w14:paraId="4A8E097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及特征</w:t>
            </w:r>
          </w:p>
        </w:tc>
        <w:tc>
          <w:tcPr>
            <w:tcW w:w="6785" w:type="dxa"/>
            <w:shd w:val="clear" w:color="auto" w:fill="auto"/>
            <w:vAlign w:val="center"/>
          </w:tcPr>
          <w:p w14:paraId="2EF1AACD">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u w:val="single"/>
              </w:rPr>
              <w:t xml:space="preserve">      </w:t>
            </w:r>
          </w:p>
        </w:tc>
      </w:tr>
      <w:tr w14:paraId="7D235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shd w:val="clear" w:color="auto" w:fill="auto"/>
            <w:vAlign w:val="center"/>
          </w:tcPr>
          <w:p w14:paraId="3C22A6E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1036" w:type="dxa"/>
            <w:shd w:val="clear" w:color="auto" w:fill="auto"/>
            <w:vAlign w:val="center"/>
          </w:tcPr>
          <w:p w14:paraId="198B147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1485" w:type="dxa"/>
            <w:shd w:val="clear" w:color="auto" w:fill="auto"/>
            <w:vAlign w:val="center"/>
          </w:tcPr>
          <w:p w14:paraId="4FD1EB4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6785" w:type="dxa"/>
            <w:shd w:val="clear" w:color="auto" w:fill="auto"/>
            <w:vAlign w:val="center"/>
          </w:tcPr>
          <w:p w14:paraId="605C9476">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u w:val="single"/>
              </w:rPr>
              <w:t xml:space="preserve">      </w:t>
            </w:r>
          </w:p>
        </w:tc>
      </w:tr>
      <w:tr w14:paraId="62BC5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vMerge w:val="restart"/>
            <w:shd w:val="clear" w:color="auto" w:fill="auto"/>
            <w:vAlign w:val="center"/>
          </w:tcPr>
          <w:p w14:paraId="52FD4C3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p>
        </w:tc>
        <w:tc>
          <w:tcPr>
            <w:tcW w:w="1036" w:type="dxa"/>
            <w:vMerge w:val="restart"/>
            <w:shd w:val="clear" w:color="auto" w:fill="auto"/>
            <w:vAlign w:val="center"/>
          </w:tcPr>
          <w:p w14:paraId="181F33B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w:t>
            </w:r>
          </w:p>
        </w:tc>
        <w:tc>
          <w:tcPr>
            <w:tcW w:w="1485" w:type="dxa"/>
            <w:vMerge w:val="restart"/>
            <w:shd w:val="clear" w:color="auto" w:fill="auto"/>
            <w:vAlign w:val="center"/>
          </w:tcPr>
          <w:p w14:paraId="768549B5">
            <w:pPr>
              <w:adjustRightInd w:val="0"/>
              <w:snapToGrid w:val="0"/>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6785" w:type="dxa"/>
            <w:shd w:val="clear" w:color="auto" w:fill="auto"/>
            <w:vAlign w:val="center"/>
          </w:tcPr>
          <w:p w14:paraId="483F7EBB">
            <w:pPr>
              <w:adjustRightInd w:val="0"/>
              <w:snapToGrid w:val="0"/>
              <w:spacing w:line="36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14:paraId="565F14DC">
            <w:pPr>
              <w:adjustRightInd w:val="0"/>
              <w:snapToGrid w:val="0"/>
              <w:spacing w:line="36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12B4535A">
            <w:pPr>
              <w:adjustRightInd w:val="0"/>
              <w:snapToGrid w:val="0"/>
              <w:spacing w:line="36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0B6BF2D8">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60FFCF50">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tc>
      </w:tr>
      <w:tr w14:paraId="10314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8" w:type="dxa"/>
            <w:vMerge w:val="continue"/>
            <w:shd w:val="clear" w:color="auto" w:fill="auto"/>
            <w:vAlign w:val="center"/>
          </w:tcPr>
          <w:p w14:paraId="0609A6A7">
            <w:pPr>
              <w:adjustRightInd w:val="0"/>
              <w:snapToGrid w:val="0"/>
              <w:jc w:val="center"/>
              <w:rPr>
                <w:rFonts w:hint="eastAsia" w:ascii="宋体" w:hAnsi="宋体" w:eastAsia="宋体" w:cs="宋体"/>
                <w:color w:val="auto"/>
                <w:kern w:val="0"/>
                <w:szCs w:val="21"/>
                <w:highlight w:val="none"/>
              </w:rPr>
            </w:pPr>
          </w:p>
        </w:tc>
        <w:tc>
          <w:tcPr>
            <w:tcW w:w="1036" w:type="dxa"/>
            <w:vMerge w:val="continue"/>
            <w:shd w:val="clear" w:color="auto" w:fill="auto"/>
            <w:vAlign w:val="center"/>
          </w:tcPr>
          <w:p w14:paraId="2D801F8D">
            <w:pPr>
              <w:adjustRightInd w:val="0"/>
              <w:snapToGrid w:val="0"/>
              <w:jc w:val="center"/>
              <w:rPr>
                <w:rFonts w:hint="eastAsia" w:ascii="宋体" w:hAnsi="宋体" w:eastAsia="宋体" w:cs="宋体"/>
                <w:color w:val="auto"/>
                <w:kern w:val="0"/>
                <w:szCs w:val="21"/>
                <w:highlight w:val="none"/>
              </w:rPr>
            </w:pPr>
          </w:p>
        </w:tc>
        <w:tc>
          <w:tcPr>
            <w:tcW w:w="1485" w:type="dxa"/>
            <w:vMerge w:val="continue"/>
            <w:shd w:val="clear" w:color="auto" w:fill="auto"/>
            <w:vAlign w:val="center"/>
          </w:tcPr>
          <w:p w14:paraId="25BC9DF2">
            <w:pPr>
              <w:adjustRightInd w:val="0"/>
              <w:snapToGrid w:val="0"/>
              <w:jc w:val="center"/>
              <w:rPr>
                <w:rFonts w:hint="eastAsia" w:ascii="宋体" w:hAnsi="宋体" w:eastAsia="宋体" w:cs="宋体"/>
                <w:color w:val="auto"/>
                <w:kern w:val="0"/>
                <w:szCs w:val="21"/>
                <w:highlight w:val="none"/>
              </w:rPr>
            </w:pPr>
          </w:p>
        </w:tc>
        <w:tc>
          <w:tcPr>
            <w:tcW w:w="6785" w:type="dxa"/>
            <w:shd w:val="clear" w:color="auto" w:fill="auto"/>
            <w:vAlign w:val="center"/>
          </w:tcPr>
          <w:p w14:paraId="1B387849">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14:paraId="1F702756">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14:paraId="1474E681">
            <w:pPr>
              <w:adjustRightInd w:val="0"/>
              <w:snapToGrid w:val="0"/>
              <w:spacing w:line="360" w:lineRule="auto"/>
              <w:ind w:firstLine="0" w:firstLineChars="0"/>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投标人为大型企业的，中标后需将合同金额的</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%依法分包给符合条件的中小企业。</w:t>
            </w:r>
          </w:p>
          <w:p w14:paraId="1AC58C60">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14:paraId="7753DB6E">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14:paraId="699B98B9">
            <w:pPr>
              <w:adjustRightInd w:val="0"/>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14:paraId="2FA94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678" w:type="dxa"/>
            <w:shd w:val="clear" w:color="auto" w:fill="auto"/>
            <w:vAlign w:val="center"/>
          </w:tcPr>
          <w:p w14:paraId="5A5B309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p>
        </w:tc>
        <w:tc>
          <w:tcPr>
            <w:tcW w:w="1036" w:type="dxa"/>
            <w:shd w:val="clear" w:color="auto" w:fill="auto"/>
            <w:vAlign w:val="center"/>
          </w:tcPr>
          <w:p w14:paraId="5E20963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4EC139C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采用的币种</w:t>
            </w:r>
          </w:p>
        </w:tc>
        <w:tc>
          <w:tcPr>
            <w:tcW w:w="6785" w:type="dxa"/>
            <w:shd w:val="clear" w:color="auto" w:fill="auto"/>
            <w:vAlign w:val="center"/>
          </w:tcPr>
          <w:p w14:paraId="29AA2391">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结合项目选择币种</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tc>
      </w:tr>
      <w:tr w14:paraId="1D394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78" w:type="dxa"/>
            <w:shd w:val="clear" w:color="auto" w:fill="auto"/>
            <w:vAlign w:val="center"/>
          </w:tcPr>
          <w:p w14:paraId="02869AD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p>
        </w:tc>
        <w:tc>
          <w:tcPr>
            <w:tcW w:w="1036" w:type="dxa"/>
            <w:shd w:val="clear" w:color="auto" w:fill="auto"/>
            <w:vAlign w:val="center"/>
          </w:tcPr>
          <w:p w14:paraId="626BCF0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w:t>
            </w:r>
          </w:p>
        </w:tc>
        <w:tc>
          <w:tcPr>
            <w:tcW w:w="1485" w:type="dxa"/>
            <w:shd w:val="clear" w:color="auto" w:fill="auto"/>
            <w:vAlign w:val="center"/>
          </w:tcPr>
          <w:p w14:paraId="3B03E5F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c>
          <w:tcPr>
            <w:tcW w:w="6785" w:type="dxa"/>
            <w:shd w:val="clear" w:color="auto" w:fill="auto"/>
            <w:vAlign w:val="center"/>
          </w:tcPr>
          <w:p w14:paraId="17DC199F">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u w:val="single"/>
              </w:rPr>
              <w:t xml:space="preserve">      </w:t>
            </w:r>
          </w:p>
        </w:tc>
      </w:tr>
      <w:tr w14:paraId="3C6B6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678" w:type="dxa"/>
            <w:shd w:val="clear" w:color="auto" w:fill="auto"/>
            <w:vAlign w:val="center"/>
          </w:tcPr>
          <w:p w14:paraId="35FBD1C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p>
        </w:tc>
        <w:tc>
          <w:tcPr>
            <w:tcW w:w="1036" w:type="dxa"/>
            <w:shd w:val="clear" w:color="auto" w:fill="auto"/>
            <w:vAlign w:val="center"/>
          </w:tcPr>
          <w:p w14:paraId="14D1A70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1485" w:type="dxa"/>
            <w:shd w:val="clear" w:color="auto" w:fill="auto"/>
            <w:vAlign w:val="center"/>
          </w:tcPr>
          <w:p w14:paraId="55CAF1C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工期要求</w:t>
            </w:r>
          </w:p>
        </w:tc>
        <w:tc>
          <w:tcPr>
            <w:tcW w:w="6785" w:type="dxa"/>
            <w:shd w:val="clear" w:color="auto" w:fill="auto"/>
            <w:vAlign w:val="center"/>
          </w:tcPr>
          <w:p w14:paraId="1D1198DB">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日历天</w:t>
            </w:r>
          </w:p>
        </w:tc>
      </w:tr>
      <w:tr w14:paraId="43B95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jc w:val="center"/>
        </w:trPr>
        <w:tc>
          <w:tcPr>
            <w:tcW w:w="678" w:type="dxa"/>
            <w:vMerge w:val="restart"/>
            <w:shd w:val="clear" w:color="auto" w:fill="auto"/>
            <w:vAlign w:val="center"/>
          </w:tcPr>
          <w:p w14:paraId="730A177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1036" w:type="dxa"/>
            <w:vMerge w:val="restart"/>
            <w:shd w:val="clear" w:color="auto" w:fill="auto"/>
            <w:vAlign w:val="center"/>
          </w:tcPr>
          <w:p w14:paraId="1C92D42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6.1</w:t>
            </w:r>
          </w:p>
        </w:tc>
        <w:tc>
          <w:tcPr>
            <w:tcW w:w="1485" w:type="dxa"/>
            <w:vMerge w:val="restart"/>
            <w:shd w:val="clear" w:color="auto" w:fill="auto"/>
            <w:vAlign w:val="center"/>
          </w:tcPr>
          <w:p w14:paraId="701FBBE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投标人要求</w:t>
            </w:r>
          </w:p>
        </w:tc>
        <w:tc>
          <w:tcPr>
            <w:tcW w:w="6785" w:type="dxa"/>
            <w:shd w:val="clear" w:color="auto" w:fill="auto"/>
            <w:vAlign w:val="center"/>
          </w:tcPr>
          <w:p w14:paraId="2D567ECF">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资质等级:</w:t>
            </w:r>
            <w:r>
              <w:rPr>
                <w:rFonts w:hint="eastAsia" w:ascii="宋体" w:hAnsi="宋体" w:eastAsia="宋体" w:cs="宋体"/>
                <w:bCs/>
                <w:color w:val="auto"/>
                <w:kern w:val="0"/>
                <w:szCs w:val="21"/>
                <w:highlight w:val="none"/>
                <w:u w:val="single"/>
              </w:rPr>
              <w:t xml:space="preserve">      </w:t>
            </w:r>
          </w:p>
          <w:p w14:paraId="3ADEA17D">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联合体投标：□接受    □不接受</w:t>
            </w:r>
          </w:p>
          <w:p w14:paraId="03F4A0E7">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341D6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678" w:type="dxa"/>
            <w:vMerge w:val="continue"/>
            <w:shd w:val="clear" w:color="auto" w:fill="auto"/>
            <w:vAlign w:val="center"/>
          </w:tcPr>
          <w:p w14:paraId="4A43F941">
            <w:pPr>
              <w:adjustRightInd w:val="0"/>
              <w:snapToGrid w:val="0"/>
              <w:jc w:val="center"/>
              <w:rPr>
                <w:rFonts w:hint="eastAsia" w:ascii="宋体" w:hAnsi="宋体" w:eastAsia="宋体" w:cs="宋体"/>
                <w:color w:val="auto"/>
                <w:kern w:val="0"/>
                <w:szCs w:val="21"/>
                <w:highlight w:val="none"/>
              </w:rPr>
            </w:pPr>
          </w:p>
        </w:tc>
        <w:tc>
          <w:tcPr>
            <w:tcW w:w="1036" w:type="dxa"/>
            <w:vMerge w:val="continue"/>
            <w:shd w:val="clear" w:color="auto" w:fill="auto"/>
            <w:vAlign w:val="center"/>
          </w:tcPr>
          <w:p w14:paraId="7F896148">
            <w:pPr>
              <w:adjustRightInd w:val="0"/>
              <w:snapToGrid w:val="0"/>
              <w:jc w:val="center"/>
              <w:rPr>
                <w:rFonts w:hint="eastAsia" w:ascii="宋体" w:hAnsi="宋体" w:eastAsia="宋体" w:cs="宋体"/>
                <w:color w:val="auto"/>
                <w:kern w:val="0"/>
                <w:szCs w:val="21"/>
                <w:highlight w:val="none"/>
              </w:rPr>
            </w:pPr>
          </w:p>
        </w:tc>
        <w:tc>
          <w:tcPr>
            <w:tcW w:w="1485" w:type="dxa"/>
            <w:vMerge w:val="continue"/>
            <w:shd w:val="clear" w:color="auto" w:fill="auto"/>
            <w:vAlign w:val="center"/>
          </w:tcPr>
          <w:p w14:paraId="60081400">
            <w:pPr>
              <w:adjustRightInd w:val="0"/>
              <w:snapToGrid w:val="0"/>
              <w:jc w:val="center"/>
              <w:rPr>
                <w:rFonts w:hint="eastAsia" w:ascii="宋体" w:hAnsi="宋体" w:eastAsia="宋体" w:cs="宋体"/>
                <w:color w:val="auto"/>
                <w:kern w:val="0"/>
                <w:szCs w:val="21"/>
                <w:highlight w:val="none"/>
              </w:rPr>
            </w:pPr>
          </w:p>
        </w:tc>
        <w:tc>
          <w:tcPr>
            <w:tcW w:w="6785" w:type="dxa"/>
            <w:shd w:val="clear" w:color="auto" w:fill="auto"/>
            <w:vAlign w:val="center"/>
          </w:tcPr>
          <w:p w14:paraId="170C2D1F">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利害关系单位投标：</w:t>
            </w:r>
            <w:r>
              <w:rPr>
                <w:rFonts w:hint="eastAsia" w:ascii="宋体" w:hAnsi="宋体" w:eastAsia="宋体" w:cs="宋体"/>
                <w:color w:val="auto"/>
                <w:kern w:val="0"/>
                <w:szCs w:val="21"/>
                <w:highlight w:val="none"/>
              </w:rPr>
              <w:t>□接受    □不接受</w:t>
            </w:r>
          </w:p>
          <w:p w14:paraId="04C5A114">
            <w:pPr>
              <w:adjustRightInd w:val="0"/>
              <w:snapToGrid w:val="0"/>
              <w:spacing w:line="360" w:lineRule="auto"/>
              <w:rPr>
                <w:rFonts w:hint="default" w:ascii="宋体" w:hAnsi="宋体" w:eastAsia="宋体" w:cs="宋体"/>
                <w:color w:val="auto"/>
                <w:kern w:val="0"/>
                <w:szCs w:val="21"/>
                <w:highlight w:val="none"/>
                <w:lang w:val="en-US" w:eastAsia="zh-CN"/>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r>
              <w:rPr>
                <w:rFonts w:hint="eastAsia" w:ascii="宋体" w:hAnsi="宋体" w:eastAsia="宋体" w:cs="宋体"/>
                <w:b w:val="0"/>
                <w:bCs w:val="0"/>
                <w:color w:val="auto"/>
                <w:kern w:val="0"/>
                <w:sz w:val="21"/>
                <w:szCs w:val="21"/>
                <w:highlight w:val="none"/>
                <w:vertAlign w:val="superscript"/>
                <w:lang w:val="en-US" w:eastAsia="zh-CN"/>
              </w:rPr>
              <w:t>[</w:t>
            </w:r>
            <w:r>
              <w:rPr>
                <w:rStyle w:val="50"/>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default" w:ascii="宋体" w:hAnsi="宋体" w:eastAsia="宋体" w:cs="宋体"/>
                <w:b w:val="0"/>
                <w:bCs w:val="0"/>
                <w:color w:val="auto"/>
                <w:kern w:val="0"/>
                <w:sz w:val="21"/>
                <w:szCs w:val="21"/>
                <w:highlight w:val="none"/>
                <w:lang w:val="en-US" w:eastAsia="zh-CN"/>
              </w:rPr>
              <w:t>。</w:t>
            </w:r>
          </w:p>
        </w:tc>
      </w:tr>
      <w:tr w14:paraId="076E0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678" w:type="dxa"/>
            <w:shd w:val="clear" w:color="auto" w:fill="auto"/>
            <w:vAlign w:val="center"/>
          </w:tcPr>
          <w:p w14:paraId="4A09F2B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p>
        </w:tc>
        <w:tc>
          <w:tcPr>
            <w:tcW w:w="1036" w:type="dxa"/>
            <w:shd w:val="clear" w:color="auto" w:fill="auto"/>
            <w:vAlign w:val="center"/>
          </w:tcPr>
          <w:p w14:paraId="7289F65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7.1</w:t>
            </w:r>
          </w:p>
        </w:tc>
        <w:tc>
          <w:tcPr>
            <w:tcW w:w="1485" w:type="dxa"/>
            <w:shd w:val="clear" w:color="auto" w:fill="auto"/>
            <w:vAlign w:val="center"/>
          </w:tcPr>
          <w:p w14:paraId="718980F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投标人业绩</w:t>
            </w:r>
          </w:p>
          <w:p w14:paraId="34E0867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要求</w:t>
            </w:r>
          </w:p>
        </w:tc>
        <w:tc>
          <w:tcPr>
            <w:tcW w:w="6785" w:type="dxa"/>
            <w:shd w:val="clear" w:color="auto" w:fill="auto"/>
            <w:vAlign w:val="center"/>
          </w:tcPr>
          <w:p w14:paraId="10E036BA">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2BD06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678" w:type="dxa"/>
            <w:shd w:val="clear" w:color="auto" w:fill="auto"/>
            <w:vAlign w:val="center"/>
          </w:tcPr>
          <w:p w14:paraId="40291D5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w:t>
            </w:r>
          </w:p>
        </w:tc>
        <w:tc>
          <w:tcPr>
            <w:tcW w:w="1036" w:type="dxa"/>
            <w:shd w:val="clear" w:color="auto" w:fill="auto"/>
            <w:vAlign w:val="center"/>
          </w:tcPr>
          <w:p w14:paraId="0783929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8.1</w:t>
            </w:r>
          </w:p>
        </w:tc>
        <w:tc>
          <w:tcPr>
            <w:tcW w:w="1485" w:type="dxa"/>
            <w:shd w:val="clear" w:color="auto" w:fill="auto"/>
            <w:vAlign w:val="center"/>
          </w:tcPr>
          <w:p w14:paraId="22168497">
            <w:pPr>
              <w:adjustRightInd w:val="0"/>
              <w:snapToGrid w:val="0"/>
              <w:ind w:left="-143" w:leftChars="-68" w:right="-126" w:rightChars="-6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投标人项目经理</w:t>
            </w:r>
          </w:p>
          <w:p w14:paraId="34D10334">
            <w:pPr>
              <w:adjustRightInd w:val="0"/>
              <w:snapToGrid w:val="0"/>
              <w:ind w:left="-143" w:leftChars="-68" w:right="-126" w:rightChars="-6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（建造师）要求</w:t>
            </w:r>
          </w:p>
        </w:tc>
        <w:tc>
          <w:tcPr>
            <w:tcW w:w="6785" w:type="dxa"/>
            <w:shd w:val="clear" w:color="auto" w:fill="auto"/>
            <w:vAlign w:val="center"/>
          </w:tcPr>
          <w:p w14:paraId="4D460FBF">
            <w:pPr>
              <w:topLinePunct/>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项目经理：</w:t>
            </w:r>
            <w:r>
              <w:rPr>
                <w:rFonts w:hint="eastAsia" w:ascii="宋体" w:hAnsi="宋体" w:eastAsia="宋体" w:cs="宋体"/>
                <w:color w:val="auto"/>
                <w:kern w:val="0"/>
                <w:szCs w:val="21"/>
                <w:highlight w:val="none"/>
                <w:u w:val="single"/>
              </w:rPr>
              <w:t xml:space="preserve">      </w:t>
            </w:r>
          </w:p>
          <w:p w14:paraId="4ACD3F71">
            <w:pPr>
              <w:topLinePunct/>
              <w:adjustRightInd w:val="0"/>
              <w:snapToGrid w:val="0"/>
              <w:spacing w:line="36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p w14:paraId="17EED796">
            <w:pPr>
              <w:topLinePunct/>
              <w:adjustRightInd w:val="0"/>
              <w:snapToGrid w:val="0"/>
              <w:spacing w:line="360" w:lineRule="auto"/>
              <w:rPr>
                <w:rFonts w:hint="eastAsia" w:ascii="宋体" w:hAnsi="宋体" w:eastAsia="宋体" w:cs="宋体"/>
                <w:strike/>
                <w:color w:val="auto"/>
                <w:kern w:val="0"/>
                <w:szCs w:val="21"/>
                <w:highlight w:val="none"/>
              </w:rPr>
            </w:pPr>
            <w:r>
              <w:rPr>
                <w:rFonts w:hint="eastAsia" w:ascii="宋体" w:hAnsi="宋体" w:eastAsia="宋体" w:cs="宋体"/>
                <w:color w:val="auto"/>
                <w:kern w:val="0"/>
                <w:szCs w:val="21"/>
                <w:highlight w:val="none"/>
                <w:u w:val="single"/>
                <w:lang w:val="en-US" w:eastAsia="zh-CN"/>
              </w:rPr>
              <w:t xml:space="preserve">是否将项目经理的资历、能力、信誉作为重要择优因素：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是</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lang w:val="en-US" w:eastAsia="zh-CN"/>
              </w:rPr>
              <w:t>否</w:t>
            </w:r>
          </w:p>
          <w:p w14:paraId="34360759">
            <w:pPr>
              <w:topLinePunct/>
              <w:adjustRightInd w:val="0"/>
              <w:snapToGrid w:val="0"/>
              <w:spacing w:line="360" w:lineRule="auto"/>
              <w:rPr>
                <w:rFonts w:hint="default"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注：1.招标人在任何一个环节（包括过多投标人淘汰、评标、定标等），将</w:t>
            </w:r>
            <w:r>
              <w:rPr>
                <w:rFonts w:hint="eastAsia" w:ascii="宋体" w:hAnsi="宋体" w:eastAsia="宋体" w:cs="宋体"/>
                <w:color w:val="auto"/>
                <w:kern w:val="0"/>
                <w:szCs w:val="21"/>
                <w:highlight w:val="none"/>
                <w:u w:val="single"/>
                <w:lang w:val="en-US" w:eastAsia="zh-CN"/>
              </w:rPr>
              <w:t>项目经理资历、能力、信誉作为择优因素的，不能勾选否。</w:t>
            </w:r>
          </w:p>
          <w:p w14:paraId="515AB8BB">
            <w:pPr>
              <w:topLinePunct/>
              <w:adjustRightInd w:val="0"/>
              <w:snapToGrid w:val="0"/>
              <w:spacing w:line="360" w:lineRule="auto"/>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2.招标人应督促投标人严格履行投标承诺，在招标文件（含合同）中明确投标人未履行投标承诺的违约责任</w:t>
            </w:r>
            <w:r>
              <w:rPr>
                <w:rStyle w:val="50"/>
                <w:rFonts w:hint="eastAsia" w:ascii="宋体" w:hAnsi="宋体" w:eastAsia="宋体" w:cs="宋体"/>
                <w:b w:val="0"/>
                <w:bCs w:val="0"/>
                <w:color w:val="auto"/>
                <w:kern w:val="0"/>
                <w:sz w:val="21"/>
                <w:szCs w:val="21"/>
                <w:highlight w:val="none"/>
                <w:lang w:val="en-US" w:eastAsia="zh-CN"/>
              </w:rPr>
              <w:t>[</w:t>
            </w:r>
            <w:r>
              <w:rPr>
                <w:rStyle w:val="50"/>
                <w:rFonts w:hint="eastAsia" w:ascii="宋体" w:hAnsi="宋体" w:eastAsia="宋体" w:cs="宋体"/>
                <w:b w:val="0"/>
                <w:bCs w:val="0"/>
                <w:color w:val="auto"/>
                <w:kern w:val="0"/>
                <w:sz w:val="21"/>
                <w:szCs w:val="21"/>
                <w:highlight w:val="none"/>
                <w:lang w:val="en-US" w:eastAsia="zh-CN"/>
              </w:rPr>
              <w:footnoteReference w:id="1"/>
            </w:r>
            <w:r>
              <w:rPr>
                <w:rStyle w:val="50"/>
                <w:rFonts w:hint="eastAsia" w:ascii="宋体" w:hAnsi="宋体" w:eastAsia="宋体" w:cs="宋体"/>
                <w:b w:val="0"/>
                <w:bCs w:val="0"/>
                <w:color w:val="auto"/>
                <w:kern w:val="0"/>
                <w:sz w:val="21"/>
                <w:szCs w:val="21"/>
                <w:highlight w:val="none"/>
                <w:lang w:val="en-US" w:eastAsia="zh-CN"/>
              </w:rPr>
              <w:t>]</w:t>
            </w:r>
            <w:r>
              <w:rPr>
                <w:rFonts w:hint="eastAsia" w:ascii="宋体" w:hAnsi="宋体" w:eastAsia="宋体" w:cs="宋体"/>
                <w:color w:val="auto"/>
                <w:szCs w:val="21"/>
                <w:highlight w:val="none"/>
                <w:u w:val="single"/>
                <w:lang w:val="en-US" w:eastAsia="zh-CN"/>
              </w:rPr>
              <w:t>：</w:t>
            </w:r>
          </w:p>
          <w:p w14:paraId="4AACC692">
            <w:pPr>
              <w:topLinePunct/>
              <w:adjustRightInd w:val="0"/>
              <w:snapToGrid w:val="0"/>
              <w:spacing w:line="360" w:lineRule="auto"/>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（1）</w:t>
            </w:r>
            <w:r>
              <w:rPr>
                <w:rFonts w:hint="default" w:ascii="宋体" w:hAnsi="宋体" w:eastAsia="宋体" w:cs="宋体"/>
                <w:color w:val="auto"/>
                <w:szCs w:val="21"/>
                <w:highlight w:val="none"/>
                <w:u w:val="single"/>
                <w:lang w:val="en-US" w:eastAsia="zh-CN"/>
              </w:rPr>
              <w:t>在取得施工许可或者相关主管部门批准开工（含开工备案）手续前，中标人确认项目经理无法到岗的，取消其中标资格并解除合同</w:t>
            </w:r>
            <w:r>
              <w:rPr>
                <w:rFonts w:hint="eastAsia" w:ascii="宋体" w:hAnsi="宋体" w:eastAsia="宋体" w:cs="宋体"/>
                <w:color w:val="auto"/>
                <w:szCs w:val="21"/>
                <w:highlight w:val="none"/>
                <w:u w:val="single"/>
                <w:lang w:val="en-US" w:eastAsia="zh-CN"/>
              </w:rPr>
              <w:t>。</w:t>
            </w:r>
          </w:p>
          <w:p w14:paraId="27EB93AC">
            <w:pPr>
              <w:topLinePunct/>
              <w:adjustRightInd w:val="0"/>
              <w:snapToGrid w:val="0"/>
              <w:spacing w:line="360" w:lineRule="auto"/>
              <w:rPr>
                <w:rFonts w:hint="eastAsia" w:ascii="宋体" w:hAnsi="宋体" w:eastAsia="宋体" w:cs="宋体"/>
                <w:strike/>
                <w:color w:val="auto"/>
                <w:kern w:val="0"/>
                <w:szCs w:val="21"/>
                <w:highlight w:val="none"/>
                <w:lang w:val="en-US" w:eastAsia="zh-CN"/>
              </w:rPr>
            </w:pPr>
            <w:r>
              <w:rPr>
                <w:rFonts w:hint="eastAsia" w:ascii="宋体" w:hAnsi="宋体" w:eastAsia="宋体" w:cs="宋体"/>
                <w:color w:val="auto"/>
                <w:szCs w:val="21"/>
                <w:highlight w:val="none"/>
                <w:u w:val="single"/>
                <w:lang w:val="en-US" w:eastAsia="zh-CN"/>
              </w:rPr>
              <w:t>（2）取得上述</w:t>
            </w:r>
            <w:r>
              <w:rPr>
                <w:rFonts w:hint="default" w:ascii="宋体" w:hAnsi="宋体" w:eastAsia="宋体" w:cs="宋体"/>
                <w:color w:val="auto"/>
                <w:szCs w:val="21"/>
                <w:highlight w:val="none"/>
                <w:u w:val="single"/>
                <w:lang w:val="en-US" w:eastAsia="zh-CN"/>
              </w:rPr>
              <w:t>施工许可</w:t>
            </w:r>
            <w:r>
              <w:rPr>
                <w:rFonts w:hint="eastAsia" w:ascii="宋体" w:hAnsi="宋体" w:eastAsia="宋体" w:cs="宋体"/>
                <w:color w:val="auto"/>
                <w:szCs w:val="21"/>
                <w:highlight w:val="none"/>
                <w:u w:val="single"/>
                <w:lang w:val="en-US" w:eastAsia="zh-CN"/>
              </w:rPr>
              <w:t>或者开工手续后更换项目经理或管理团队成员的，约定处罚条款。</w:t>
            </w:r>
          </w:p>
        </w:tc>
      </w:tr>
      <w:tr w14:paraId="78E4B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678" w:type="dxa"/>
            <w:shd w:val="clear" w:color="auto" w:fill="auto"/>
            <w:vAlign w:val="center"/>
          </w:tcPr>
          <w:p w14:paraId="1ACB047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w:t>
            </w:r>
          </w:p>
        </w:tc>
        <w:tc>
          <w:tcPr>
            <w:tcW w:w="1036" w:type="dxa"/>
            <w:shd w:val="clear" w:color="auto" w:fill="auto"/>
            <w:vAlign w:val="center"/>
          </w:tcPr>
          <w:p w14:paraId="2EEEBCB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w:t>
            </w:r>
          </w:p>
        </w:tc>
        <w:tc>
          <w:tcPr>
            <w:tcW w:w="1485" w:type="dxa"/>
            <w:shd w:val="clear" w:color="auto" w:fill="auto"/>
            <w:vAlign w:val="center"/>
          </w:tcPr>
          <w:p w14:paraId="2631011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资格审查方式</w:t>
            </w:r>
          </w:p>
        </w:tc>
        <w:tc>
          <w:tcPr>
            <w:tcW w:w="6785" w:type="dxa"/>
            <w:shd w:val="clear" w:color="auto" w:fill="auto"/>
            <w:vAlign w:val="center"/>
          </w:tcPr>
          <w:p w14:paraId="2E87A2F5">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资格后审</w:t>
            </w:r>
          </w:p>
        </w:tc>
      </w:tr>
      <w:tr w14:paraId="68EE6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678" w:type="dxa"/>
            <w:shd w:val="clear" w:color="auto" w:fill="auto"/>
            <w:vAlign w:val="center"/>
          </w:tcPr>
          <w:p w14:paraId="444CAE5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14</w:t>
            </w:r>
          </w:p>
        </w:tc>
        <w:tc>
          <w:tcPr>
            <w:tcW w:w="1036" w:type="dxa"/>
            <w:shd w:val="clear" w:color="auto" w:fill="auto"/>
            <w:vAlign w:val="center"/>
          </w:tcPr>
          <w:p w14:paraId="196CB8E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1275CB3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工程量的确定方法</w:t>
            </w:r>
          </w:p>
        </w:tc>
        <w:tc>
          <w:tcPr>
            <w:tcW w:w="6785" w:type="dxa"/>
            <w:shd w:val="clear" w:color="auto" w:fill="auto"/>
            <w:vAlign w:val="center"/>
          </w:tcPr>
          <w:p w14:paraId="21CF5C8D">
            <w:pPr>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 w:val="21"/>
                <w:szCs w:val="21"/>
                <w:highlight w:val="none"/>
              </w:rPr>
              <w:t>国家各专业工程工程量计算标准及《深圳市建设工程工程量清单计价与计算标准应用指引》</w:t>
            </w:r>
          </w:p>
          <w:p w14:paraId="5A03AA6F">
            <w:pPr>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36AC7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678" w:type="dxa"/>
            <w:shd w:val="clear" w:color="auto" w:fill="auto"/>
            <w:vAlign w:val="center"/>
          </w:tcPr>
          <w:p w14:paraId="030D17F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w:t>
            </w:r>
          </w:p>
        </w:tc>
        <w:tc>
          <w:tcPr>
            <w:tcW w:w="1036" w:type="dxa"/>
            <w:shd w:val="clear" w:color="auto" w:fill="auto"/>
            <w:vAlign w:val="center"/>
          </w:tcPr>
          <w:p w14:paraId="7F59B4E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57AC9A6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工程计价方法</w:t>
            </w:r>
          </w:p>
        </w:tc>
        <w:tc>
          <w:tcPr>
            <w:tcW w:w="6785" w:type="dxa"/>
            <w:shd w:val="clear" w:color="auto" w:fill="auto"/>
            <w:vAlign w:val="center"/>
          </w:tcPr>
          <w:p w14:paraId="1C9C64E7">
            <w:pPr>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□综合单价法</w:t>
            </w:r>
          </w:p>
          <w:p w14:paraId="1FADA5E2">
            <w:pPr>
              <w:adjustRightInd w:val="0"/>
              <w:snapToGrid w:val="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总价包干</w:t>
            </w:r>
          </w:p>
          <w:p w14:paraId="694040CD">
            <w:pPr>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1F9DF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8" w:type="dxa"/>
            <w:shd w:val="clear" w:color="auto" w:fill="auto"/>
            <w:vAlign w:val="center"/>
          </w:tcPr>
          <w:p w14:paraId="19A0787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16</w:t>
            </w:r>
          </w:p>
        </w:tc>
        <w:tc>
          <w:tcPr>
            <w:tcW w:w="1036" w:type="dxa"/>
            <w:shd w:val="clear" w:color="auto" w:fill="auto"/>
            <w:vAlign w:val="center"/>
          </w:tcPr>
          <w:p w14:paraId="0C9DD28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1485" w:type="dxa"/>
            <w:shd w:val="clear" w:color="auto" w:fill="auto"/>
            <w:vAlign w:val="center"/>
          </w:tcPr>
          <w:p w14:paraId="585FE24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投标报价要求</w:t>
            </w:r>
          </w:p>
        </w:tc>
        <w:tc>
          <w:tcPr>
            <w:tcW w:w="6785" w:type="dxa"/>
            <w:shd w:val="clear" w:color="auto" w:fill="auto"/>
            <w:vAlign w:val="center"/>
          </w:tcPr>
          <w:p w14:paraId="3A0580B0">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kern w:val="0"/>
                <w:szCs w:val="21"/>
                <w:highlight w:val="none"/>
              </w:rPr>
              <w:t>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7E649E6B">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投标报价的其他要求：</w:t>
            </w:r>
            <w:r>
              <w:rPr>
                <w:rFonts w:hint="eastAsia" w:ascii="宋体" w:hAnsi="宋体" w:eastAsia="宋体" w:cs="宋体"/>
                <w:color w:val="auto"/>
                <w:kern w:val="0"/>
                <w:szCs w:val="21"/>
                <w:highlight w:val="none"/>
                <w:u w:val="single"/>
                <w:lang w:val="en-US" w:eastAsia="zh-CN"/>
              </w:rPr>
              <w:t xml:space="preserve">            </w:t>
            </w:r>
          </w:p>
          <w:p w14:paraId="09EDB6F7">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注：BIM应用费用在工程建设其他费中单独计列</w:t>
            </w:r>
            <w:r>
              <w:rPr>
                <w:rFonts w:ascii="宋体" w:hAnsi="宋体" w:eastAsia="宋体" w:cs="宋体"/>
                <w:color w:val="auto"/>
                <w:kern w:val="0"/>
                <w:szCs w:val="21"/>
                <w:highlight w:val="none"/>
              </w:rPr>
              <w:t>，</w:t>
            </w:r>
            <w:r>
              <w:rPr>
                <w:rFonts w:hint="eastAsia" w:ascii="宋体" w:hAnsi="宋体" w:eastAsia="宋体" w:cs="宋体"/>
                <w:color w:val="auto"/>
                <w:kern w:val="0"/>
                <w:szCs w:val="21"/>
                <w:highlight w:val="none"/>
              </w:rPr>
              <w:t>投标人在报价时应充分考虑实施BIM所需的</w:t>
            </w:r>
            <w:r>
              <w:rPr>
                <w:rFonts w:ascii="宋体" w:hAnsi="宋体" w:eastAsia="宋体" w:cs="宋体"/>
                <w:color w:val="auto"/>
                <w:kern w:val="0"/>
                <w:szCs w:val="21"/>
                <w:highlight w:val="none"/>
              </w:rPr>
              <w:t>软件、硬件、人员</w:t>
            </w:r>
            <w:r>
              <w:rPr>
                <w:rFonts w:hint="eastAsia" w:ascii="宋体" w:hAnsi="宋体" w:eastAsia="宋体" w:cs="宋体"/>
                <w:color w:val="auto"/>
                <w:kern w:val="0"/>
                <w:szCs w:val="21"/>
                <w:highlight w:val="none"/>
              </w:rPr>
              <w:t>等费用。</w:t>
            </w:r>
          </w:p>
        </w:tc>
      </w:tr>
      <w:tr w14:paraId="62306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678" w:type="dxa"/>
            <w:vMerge w:val="restart"/>
            <w:shd w:val="clear" w:color="auto" w:fill="auto"/>
            <w:vAlign w:val="center"/>
          </w:tcPr>
          <w:p w14:paraId="358A9AC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17</w:t>
            </w:r>
          </w:p>
        </w:tc>
        <w:tc>
          <w:tcPr>
            <w:tcW w:w="1036" w:type="dxa"/>
            <w:vMerge w:val="restart"/>
            <w:shd w:val="clear" w:color="auto" w:fill="auto"/>
            <w:vAlign w:val="center"/>
          </w:tcPr>
          <w:p w14:paraId="0B5DC47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w:t>
            </w:r>
          </w:p>
        </w:tc>
        <w:tc>
          <w:tcPr>
            <w:tcW w:w="1485" w:type="dxa"/>
            <w:vMerge w:val="restart"/>
            <w:shd w:val="clear" w:color="auto" w:fill="auto"/>
            <w:vAlign w:val="center"/>
          </w:tcPr>
          <w:p w14:paraId="6EEFCAA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w:t>
            </w:r>
          </w:p>
        </w:tc>
        <w:tc>
          <w:tcPr>
            <w:tcW w:w="6785" w:type="dxa"/>
            <w:shd w:val="clear" w:color="auto" w:fill="auto"/>
            <w:vAlign w:val="center"/>
          </w:tcPr>
          <w:p w14:paraId="1B1542C9">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投标保证金额:</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4285EA62">
            <w:pPr>
              <w:adjustRightInd w:val="0"/>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无需提供投标担保</w:t>
            </w:r>
          </w:p>
        </w:tc>
      </w:tr>
      <w:tr w14:paraId="7CB1B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678" w:type="dxa"/>
            <w:vMerge w:val="continue"/>
            <w:shd w:val="clear" w:color="auto" w:fill="auto"/>
            <w:vAlign w:val="center"/>
          </w:tcPr>
          <w:p w14:paraId="0326610A">
            <w:pPr>
              <w:adjustRightInd w:val="0"/>
              <w:snapToGrid w:val="0"/>
              <w:jc w:val="center"/>
              <w:rPr>
                <w:rFonts w:ascii="宋体" w:hAnsi="宋体" w:eastAsia="宋体" w:cs="宋体"/>
                <w:color w:val="auto"/>
                <w:kern w:val="0"/>
                <w:szCs w:val="21"/>
                <w:highlight w:val="none"/>
              </w:rPr>
            </w:pPr>
          </w:p>
        </w:tc>
        <w:tc>
          <w:tcPr>
            <w:tcW w:w="1036" w:type="dxa"/>
            <w:vMerge w:val="continue"/>
            <w:shd w:val="clear" w:color="auto" w:fill="auto"/>
            <w:vAlign w:val="center"/>
          </w:tcPr>
          <w:p w14:paraId="1A126AFF">
            <w:pPr>
              <w:adjustRightInd w:val="0"/>
              <w:snapToGrid w:val="0"/>
              <w:jc w:val="center"/>
              <w:rPr>
                <w:rFonts w:ascii="宋体" w:hAnsi="宋体" w:eastAsia="宋体" w:cs="宋体"/>
                <w:color w:val="auto"/>
                <w:kern w:val="0"/>
                <w:szCs w:val="21"/>
                <w:highlight w:val="none"/>
              </w:rPr>
            </w:pPr>
          </w:p>
        </w:tc>
        <w:tc>
          <w:tcPr>
            <w:tcW w:w="1485" w:type="dxa"/>
            <w:vMerge w:val="continue"/>
            <w:shd w:val="clear" w:color="auto" w:fill="auto"/>
            <w:vAlign w:val="center"/>
          </w:tcPr>
          <w:p w14:paraId="53F7EA03">
            <w:pPr>
              <w:adjustRightInd w:val="0"/>
              <w:snapToGrid w:val="0"/>
              <w:jc w:val="center"/>
              <w:rPr>
                <w:rFonts w:ascii="宋体" w:hAnsi="宋体" w:eastAsia="宋体" w:cs="宋体"/>
                <w:color w:val="auto"/>
                <w:kern w:val="0"/>
                <w:szCs w:val="21"/>
                <w:highlight w:val="none"/>
              </w:rPr>
            </w:pPr>
          </w:p>
        </w:tc>
        <w:tc>
          <w:tcPr>
            <w:tcW w:w="6785" w:type="dxa"/>
            <w:shd w:val="clear" w:color="auto" w:fill="auto"/>
            <w:vAlign w:val="center"/>
          </w:tcPr>
          <w:p w14:paraId="3CA82DC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是否推行差异化缴纳投标保证金：</w:t>
            </w:r>
            <w:r>
              <w:rPr>
                <w:rFonts w:hint="eastAsia" w:ascii="宋体" w:hAnsi="宋体" w:eastAsia="宋体" w:cs="宋体"/>
                <w:color w:val="auto"/>
                <w:kern w:val="0"/>
                <w:szCs w:val="21"/>
                <w:highlight w:val="none"/>
              </w:rPr>
              <w:t>□是    □否</w:t>
            </w:r>
          </w:p>
          <w:p w14:paraId="2153955D">
            <w:pPr>
              <w:adjustRightInd w:val="0"/>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推行差异化缴纳投标保证金的具体措施</w:t>
            </w:r>
            <w:r>
              <w:rPr>
                <w:rStyle w:val="50"/>
                <w:rFonts w:hint="eastAsia" w:ascii="宋体" w:hAnsi="宋体" w:eastAsia="宋体" w:cs="宋体"/>
                <w:color w:val="auto"/>
                <w:kern w:val="0"/>
                <w:szCs w:val="21"/>
                <w:highlight w:val="none"/>
                <w:lang w:val="en-US" w:eastAsia="zh-CN"/>
              </w:rPr>
              <w:t>[</w:t>
            </w:r>
            <w:r>
              <w:rPr>
                <w:rStyle w:val="50"/>
                <w:rFonts w:hint="eastAsia" w:ascii="宋体" w:hAnsi="宋体" w:eastAsia="宋体" w:cs="宋体"/>
                <w:color w:val="auto"/>
                <w:kern w:val="0"/>
                <w:szCs w:val="21"/>
                <w:highlight w:val="none"/>
                <w:lang w:val="en-US" w:eastAsia="zh-CN"/>
              </w:rPr>
              <w:footnoteReference w:id="2"/>
            </w:r>
            <w:r>
              <w:rPr>
                <w:rStyle w:val="50"/>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14:paraId="0D3460B0">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□投标截止日前，投标人为无失信记录中小微企业，采用投标保证金承诺函替代投标保证金。</w:t>
            </w:r>
          </w:p>
          <w:p w14:paraId="1CCC085F">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日前，投标人在深圳市建筑市场主体信用管理系统中信用等级为A时，采用投标保证金承诺函替代投标保证金；信用等级为B+时，减半缴纳投标保证金；采用联合体投标的，按联合体牵头单位在深圳市建筑市场主体信用管理系统中信用等级确定相应减免标准。</w:t>
            </w:r>
          </w:p>
          <w:p w14:paraId="12BB2A2D">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14:paraId="586B4925">
            <w:pPr>
              <w:adjustRightInd w:val="0"/>
              <w:snapToGrid w:val="0"/>
              <w:spacing w:line="360" w:lineRule="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投标人采用投标保证金承诺函替代投标保证金的，承诺函应包括企业规模、信用状况等内容，并对真实性负责。</w:t>
            </w:r>
          </w:p>
        </w:tc>
      </w:tr>
      <w:tr w14:paraId="24DD0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8" w:type="dxa"/>
            <w:vMerge w:val="continue"/>
            <w:shd w:val="clear" w:color="auto" w:fill="auto"/>
            <w:vAlign w:val="center"/>
          </w:tcPr>
          <w:p w14:paraId="20AE78EF">
            <w:pPr>
              <w:adjustRightInd w:val="0"/>
              <w:snapToGrid w:val="0"/>
              <w:jc w:val="center"/>
              <w:rPr>
                <w:rFonts w:ascii="宋体" w:hAnsi="宋体" w:eastAsia="宋体" w:cs="宋体"/>
                <w:color w:val="auto"/>
                <w:kern w:val="0"/>
                <w:szCs w:val="21"/>
                <w:highlight w:val="none"/>
              </w:rPr>
            </w:pPr>
          </w:p>
        </w:tc>
        <w:tc>
          <w:tcPr>
            <w:tcW w:w="1036" w:type="dxa"/>
            <w:vMerge w:val="continue"/>
            <w:shd w:val="clear" w:color="auto" w:fill="auto"/>
            <w:vAlign w:val="center"/>
          </w:tcPr>
          <w:p w14:paraId="66116145">
            <w:pPr>
              <w:adjustRightInd w:val="0"/>
              <w:snapToGrid w:val="0"/>
              <w:jc w:val="center"/>
              <w:rPr>
                <w:rFonts w:ascii="宋体" w:hAnsi="宋体" w:eastAsia="宋体" w:cs="宋体"/>
                <w:color w:val="auto"/>
                <w:kern w:val="0"/>
                <w:szCs w:val="21"/>
                <w:highlight w:val="none"/>
              </w:rPr>
            </w:pPr>
          </w:p>
        </w:tc>
        <w:tc>
          <w:tcPr>
            <w:tcW w:w="1485" w:type="dxa"/>
            <w:vMerge w:val="continue"/>
            <w:shd w:val="clear" w:color="auto" w:fill="auto"/>
            <w:vAlign w:val="center"/>
          </w:tcPr>
          <w:p w14:paraId="2FC9299D">
            <w:pPr>
              <w:adjustRightInd w:val="0"/>
              <w:snapToGrid w:val="0"/>
              <w:jc w:val="center"/>
              <w:rPr>
                <w:rFonts w:ascii="宋体" w:hAnsi="宋体" w:eastAsia="宋体" w:cs="宋体"/>
                <w:color w:val="auto"/>
                <w:kern w:val="0"/>
                <w:szCs w:val="21"/>
                <w:highlight w:val="none"/>
              </w:rPr>
            </w:pPr>
          </w:p>
        </w:tc>
        <w:tc>
          <w:tcPr>
            <w:tcW w:w="6785" w:type="dxa"/>
            <w:shd w:val="clear" w:color="auto" w:fill="auto"/>
            <w:vAlign w:val="center"/>
          </w:tcPr>
          <w:p w14:paraId="30ABB164">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3520BFB0">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14:paraId="4F9A1032">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14:paraId="1760E9A9">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14:paraId="17081402">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14:paraId="1957312D">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招标人可自主选择是否允许其他方式，如担保公司保函等，采用其他方式的应要求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14:paraId="0995462E">
            <w:pPr>
              <w:adjustRightInd w:val="0"/>
              <w:snapToGrid w:val="0"/>
              <w:spacing w:line="360" w:lineRule="auto"/>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2.鼓励投标人使用电子保函、保险。</w:t>
            </w:r>
          </w:p>
        </w:tc>
      </w:tr>
      <w:tr w14:paraId="434D4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0" w:hRule="atLeast"/>
          <w:jc w:val="center"/>
        </w:trPr>
        <w:tc>
          <w:tcPr>
            <w:tcW w:w="678" w:type="dxa"/>
            <w:shd w:val="clear" w:color="auto" w:fill="auto"/>
            <w:vAlign w:val="center"/>
          </w:tcPr>
          <w:p w14:paraId="65E76A3A">
            <w:pPr>
              <w:adjustRightInd w:val="0"/>
              <w:snapToGrid w:val="0"/>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18</w:t>
            </w:r>
          </w:p>
        </w:tc>
        <w:tc>
          <w:tcPr>
            <w:tcW w:w="1036" w:type="dxa"/>
            <w:shd w:val="clear" w:color="auto" w:fill="auto"/>
            <w:vAlign w:val="center"/>
          </w:tcPr>
          <w:p w14:paraId="0586936D">
            <w:pPr>
              <w:adjustRightInd w:val="0"/>
              <w:snapToGrid w:val="0"/>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18</w:t>
            </w:r>
          </w:p>
        </w:tc>
        <w:tc>
          <w:tcPr>
            <w:tcW w:w="1485" w:type="dxa"/>
            <w:shd w:val="clear" w:color="auto" w:fill="auto"/>
            <w:vAlign w:val="center"/>
          </w:tcPr>
          <w:p w14:paraId="190806A1">
            <w:pPr>
              <w:adjustRightInd w:val="0"/>
              <w:snapToGrid w:val="0"/>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投标文件组成</w:t>
            </w:r>
          </w:p>
        </w:tc>
        <w:tc>
          <w:tcPr>
            <w:tcW w:w="6785" w:type="dxa"/>
            <w:shd w:val="clear" w:color="auto" w:fill="auto"/>
            <w:vAlign w:val="center"/>
          </w:tcPr>
          <w:p w14:paraId="6C616650">
            <w:pPr>
              <w:adjustRightInd w:val="0"/>
              <w:snapToGrid w:val="0"/>
              <w:spacing w:line="360" w:lineRule="auto"/>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电子投标文件组成：资格审查文件标书1份</w:t>
            </w:r>
          </w:p>
          <w:p w14:paraId="2FC09D0E">
            <w:pPr>
              <w:adjustRightInd w:val="0"/>
              <w:snapToGrid w:val="0"/>
              <w:spacing w:line="360" w:lineRule="auto"/>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□资信标或资信内容1份</w:t>
            </w:r>
            <w:r>
              <w:rPr>
                <w:rFonts w:hint="eastAsia" w:ascii="宋体" w:hAnsi="宋体" w:eastAsia="宋体" w:cs="宋体"/>
                <w:color w:val="auto"/>
                <w:kern w:val="0"/>
                <w:szCs w:val="21"/>
                <w:highlight w:val="none"/>
                <w:lang w:eastAsia="zh-CN"/>
              </w:rPr>
              <w:t>；</w:t>
            </w:r>
          </w:p>
          <w:p w14:paraId="2870DCF2">
            <w:pPr>
              <w:adjustRightInd w:val="0"/>
              <w:snapToGrid w:val="0"/>
              <w:spacing w:line="360" w:lineRule="auto"/>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□商务标部分标书1份</w:t>
            </w:r>
            <w:r>
              <w:rPr>
                <w:rFonts w:hint="eastAsia" w:ascii="宋体" w:hAnsi="宋体" w:eastAsia="宋体" w:cs="宋体"/>
                <w:color w:val="auto"/>
                <w:kern w:val="0"/>
                <w:szCs w:val="21"/>
                <w:highlight w:val="none"/>
                <w:lang w:eastAsia="zh-CN"/>
              </w:rPr>
              <w:t>；</w:t>
            </w:r>
          </w:p>
          <w:p w14:paraId="324A36E1">
            <w:pPr>
              <w:adjustRightInd w:val="0"/>
              <w:snapToGrid w:val="0"/>
              <w:spacing w:line="360" w:lineRule="auto"/>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□技术标部分标书1份</w:t>
            </w:r>
            <w:r>
              <w:rPr>
                <w:rFonts w:hint="eastAsia" w:ascii="宋体" w:hAnsi="宋体" w:eastAsia="宋体" w:cs="宋体"/>
                <w:color w:val="auto"/>
                <w:kern w:val="0"/>
                <w:szCs w:val="21"/>
                <w:highlight w:val="none"/>
                <w:lang w:eastAsia="zh-CN"/>
              </w:rPr>
              <w:t>；</w:t>
            </w:r>
          </w:p>
          <w:p w14:paraId="552E7BF7">
            <w:pPr>
              <w:adjustRightInd w:val="0"/>
              <w:snapToGrid w:val="0"/>
              <w:spacing w:line="360" w:lineRule="auto"/>
              <w:jc w:val="left"/>
              <w:rPr>
                <w:rFonts w:hint="eastAsia" w:eastAsia="宋体"/>
                <w:color w:val="auto"/>
                <w:highlight w:val="none"/>
                <w:lang w:eastAsia="zh-CN"/>
              </w:rPr>
            </w:pPr>
            <w:r>
              <w:rPr>
                <w:rFonts w:hint="eastAsia" w:ascii="宋体" w:hAnsi="宋体" w:eastAsia="宋体" w:cs="宋体"/>
                <w:color w:val="auto"/>
                <w:kern w:val="0"/>
                <w:szCs w:val="21"/>
                <w:highlight w:val="none"/>
              </w:rPr>
              <w:sym w:font="Wingdings 2" w:char="00A3"/>
            </w:r>
            <w:r>
              <w:rPr>
                <w:rFonts w:ascii="宋体" w:hAnsi="宋体" w:eastAsia="宋体" w:cs="宋体"/>
                <w:color w:val="auto"/>
                <w:kern w:val="0"/>
                <w:szCs w:val="21"/>
                <w:highlight w:val="none"/>
              </w:rPr>
              <w:t>BIM标部分标书1份</w:t>
            </w:r>
            <w:r>
              <w:rPr>
                <w:rFonts w:hint="eastAsia" w:ascii="宋体" w:hAnsi="宋体" w:eastAsia="宋体" w:cs="宋体"/>
                <w:color w:val="auto"/>
                <w:kern w:val="0"/>
                <w:szCs w:val="21"/>
                <w:highlight w:val="none"/>
              </w:rPr>
              <w:t>（含BIM实施方案）</w:t>
            </w:r>
            <w:r>
              <w:rPr>
                <w:rFonts w:hint="eastAsia" w:ascii="宋体" w:hAnsi="宋体" w:eastAsia="宋体" w:cs="宋体"/>
                <w:color w:val="auto"/>
                <w:kern w:val="0"/>
                <w:szCs w:val="21"/>
                <w:highlight w:val="none"/>
                <w:lang w:eastAsia="zh-CN"/>
              </w:rPr>
              <w:t>。</w:t>
            </w:r>
          </w:p>
          <w:p w14:paraId="6267BC11">
            <w:pPr>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微软雅黑" w:hAnsi="微软雅黑" w:eastAsia="微软雅黑" w:cs="微软雅黑"/>
                <w:b/>
                <w:bCs/>
                <w:color w:val="auto"/>
                <w:sz w:val="18"/>
                <w:szCs w:val="18"/>
                <w:highlight w:val="none"/>
              </w:rPr>
              <w:t>本项目属于☐</w:t>
            </w:r>
            <w:r>
              <w:rPr>
                <w:rFonts w:hint="eastAsia"/>
                <w:b/>
                <w:bCs/>
                <w:color w:val="auto"/>
                <w:sz w:val="18"/>
                <w:szCs w:val="18"/>
                <w:highlight w:val="none"/>
              </w:rPr>
              <w:t xml:space="preserve">房建BIM项目  </w:t>
            </w:r>
            <w:r>
              <w:rPr>
                <w:rFonts w:hint="eastAsia" w:ascii="微软雅黑" w:hAnsi="微软雅黑" w:eastAsia="微软雅黑" w:cs="微软雅黑"/>
                <w:b/>
                <w:bCs/>
                <w:color w:val="auto"/>
                <w:sz w:val="18"/>
                <w:szCs w:val="18"/>
                <w:highlight w:val="none"/>
              </w:rPr>
              <w:t>☐</w:t>
            </w:r>
            <w:r>
              <w:rPr>
                <w:rFonts w:hint="eastAsia"/>
                <w:b/>
                <w:bCs/>
                <w:color w:val="auto"/>
                <w:sz w:val="18"/>
                <w:szCs w:val="18"/>
                <w:highlight w:val="none"/>
              </w:rPr>
              <w:t xml:space="preserve">市政基础设施BIM项目  </w:t>
            </w:r>
            <w:r>
              <w:rPr>
                <w:rFonts w:hint="eastAsia" w:ascii="微软雅黑" w:hAnsi="微软雅黑" w:eastAsia="微软雅黑" w:cs="微软雅黑"/>
                <w:b/>
                <w:bCs/>
                <w:color w:val="auto"/>
                <w:sz w:val="18"/>
                <w:szCs w:val="18"/>
                <w:highlight w:val="none"/>
              </w:rPr>
              <w:t>☐</w:t>
            </w:r>
            <w:r>
              <w:rPr>
                <w:rFonts w:hint="eastAsia"/>
                <w:b/>
                <w:bCs/>
                <w:color w:val="auto"/>
                <w:sz w:val="18"/>
                <w:szCs w:val="18"/>
                <w:highlight w:val="none"/>
              </w:rPr>
              <w:t>水务工程BIM项目</w:t>
            </w:r>
          </w:p>
          <w:p w14:paraId="27A07D3D">
            <w:pPr>
              <w:adjustRightInd w:val="0"/>
              <w:snapToGrid w:val="0"/>
              <w:spacing w:line="360" w:lineRule="auto"/>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lang w:eastAsia="zh-CN"/>
              </w:rPr>
              <w:t>招标人将同类工程经验（业绩）作为投标资格条件</w:t>
            </w:r>
            <w:r>
              <w:rPr>
                <w:rFonts w:hint="eastAsia" w:ascii="宋体" w:hAnsi="宋体" w:eastAsia="宋体" w:cs="宋体"/>
                <w:color w:val="auto"/>
                <w:kern w:val="0"/>
                <w:szCs w:val="21"/>
                <w:highlight w:val="none"/>
                <w:lang w:val="en-US" w:eastAsia="zh-CN"/>
              </w:rPr>
              <w:t>或者择优要素的，</w:t>
            </w:r>
            <w:r>
              <w:rPr>
                <w:rFonts w:hint="eastAsia" w:ascii="宋体" w:hAnsi="宋体" w:eastAsia="宋体" w:cs="宋体"/>
                <w:color w:val="auto"/>
                <w:kern w:val="0"/>
                <w:szCs w:val="21"/>
                <w:highlight w:val="none"/>
                <w:lang w:eastAsia="zh-CN"/>
              </w:rPr>
              <w:t>投标人应</w:t>
            </w:r>
            <w:r>
              <w:rPr>
                <w:rFonts w:hint="eastAsia" w:ascii="宋体" w:hAnsi="宋体" w:eastAsia="宋体" w:cs="宋体"/>
                <w:color w:val="auto"/>
                <w:kern w:val="0"/>
                <w:szCs w:val="21"/>
                <w:highlight w:val="none"/>
                <w:lang w:val="en-US" w:eastAsia="zh-CN"/>
              </w:rPr>
              <w:t>将</w:t>
            </w:r>
            <w:r>
              <w:rPr>
                <w:rFonts w:hint="eastAsia" w:ascii="宋体" w:hAnsi="宋体" w:eastAsia="宋体" w:cs="宋体"/>
                <w:color w:val="auto"/>
                <w:kern w:val="0"/>
                <w:szCs w:val="21"/>
                <w:highlight w:val="none"/>
                <w:lang w:eastAsia="zh-CN"/>
              </w:rPr>
              <w:t>同类工程经验（业绩）</w:t>
            </w:r>
            <w:r>
              <w:rPr>
                <w:rFonts w:hint="eastAsia" w:ascii="宋体" w:hAnsi="宋体" w:eastAsia="宋体" w:cs="宋体"/>
                <w:color w:val="auto"/>
                <w:kern w:val="0"/>
                <w:szCs w:val="21"/>
                <w:highlight w:val="none"/>
                <w:lang w:val="en-US" w:eastAsia="zh-CN"/>
              </w:rPr>
              <w:t>编入业绩文件中，</w:t>
            </w:r>
            <w:r>
              <w:rPr>
                <w:rFonts w:hint="eastAsia" w:ascii="宋体" w:hAnsi="宋体" w:eastAsia="宋体" w:cs="宋体"/>
                <w:color w:val="auto"/>
                <w:kern w:val="0"/>
                <w:szCs w:val="21"/>
                <w:highlight w:val="none"/>
                <w:lang w:eastAsia="zh-CN"/>
              </w:rPr>
              <w:t>在</w:t>
            </w:r>
            <w:r>
              <w:rPr>
                <w:rFonts w:hint="eastAsia" w:ascii="宋体" w:hAnsi="宋体" w:eastAsia="宋体" w:cs="宋体"/>
                <w:color w:val="auto"/>
                <w:kern w:val="0"/>
                <w:szCs w:val="21"/>
                <w:highlight w:val="none"/>
              </w:rPr>
              <w:t>资格审查结束后</w:t>
            </w:r>
            <w:r>
              <w:rPr>
                <w:rFonts w:hint="eastAsia" w:ascii="宋体" w:hAnsi="宋体" w:eastAsia="宋体" w:cs="宋体"/>
                <w:color w:val="auto"/>
                <w:kern w:val="0"/>
                <w:szCs w:val="21"/>
                <w:highlight w:val="none"/>
                <w:lang w:eastAsia="zh-CN"/>
              </w:rPr>
              <w:t>对外进行公示，</w:t>
            </w:r>
            <w:r>
              <w:rPr>
                <w:rFonts w:hint="eastAsia" w:ascii="宋体" w:hAnsi="宋体" w:eastAsia="宋体" w:cs="宋体"/>
                <w:color w:val="auto"/>
                <w:kern w:val="0"/>
                <w:szCs w:val="21"/>
                <w:highlight w:val="none"/>
                <w:lang w:val="en-US" w:eastAsia="zh-CN"/>
              </w:rPr>
              <w:t>未按规定提交的，招标人应按该投标人无相应业绩处理。</w:t>
            </w:r>
          </w:p>
          <w:p w14:paraId="3DB7B9F2">
            <w:pPr>
              <w:adjustRightInd w:val="0"/>
              <w:snapToGrid w:val="0"/>
              <w:spacing w:line="360" w:lineRule="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如窗口方式递交时应一式两份，以光盘形式（资格审查文件需单独刻盘封装）递交至</w:t>
            </w:r>
            <w:r>
              <w:rPr>
                <w:rFonts w:hint="eastAsia" w:ascii="宋体" w:hAnsi="宋体" w:eastAsia="宋体" w:cs="宋体"/>
                <w:color w:val="auto"/>
                <w:szCs w:val="21"/>
                <w:highlight w:val="none"/>
              </w:rPr>
              <w:t>深圳公共资源交易中心 深圳交易集团有限公司建设工程招标业务分公司/龙岗分公司/宝安分公司</w:t>
            </w:r>
            <w:r>
              <w:rPr>
                <w:rFonts w:hint="eastAsia" w:ascii="宋体" w:hAnsi="宋体" w:eastAsia="宋体" w:cs="宋体"/>
                <w:color w:val="auto"/>
                <w:kern w:val="0"/>
                <w:szCs w:val="21"/>
                <w:highlight w:val="none"/>
              </w:rPr>
              <w:t>窗口。</w:t>
            </w:r>
          </w:p>
        </w:tc>
      </w:tr>
      <w:tr w14:paraId="01919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7" w:hRule="atLeast"/>
          <w:jc w:val="center"/>
        </w:trPr>
        <w:tc>
          <w:tcPr>
            <w:tcW w:w="678" w:type="dxa"/>
            <w:shd w:val="clear" w:color="auto" w:fill="auto"/>
            <w:vAlign w:val="center"/>
          </w:tcPr>
          <w:p w14:paraId="2F2F4B3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19</w:t>
            </w:r>
          </w:p>
        </w:tc>
        <w:tc>
          <w:tcPr>
            <w:tcW w:w="1036" w:type="dxa"/>
            <w:shd w:val="clear" w:color="auto" w:fill="auto"/>
            <w:vAlign w:val="center"/>
          </w:tcPr>
          <w:p w14:paraId="0AC02C2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49EA82F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是否有危险性较大的分部分项工程</w:t>
            </w:r>
          </w:p>
        </w:tc>
        <w:tc>
          <w:tcPr>
            <w:tcW w:w="6785" w:type="dxa"/>
            <w:shd w:val="clear" w:color="auto" w:fill="auto"/>
            <w:vAlign w:val="center"/>
          </w:tcPr>
          <w:p w14:paraId="57EB694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    □否</w:t>
            </w:r>
          </w:p>
          <w:p w14:paraId="7DBF997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注：1.危险性较大的分部分项工程（以下简称危大工程）范围详见《广东省住房和城乡建设厅关于印发房屋市政工程危险性较大的分部分项工程安全管理实施细则的通知》（粤建规范〔2019〕2号）；</w:t>
            </w:r>
          </w:p>
          <w:p w14:paraId="41FC055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2.如是，招标人应填写《危大工程清单》（详见第九章投标文件格式--技术标编写目录及要求）；投标人根据工程实际特点，在技术标中补充完善危大工程清单并明确相应的安全管理措施。</w:t>
            </w:r>
          </w:p>
        </w:tc>
      </w:tr>
      <w:tr w14:paraId="2649B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8" w:type="dxa"/>
            <w:shd w:val="clear" w:color="auto" w:fill="auto"/>
            <w:vAlign w:val="center"/>
          </w:tcPr>
          <w:p w14:paraId="37BCDD1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w:t>
            </w:r>
          </w:p>
        </w:tc>
        <w:tc>
          <w:tcPr>
            <w:tcW w:w="1036" w:type="dxa"/>
            <w:shd w:val="clear" w:color="auto" w:fill="auto"/>
            <w:vAlign w:val="center"/>
          </w:tcPr>
          <w:p w14:paraId="7389E12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9.1</w:t>
            </w:r>
          </w:p>
        </w:tc>
        <w:tc>
          <w:tcPr>
            <w:tcW w:w="1485" w:type="dxa"/>
            <w:shd w:val="clear" w:color="auto" w:fill="auto"/>
            <w:vAlign w:val="center"/>
          </w:tcPr>
          <w:p w14:paraId="47E9BEF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踏勘现场</w:t>
            </w:r>
          </w:p>
        </w:tc>
        <w:tc>
          <w:tcPr>
            <w:tcW w:w="6785" w:type="dxa"/>
            <w:shd w:val="clear" w:color="auto" w:fill="auto"/>
            <w:vAlign w:val="center"/>
          </w:tcPr>
          <w:p w14:paraId="4FF685F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详细地点：</w:t>
            </w:r>
            <w:r>
              <w:rPr>
                <w:rFonts w:hint="eastAsia" w:ascii="宋体" w:hAnsi="宋体" w:eastAsia="宋体" w:cs="宋体"/>
                <w:bCs/>
                <w:color w:val="auto"/>
                <w:kern w:val="0"/>
                <w:szCs w:val="21"/>
                <w:highlight w:val="none"/>
                <w:u w:val="single"/>
              </w:rPr>
              <w:t xml:space="preserve">      </w:t>
            </w:r>
          </w:p>
        </w:tc>
      </w:tr>
      <w:tr w14:paraId="2FA8F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678" w:type="dxa"/>
            <w:shd w:val="clear" w:color="auto" w:fill="auto"/>
            <w:vAlign w:val="center"/>
          </w:tcPr>
          <w:p w14:paraId="19885F8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1036" w:type="dxa"/>
            <w:shd w:val="clear" w:color="auto" w:fill="auto"/>
            <w:vAlign w:val="center"/>
          </w:tcPr>
          <w:p w14:paraId="4584BF1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10.1</w:t>
            </w:r>
          </w:p>
        </w:tc>
        <w:tc>
          <w:tcPr>
            <w:tcW w:w="1485" w:type="dxa"/>
            <w:shd w:val="clear" w:color="auto" w:fill="auto"/>
            <w:vAlign w:val="center"/>
          </w:tcPr>
          <w:p w14:paraId="7E5F9D4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公布</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kern w:val="0"/>
                <w:szCs w:val="21"/>
                <w:highlight w:val="none"/>
              </w:rPr>
              <w:t>地址</w:t>
            </w:r>
          </w:p>
        </w:tc>
        <w:tc>
          <w:tcPr>
            <w:tcW w:w="6785" w:type="dxa"/>
            <w:shd w:val="clear" w:color="auto" w:fill="auto"/>
            <w:vAlign w:val="center"/>
          </w:tcPr>
          <w:p w14:paraId="4F84E9B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网址：深圳公共资源交易网</w:t>
            </w:r>
          </w:p>
        </w:tc>
      </w:tr>
      <w:tr w14:paraId="7DE04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8" w:type="dxa"/>
            <w:shd w:val="clear" w:color="auto" w:fill="auto"/>
            <w:vAlign w:val="center"/>
          </w:tcPr>
          <w:p w14:paraId="6C83C47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w:t>
            </w:r>
          </w:p>
        </w:tc>
        <w:tc>
          <w:tcPr>
            <w:tcW w:w="1036" w:type="dxa"/>
            <w:shd w:val="clear" w:color="auto" w:fill="auto"/>
            <w:vAlign w:val="center"/>
          </w:tcPr>
          <w:p w14:paraId="6EB825C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w:t>
            </w:r>
          </w:p>
        </w:tc>
        <w:tc>
          <w:tcPr>
            <w:tcW w:w="1485" w:type="dxa"/>
            <w:shd w:val="clear" w:color="auto" w:fill="auto"/>
            <w:vAlign w:val="center"/>
          </w:tcPr>
          <w:p w14:paraId="0FC83E6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投标文件递交</w:t>
            </w:r>
          </w:p>
        </w:tc>
        <w:tc>
          <w:tcPr>
            <w:tcW w:w="6785" w:type="dxa"/>
            <w:shd w:val="clear" w:color="auto" w:fill="auto"/>
            <w:vAlign w:val="center"/>
          </w:tcPr>
          <w:p w14:paraId="57C28920">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截止时间：</w:t>
            </w:r>
            <w:r>
              <w:rPr>
                <w:rFonts w:hint="eastAsia" w:ascii="宋体" w:hAnsi="宋体" w:eastAsia="宋体" w:cs="宋体"/>
                <w:color w:val="auto"/>
                <w:kern w:val="0"/>
                <w:szCs w:val="21"/>
                <w:highlight w:val="none"/>
                <w:u w:val="single"/>
              </w:rPr>
              <w:t xml:space="preserve">      </w:t>
            </w:r>
          </w:p>
          <w:p w14:paraId="1DC044A9">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递交方式：</w:t>
            </w:r>
          </w:p>
          <w:p w14:paraId="2B3A1048">
            <w:pPr>
              <w:adjustRightInd w:val="0"/>
              <w:snapToGrid w:val="0"/>
              <w:spacing w:line="36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电子招标投标交易平台</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网址：</w:t>
            </w:r>
            <w:r>
              <w:rPr>
                <w:rFonts w:hint="eastAsia" w:ascii="宋体" w:hAnsi="宋体" w:eastAsia="宋体" w:cs="宋体"/>
                <w:color w:val="auto"/>
                <w:kern w:val="0"/>
                <w:szCs w:val="21"/>
                <w:highlight w:val="none"/>
                <w:u w:val="single"/>
                <w:lang w:val="en-US" w:eastAsia="zh-CN"/>
              </w:rPr>
              <w:t xml:space="preserve">           </w:t>
            </w:r>
          </w:p>
          <w:p w14:paraId="1D46381E">
            <w:pPr>
              <w:adjustRightInd w:val="0"/>
              <w:snapToGrid w:val="0"/>
              <w:spacing w:line="36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lang w:val="en-US" w:eastAsia="zh-CN"/>
              </w:rPr>
              <w:t>方式</w:t>
            </w:r>
            <w:r>
              <w:rPr>
                <w:rFonts w:hint="eastAsia" w:ascii="宋体" w:hAnsi="宋体" w:eastAsia="宋体" w:cs="宋体"/>
                <w:color w:val="auto"/>
                <w:kern w:val="0"/>
                <w:szCs w:val="21"/>
                <w:highlight w:val="none"/>
              </w:rPr>
              <w:t>：</w:t>
            </w:r>
            <w:r>
              <w:rPr>
                <w:rFonts w:hint="eastAsia" w:ascii="宋体" w:hAnsi="宋体" w:eastAsia="宋体" w:cs="宋体"/>
                <w:i w:val="0"/>
                <w:iCs w:val="0"/>
                <w:color w:val="auto"/>
                <w:kern w:val="0"/>
                <w:szCs w:val="21"/>
                <w:highlight w:val="none"/>
                <w:u w:val="single"/>
              </w:rPr>
              <w:t xml:space="preserve">             </w:t>
            </w:r>
          </w:p>
        </w:tc>
      </w:tr>
      <w:tr w14:paraId="0AB66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678" w:type="dxa"/>
            <w:shd w:val="clear" w:color="auto" w:fill="auto"/>
            <w:vAlign w:val="center"/>
          </w:tcPr>
          <w:p w14:paraId="165ADA9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w:t>
            </w:r>
          </w:p>
        </w:tc>
        <w:tc>
          <w:tcPr>
            <w:tcW w:w="1036" w:type="dxa"/>
            <w:shd w:val="clear" w:color="auto" w:fill="auto"/>
            <w:vAlign w:val="center"/>
          </w:tcPr>
          <w:p w14:paraId="4059D27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w:t>
            </w:r>
          </w:p>
        </w:tc>
        <w:tc>
          <w:tcPr>
            <w:tcW w:w="1485" w:type="dxa"/>
            <w:shd w:val="clear" w:color="auto" w:fill="auto"/>
            <w:vAlign w:val="center"/>
          </w:tcPr>
          <w:p w14:paraId="1A7604D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6785" w:type="dxa"/>
            <w:shd w:val="clear" w:color="auto" w:fill="auto"/>
            <w:vAlign w:val="center"/>
          </w:tcPr>
          <w:p w14:paraId="20AC603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日历天（从投标截止之日算起）</w:t>
            </w:r>
          </w:p>
        </w:tc>
      </w:tr>
      <w:tr w14:paraId="5E131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678" w:type="dxa"/>
            <w:shd w:val="clear" w:color="auto" w:fill="auto"/>
            <w:vAlign w:val="center"/>
          </w:tcPr>
          <w:p w14:paraId="07D9148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w:t>
            </w:r>
          </w:p>
        </w:tc>
        <w:tc>
          <w:tcPr>
            <w:tcW w:w="1036" w:type="dxa"/>
            <w:shd w:val="clear" w:color="auto" w:fill="auto"/>
            <w:vAlign w:val="center"/>
          </w:tcPr>
          <w:p w14:paraId="13B85AA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56E2ABF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招标会议时间</w:t>
            </w:r>
          </w:p>
        </w:tc>
        <w:tc>
          <w:tcPr>
            <w:tcW w:w="6785" w:type="dxa"/>
            <w:shd w:val="clear" w:color="auto" w:fill="auto"/>
            <w:vAlign w:val="center"/>
          </w:tcPr>
          <w:p w14:paraId="28ACFE99">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资审会、开标会、评标会、定标会议时间及地点，在交易网进行查询。</w:t>
            </w:r>
          </w:p>
        </w:tc>
      </w:tr>
      <w:tr w14:paraId="6A266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8" w:hRule="atLeast"/>
          <w:jc w:val="center"/>
        </w:trPr>
        <w:tc>
          <w:tcPr>
            <w:tcW w:w="678" w:type="dxa"/>
            <w:vMerge w:val="restart"/>
            <w:shd w:val="clear" w:color="auto" w:fill="auto"/>
            <w:vAlign w:val="center"/>
          </w:tcPr>
          <w:p w14:paraId="606E5A4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w:t>
            </w:r>
          </w:p>
        </w:tc>
        <w:tc>
          <w:tcPr>
            <w:tcW w:w="1036" w:type="dxa"/>
            <w:vMerge w:val="restart"/>
            <w:shd w:val="clear" w:color="auto" w:fill="auto"/>
            <w:vAlign w:val="center"/>
          </w:tcPr>
          <w:p w14:paraId="419B4B5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27.6</w:t>
            </w:r>
          </w:p>
        </w:tc>
        <w:tc>
          <w:tcPr>
            <w:tcW w:w="1485" w:type="dxa"/>
            <w:vMerge w:val="restart"/>
            <w:shd w:val="clear" w:color="auto" w:fill="auto"/>
            <w:vAlign w:val="center"/>
          </w:tcPr>
          <w:p w14:paraId="23754B3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过多投标人淘汰环节（资格审查合格的投标人＞20名）</w:t>
            </w:r>
          </w:p>
        </w:tc>
        <w:tc>
          <w:tcPr>
            <w:tcW w:w="6785" w:type="dxa"/>
            <w:shd w:val="clear" w:color="auto" w:fill="auto"/>
            <w:vAlign w:val="center"/>
          </w:tcPr>
          <w:p w14:paraId="1966CB87">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14:paraId="57C11DF7">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由计算机随机产生</w:t>
            </w:r>
          </w:p>
          <w:p w14:paraId="43C5BE05">
            <w:pPr>
              <w:adjustRightInd w:val="0"/>
              <w:snapToGrid w:val="0"/>
              <w:spacing w:line="360" w:lineRule="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□招标人自行确定：</w:t>
            </w:r>
            <w:r>
              <w:rPr>
                <w:rFonts w:hint="eastAsia" w:ascii="宋体" w:hAnsi="宋体" w:eastAsia="宋体" w:cs="宋体"/>
                <w:color w:val="auto"/>
                <w:kern w:val="0"/>
                <w:szCs w:val="21"/>
                <w:highlight w:val="none"/>
                <w:u w:val="single"/>
              </w:rPr>
              <w:t xml:space="preserve">      </w:t>
            </w:r>
          </w:p>
        </w:tc>
      </w:tr>
      <w:tr w14:paraId="67E8D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8" w:hRule="atLeast"/>
          <w:jc w:val="center"/>
        </w:trPr>
        <w:tc>
          <w:tcPr>
            <w:tcW w:w="678" w:type="dxa"/>
            <w:vMerge w:val="continue"/>
            <w:shd w:val="clear" w:color="auto" w:fill="auto"/>
            <w:vAlign w:val="center"/>
          </w:tcPr>
          <w:p w14:paraId="77DC857D">
            <w:pPr>
              <w:adjustRightInd w:val="0"/>
              <w:snapToGrid w:val="0"/>
              <w:jc w:val="center"/>
              <w:rPr>
                <w:rFonts w:hint="eastAsia" w:ascii="宋体" w:hAnsi="宋体" w:eastAsia="宋体" w:cs="宋体"/>
                <w:color w:val="auto"/>
                <w:kern w:val="0"/>
                <w:szCs w:val="21"/>
                <w:highlight w:val="none"/>
              </w:rPr>
            </w:pPr>
          </w:p>
        </w:tc>
        <w:tc>
          <w:tcPr>
            <w:tcW w:w="1036" w:type="dxa"/>
            <w:vMerge w:val="continue"/>
            <w:shd w:val="clear" w:color="auto" w:fill="auto"/>
            <w:vAlign w:val="center"/>
          </w:tcPr>
          <w:p w14:paraId="58583C9E">
            <w:pPr>
              <w:adjustRightInd w:val="0"/>
              <w:snapToGrid w:val="0"/>
              <w:jc w:val="center"/>
              <w:rPr>
                <w:rFonts w:hint="eastAsia" w:ascii="宋体" w:hAnsi="宋体" w:eastAsia="宋体" w:cs="宋体"/>
                <w:color w:val="auto"/>
                <w:kern w:val="0"/>
                <w:szCs w:val="21"/>
                <w:highlight w:val="none"/>
              </w:rPr>
            </w:pPr>
          </w:p>
        </w:tc>
        <w:tc>
          <w:tcPr>
            <w:tcW w:w="1485" w:type="dxa"/>
            <w:vMerge w:val="continue"/>
            <w:shd w:val="clear" w:color="auto" w:fill="auto"/>
            <w:vAlign w:val="center"/>
          </w:tcPr>
          <w:p w14:paraId="74FFDAAF">
            <w:pPr>
              <w:adjustRightInd w:val="0"/>
              <w:snapToGrid w:val="0"/>
              <w:jc w:val="center"/>
              <w:rPr>
                <w:rFonts w:hint="eastAsia" w:ascii="宋体" w:hAnsi="宋体" w:eastAsia="宋体" w:cs="宋体"/>
                <w:color w:val="auto"/>
                <w:kern w:val="0"/>
                <w:szCs w:val="21"/>
                <w:highlight w:val="none"/>
              </w:rPr>
            </w:pPr>
          </w:p>
        </w:tc>
        <w:tc>
          <w:tcPr>
            <w:tcW w:w="6785" w:type="dxa"/>
            <w:shd w:val="clear" w:color="auto" w:fill="auto"/>
            <w:vAlign w:val="center"/>
          </w:tcPr>
          <w:p w14:paraId="762DADC7">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50"/>
                <w:rFonts w:hint="eastAsia" w:ascii="宋体" w:hAnsi="宋体" w:eastAsia="宋体" w:cs="宋体"/>
                <w:color w:val="auto"/>
                <w:kern w:val="0"/>
                <w:szCs w:val="21"/>
                <w:highlight w:val="none"/>
                <w:lang w:val="en-US" w:eastAsia="zh-CN"/>
              </w:rPr>
              <w:t>[</w:t>
            </w:r>
            <w:r>
              <w:rPr>
                <w:rStyle w:val="50"/>
                <w:rFonts w:hint="eastAsia" w:ascii="宋体" w:hAnsi="宋体" w:eastAsia="宋体" w:cs="宋体"/>
                <w:color w:val="auto"/>
                <w:kern w:val="0"/>
                <w:szCs w:val="21"/>
                <w:highlight w:val="none"/>
                <w:lang w:val="en-US" w:eastAsia="zh-CN"/>
              </w:rPr>
              <w:footnoteReference w:id="3"/>
            </w:r>
            <w:r>
              <w:rPr>
                <w:rStyle w:val="50"/>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0D986443">
            <w:pPr>
              <w:widowControl/>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14:paraId="5675E4E9">
            <w:pPr>
              <w:widowControl/>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拟派项目经理及管理团队成员的资历、能力、信誉，企业资质、业绩、履约等，具体择优因素由招标人根据实际确定。</w:t>
            </w:r>
          </w:p>
        </w:tc>
      </w:tr>
      <w:tr w14:paraId="7066C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678" w:type="dxa"/>
            <w:vMerge w:val="continue"/>
            <w:shd w:val="clear" w:color="auto" w:fill="auto"/>
            <w:vAlign w:val="center"/>
          </w:tcPr>
          <w:p w14:paraId="6C3E29F9">
            <w:pPr>
              <w:adjustRightInd w:val="0"/>
              <w:snapToGrid w:val="0"/>
              <w:jc w:val="center"/>
              <w:rPr>
                <w:rFonts w:ascii="宋体" w:hAnsi="宋体" w:eastAsia="宋体" w:cs="宋体"/>
                <w:color w:val="auto"/>
                <w:kern w:val="0"/>
                <w:szCs w:val="21"/>
                <w:highlight w:val="none"/>
              </w:rPr>
            </w:pPr>
          </w:p>
        </w:tc>
        <w:tc>
          <w:tcPr>
            <w:tcW w:w="1036" w:type="dxa"/>
            <w:vMerge w:val="continue"/>
            <w:shd w:val="clear" w:color="auto" w:fill="auto"/>
            <w:vAlign w:val="center"/>
          </w:tcPr>
          <w:p w14:paraId="2E9AF724">
            <w:pPr>
              <w:adjustRightInd w:val="0"/>
              <w:snapToGrid w:val="0"/>
              <w:jc w:val="center"/>
              <w:rPr>
                <w:rFonts w:ascii="宋体" w:hAnsi="宋体" w:eastAsia="宋体" w:cs="宋体"/>
                <w:color w:val="auto"/>
                <w:kern w:val="0"/>
                <w:szCs w:val="21"/>
                <w:highlight w:val="none"/>
              </w:rPr>
            </w:pPr>
          </w:p>
        </w:tc>
        <w:tc>
          <w:tcPr>
            <w:tcW w:w="1485" w:type="dxa"/>
            <w:vMerge w:val="continue"/>
            <w:shd w:val="clear" w:color="auto" w:fill="auto"/>
            <w:vAlign w:val="center"/>
          </w:tcPr>
          <w:p w14:paraId="7F024B56">
            <w:pPr>
              <w:adjustRightInd w:val="0"/>
              <w:snapToGrid w:val="0"/>
              <w:jc w:val="center"/>
              <w:rPr>
                <w:rFonts w:ascii="宋体" w:hAnsi="宋体" w:eastAsia="宋体" w:cs="宋体"/>
                <w:color w:val="auto"/>
                <w:kern w:val="0"/>
                <w:szCs w:val="21"/>
                <w:highlight w:val="none"/>
              </w:rPr>
            </w:pPr>
          </w:p>
        </w:tc>
        <w:tc>
          <w:tcPr>
            <w:tcW w:w="6785" w:type="dxa"/>
            <w:shd w:val="clear" w:color="auto" w:fill="auto"/>
            <w:vAlign w:val="center"/>
          </w:tcPr>
          <w:p w14:paraId="6BE6DBBD">
            <w:pPr>
              <w:adjustRightInd w:val="0"/>
              <w:snapToGrid w:val="0"/>
              <w:spacing w:line="360" w:lineRule="auto"/>
              <w:ind w:firstLine="0" w:firstLineChars="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过多投标人淘汰方式：</w:t>
            </w:r>
          </w:p>
          <w:p w14:paraId="7DF86D5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  □逐轮票决  </w:t>
            </w:r>
          </w:p>
          <w:p w14:paraId="4AE67FEF">
            <w:pPr>
              <w:adjustRightInd w:val="0"/>
              <w:snapToGrid w:val="0"/>
              <w:spacing w:line="360" w:lineRule="auto"/>
              <w:ind w:firstLine="420" w:firstLineChars="200"/>
              <w:rPr>
                <w:rFonts w:hint="eastAsia"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计算规则（采用直接票决或逐轮票决的）：简单多数。当被淘汰最后一名有并列情况以至超过应淘汰投标人数时，对此并列的投标人采取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r>
              <w:rPr>
                <w:rFonts w:hint="eastAsia" w:ascii="宋体" w:hAnsi="宋体" w:eastAsia="宋体" w:cs="宋体"/>
                <w:color w:val="auto"/>
                <w:kern w:val="0"/>
                <w:szCs w:val="21"/>
                <w:highlight w:val="none"/>
              </w:rPr>
              <w:t>：</w:t>
            </w:r>
          </w:p>
        </w:tc>
      </w:tr>
      <w:tr w14:paraId="7A1A6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jc w:val="center"/>
        </w:trPr>
        <w:tc>
          <w:tcPr>
            <w:tcW w:w="678" w:type="dxa"/>
            <w:shd w:val="clear" w:color="auto" w:fill="auto"/>
            <w:vAlign w:val="center"/>
          </w:tcPr>
          <w:p w14:paraId="794B16D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w:t>
            </w:r>
          </w:p>
        </w:tc>
        <w:tc>
          <w:tcPr>
            <w:tcW w:w="1036" w:type="dxa"/>
            <w:shd w:val="clear" w:color="auto" w:fill="auto"/>
            <w:vAlign w:val="center"/>
          </w:tcPr>
          <w:p w14:paraId="3F583F9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29.1</w:t>
            </w:r>
          </w:p>
        </w:tc>
        <w:tc>
          <w:tcPr>
            <w:tcW w:w="1485" w:type="dxa"/>
            <w:shd w:val="clear" w:color="auto" w:fill="auto"/>
            <w:vAlign w:val="center"/>
          </w:tcPr>
          <w:p w14:paraId="19F15F3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评标方法</w:t>
            </w:r>
          </w:p>
          <w:p w14:paraId="450FBDE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及标准</w:t>
            </w:r>
          </w:p>
        </w:tc>
        <w:tc>
          <w:tcPr>
            <w:tcW w:w="6785" w:type="dxa"/>
            <w:shd w:val="clear" w:color="auto" w:fill="auto"/>
            <w:vAlign w:val="center"/>
          </w:tcPr>
          <w:p w14:paraId="72345DC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rPr>
              <w:t>定性评审法</w:t>
            </w:r>
          </w:p>
          <w:p w14:paraId="2F47121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kern w:val="0"/>
                <w:szCs w:val="21"/>
                <w:highlight w:val="none"/>
              </w:rPr>
              <w:t>经建设、交通</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主管部门批准的其他方法:</w:t>
            </w:r>
            <w:r>
              <w:rPr>
                <w:rFonts w:hint="eastAsia" w:ascii="宋体" w:hAnsi="宋体" w:eastAsia="宋体" w:cs="宋体"/>
                <w:color w:val="auto"/>
                <w:kern w:val="0"/>
                <w:szCs w:val="21"/>
                <w:highlight w:val="none"/>
                <w:u w:val="single"/>
              </w:rPr>
              <w:t xml:space="preserve">       </w:t>
            </w:r>
          </w:p>
        </w:tc>
      </w:tr>
      <w:tr w14:paraId="54F71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jc w:val="center"/>
        </w:trPr>
        <w:tc>
          <w:tcPr>
            <w:tcW w:w="678" w:type="dxa"/>
            <w:shd w:val="clear" w:color="auto" w:fill="auto"/>
            <w:vAlign w:val="center"/>
          </w:tcPr>
          <w:p w14:paraId="6DD89DF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w:t>
            </w:r>
          </w:p>
        </w:tc>
        <w:tc>
          <w:tcPr>
            <w:tcW w:w="1036" w:type="dxa"/>
            <w:shd w:val="clear" w:color="auto" w:fill="auto"/>
            <w:vAlign w:val="center"/>
          </w:tcPr>
          <w:p w14:paraId="2596A78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3E9704B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专家推荐原则</w:t>
            </w:r>
          </w:p>
        </w:tc>
        <w:tc>
          <w:tcPr>
            <w:tcW w:w="6785" w:type="dxa"/>
            <w:shd w:val="clear" w:color="auto" w:fill="auto"/>
            <w:vAlign w:val="center"/>
          </w:tcPr>
          <w:p w14:paraId="4BC9ED99">
            <w:pPr>
              <w:numPr>
                <w:ilvl w:val="-1"/>
                <w:numId w:val="0"/>
              </w:num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招标人应根据项目实际合理设置评审要素，对专家评标质量提出要求，并明确专家推荐</w:t>
            </w:r>
            <w:r>
              <w:rPr>
                <w:rFonts w:hint="eastAsia" w:ascii="宋体" w:hAnsi="宋体" w:eastAsia="宋体" w:cs="宋体"/>
                <w:color w:val="auto"/>
                <w:kern w:val="0"/>
                <w:szCs w:val="21"/>
                <w:highlight w:val="none"/>
                <w:lang w:eastAsia="zh-CN"/>
              </w:rPr>
              <w:t>中标候选人</w:t>
            </w:r>
            <w:r>
              <w:rPr>
                <w:rFonts w:hint="eastAsia" w:ascii="宋体" w:hAnsi="宋体" w:eastAsia="宋体" w:cs="宋体"/>
                <w:color w:val="auto"/>
                <w:kern w:val="0"/>
                <w:szCs w:val="21"/>
                <w:highlight w:val="none"/>
                <w:lang w:val="en-US" w:eastAsia="zh-CN"/>
              </w:rPr>
              <w:t>的</w:t>
            </w:r>
            <w:r>
              <w:rPr>
                <w:rFonts w:hint="eastAsia" w:ascii="宋体" w:hAnsi="宋体" w:eastAsia="宋体" w:cs="宋体"/>
                <w:color w:val="auto"/>
                <w:kern w:val="0"/>
                <w:szCs w:val="21"/>
                <w:highlight w:val="none"/>
              </w:rPr>
              <w:t>原则</w:t>
            </w:r>
            <w:r>
              <w:rPr>
                <w:rStyle w:val="50"/>
                <w:rFonts w:hint="eastAsia" w:ascii="宋体" w:hAnsi="宋体" w:eastAsia="宋体" w:cs="宋体"/>
                <w:color w:val="auto"/>
                <w:kern w:val="0"/>
                <w:szCs w:val="21"/>
                <w:highlight w:val="none"/>
              </w:rPr>
              <w:t>[</w:t>
            </w:r>
            <w:r>
              <w:rPr>
                <w:rStyle w:val="50"/>
                <w:rFonts w:hint="eastAsia" w:ascii="宋体" w:hAnsi="宋体" w:eastAsia="宋体" w:cs="宋体"/>
                <w:color w:val="auto"/>
                <w:kern w:val="0"/>
                <w:szCs w:val="21"/>
                <w:highlight w:val="none"/>
              </w:rPr>
              <w:footnoteReference w:id="4"/>
            </w:r>
            <w:r>
              <w:rPr>
                <w:rStyle w:val="50"/>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2E0516E4">
            <w:pPr>
              <w:numPr>
                <w:ilvl w:val="-1"/>
                <w:numId w:val="0"/>
              </w:numPr>
              <w:adjustRightInd w:val="0"/>
              <w:snapToGrid w:val="0"/>
              <w:spacing w:line="360" w:lineRule="auto"/>
              <w:jc w:val="left"/>
              <w:rPr>
                <w:rFonts w:hint="eastAsia"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u w:val="single"/>
                <w:lang w:val="en-US" w:eastAsia="zh-CN"/>
              </w:rPr>
              <w:t>注：1.招标人应分别设置规则清晰、可操作性强的技术标和商务标推荐中标候选人原则。</w:t>
            </w:r>
          </w:p>
          <w:p w14:paraId="2455606D">
            <w:pPr>
              <w:numPr>
                <w:ilvl w:val="-1"/>
                <w:numId w:val="0"/>
              </w:numPr>
              <w:adjustRightInd w:val="0"/>
              <w:snapToGrid w:val="0"/>
              <w:spacing w:line="360" w:lineRule="auto"/>
              <w:jc w:val="left"/>
              <w:rPr>
                <w:rFonts w:hint="eastAsia"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u w:val="single"/>
                <w:lang w:val="en-US" w:eastAsia="zh-CN"/>
              </w:rPr>
              <w:t>2.技术复杂、专业性强或者有特殊要求的建设工程项目，可以重点考虑下列因素，</w:t>
            </w:r>
            <w:r>
              <w:rPr>
                <w:rFonts w:hint="eastAsia" w:ascii="宋体" w:hAnsi="宋体" w:eastAsia="宋体" w:cs="宋体"/>
                <w:color w:val="auto"/>
                <w:sz w:val="21"/>
                <w:szCs w:val="21"/>
                <w:highlight w:val="none"/>
                <w:lang w:val="en-US" w:eastAsia="zh-CN"/>
              </w:rPr>
              <w:t>具体因素由招标人根据实际确定。</w:t>
            </w:r>
          </w:p>
          <w:p w14:paraId="609AA88D">
            <w:pPr>
              <w:numPr>
                <w:ilvl w:val="-1"/>
                <w:numId w:val="0"/>
              </w:numPr>
              <w:adjustRightInd w:val="0"/>
              <w:snapToGrid w:val="0"/>
              <w:spacing w:line="360" w:lineRule="auto"/>
              <w:jc w:val="left"/>
              <w:rPr>
                <w:rFonts w:hint="eastAsia"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u w:val="single"/>
                <w:lang w:val="en-US" w:eastAsia="zh-CN"/>
              </w:rPr>
              <w:t>（1）技术标考虑工程建设重难点解决方案、项目管理人员配置、工程质量安全保障措施，以及四新（新材料、新设备、新工艺、新技术）技术应用等因素。</w:t>
            </w:r>
          </w:p>
          <w:p w14:paraId="0B819EDE">
            <w:pPr>
              <w:numPr>
                <w:ilvl w:val="-1"/>
                <w:numId w:val="0"/>
              </w:numPr>
              <w:adjustRightInd w:val="0"/>
              <w:snapToGrid w:val="0"/>
              <w:spacing w:line="360" w:lineRule="auto"/>
              <w:jc w:val="left"/>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u w:val="single"/>
                <w:lang w:val="en-US" w:eastAsia="zh-CN"/>
              </w:rPr>
              <w:t>（2）商务标坚持优质优价原则，避免恶性价格竞争。</w:t>
            </w:r>
          </w:p>
        </w:tc>
      </w:tr>
      <w:tr w14:paraId="06A8A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8" w:type="dxa"/>
            <w:shd w:val="clear" w:color="auto" w:fill="auto"/>
            <w:vAlign w:val="center"/>
          </w:tcPr>
          <w:p w14:paraId="1E1FA30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w:t>
            </w:r>
          </w:p>
        </w:tc>
        <w:tc>
          <w:tcPr>
            <w:tcW w:w="1036" w:type="dxa"/>
            <w:shd w:val="clear" w:color="auto" w:fill="auto"/>
            <w:vAlign w:val="center"/>
          </w:tcPr>
          <w:p w14:paraId="61A60D6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p>
        </w:tc>
        <w:tc>
          <w:tcPr>
            <w:tcW w:w="1485" w:type="dxa"/>
            <w:shd w:val="clear" w:color="auto" w:fill="auto"/>
            <w:vAlign w:val="center"/>
          </w:tcPr>
          <w:p w14:paraId="60E9645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评标地点</w:t>
            </w:r>
          </w:p>
        </w:tc>
        <w:tc>
          <w:tcPr>
            <w:tcW w:w="6785" w:type="dxa"/>
            <w:shd w:val="clear" w:color="auto" w:fill="auto"/>
            <w:vAlign w:val="center"/>
          </w:tcPr>
          <w:p w14:paraId="68A64FE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交易场所评标</w:t>
            </w:r>
          </w:p>
        </w:tc>
      </w:tr>
      <w:tr w14:paraId="7A251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678" w:type="dxa"/>
            <w:shd w:val="clear" w:color="auto" w:fill="auto"/>
            <w:vAlign w:val="center"/>
          </w:tcPr>
          <w:p w14:paraId="747EAA9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w:t>
            </w:r>
          </w:p>
        </w:tc>
        <w:tc>
          <w:tcPr>
            <w:tcW w:w="1036" w:type="dxa"/>
            <w:shd w:val="clear" w:color="auto" w:fill="auto"/>
            <w:vAlign w:val="center"/>
          </w:tcPr>
          <w:p w14:paraId="7E54176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30.1</w:t>
            </w:r>
          </w:p>
        </w:tc>
        <w:tc>
          <w:tcPr>
            <w:tcW w:w="1485" w:type="dxa"/>
            <w:shd w:val="clear" w:color="auto" w:fill="auto"/>
            <w:vAlign w:val="center"/>
          </w:tcPr>
          <w:p w14:paraId="77CB76D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w:t>
            </w:r>
          </w:p>
          <w:p w14:paraId="74E9542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的人员组成</w:t>
            </w:r>
          </w:p>
        </w:tc>
        <w:tc>
          <w:tcPr>
            <w:tcW w:w="6785" w:type="dxa"/>
            <w:shd w:val="clear" w:color="auto" w:fill="auto"/>
            <w:vAlign w:val="center"/>
          </w:tcPr>
          <w:p w14:paraId="33CB8BB0">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由招标人依法</w:t>
            </w:r>
            <w:r>
              <w:rPr>
                <w:rFonts w:hint="eastAsia" w:ascii="宋体" w:hAnsi="宋体" w:eastAsia="宋体" w:cs="宋体"/>
                <w:color w:val="auto"/>
                <w:kern w:val="0"/>
                <w:szCs w:val="21"/>
                <w:highlight w:val="none"/>
                <w:lang w:val="en-US" w:eastAsia="zh-CN"/>
              </w:rPr>
              <w:t>依规</w:t>
            </w:r>
            <w:r>
              <w:rPr>
                <w:rFonts w:hint="eastAsia" w:ascii="宋体" w:hAnsi="宋体" w:eastAsia="宋体" w:cs="宋体"/>
                <w:color w:val="auto"/>
                <w:kern w:val="0"/>
                <w:szCs w:val="21"/>
                <w:highlight w:val="none"/>
              </w:rPr>
              <w:t>组建</w:t>
            </w:r>
          </w:p>
          <w:p w14:paraId="387F3B2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注：采用BIM技术的招标项目</w:t>
            </w:r>
            <w:r>
              <w:rPr>
                <w:rFonts w:ascii="宋体" w:hAnsi="宋体" w:eastAsia="宋体" w:cs="宋体"/>
                <w:color w:val="auto"/>
                <w:kern w:val="0"/>
                <w:szCs w:val="21"/>
                <w:highlight w:val="none"/>
              </w:rPr>
              <w:t>，评标专家应</w:t>
            </w:r>
            <w:r>
              <w:rPr>
                <w:rFonts w:hint="eastAsia" w:ascii="宋体" w:hAnsi="宋体" w:eastAsia="宋体" w:cs="宋体"/>
                <w:color w:val="auto"/>
                <w:kern w:val="0"/>
                <w:szCs w:val="21"/>
                <w:highlight w:val="none"/>
              </w:rPr>
              <w:t>具备评审</w:t>
            </w:r>
            <w:r>
              <w:rPr>
                <w:rFonts w:ascii="宋体" w:hAnsi="宋体" w:eastAsia="宋体" w:cs="宋体"/>
                <w:color w:val="auto"/>
                <w:kern w:val="0"/>
                <w:szCs w:val="21"/>
                <w:highlight w:val="none"/>
              </w:rPr>
              <w:t>BIM</w:t>
            </w:r>
            <w:r>
              <w:rPr>
                <w:rFonts w:hint="eastAsia" w:ascii="宋体" w:hAnsi="宋体" w:eastAsia="宋体" w:cs="宋体"/>
                <w:color w:val="auto"/>
                <w:kern w:val="0"/>
                <w:szCs w:val="21"/>
                <w:highlight w:val="none"/>
              </w:rPr>
              <w:t>模型的能力</w:t>
            </w:r>
            <w:r>
              <w:rPr>
                <w:rFonts w:ascii="宋体" w:hAnsi="宋体" w:eastAsia="宋体" w:cs="宋体"/>
                <w:color w:val="auto"/>
                <w:kern w:val="0"/>
                <w:szCs w:val="21"/>
                <w:highlight w:val="none"/>
              </w:rPr>
              <w:t>。</w:t>
            </w:r>
          </w:p>
        </w:tc>
      </w:tr>
      <w:tr w14:paraId="601B4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678" w:type="dxa"/>
            <w:shd w:val="clear" w:color="auto" w:fill="auto"/>
            <w:vAlign w:val="center"/>
          </w:tcPr>
          <w:p w14:paraId="6D88797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w:t>
            </w:r>
          </w:p>
        </w:tc>
        <w:tc>
          <w:tcPr>
            <w:tcW w:w="1036" w:type="dxa"/>
            <w:shd w:val="clear" w:color="auto" w:fill="auto"/>
            <w:vAlign w:val="center"/>
          </w:tcPr>
          <w:p w14:paraId="3061C5D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44</w:t>
            </w:r>
          </w:p>
        </w:tc>
        <w:tc>
          <w:tcPr>
            <w:tcW w:w="1485" w:type="dxa"/>
            <w:shd w:val="clear" w:color="auto" w:fill="auto"/>
            <w:vAlign w:val="center"/>
          </w:tcPr>
          <w:p w14:paraId="30A75A6C">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6785" w:type="dxa"/>
            <w:shd w:val="clear" w:color="auto" w:fill="auto"/>
            <w:vAlign w:val="center"/>
          </w:tcPr>
          <w:p w14:paraId="686C48DA">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14:paraId="48EEC479">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项目定标方案：在报招标人内设（上级）的纪检监察机构（或督察机构）备案的基础上，于招标公告备案时上传至备案系统加密保存</w:t>
            </w:r>
            <w:r>
              <w:rPr>
                <w:rStyle w:val="50"/>
                <w:rFonts w:hint="eastAsia" w:ascii="宋体" w:hAnsi="宋体" w:eastAsia="宋体" w:cs="宋体"/>
                <w:color w:val="auto"/>
                <w:kern w:val="0"/>
                <w:szCs w:val="21"/>
                <w:highlight w:val="none"/>
              </w:rPr>
              <w:t>[</w:t>
            </w:r>
            <w:r>
              <w:rPr>
                <w:rStyle w:val="50"/>
                <w:rFonts w:hint="eastAsia" w:ascii="宋体" w:hAnsi="宋体" w:eastAsia="宋体" w:cs="宋体"/>
                <w:color w:val="auto"/>
                <w:kern w:val="0"/>
                <w:szCs w:val="21"/>
                <w:highlight w:val="none"/>
              </w:rPr>
              <w:footnoteReference w:id="5"/>
            </w:r>
            <w:r>
              <w:rPr>
                <w:rStyle w:val="50"/>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14:paraId="227FB58E">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 ：1.招标人应事先制定定标工作规则，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14:paraId="30432959">
            <w:pPr>
              <w:adjustRightInd w:val="0"/>
              <w:snapToGrid w:val="0"/>
              <w:spacing w:line="360" w:lineRule="auto"/>
              <w:jc w:val="left"/>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14:paraId="75CD3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678" w:type="dxa"/>
            <w:vMerge w:val="restart"/>
            <w:shd w:val="clear" w:color="auto" w:fill="auto"/>
            <w:vAlign w:val="center"/>
          </w:tcPr>
          <w:p w14:paraId="2DB8DA5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w:t>
            </w:r>
          </w:p>
        </w:tc>
        <w:tc>
          <w:tcPr>
            <w:tcW w:w="1036" w:type="dxa"/>
            <w:vMerge w:val="restart"/>
            <w:shd w:val="clear" w:color="auto" w:fill="auto"/>
            <w:vAlign w:val="center"/>
          </w:tcPr>
          <w:p w14:paraId="55B38C5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w:t>
            </w:r>
          </w:p>
        </w:tc>
        <w:tc>
          <w:tcPr>
            <w:tcW w:w="1485" w:type="dxa"/>
            <w:vMerge w:val="restart"/>
            <w:shd w:val="clear" w:color="auto" w:fill="auto"/>
            <w:vAlign w:val="center"/>
          </w:tcPr>
          <w:p w14:paraId="42ACF7D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定标方法</w:t>
            </w:r>
          </w:p>
        </w:tc>
        <w:tc>
          <w:tcPr>
            <w:tcW w:w="6785" w:type="dxa"/>
            <w:shd w:val="clear" w:color="auto" w:fill="auto"/>
            <w:vAlign w:val="center"/>
          </w:tcPr>
          <w:p w14:paraId="3073C88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 xml:space="preserve">直接票决定标法   </w:t>
            </w:r>
          </w:p>
          <w:p w14:paraId="2383C2F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75EA499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简单多数     □简单多数（且过半数）    □对比胜出</w:t>
            </w:r>
          </w:p>
        </w:tc>
      </w:tr>
      <w:tr w14:paraId="6CF87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678" w:type="dxa"/>
            <w:vMerge w:val="continue"/>
            <w:shd w:val="clear" w:color="auto" w:fill="auto"/>
            <w:vAlign w:val="center"/>
          </w:tcPr>
          <w:p w14:paraId="01640277">
            <w:pPr>
              <w:adjustRightInd w:val="0"/>
              <w:snapToGrid w:val="0"/>
              <w:spacing w:line="360" w:lineRule="auto"/>
              <w:ind w:firstLine="420" w:firstLineChars="200"/>
              <w:jc w:val="left"/>
              <w:rPr>
                <w:color w:val="auto"/>
                <w:highlight w:val="none"/>
              </w:rPr>
            </w:pPr>
          </w:p>
        </w:tc>
        <w:tc>
          <w:tcPr>
            <w:tcW w:w="1036" w:type="dxa"/>
            <w:vMerge w:val="continue"/>
            <w:shd w:val="clear" w:color="auto" w:fill="auto"/>
            <w:vAlign w:val="center"/>
          </w:tcPr>
          <w:p w14:paraId="5BB72CE6">
            <w:pPr>
              <w:adjustRightInd w:val="0"/>
              <w:snapToGrid w:val="0"/>
              <w:spacing w:line="360" w:lineRule="auto"/>
              <w:ind w:firstLine="420" w:firstLineChars="200"/>
              <w:jc w:val="left"/>
              <w:rPr>
                <w:color w:val="auto"/>
                <w:highlight w:val="none"/>
              </w:rPr>
            </w:pPr>
          </w:p>
        </w:tc>
        <w:tc>
          <w:tcPr>
            <w:tcW w:w="1485" w:type="dxa"/>
            <w:vMerge w:val="continue"/>
            <w:shd w:val="clear" w:color="auto" w:fill="auto"/>
            <w:vAlign w:val="center"/>
          </w:tcPr>
          <w:p w14:paraId="32887186">
            <w:pPr>
              <w:adjustRightInd w:val="0"/>
              <w:snapToGrid w:val="0"/>
              <w:spacing w:line="360" w:lineRule="auto"/>
              <w:ind w:firstLine="420" w:firstLineChars="200"/>
              <w:jc w:val="left"/>
              <w:rPr>
                <w:color w:val="auto"/>
                <w:highlight w:val="none"/>
              </w:rPr>
            </w:pPr>
          </w:p>
        </w:tc>
        <w:tc>
          <w:tcPr>
            <w:tcW w:w="6785" w:type="dxa"/>
            <w:shd w:val="clear" w:color="auto" w:fill="auto"/>
            <w:vAlign w:val="center"/>
          </w:tcPr>
          <w:p w14:paraId="01E60E20">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逐轮票决定标法</w:t>
            </w:r>
          </w:p>
          <w:p w14:paraId="3D7E64E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6662C7A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14:paraId="11FEC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678" w:type="dxa"/>
            <w:vMerge w:val="continue"/>
            <w:shd w:val="clear" w:color="auto" w:fill="auto"/>
            <w:vAlign w:val="center"/>
          </w:tcPr>
          <w:p w14:paraId="636CBAB0">
            <w:pPr>
              <w:adjustRightInd w:val="0"/>
              <w:snapToGrid w:val="0"/>
              <w:spacing w:line="360" w:lineRule="auto"/>
              <w:jc w:val="left"/>
              <w:rPr>
                <w:rFonts w:ascii="宋体" w:hAnsi="宋体" w:eastAsia="宋体" w:cs="宋体"/>
                <w:color w:val="auto"/>
                <w:kern w:val="0"/>
                <w:szCs w:val="21"/>
                <w:highlight w:val="none"/>
              </w:rPr>
            </w:pPr>
          </w:p>
        </w:tc>
        <w:tc>
          <w:tcPr>
            <w:tcW w:w="1036" w:type="dxa"/>
            <w:vMerge w:val="continue"/>
            <w:shd w:val="clear" w:color="auto" w:fill="auto"/>
            <w:vAlign w:val="center"/>
          </w:tcPr>
          <w:p w14:paraId="3AA964FF">
            <w:pPr>
              <w:adjustRightInd w:val="0"/>
              <w:snapToGrid w:val="0"/>
              <w:spacing w:line="360" w:lineRule="auto"/>
              <w:jc w:val="left"/>
              <w:rPr>
                <w:rFonts w:ascii="宋体" w:hAnsi="宋体" w:eastAsia="宋体" w:cs="宋体"/>
                <w:color w:val="auto"/>
                <w:kern w:val="0"/>
                <w:szCs w:val="21"/>
                <w:highlight w:val="none"/>
              </w:rPr>
            </w:pPr>
          </w:p>
        </w:tc>
        <w:tc>
          <w:tcPr>
            <w:tcW w:w="1485" w:type="dxa"/>
            <w:vMerge w:val="continue"/>
            <w:shd w:val="clear" w:color="auto" w:fill="auto"/>
            <w:vAlign w:val="center"/>
          </w:tcPr>
          <w:p w14:paraId="7026B347">
            <w:pPr>
              <w:adjustRightInd w:val="0"/>
              <w:snapToGrid w:val="0"/>
              <w:spacing w:line="360" w:lineRule="auto"/>
              <w:jc w:val="left"/>
              <w:rPr>
                <w:rFonts w:ascii="宋体" w:hAnsi="宋体" w:eastAsia="宋体" w:cs="宋体"/>
                <w:color w:val="auto"/>
                <w:kern w:val="0"/>
                <w:szCs w:val="21"/>
                <w:highlight w:val="none"/>
              </w:rPr>
            </w:pPr>
          </w:p>
        </w:tc>
        <w:tc>
          <w:tcPr>
            <w:tcW w:w="6785" w:type="dxa"/>
            <w:shd w:val="clear" w:color="auto" w:fill="auto"/>
            <w:vAlign w:val="center"/>
          </w:tcPr>
          <w:p w14:paraId="0054480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集体议事定标法</w:t>
            </w:r>
          </w:p>
        </w:tc>
      </w:tr>
      <w:tr w14:paraId="7192E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678" w:type="dxa"/>
            <w:vMerge w:val="continue"/>
            <w:shd w:val="clear" w:color="auto" w:fill="auto"/>
            <w:vAlign w:val="center"/>
          </w:tcPr>
          <w:p w14:paraId="75AD9C01">
            <w:pPr>
              <w:adjustRightInd w:val="0"/>
              <w:snapToGrid w:val="0"/>
              <w:spacing w:line="360" w:lineRule="auto"/>
              <w:jc w:val="left"/>
              <w:rPr>
                <w:rFonts w:ascii="宋体" w:hAnsi="宋体" w:eastAsia="宋体" w:cs="宋体"/>
                <w:color w:val="auto"/>
                <w:kern w:val="0"/>
                <w:szCs w:val="21"/>
                <w:highlight w:val="none"/>
              </w:rPr>
            </w:pPr>
          </w:p>
        </w:tc>
        <w:tc>
          <w:tcPr>
            <w:tcW w:w="1036" w:type="dxa"/>
            <w:vMerge w:val="continue"/>
            <w:shd w:val="clear" w:color="auto" w:fill="auto"/>
            <w:vAlign w:val="center"/>
          </w:tcPr>
          <w:p w14:paraId="2429E6B0">
            <w:pPr>
              <w:adjustRightInd w:val="0"/>
              <w:snapToGrid w:val="0"/>
              <w:spacing w:line="360" w:lineRule="auto"/>
              <w:jc w:val="left"/>
              <w:rPr>
                <w:rFonts w:ascii="宋体" w:hAnsi="宋体" w:eastAsia="宋体" w:cs="宋体"/>
                <w:color w:val="auto"/>
                <w:kern w:val="0"/>
                <w:szCs w:val="21"/>
                <w:highlight w:val="none"/>
              </w:rPr>
            </w:pPr>
          </w:p>
        </w:tc>
        <w:tc>
          <w:tcPr>
            <w:tcW w:w="1485" w:type="dxa"/>
            <w:vMerge w:val="continue"/>
            <w:shd w:val="clear" w:color="auto" w:fill="auto"/>
            <w:vAlign w:val="center"/>
          </w:tcPr>
          <w:p w14:paraId="55964432">
            <w:pPr>
              <w:adjustRightInd w:val="0"/>
              <w:snapToGrid w:val="0"/>
              <w:spacing w:line="360" w:lineRule="auto"/>
              <w:jc w:val="left"/>
              <w:rPr>
                <w:rFonts w:ascii="宋体" w:hAnsi="宋体" w:eastAsia="宋体" w:cs="宋体"/>
                <w:color w:val="auto"/>
                <w:kern w:val="0"/>
                <w:szCs w:val="21"/>
                <w:highlight w:val="none"/>
              </w:rPr>
            </w:pPr>
          </w:p>
        </w:tc>
        <w:tc>
          <w:tcPr>
            <w:tcW w:w="6785" w:type="dxa"/>
            <w:shd w:val="clear" w:color="auto" w:fill="auto"/>
            <w:vAlign w:val="center"/>
          </w:tcPr>
          <w:p w14:paraId="443FD87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经建设、交通</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主管部门批准的其他方法:</w:t>
            </w:r>
            <w:r>
              <w:rPr>
                <w:rFonts w:hint="eastAsia" w:ascii="宋体" w:hAnsi="宋体" w:eastAsia="宋体" w:cs="宋体"/>
                <w:color w:val="auto"/>
                <w:kern w:val="0"/>
                <w:szCs w:val="21"/>
                <w:highlight w:val="none"/>
                <w:u w:val="single"/>
              </w:rPr>
              <w:t xml:space="preserve">       </w:t>
            </w:r>
          </w:p>
        </w:tc>
      </w:tr>
      <w:tr w14:paraId="609F6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78" w:type="dxa"/>
            <w:vMerge w:val="restart"/>
            <w:shd w:val="clear" w:color="auto" w:fill="auto"/>
            <w:vAlign w:val="center"/>
          </w:tcPr>
          <w:p w14:paraId="56E4D90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w:t>
            </w:r>
          </w:p>
        </w:tc>
        <w:tc>
          <w:tcPr>
            <w:tcW w:w="1036" w:type="dxa"/>
            <w:vMerge w:val="restart"/>
            <w:shd w:val="clear" w:color="auto" w:fill="auto"/>
            <w:vAlign w:val="center"/>
          </w:tcPr>
          <w:p w14:paraId="7FDC543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w:t>
            </w:r>
          </w:p>
        </w:tc>
        <w:tc>
          <w:tcPr>
            <w:tcW w:w="1485" w:type="dxa"/>
            <w:vMerge w:val="restart"/>
            <w:shd w:val="clear" w:color="auto" w:fill="auto"/>
            <w:vAlign w:val="center"/>
          </w:tcPr>
          <w:p w14:paraId="5883938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履约担保</w:t>
            </w:r>
          </w:p>
        </w:tc>
        <w:tc>
          <w:tcPr>
            <w:tcW w:w="6785" w:type="dxa"/>
            <w:shd w:val="clear" w:color="auto" w:fill="auto"/>
            <w:vAlign w:val="center"/>
          </w:tcPr>
          <w:p w14:paraId="402C9F94">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w:t>
            </w:r>
            <w:r>
              <w:rPr>
                <w:rFonts w:hint="eastAsia" w:ascii="宋体" w:hAnsi="宋体" w:eastAsia="宋体" w:cs="宋体"/>
                <w:color w:val="auto"/>
                <w:kern w:val="0"/>
                <w:szCs w:val="21"/>
                <w:highlight w:val="none"/>
                <w:u w:val="single"/>
              </w:rPr>
              <w:t xml:space="preserve">      </w:t>
            </w:r>
          </w:p>
        </w:tc>
      </w:tr>
      <w:tr w14:paraId="428CC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78" w:type="dxa"/>
            <w:vMerge w:val="continue"/>
            <w:shd w:val="clear" w:color="auto" w:fill="auto"/>
            <w:vAlign w:val="center"/>
          </w:tcPr>
          <w:p w14:paraId="08B106D5">
            <w:pPr>
              <w:adjustRightInd w:val="0"/>
              <w:snapToGrid w:val="0"/>
              <w:jc w:val="center"/>
              <w:rPr>
                <w:rFonts w:ascii="宋体" w:hAnsi="宋体" w:eastAsia="宋体" w:cs="宋体"/>
                <w:color w:val="auto"/>
                <w:kern w:val="0"/>
                <w:szCs w:val="21"/>
                <w:highlight w:val="none"/>
              </w:rPr>
            </w:pPr>
          </w:p>
        </w:tc>
        <w:tc>
          <w:tcPr>
            <w:tcW w:w="1036" w:type="dxa"/>
            <w:vMerge w:val="continue"/>
            <w:shd w:val="clear" w:color="auto" w:fill="auto"/>
            <w:vAlign w:val="center"/>
          </w:tcPr>
          <w:p w14:paraId="051394B7">
            <w:pPr>
              <w:adjustRightInd w:val="0"/>
              <w:snapToGrid w:val="0"/>
              <w:jc w:val="center"/>
              <w:rPr>
                <w:rFonts w:ascii="宋体" w:hAnsi="宋体" w:eastAsia="宋体" w:cs="宋体"/>
                <w:color w:val="auto"/>
                <w:kern w:val="0"/>
                <w:szCs w:val="21"/>
                <w:highlight w:val="none"/>
              </w:rPr>
            </w:pPr>
          </w:p>
        </w:tc>
        <w:tc>
          <w:tcPr>
            <w:tcW w:w="1485" w:type="dxa"/>
            <w:vMerge w:val="continue"/>
            <w:shd w:val="clear" w:color="auto" w:fill="auto"/>
            <w:vAlign w:val="center"/>
          </w:tcPr>
          <w:p w14:paraId="6C9491C4">
            <w:pPr>
              <w:adjustRightInd w:val="0"/>
              <w:snapToGrid w:val="0"/>
              <w:jc w:val="center"/>
              <w:rPr>
                <w:rFonts w:ascii="宋体" w:hAnsi="宋体" w:eastAsia="宋体" w:cs="宋体"/>
                <w:color w:val="auto"/>
                <w:kern w:val="0"/>
                <w:szCs w:val="21"/>
                <w:highlight w:val="none"/>
              </w:rPr>
            </w:pPr>
          </w:p>
        </w:tc>
        <w:tc>
          <w:tcPr>
            <w:tcW w:w="6785" w:type="dxa"/>
            <w:shd w:val="clear" w:color="auto" w:fill="auto"/>
            <w:vAlign w:val="center"/>
          </w:tcPr>
          <w:p w14:paraId="289EC92B">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19A0042C">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□银行保函 □保证保险 □专业工程担保公司担保 </w:t>
            </w:r>
          </w:p>
        </w:tc>
      </w:tr>
      <w:tr w14:paraId="753A5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678" w:type="dxa"/>
            <w:vMerge w:val="restart"/>
            <w:shd w:val="clear" w:color="auto" w:fill="auto"/>
            <w:vAlign w:val="center"/>
          </w:tcPr>
          <w:p w14:paraId="1B28DB4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w:t>
            </w:r>
          </w:p>
        </w:tc>
        <w:tc>
          <w:tcPr>
            <w:tcW w:w="1036" w:type="dxa"/>
            <w:vMerge w:val="restart"/>
            <w:shd w:val="clear" w:color="auto" w:fill="auto"/>
            <w:vAlign w:val="center"/>
          </w:tcPr>
          <w:p w14:paraId="399F8CD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51.2</w:t>
            </w:r>
          </w:p>
        </w:tc>
        <w:tc>
          <w:tcPr>
            <w:tcW w:w="1485" w:type="dxa"/>
            <w:vMerge w:val="restart"/>
            <w:shd w:val="clear" w:color="auto" w:fill="auto"/>
            <w:vAlign w:val="center"/>
          </w:tcPr>
          <w:p w14:paraId="539F85C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支付担保</w:t>
            </w:r>
          </w:p>
        </w:tc>
        <w:tc>
          <w:tcPr>
            <w:tcW w:w="6785" w:type="dxa"/>
            <w:shd w:val="clear" w:color="auto" w:fill="auto"/>
            <w:vAlign w:val="center"/>
          </w:tcPr>
          <w:p w14:paraId="2E160AB9">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w:t>
            </w:r>
            <w:r>
              <w:rPr>
                <w:rFonts w:hint="eastAsia" w:ascii="宋体" w:hAnsi="宋体" w:eastAsia="宋体" w:cs="宋体"/>
                <w:color w:val="auto"/>
                <w:kern w:val="0"/>
                <w:szCs w:val="21"/>
                <w:highlight w:val="none"/>
                <w:u w:val="single"/>
              </w:rPr>
              <w:t xml:space="preserve">      </w:t>
            </w:r>
          </w:p>
        </w:tc>
      </w:tr>
      <w:tr w14:paraId="14C9A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jc w:val="center"/>
        </w:trPr>
        <w:tc>
          <w:tcPr>
            <w:tcW w:w="678" w:type="dxa"/>
            <w:vMerge w:val="continue"/>
            <w:shd w:val="clear" w:color="auto" w:fill="auto"/>
            <w:vAlign w:val="center"/>
          </w:tcPr>
          <w:p w14:paraId="4520B5A2">
            <w:pPr>
              <w:adjustRightInd w:val="0"/>
              <w:snapToGrid w:val="0"/>
              <w:jc w:val="center"/>
              <w:rPr>
                <w:rFonts w:ascii="宋体" w:hAnsi="宋体" w:eastAsia="宋体" w:cs="宋体"/>
                <w:color w:val="auto"/>
                <w:kern w:val="0"/>
                <w:szCs w:val="21"/>
                <w:highlight w:val="none"/>
              </w:rPr>
            </w:pPr>
          </w:p>
        </w:tc>
        <w:tc>
          <w:tcPr>
            <w:tcW w:w="1036" w:type="dxa"/>
            <w:vMerge w:val="continue"/>
            <w:shd w:val="clear" w:color="auto" w:fill="auto"/>
            <w:vAlign w:val="center"/>
          </w:tcPr>
          <w:p w14:paraId="02F9A4CB">
            <w:pPr>
              <w:adjustRightInd w:val="0"/>
              <w:snapToGrid w:val="0"/>
              <w:jc w:val="center"/>
              <w:rPr>
                <w:rFonts w:ascii="宋体" w:hAnsi="宋体" w:eastAsia="宋体" w:cs="宋体"/>
                <w:color w:val="auto"/>
                <w:kern w:val="0"/>
                <w:szCs w:val="21"/>
                <w:highlight w:val="none"/>
              </w:rPr>
            </w:pPr>
          </w:p>
        </w:tc>
        <w:tc>
          <w:tcPr>
            <w:tcW w:w="1485" w:type="dxa"/>
            <w:vMerge w:val="continue"/>
            <w:shd w:val="clear" w:color="auto" w:fill="auto"/>
            <w:vAlign w:val="center"/>
          </w:tcPr>
          <w:p w14:paraId="6AA0CE37">
            <w:pPr>
              <w:adjustRightInd w:val="0"/>
              <w:snapToGrid w:val="0"/>
              <w:jc w:val="center"/>
              <w:rPr>
                <w:rFonts w:ascii="宋体" w:hAnsi="宋体" w:eastAsia="宋体" w:cs="宋体"/>
                <w:color w:val="auto"/>
                <w:kern w:val="0"/>
                <w:szCs w:val="21"/>
                <w:highlight w:val="none"/>
              </w:rPr>
            </w:pPr>
          </w:p>
        </w:tc>
        <w:tc>
          <w:tcPr>
            <w:tcW w:w="6785" w:type="dxa"/>
            <w:shd w:val="clear" w:color="auto" w:fill="auto"/>
            <w:vAlign w:val="center"/>
          </w:tcPr>
          <w:p w14:paraId="4D3DF720">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6BE34EC2">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□银行保函 □保证保险 □专业工程担保公司担保 </w:t>
            </w:r>
          </w:p>
        </w:tc>
      </w:tr>
      <w:tr w14:paraId="7DFED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678" w:type="dxa"/>
            <w:shd w:val="clear" w:color="auto" w:fill="auto"/>
            <w:vAlign w:val="center"/>
          </w:tcPr>
          <w:p w14:paraId="1A7B752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34</w:t>
            </w:r>
          </w:p>
        </w:tc>
        <w:tc>
          <w:tcPr>
            <w:tcW w:w="1036" w:type="dxa"/>
            <w:shd w:val="clear" w:color="auto" w:fill="auto"/>
            <w:vAlign w:val="center"/>
          </w:tcPr>
          <w:p w14:paraId="2E8136E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48.1</w:t>
            </w:r>
          </w:p>
          <w:p w14:paraId="23F88D5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50.1</w:t>
            </w:r>
          </w:p>
        </w:tc>
        <w:tc>
          <w:tcPr>
            <w:tcW w:w="1485" w:type="dxa"/>
            <w:shd w:val="clear" w:color="auto" w:fill="auto"/>
            <w:vAlign w:val="center"/>
          </w:tcPr>
          <w:p w14:paraId="5CF7C0A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发出中标通知书及签订合同</w:t>
            </w:r>
          </w:p>
        </w:tc>
        <w:tc>
          <w:tcPr>
            <w:tcW w:w="6785" w:type="dxa"/>
            <w:shd w:val="clear" w:color="auto" w:fill="auto"/>
            <w:vAlign w:val="center"/>
          </w:tcPr>
          <w:p w14:paraId="3343507C">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招标人和中标人应当自中标通知书发出之日起三十日内，按照招标文件和中标人的投标文件签订合同（因投诉暂停的除外）。</w:t>
            </w:r>
          </w:p>
        </w:tc>
      </w:tr>
    </w:tbl>
    <w:p w14:paraId="2D790D56">
      <w:pPr>
        <w:adjustRightInd w:val="0"/>
        <w:snapToGrid w:val="0"/>
        <w:rPr>
          <w:rFonts w:hint="eastAsia" w:ascii="宋体" w:hAnsi="宋体" w:eastAsia="宋体" w:cs="宋体"/>
          <w:color w:val="auto"/>
          <w:szCs w:val="21"/>
          <w:highlight w:val="none"/>
        </w:rPr>
      </w:pPr>
    </w:p>
    <w:p w14:paraId="1F0399A0">
      <w:pPr>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备注：此前附表中的“条款号”相对应“三、招投标须知正文”中的条款，条款内容作为补充规定及注释，招标人及投标人应仔细阅读并参照执行。</w:t>
      </w:r>
    </w:p>
    <w:p w14:paraId="143E6FA6">
      <w:pPr>
        <w:spacing w:line="20" w:lineRule="exact"/>
        <w:rPr>
          <w:color w:val="auto"/>
          <w:highlight w:val="none"/>
        </w:rPr>
      </w:pPr>
      <w:r>
        <w:rPr>
          <w:color w:val="auto"/>
          <w:highlight w:val="none"/>
        </w:rPr>
        <w:br w:type="page"/>
      </w:r>
    </w:p>
    <w:p w14:paraId="569CC1FD">
      <w:pPr>
        <w:adjustRightInd w:val="0"/>
        <w:snapToGrid w:val="0"/>
        <w:spacing w:line="360" w:lineRule="auto"/>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（一）招标工程情况介绍</w:t>
      </w:r>
    </w:p>
    <w:p w14:paraId="7634F225">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（提示招标人：本章节为必填内容，招标人应当如实详细填写，并作为投标、评标的重要参考。如因招标人未填写或未如实填写本章节内容，造成的不利后果应由招标人承担。）</w:t>
      </w:r>
    </w:p>
    <w:p w14:paraId="354C76FC">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一、工程概况、工程规模、结构型式的介绍</w:t>
      </w:r>
    </w:p>
    <w:p w14:paraId="43849535">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1.工程地址：</w:t>
      </w:r>
    </w:p>
    <w:p w14:paraId="17C88AE5">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p>
    <w:p w14:paraId="0A92924E">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2.工程规模：</w:t>
      </w:r>
    </w:p>
    <w:p w14:paraId="11C13A17">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p>
    <w:p w14:paraId="673578A3">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 工期、质量及安全文明施工要求：</w:t>
      </w:r>
    </w:p>
    <w:p w14:paraId="1B115459">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p>
    <w:p w14:paraId="45C70D71">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4.现场条件及周围环境情况：</w:t>
      </w:r>
    </w:p>
    <w:p w14:paraId="6F184D9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p w14:paraId="206A7C2C">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5.工程地质情况：</w:t>
      </w:r>
    </w:p>
    <w:p w14:paraId="1AE80C8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p w14:paraId="28937C10">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6.工程主要部位特征：</w:t>
      </w:r>
    </w:p>
    <w:p w14:paraId="1DD0EF3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p w14:paraId="30658809">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7.其它：</w:t>
      </w:r>
    </w:p>
    <w:p w14:paraId="1D434CF7">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p w14:paraId="3FE1B8C0">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二、工程主要特点、技术要求、施工重点和难点、施工采用的新方法、新工艺和新材料等内容的介绍</w:t>
      </w:r>
    </w:p>
    <w:p w14:paraId="3183247D">
      <w:pPr>
        <w:tabs>
          <w:tab w:val="left" w:pos="720"/>
        </w:tabs>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p>
    <w:p w14:paraId="69E9EB74">
      <w:pPr>
        <w:adjustRightInd w:val="0"/>
        <w:snapToGrid w:val="0"/>
        <w:spacing w:line="360" w:lineRule="auto"/>
        <w:ind w:firstLine="422" w:firstLineChars="200"/>
        <w:rPr>
          <w:rFonts w:ascii="宋体" w:hAnsi="宋体" w:eastAsia="宋体" w:cs="宋体"/>
          <w:b/>
          <w:color w:val="auto"/>
          <w:szCs w:val="21"/>
          <w:highlight w:val="none"/>
        </w:rPr>
      </w:pPr>
    </w:p>
    <w:p w14:paraId="32553EDE">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三、与《招标文件》示范文本有较大变动的评标方法及主要条款的介绍</w:t>
      </w:r>
    </w:p>
    <w:p w14:paraId="49930CF5">
      <w:pPr>
        <w:tabs>
          <w:tab w:val="left" w:pos="720"/>
        </w:tabs>
        <w:adjustRightInd w:val="0"/>
        <w:snapToGrid w:val="0"/>
        <w:spacing w:line="360" w:lineRule="auto"/>
        <w:ind w:firstLine="420" w:firstLineChars="200"/>
        <w:rPr>
          <w:b/>
          <w:color w:val="auto"/>
          <w:szCs w:val="21"/>
          <w:highlight w:val="none"/>
          <w:u w:val="single"/>
        </w:rPr>
      </w:pPr>
      <w:r>
        <w:rPr>
          <w:rFonts w:hint="eastAsia" w:ascii="宋体" w:hAnsi="宋体" w:eastAsia="宋体" w:cs="宋体"/>
          <w:color w:val="auto"/>
          <w:szCs w:val="21"/>
          <w:highlight w:val="none"/>
        </w:rPr>
        <w:t>详见招标文件第三章。</w:t>
      </w:r>
      <w:r>
        <w:rPr>
          <w:color w:val="auto"/>
          <w:szCs w:val="21"/>
          <w:highlight w:val="none"/>
        </w:rPr>
        <w:br w:type="page"/>
      </w:r>
    </w:p>
    <w:p w14:paraId="0DC7CABD">
      <w:pPr>
        <w:adjustRightInd w:val="0"/>
        <w:snapToGrid w:val="0"/>
        <w:spacing w:line="360" w:lineRule="auto"/>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（二）招标投标分段限时投诉的规定</w:t>
      </w:r>
    </w:p>
    <w:p w14:paraId="022F2B9D">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14:paraId="723ED43C">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73号）、《深圳市工程建设项目招标投标活动异议和投诉处理办法》（深建规〔2025〕13号）的规定。</w:t>
      </w:r>
    </w:p>
    <w:p w14:paraId="5E4FC145">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https://zjj.sz.gov.cn/xxgk/ztzl/jsjd/），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14:paraId="1D9CD5F1">
      <w:pPr>
        <w:ind w:firstLine="420" w:firstLineChars="200"/>
        <w:rPr>
          <w:bCs/>
          <w:color w:val="auto"/>
          <w:szCs w:val="21"/>
          <w:highlight w:val="none"/>
        </w:rPr>
      </w:pPr>
      <w:r>
        <w:rPr>
          <w:bCs/>
          <w:color w:val="auto"/>
          <w:szCs w:val="21"/>
          <w:highlight w:val="none"/>
        </w:rPr>
        <w:br w:type="page"/>
      </w:r>
    </w:p>
    <w:p w14:paraId="24E9319B">
      <w:pPr>
        <w:adjustRightInd w:val="0"/>
        <w:snapToGrid w:val="0"/>
        <w:spacing w:line="360" w:lineRule="auto"/>
        <w:jc w:val="center"/>
        <w:outlineLvl w:val="1"/>
        <w:rPr>
          <w:rFonts w:ascii="黑体" w:hAnsi="黑体" w:eastAsia="黑体" w:cs="黑体"/>
          <w:bCs/>
          <w:color w:val="auto"/>
          <w:sz w:val="32"/>
          <w:szCs w:val="32"/>
          <w:highlight w:val="none"/>
        </w:rPr>
      </w:pPr>
      <w:bookmarkStart w:id="20" w:name="_Toc5615"/>
      <w:bookmarkStart w:id="21" w:name="_Toc24277"/>
      <w:bookmarkStart w:id="22" w:name="_Toc28395"/>
      <w:bookmarkStart w:id="23" w:name="_Toc3169"/>
      <w:bookmarkStart w:id="24" w:name="_Toc6954"/>
      <w:bookmarkStart w:id="25" w:name="_Toc26379"/>
      <w:r>
        <w:rPr>
          <w:rFonts w:hint="eastAsia" w:ascii="黑体" w:hAnsi="黑体" w:eastAsia="黑体" w:cs="黑体"/>
          <w:bCs/>
          <w:color w:val="auto"/>
          <w:sz w:val="32"/>
          <w:szCs w:val="32"/>
          <w:highlight w:val="none"/>
        </w:rPr>
        <w:t>二、投标文件否决性条款</w:t>
      </w:r>
      <w:bookmarkEnd w:id="20"/>
      <w:bookmarkEnd w:id="21"/>
      <w:bookmarkEnd w:id="22"/>
      <w:bookmarkEnd w:id="23"/>
      <w:bookmarkEnd w:id="24"/>
      <w:bookmarkEnd w:id="25"/>
    </w:p>
    <w:p w14:paraId="52FD4C67">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【提示招标人】</w:t>
      </w:r>
      <w:r>
        <w:rPr>
          <w:rFonts w:hint="eastAsia" w:ascii="宋体" w:hAnsi="宋体" w:eastAsia="宋体" w:cs="宋体"/>
          <w:bCs/>
          <w:color w:val="auto"/>
          <w:szCs w:val="21"/>
          <w:highlight w:val="none"/>
        </w:rPr>
        <w:t>如招标文件的澄清、答疑、补充文件中增加否决性条款的，招标人应当重新编写本章节内容，将新增否决性条款列入本章节，并发布新的完整的《投标文件否决性条款》。否则，增加的否决性条款无效。</w:t>
      </w:r>
    </w:p>
    <w:p w14:paraId="394FB26B">
      <w:pPr>
        <w:adjustRightInd w:val="0"/>
        <w:snapToGrid w:val="0"/>
        <w:spacing w:line="360" w:lineRule="auto"/>
        <w:ind w:firstLine="422" w:firstLineChars="200"/>
        <w:rPr>
          <w:rFonts w:ascii="宋体" w:hAnsi="宋体" w:eastAsia="宋体" w:cs="宋体"/>
          <w:bCs/>
          <w:color w:val="auto"/>
          <w:szCs w:val="21"/>
          <w:highlight w:val="none"/>
        </w:rPr>
      </w:pPr>
      <w:r>
        <w:rPr>
          <w:rFonts w:hint="eastAsia" w:ascii="宋体" w:hAnsi="宋体" w:eastAsia="宋体" w:cs="宋体"/>
          <w:b/>
          <w:bCs/>
          <w:color w:val="auto"/>
          <w:szCs w:val="21"/>
          <w:highlight w:val="none"/>
        </w:rPr>
        <w:t>【提示投标人和评标委员会】</w:t>
      </w:r>
      <w:r>
        <w:rPr>
          <w:rFonts w:hint="eastAsia" w:ascii="宋体" w:hAnsi="宋体" w:eastAsia="宋体" w:cs="宋体"/>
          <w:bCs/>
          <w:color w:val="auto"/>
          <w:szCs w:val="21"/>
          <w:highlight w:val="none"/>
        </w:rPr>
        <w:t>本章节是本工程招标文件（含招标文件的澄清、补充文件等）中涉及的所有否决性条款，否决性条款包括：招标文件不予受理（开标阶段）、无效标（初步评审）、废标（详细评审）条款。除出现以下情形外，投标文件的其他任何情形均不得作否决处理。招标文件中有关否决性条款的阐述与本章节不一致的，以本章节内容为准。</w:t>
      </w:r>
    </w:p>
    <w:p w14:paraId="54D1F9AB">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（一）开标阶段不予受理的情形：（由招标人或其委派人员负责判定）</w:t>
      </w:r>
    </w:p>
    <w:p w14:paraId="3ECE8C02">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color w:val="auto"/>
          <w:szCs w:val="21"/>
          <w:highlight w:val="none"/>
        </w:rPr>
        <w:t>逾期提交投标文件的；</w:t>
      </w:r>
    </w:p>
    <w:p w14:paraId="0D3FD0B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2.资格审查不合格的；</w:t>
      </w:r>
    </w:p>
    <w:p w14:paraId="4171A50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bCs/>
          <w:color w:val="auto"/>
          <w:szCs w:val="21"/>
          <w:highlight w:val="none"/>
        </w:rPr>
        <w:t>3.</w:t>
      </w:r>
      <w:r>
        <w:rPr>
          <w:rFonts w:hint="eastAsia" w:ascii="宋体" w:hAnsi="宋体" w:eastAsia="宋体" w:cs="宋体"/>
          <w:color w:val="auto"/>
          <w:szCs w:val="21"/>
          <w:highlight w:val="none"/>
        </w:rPr>
        <w:t>投标文件中各电子投标文件未加签有效数字证书或电子营业执照</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szCs w:val="21"/>
          <w:highlight w:val="none"/>
        </w:rPr>
        <w:t>；</w:t>
      </w:r>
    </w:p>
    <w:p w14:paraId="328106C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bCs/>
          <w:color w:val="auto"/>
          <w:szCs w:val="21"/>
          <w:highlight w:val="none"/>
        </w:rPr>
        <w:t>4.</w:t>
      </w:r>
      <w:r>
        <w:rPr>
          <w:rFonts w:hint="eastAsia" w:ascii="宋体" w:hAnsi="宋体" w:eastAsia="宋体" w:cs="宋体"/>
          <w:color w:val="auto"/>
          <w:szCs w:val="21"/>
          <w:highlight w:val="none"/>
        </w:rPr>
        <w:t>投标文件的投标报价高于公布</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lang w:val="en-US" w:eastAsia="zh-CN"/>
        </w:rPr>
        <w:t>或者不符合投标须知前附表第16项投标报价有关要求</w:t>
      </w:r>
      <w:r>
        <w:rPr>
          <w:rFonts w:hint="eastAsia" w:ascii="宋体" w:hAnsi="宋体" w:eastAsia="宋体" w:cs="宋体"/>
          <w:color w:val="auto"/>
          <w:szCs w:val="21"/>
          <w:highlight w:val="none"/>
        </w:rPr>
        <w:t>的；</w:t>
      </w:r>
    </w:p>
    <w:p w14:paraId="10172FFE">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5.投标文件承诺的工期超过招标文件中工期要求的；</w:t>
      </w:r>
    </w:p>
    <w:p w14:paraId="3891AABA">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color w:val="auto"/>
          <w:szCs w:val="21"/>
          <w:highlight w:val="none"/>
        </w:rPr>
        <w:t>6.项目经理（建造师）被建设行政主管部门给予红色警示且在警示期内的；</w:t>
      </w:r>
    </w:p>
    <w:p w14:paraId="6BA985C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7.投标人提交的电子标书格式不符合招标文件要求或开标后无法在交易平台读取导入的；</w:t>
      </w:r>
    </w:p>
    <w:p w14:paraId="4AB8394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8.组成联合体投标时，未提交联合体共同投标协议书的；</w:t>
      </w:r>
    </w:p>
    <w:p w14:paraId="29285F9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9.联合体各方在同一招标项目中以自己名义单独投标或者参加其他联合体投标的；</w:t>
      </w:r>
    </w:p>
    <w:p w14:paraId="1FC705C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10.单位负责人为同一人或者存在控股、管理关系的不同单位提交投标文件的，在资格审查阶段，当部分相关单位自愿退出后仍有两家或两家以上要求继续进入后续招投标环节的；</w:t>
      </w:r>
    </w:p>
    <w:p w14:paraId="18801751">
      <w:pPr>
        <w:adjustRightInd w:val="0"/>
        <w:snapToGrid w:val="0"/>
        <w:spacing w:line="360" w:lineRule="auto"/>
        <w:ind w:firstLine="420" w:firstLineChars="200"/>
        <w:rPr>
          <w:rFonts w:ascii="宋体" w:hAnsi="宋体" w:eastAsia="宋体" w:cs="宋体"/>
          <w:bCs/>
          <w:color w:val="auto"/>
          <w:szCs w:val="21"/>
          <w:highlight w:val="none"/>
          <w:u w:val="single"/>
        </w:rPr>
      </w:pPr>
      <w:r>
        <w:rPr>
          <w:rFonts w:hint="eastAsia" w:ascii="宋体" w:hAnsi="宋体" w:eastAsia="宋体" w:cs="宋体"/>
          <w:color w:val="auto"/>
          <w:szCs w:val="21"/>
          <w:highlight w:val="none"/>
        </w:rPr>
        <w:t>11.</w:t>
      </w:r>
      <w:r>
        <w:rPr>
          <w:rFonts w:hint="eastAsia" w:ascii="宋体" w:hAnsi="宋体" w:eastAsia="宋体" w:cs="宋体"/>
          <w:bCs/>
          <w:color w:val="auto"/>
          <w:szCs w:val="21"/>
          <w:highlight w:val="none"/>
        </w:rPr>
        <w:t>未按招标文件要求提交投标担保的；</w:t>
      </w:r>
    </w:p>
    <w:p w14:paraId="3673731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w:t>
      </w:r>
      <w:r>
        <w:rPr>
          <w:rFonts w:hint="eastAsia" w:ascii="宋体" w:hAnsi="宋体" w:eastAsia="宋体" w:cs="宋体"/>
          <w:bCs/>
          <w:color w:val="auto"/>
          <w:szCs w:val="21"/>
          <w:highlight w:val="none"/>
        </w:rPr>
        <w:t>投标人或相关</w:t>
      </w:r>
      <w:r>
        <w:rPr>
          <w:rFonts w:hint="eastAsia" w:ascii="宋体" w:hAnsi="宋体" w:eastAsia="宋体" w:cs="宋体"/>
          <w:bCs/>
          <w:color w:val="auto"/>
          <w:szCs w:val="21"/>
          <w:highlight w:val="none"/>
          <w:lang w:val="en-US" w:eastAsia="zh-CN"/>
        </w:rPr>
        <w:t>从业</w:t>
      </w:r>
      <w:r>
        <w:rPr>
          <w:rFonts w:hint="eastAsia" w:ascii="宋体" w:hAnsi="宋体" w:eastAsia="宋体" w:cs="宋体"/>
          <w:bCs/>
          <w:color w:val="auto"/>
          <w:szCs w:val="21"/>
          <w:highlight w:val="none"/>
        </w:rPr>
        <w:t>人员具有下列情形之一的：</w:t>
      </w:r>
    </w:p>
    <w:p w14:paraId="0421555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12.1近3年内（从招标公告发布之日起倒算）投标人或者其法定代表人有行贿犯罪记录的；</w:t>
      </w:r>
    </w:p>
    <w:p w14:paraId="6DE8A2B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12.2近1年内（从截标之日起倒算）因串通投标、转包、以他人名义投标或者违法分包等违法行为受到建设、交通或者财政部门行政处罚的；</w:t>
      </w:r>
    </w:p>
    <w:p w14:paraId="1DAC971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12.3因违反工程质量、安全生产管理规定等原因被建设部门给予红色警示且在警示期内的；</w:t>
      </w:r>
    </w:p>
    <w:p w14:paraId="33396F6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12.4拖欠工人工资被有关部门责令改正而未改正的；</w:t>
      </w:r>
    </w:p>
    <w:p w14:paraId="1C481AB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12.5依法应当拒绝投标的其他情形；</w:t>
      </w:r>
    </w:p>
    <w:p w14:paraId="697FAB3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szCs w:val="21"/>
          <w:highlight w:val="none"/>
        </w:rPr>
        <w:t>根据《关于建设工程招标投标改革的若干规定》（深府〔2015〕</w:t>
      </w:r>
      <w:r>
        <w:rPr>
          <w:rFonts w:ascii="宋体" w:hAnsi="宋体" w:eastAsia="宋体" w:cs="宋体"/>
          <w:color w:val="auto"/>
          <w:szCs w:val="21"/>
          <w:highlight w:val="none"/>
        </w:rPr>
        <w:t>73</w:t>
      </w:r>
      <w:r>
        <w:rPr>
          <w:rFonts w:hint="eastAsia" w:ascii="宋体" w:hAnsi="宋体" w:eastAsia="宋体" w:cs="宋体"/>
          <w:color w:val="auto"/>
          <w:szCs w:val="21"/>
          <w:highlight w:val="none"/>
        </w:rPr>
        <w:t>号）的规定，招标人可以拒绝下列情形之一的企业或者从业人员参与投标，勾选后本次招标下述</w:t>
      </w:r>
      <w:r>
        <w:rPr>
          <w:rFonts w:ascii="宋体" w:hAnsi="宋体" w:eastAsia="宋体" w:cs="宋体"/>
          <w:color w:val="auto"/>
          <w:szCs w:val="21"/>
          <w:highlight w:val="none"/>
        </w:rPr>
        <w:t>12.6</w:t>
      </w:r>
      <w:r>
        <w:rPr>
          <w:rFonts w:hint="eastAsia" w:ascii="宋体" w:hAnsi="宋体" w:eastAsia="宋体" w:cs="宋体"/>
          <w:color w:val="auto"/>
          <w:szCs w:val="21"/>
          <w:highlight w:val="none"/>
        </w:rPr>
        <w:t>至</w:t>
      </w:r>
      <w:r>
        <w:rPr>
          <w:rFonts w:ascii="宋体" w:hAnsi="宋体" w:eastAsia="宋体" w:cs="宋体"/>
          <w:color w:val="auto"/>
          <w:szCs w:val="21"/>
          <w:highlight w:val="none"/>
        </w:rPr>
        <w:t>12.9</w:t>
      </w:r>
      <w:r>
        <w:rPr>
          <w:rFonts w:hint="eastAsia" w:ascii="宋体" w:hAnsi="宋体" w:eastAsia="宋体" w:cs="宋体"/>
          <w:color w:val="auto"/>
          <w:szCs w:val="21"/>
          <w:highlight w:val="none"/>
        </w:rPr>
        <w:t>条款生效：</w:t>
      </w:r>
    </w:p>
    <w:p w14:paraId="66DA6D8E">
      <w:pPr>
        <w:adjustRightInd w:val="0"/>
        <w:snapToGrid w:val="0"/>
        <w:spacing w:line="360" w:lineRule="auto"/>
        <w:ind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12.6</w:t>
      </w:r>
      <w:r>
        <w:rPr>
          <w:rFonts w:hint="eastAsia" w:ascii="宋体" w:hAnsi="宋体" w:eastAsia="宋体" w:cs="宋体"/>
          <w:color w:val="auto"/>
          <w:szCs w:val="21"/>
          <w:highlight w:val="none"/>
        </w:rPr>
        <w:t>被建设或者交通部门信用评价为红色且正处在信用评价结果公示期内的；</w:t>
      </w:r>
    </w:p>
    <w:p w14:paraId="3635C4BD">
      <w:pPr>
        <w:adjustRightInd w:val="0"/>
        <w:snapToGrid w:val="0"/>
        <w:spacing w:line="360" w:lineRule="auto"/>
        <w:ind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12.7</w:t>
      </w:r>
      <w:r>
        <w:rPr>
          <w:rFonts w:hint="eastAsia" w:ascii="宋体" w:hAnsi="宋体" w:eastAsia="宋体" w:cs="宋体"/>
          <w:color w:val="auto"/>
          <w:szCs w:val="21"/>
          <w:highlight w:val="none"/>
        </w:rPr>
        <w:t>近</w:t>
      </w:r>
      <w:r>
        <w:rPr>
          <w:rFonts w:ascii="宋体" w:hAnsi="宋体" w:eastAsia="宋体" w:cs="宋体"/>
          <w:color w:val="auto"/>
          <w:szCs w:val="21"/>
          <w:highlight w:val="none"/>
        </w:rPr>
        <w:t>3</w:t>
      </w:r>
      <w:r>
        <w:rPr>
          <w:rFonts w:hint="eastAsia" w:ascii="宋体" w:hAnsi="宋体" w:eastAsia="宋体" w:cs="宋体"/>
          <w:color w:val="auto"/>
          <w:szCs w:val="21"/>
          <w:highlight w:val="none"/>
        </w:rPr>
        <w:t>年内（从截标之日起倒算）曾被本项目招标人履约评价为不合格的；</w:t>
      </w:r>
    </w:p>
    <w:p w14:paraId="030EB0FF">
      <w:pPr>
        <w:adjustRightInd w:val="0"/>
        <w:snapToGrid w:val="0"/>
        <w:spacing w:line="360" w:lineRule="auto"/>
        <w:ind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12.8</w:t>
      </w:r>
      <w:r>
        <w:rPr>
          <w:rFonts w:hint="eastAsia" w:ascii="宋体" w:hAnsi="宋体" w:eastAsia="宋体" w:cs="宋体"/>
          <w:color w:val="auto"/>
          <w:szCs w:val="21"/>
          <w:highlight w:val="none"/>
        </w:rPr>
        <w:t>近</w:t>
      </w:r>
      <w:r>
        <w:rPr>
          <w:rFonts w:ascii="宋体" w:hAnsi="宋体" w:eastAsia="宋体" w:cs="宋体"/>
          <w:color w:val="auto"/>
          <w:szCs w:val="21"/>
          <w:highlight w:val="none"/>
        </w:rPr>
        <w:t>2</w:t>
      </w:r>
      <w:r>
        <w:rPr>
          <w:rFonts w:hint="eastAsia" w:ascii="宋体" w:hAnsi="宋体" w:eastAsia="宋体" w:cs="宋体"/>
          <w:color w:val="auto"/>
          <w:szCs w:val="21"/>
          <w:highlight w:val="none"/>
        </w:rPr>
        <w:t>年内（从截标之日起倒算）曾有放弃中标资格、拒不签订合同、拒不提供履约担保情形的；</w:t>
      </w:r>
    </w:p>
    <w:p w14:paraId="203CF119">
      <w:pPr>
        <w:adjustRightInd w:val="0"/>
        <w:snapToGrid w:val="0"/>
        <w:spacing w:line="360" w:lineRule="auto"/>
        <w:ind w:firstLine="420" w:firstLineChars="200"/>
        <w:rPr>
          <w:rFonts w:ascii="宋体" w:hAnsi="宋体" w:eastAsia="宋体" w:cs="宋体"/>
          <w:color w:val="auto"/>
          <w:szCs w:val="21"/>
          <w:highlight w:val="none"/>
        </w:rPr>
      </w:pPr>
      <w:r>
        <w:rPr>
          <w:rFonts w:ascii="宋体" w:hAnsi="宋体" w:eastAsia="宋体" w:cs="宋体"/>
          <w:color w:val="auto"/>
          <w:szCs w:val="21"/>
          <w:highlight w:val="none"/>
        </w:rPr>
        <w:t>12.9</w:t>
      </w:r>
      <w:r>
        <w:rPr>
          <w:rFonts w:hint="eastAsia" w:ascii="宋体" w:hAnsi="宋体" w:eastAsia="宋体" w:cs="宋体"/>
          <w:color w:val="auto"/>
          <w:szCs w:val="21"/>
          <w:highlight w:val="none"/>
        </w:rPr>
        <w:t>因违反工程质量、安全生产管理规定，或者因串通投标、转包、以他人名义投标或者违法分包等违法行为，正在接受建设、交通或者财政部门立案调查的；</w:t>
      </w:r>
    </w:p>
    <w:p w14:paraId="7EF3251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sym w:font="Wingdings 2" w:char="00A3"/>
      </w:r>
      <w:r>
        <w:rPr>
          <w:rFonts w:hint="eastAsia" w:ascii="宋体" w:hAnsi="宋体" w:eastAsia="宋体" w:cs="宋体"/>
          <w:color w:val="auto"/>
          <w:szCs w:val="21"/>
          <w:highlight w:val="none"/>
        </w:rPr>
        <w:t>根据《深圳市</w:t>
      </w:r>
      <w:r>
        <w:rPr>
          <w:rFonts w:ascii="宋体" w:hAnsi="宋体" w:eastAsia="宋体" w:cs="宋体"/>
          <w:color w:val="auto"/>
          <w:szCs w:val="21"/>
          <w:highlight w:val="none"/>
        </w:rPr>
        <w:t>“</w:t>
      </w:r>
      <w:r>
        <w:rPr>
          <w:rFonts w:hint="eastAsia" w:ascii="宋体" w:hAnsi="宋体" w:eastAsia="宋体" w:cs="宋体"/>
          <w:color w:val="auto"/>
          <w:szCs w:val="21"/>
          <w:highlight w:val="none"/>
        </w:rPr>
        <w:t>十四五</w:t>
      </w:r>
      <w:r>
        <w:rPr>
          <w:rFonts w:ascii="宋体" w:hAnsi="宋体" w:eastAsia="宋体" w:cs="宋体"/>
          <w:color w:val="auto"/>
          <w:szCs w:val="21"/>
          <w:highlight w:val="none"/>
        </w:rPr>
        <w:t>”</w:t>
      </w:r>
      <w:r>
        <w:rPr>
          <w:rFonts w:hint="eastAsia" w:ascii="宋体" w:hAnsi="宋体" w:eastAsia="宋体" w:cs="宋体"/>
          <w:color w:val="auto"/>
          <w:szCs w:val="21"/>
          <w:highlight w:val="none"/>
        </w:rPr>
        <w:t>时期</w:t>
      </w:r>
      <w:r>
        <w:rPr>
          <w:rFonts w:ascii="宋体" w:hAnsi="宋体" w:eastAsia="宋体" w:cs="宋体"/>
          <w:color w:val="auto"/>
          <w:szCs w:val="21"/>
          <w:highlight w:val="none"/>
        </w:rPr>
        <w:t>“</w:t>
      </w:r>
      <w:r>
        <w:rPr>
          <w:rFonts w:hint="eastAsia" w:ascii="宋体" w:hAnsi="宋体" w:eastAsia="宋体" w:cs="宋体"/>
          <w:color w:val="auto"/>
          <w:szCs w:val="21"/>
          <w:highlight w:val="none"/>
        </w:rPr>
        <w:t>无废城市</w:t>
      </w:r>
      <w:r>
        <w:rPr>
          <w:rFonts w:ascii="宋体" w:hAnsi="宋体" w:eastAsia="宋体" w:cs="宋体"/>
          <w:color w:val="auto"/>
          <w:szCs w:val="21"/>
          <w:highlight w:val="none"/>
        </w:rPr>
        <w:t>”</w:t>
      </w:r>
      <w:r>
        <w:rPr>
          <w:rFonts w:hint="eastAsia" w:ascii="宋体" w:hAnsi="宋体" w:eastAsia="宋体" w:cs="宋体"/>
          <w:color w:val="auto"/>
          <w:szCs w:val="21"/>
          <w:highlight w:val="none"/>
        </w:rPr>
        <w:t>建设工作建筑废弃物治理领域实施方案》的规定，招标人可以拒绝下列情形的企业参与投标，勾选后</w:t>
      </w:r>
      <w:r>
        <w:rPr>
          <w:rFonts w:ascii="宋体" w:hAnsi="宋体" w:eastAsia="宋体" w:cs="宋体"/>
          <w:color w:val="auto"/>
          <w:szCs w:val="21"/>
          <w:highlight w:val="none"/>
        </w:rPr>
        <w:t>12.10</w:t>
      </w:r>
      <w:r>
        <w:rPr>
          <w:rFonts w:hint="eastAsia" w:ascii="宋体" w:hAnsi="宋体" w:eastAsia="宋体" w:cs="宋体"/>
          <w:color w:val="auto"/>
          <w:szCs w:val="21"/>
          <w:highlight w:val="none"/>
        </w:rPr>
        <w:t>条款生效：</w:t>
      </w:r>
    </w:p>
    <w:p w14:paraId="743D158F">
      <w:pPr>
        <w:adjustRightInd w:val="0"/>
        <w:snapToGrid w:val="0"/>
        <w:spacing w:line="360" w:lineRule="auto"/>
        <w:ind w:firstLine="420" w:firstLineChars="200"/>
        <w:rPr>
          <w:rFonts w:hint="eastAsia" w:ascii="宋体" w:hAnsi="宋体" w:eastAsia="宋体" w:cs="宋体"/>
          <w:color w:val="auto"/>
          <w:szCs w:val="21"/>
          <w:highlight w:val="none"/>
        </w:rPr>
      </w:pPr>
      <w:r>
        <w:rPr>
          <w:rFonts w:ascii="宋体" w:hAnsi="宋体" w:eastAsia="宋体" w:cs="宋体"/>
          <w:color w:val="auto"/>
          <w:szCs w:val="21"/>
          <w:highlight w:val="none"/>
        </w:rPr>
        <w:t>12.10</w:t>
      </w:r>
      <w:r>
        <w:rPr>
          <w:rFonts w:hint="eastAsia" w:ascii="宋体" w:hAnsi="宋体" w:eastAsia="宋体" w:cs="宋体"/>
          <w:color w:val="auto"/>
          <w:szCs w:val="21"/>
          <w:highlight w:val="none"/>
        </w:rPr>
        <w:t>近</w:t>
      </w:r>
      <w:r>
        <w:rPr>
          <w:rFonts w:ascii="宋体" w:hAnsi="宋体" w:eastAsia="宋体" w:cs="宋体"/>
          <w:color w:val="auto"/>
          <w:szCs w:val="21"/>
          <w:highlight w:val="none"/>
        </w:rPr>
        <w:t>1</w:t>
      </w:r>
      <w:r>
        <w:rPr>
          <w:rFonts w:hint="eastAsia" w:ascii="宋体" w:hAnsi="宋体" w:eastAsia="宋体" w:cs="宋体"/>
          <w:color w:val="auto"/>
          <w:szCs w:val="21"/>
          <w:highlight w:val="none"/>
        </w:rPr>
        <w:t>年内（从截标之日起倒算）因未经核准排放建筑废弃物、未按核准内容处置建筑废弃物（使用未</w:t>
      </w:r>
      <w:r>
        <w:rPr>
          <w:rFonts w:hint="eastAsia" w:ascii="宋体" w:hAnsi="宋体" w:eastAsia="宋体" w:cs="宋体"/>
          <w:color w:val="auto"/>
          <w:szCs w:val="21"/>
          <w:highlight w:val="none"/>
          <w:lang w:val="en-US" w:eastAsia="zh-CN"/>
        </w:rPr>
        <w:t>经核准</w:t>
      </w:r>
      <w:r>
        <w:rPr>
          <w:rFonts w:hint="eastAsia" w:ascii="宋体" w:hAnsi="宋体" w:eastAsia="宋体" w:cs="宋体"/>
          <w:color w:val="auto"/>
          <w:szCs w:val="21"/>
          <w:highlight w:val="none"/>
        </w:rPr>
        <w:t>车辆运输建筑废弃物行为），涂改、倒卖、出租、出借或者以其他形式非法转让建筑废弃物排放核准文件，受到住建、交通、水务部门行政处罚的。</w:t>
      </w:r>
    </w:p>
    <w:p w14:paraId="4ADF6138">
      <w:pPr>
        <w:adjustRightInd w:val="0"/>
        <w:snapToGrid w:val="0"/>
        <w:spacing w:line="360" w:lineRule="auto"/>
        <w:ind w:firstLine="422" w:firstLineChars="200"/>
        <w:rPr>
          <w:rFonts w:ascii="宋体" w:hAnsi="宋体" w:eastAsia="宋体" w:cs="宋体"/>
          <w:color w:val="auto"/>
          <w:szCs w:val="21"/>
          <w:highlight w:val="none"/>
        </w:rPr>
      </w:pPr>
      <w:r>
        <w:rPr>
          <w:rFonts w:hint="eastAsia" w:ascii="宋体" w:hAnsi="宋体" w:eastAsia="宋体" w:cs="宋体"/>
          <w:b/>
          <w:color w:val="auto"/>
          <w:szCs w:val="21"/>
          <w:highlight w:val="none"/>
        </w:rPr>
        <w:t>（二）评标阶段有关无效标的情形：</w:t>
      </w:r>
      <w:r>
        <w:rPr>
          <w:rFonts w:hint="eastAsia" w:ascii="宋体" w:hAnsi="宋体" w:eastAsia="宋体" w:cs="宋体"/>
          <w:b/>
          <w:bCs/>
          <w:color w:val="auto"/>
          <w:szCs w:val="21"/>
          <w:highlight w:val="none"/>
        </w:rPr>
        <w:t>（由评标委员会负责判定）</w:t>
      </w:r>
    </w:p>
    <w:p w14:paraId="5D86E1B3">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1.计算机评标系统对电子标书进行自动清标分析，出现下列情形之一的</w:t>
      </w:r>
      <w:r>
        <w:rPr>
          <w:rFonts w:hint="eastAsia" w:ascii="宋体" w:hAnsi="宋体" w:eastAsia="宋体" w:cs="宋体"/>
          <w:color w:val="auto"/>
          <w:szCs w:val="21"/>
          <w:highlight w:val="none"/>
        </w:rPr>
        <w:t>：</w:t>
      </w:r>
    </w:p>
    <w:p w14:paraId="078FE50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1.1投标人的清单和招标文件清单不一致情形的；</w:t>
      </w:r>
    </w:p>
    <w:p w14:paraId="0CD8769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1.2投标报价中擅自修改招标文件（包括补遗文件、</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文件）中规定不可竞争的固定单价或合价的，如安全文明措施费、</w:t>
      </w:r>
      <w:r>
        <w:rPr>
          <w:rFonts w:hint="eastAsia" w:ascii="宋体" w:hAnsi="宋体" w:eastAsia="宋体" w:cs="宋体"/>
          <w:color w:val="auto"/>
          <w:szCs w:val="21"/>
          <w:highlight w:val="none"/>
          <w:lang w:val="en-US" w:eastAsia="zh-CN"/>
        </w:rPr>
        <w:t>暂列金额、</w:t>
      </w:r>
      <w:r>
        <w:rPr>
          <w:rFonts w:hint="eastAsia" w:ascii="宋体" w:hAnsi="宋体" w:eastAsia="宋体" w:cs="宋体"/>
          <w:color w:val="auto"/>
          <w:szCs w:val="21"/>
          <w:highlight w:val="none"/>
        </w:rPr>
        <w:t>专业工程暂估价、材料暂估价等；</w:t>
      </w:r>
    </w:p>
    <w:p w14:paraId="1605AB3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2.投标人以他人的名义投标或出现下列串通投标、弄虚作假投标嫌疑情形之一的：</w:t>
      </w:r>
    </w:p>
    <w:p w14:paraId="3FA8389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2.1投标人在投标文件商务标书上电子签名的造价工程师与其他投标人在投标文件商务标书上电子签名的造价工程师为同一人的；</w:t>
      </w:r>
    </w:p>
    <w:p w14:paraId="7C0E4B5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2.2不同投标人的投标文件内容存在非正常一致的；</w:t>
      </w:r>
    </w:p>
    <w:p w14:paraId="1D2BA44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2.3不同投标人的投标文件错漏之处一致的；</w:t>
      </w:r>
    </w:p>
    <w:p w14:paraId="67A3C00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2.4不同投标人的投标报价或者报价组成异常一致或者呈规律性变化的；</w:t>
      </w:r>
    </w:p>
    <w:p w14:paraId="31BD792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2.5不同投标人的投标文件由同一单位或者同一个人编制的；</w:t>
      </w:r>
    </w:p>
    <w:p w14:paraId="2BF6B60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2.6不同投标人的投标文件载明的项目管理机构成员出现同一人的；</w:t>
      </w:r>
    </w:p>
    <w:p w14:paraId="55F6502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2.7不同投标人的投标文件相互混装的；</w:t>
      </w:r>
    </w:p>
    <w:p w14:paraId="6A81762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2.8不同投标人的投标文件由同一台电脑编制的；</w:t>
      </w:r>
    </w:p>
    <w:p w14:paraId="28F1EFE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2.9 不同投标人聘请同一人为其投标提供技术或者经济咨询服务的，但招标工程本身要求采用专有技术的除外；</w:t>
      </w:r>
    </w:p>
    <w:p w14:paraId="0A6C0B0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2.10评标委员会认定的其他串通投标情形；</w:t>
      </w:r>
    </w:p>
    <w:p w14:paraId="5BC6CE11">
      <w:pPr>
        <w:tabs>
          <w:tab w:val="left" w:pos="6285"/>
        </w:tabs>
        <w:adjustRightInd w:val="0"/>
        <w:snapToGrid w:val="0"/>
        <w:spacing w:line="360" w:lineRule="auto"/>
        <w:ind w:firstLine="420" w:firstLineChars="200"/>
        <w:rPr>
          <w:rFonts w:hint="eastAsia" w:ascii="宋体" w:hAnsi="宋体" w:eastAsia="宋体" w:cs="宋体"/>
          <w:b/>
          <w:bCs/>
          <w:color w:val="auto"/>
          <w:szCs w:val="21"/>
          <w:highlight w:val="none"/>
        </w:rPr>
      </w:pPr>
      <w:r>
        <w:rPr>
          <w:rFonts w:hint="eastAsia" w:ascii="宋体" w:hAnsi="宋体" w:eastAsia="宋体" w:cs="宋体"/>
          <w:color w:val="auto"/>
          <w:szCs w:val="21"/>
          <w:highlight w:val="none"/>
        </w:rPr>
        <w:t>3、投标人资格条件不符合国家有关规定和招标文件要求的；</w:t>
      </w:r>
    </w:p>
    <w:p w14:paraId="458EA0D7">
      <w:pPr>
        <w:tabs>
          <w:tab w:val="left" w:pos="6285"/>
        </w:tabs>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（三）评标阶段有关废标的情形：（由评标委员会负责判定）</w:t>
      </w:r>
    </w:p>
    <w:p w14:paraId="4E70F00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1、投标文件中存在明显不符合技术规范、技术标准强制性条文内容的；</w:t>
      </w:r>
    </w:p>
    <w:p w14:paraId="61998E93">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2、投标人拒不按照评标委员会要求对投标文件进行澄清、说明、补正的；</w:t>
      </w:r>
    </w:p>
    <w:p w14:paraId="60088A0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3、投标人未承诺按照《深圳市建设工程安全文明施工标准》实施安全文明施工和信息化管理要求的；</w:t>
      </w:r>
    </w:p>
    <w:p w14:paraId="65827A30">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en-US" w:eastAsia="zh-CN"/>
        </w:rPr>
        <w:t>投标人的</w:t>
      </w:r>
      <w:r>
        <w:rPr>
          <w:rFonts w:hint="eastAsia" w:ascii="宋体" w:hAnsi="宋体" w:eastAsia="宋体" w:cs="宋体"/>
          <w:color w:val="auto"/>
          <w:szCs w:val="21"/>
          <w:highlight w:val="none"/>
        </w:rPr>
        <w:t>投标报价低于成本</w:t>
      </w:r>
      <w:r>
        <w:rPr>
          <w:rFonts w:hint="eastAsia" w:ascii="宋体" w:hAnsi="宋体" w:eastAsia="宋体" w:cs="宋体"/>
          <w:color w:val="auto"/>
          <w:szCs w:val="21"/>
          <w:highlight w:val="none"/>
          <w:lang w:val="en-US" w:eastAsia="zh-CN"/>
        </w:rPr>
        <w:t>的；</w:t>
      </w:r>
    </w:p>
    <w:p w14:paraId="16AF32A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经评标委员会评审为不合格的</w:t>
      </w:r>
      <w:r>
        <w:rPr>
          <w:rFonts w:hint="eastAsia" w:ascii="宋体" w:hAnsi="宋体" w:eastAsia="宋体" w:cs="宋体"/>
          <w:color w:val="auto"/>
          <w:szCs w:val="21"/>
          <w:highlight w:val="none"/>
          <w:lang w:val="en-US" w:eastAsia="zh-CN"/>
        </w:rPr>
        <w:t>其他情形。</w:t>
      </w:r>
    </w:p>
    <w:p w14:paraId="2E23F4A8">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（招标人对上述内容有修改或补充的，以下述条款为准）</w:t>
      </w:r>
    </w:p>
    <w:p w14:paraId="07E78C60">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（四）招标人补充的投标文件不予受理的情形：</w:t>
      </w:r>
    </w:p>
    <w:p w14:paraId="4ED6456A">
      <w:pPr>
        <w:adjustRightInd w:val="0"/>
        <w:snapToGrid w:val="0"/>
        <w:spacing w:line="360" w:lineRule="auto"/>
        <w:ind w:firstLine="420" w:firstLineChars="200"/>
        <w:rPr>
          <w:rFonts w:ascii="宋体" w:hAnsi="宋体" w:eastAsia="宋体" w:cs="宋体"/>
          <w:b/>
          <w:color w:val="auto"/>
          <w:szCs w:val="21"/>
          <w:highlight w:val="none"/>
        </w:rPr>
      </w:pPr>
      <w:r>
        <w:rPr>
          <w:rFonts w:hint="eastAsia" w:ascii="宋体" w:hAnsi="宋体" w:eastAsia="宋体" w:cs="宋体"/>
          <w:color w:val="auto"/>
          <w:szCs w:val="21"/>
          <w:highlight w:val="none"/>
          <w:u w:val="single"/>
        </w:rPr>
        <w:t xml:space="preserve">      </w:t>
      </w:r>
    </w:p>
    <w:p w14:paraId="633E9EBF">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（五）招标人补充的无效标情形：</w:t>
      </w:r>
    </w:p>
    <w:p w14:paraId="3FB4F8EE">
      <w:pPr>
        <w:adjustRightInd w:val="0"/>
        <w:snapToGrid w:val="0"/>
        <w:spacing w:line="360" w:lineRule="auto"/>
        <w:ind w:firstLine="420" w:firstLineChars="200"/>
        <w:rPr>
          <w:rFonts w:ascii="宋体" w:hAnsi="宋体" w:eastAsia="宋体" w:cs="宋体"/>
          <w:b/>
          <w:color w:val="auto"/>
          <w:szCs w:val="21"/>
          <w:highlight w:val="none"/>
        </w:rPr>
      </w:pPr>
      <w:r>
        <w:rPr>
          <w:rFonts w:hint="eastAsia" w:ascii="宋体" w:hAnsi="宋体" w:eastAsia="宋体" w:cs="宋体"/>
          <w:color w:val="auto"/>
          <w:szCs w:val="21"/>
          <w:highlight w:val="none"/>
          <w:u w:val="single"/>
        </w:rPr>
        <w:t xml:space="preserve">      </w:t>
      </w:r>
    </w:p>
    <w:p w14:paraId="3D7A6949">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（六）招标人补充的废标情形：</w:t>
      </w:r>
    </w:p>
    <w:p w14:paraId="5A740F6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br w:type="page"/>
      </w:r>
    </w:p>
    <w:p w14:paraId="49771EF4">
      <w:pPr>
        <w:adjustRightInd w:val="0"/>
        <w:snapToGrid w:val="0"/>
        <w:spacing w:line="360" w:lineRule="auto"/>
        <w:jc w:val="center"/>
        <w:outlineLvl w:val="1"/>
        <w:rPr>
          <w:rFonts w:ascii="黑体" w:hAnsi="黑体" w:eastAsia="黑体" w:cs="黑体"/>
          <w:bCs/>
          <w:color w:val="auto"/>
          <w:sz w:val="32"/>
          <w:szCs w:val="32"/>
          <w:highlight w:val="none"/>
        </w:rPr>
      </w:pPr>
      <w:bookmarkStart w:id="26" w:name="_Toc12455"/>
      <w:bookmarkStart w:id="27" w:name="_Toc582"/>
      <w:bookmarkStart w:id="28" w:name="_Toc20602"/>
      <w:bookmarkStart w:id="29" w:name="_Toc30721"/>
      <w:bookmarkStart w:id="30" w:name="_Toc32026"/>
      <w:bookmarkStart w:id="31" w:name="_Toc20415"/>
      <w:r>
        <w:rPr>
          <w:rFonts w:hint="eastAsia" w:ascii="黑体" w:hAnsi="黑体" w:eastAsia="黑体" w:cs="黑体"/>
          <w:bCs/>
          <w:color w:val="auto"/>
          <w:sz w:val="32"/>
          <w:szCs w:val="32"/>
          <w:highlight w:val="none"/>
        </w:rPr>
        <w:t>三、招投标须知正文</w:t>
      </w:r>
      <w:bookmarkEnd w:id="26"/>
      <w:bookmarkEnd w:id="27"/>
      <w:bookmarkEnd w:id="28"/>
      <w:bookmarkEnd w:id="29"/>
      <w:bookmarkEnd w:id="30"/>
      <w:bookmarkEnd w:id="31"/>
    </w:p>
    <w:p w14:paraId="50D7D8C7">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32" w:name="_Toc19475"/>
      <w:bookmarkStart w:id="33" w:name="_Toc18763"/>
      <w:bookmarkStart w:id="34" w:name="_Toc10499"/>
      <w:bookmarkStart w:id="35" w:name="_Toc26516"/>
      <w:bookmarkStart w:id="36" w:name="_Toc27402"/>
      <w:bookmarkStart w:id="37" w:name="_Toc6654"/>
      <w:r>
        <w:rPr>
          <w:rFonts w:hint="eastAsia" w:eastAsia="宋体"/>
          <w:b/>
          <w:bCs w:val="0"/>
          <w:color w:val="auto"/>
          <w:sz w:val="32"/>
          <w:highlight w:val="none"/>
          <w:lang w:val="en-US"/>
        </w:rPr>
        <w:t>（一）招标</w:t>
      </w:r>
      <w:bookmarkEnd w:id="32"/>
      <w:bookmarkEnd w:id="33"/>
      <w:bookmarkEnd w:id="34"/>
      <w:bookmarkEnd w:id="35"/>
      <w:bookmarkEnd w:id="36"/>
      <w:bookmarkEnd w:id="37"/>
    </w:p>
    <w:p w14:paraId="0BAF2B44">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1.工程规模和特征</w:t>
      </w:r>
    </w:p>
    <w:p w14:paraId="4C1DBF6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1.1工程规模和特征见招标文件所述（详见第七章-图纸、第八章-工程量清单）。</w:t>
      </w:r>
    </w:p>
    <w:p w14:paraId="38BE842E">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2.招标范围</w:t>
      </w:r>
    </w:p>
    <w:p w14:paraId="4D940C9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2.1本次招标的工程项目见招标文件所述（详见第七章-图纸、第八章-工程量清单）。</w:t>
      </w:r>
    </w:p>
    <w:p w14:paraId="392C51F4">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3.资金来源</w:t>
      </w:r>
    </w:p>
    <w:p w14:paraId="1FC0AE4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3.1资金来源包括政府、国企、私企、集体、外资和其他资金。</w:t>
      </w:r>
    </w:p>
    <w:p w14:paraId="7BF64BB7">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4.工程质量</w:t>
      </w:r>
    </w:p>
    <w:p w14:paraId="28B00E1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4.1本工程的质量标准见前附表及第六章标准、规范和技术要求所述。</w:t>
      </w:r>
    </w:p>
    <w:p w14:paraId="42FCD520">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5.工期要求</w:t>
      </w:r>
    </w:p>
    <w:p w14:paraId="3B446BA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5.1标准工期（指按《深圳市建设工程施工工期标准》计算出的本工程工期）</w:t>
      </w:r>
    </w:p>
    <w:p w14:paraId="374B9B0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5.2计划施工总工期不超过日历天，对比标准工期压缩比例为%（压缩比例=1-施工总工期/标准工期，不得为负值）</w:t>
      </w:r>
    </w:p>
    <w:p w14:paraId="45AA56F0">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6.投标人要求</w:t>
      </w:r>
    </w:p>
    <w:p w14:paraId="70F8886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6.1招标人应当按照国家相关资质管理规定设置资质等级。涉及多项资质的，应当允许联合体投标。</w:t>
      </w:r>
    </w:p>
    <w:p w14:paraId="56AB5A69">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7.投标人业绩要求</w:t>
      </w:r>
    </w:p>
    <w:p w14:paraId="5BD9D9F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7.1招标人应按照73号文相关规定设置业绩要求</w:t>
      </w:r>
    </w:p>
    <w:p w14:paraId="1DDC5EA9">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8.投标人项目经理（建造师）要求</w:t>
      </w:r>
    </w:p>
    <w:p w14:paraId="553D3E6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8.1招标人应当按照《注册建造师管理规定》进行设置。</w:t>
      </w:r>
    </w:p>
    <w:p w14:paraId="6E0D7233">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9.踏勘现场</w:t>
      </w:r>
    </w:p>
    <w:p w14:paraId="367C935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9.1招标人不集中组织投标现场踏勘，投标人需要了解现场情况的，可自行进行现场踏勘。踏勘现场所发生的费用由投标人自己承担。</w:t>
      </w:r>
    </w:p>
    <w:p w14:paraId="3062D4F3">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10.</w:t>
      </w:r>
      <w:r>
        <w:rPr>
          <w:rFonts w:hint="eastAsia" w:ascii="宋体" w:hAnsi="宋体" w:eastAsia="宋体" w:cs="宋体"/>
          <w:b/>
          <w:bCs/>
          <w:color w:val="auto"/>
          <w:szCs w:val="21"/>
          <w:highlight w:val="none"/>
          <w:lang w:eastAsia="zh-CN"/>
        </w:rPr>
        <w:t>最高投标限价</w:t>
      </w:r>
    </w:p>
    <w:p w14:paraId="1822D4C4">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10.1招标人将在截标前5日之前，公示审定</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、各项不可竞争费（如：安全文明施工费、暂列金额、专业工程暂估价、材料暂估价，以及其它不可竞争费）的具体数值。</w:t>
      </w:r>
    </w:p>
    <w:p w14:paraId="7468FB6C">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招标文件中的最高投标限价是指发包人根据国家法律法规及相关标准、本市建设行政主管部门颁发的有关规定，以及拟定的招标文件和招标工程量清单，并结合工程实际情况，按照《深圳市建设工程工程量清单计价与计算标准应用指引》规定编制的，限定投标人投标报价的最高价格。</w:t>
      </w:r>
    </w:p>
    <w:p w14:paraId="2723463D">
      <w:pPr>
        <w:adjustRightInd w:val="0"/>
        <w:snapToGrid w:val="0"/>
        <w:spacing w:line="360" w:lineRule="auto"/>
        <w:ind w:firstLine="409" w:firstLineChars="194"/>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11.招标文件的澄清、答疑</w:t>
      </w:r>
    </w:p>
    <w:p w14:paraId="132B6C3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11.1招标人按法律法规规定时限在交易网发布招标文件的澄清（答疑）纪要、修改（补充）函件。澄清（答疑）纪要、修改（补充）函件均是招标文件的组成部分，对招标人投标人起约束作用。</w:t>
      </w:r>
    </w:p>
    <w:p w14:paraId="00D77E5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11.2招标人按法律法规的规定时限在交易网发布补遗文件。</w:t>
      </w:r>
    </w:p>
    <w:p w14:paraId="765A4117">
      <w:pPr>
        <w:adjustRightInd w:val="0"/>
        <w:snapToGrid w:val="0"/>
        <w:spacing w:line="360" w:lineRule="auto"/>
        <w:ind w:firstLine="422" w:firstLineChars="200"/>
        <w:rPr>
          <w:rFonts w:ascii="宋体" w:hAnsi="宋体" w:eastAsia="宋体" w:cs="宋体"/>
          <w:color w:val="auto"/>
          <w:szCs w:val="21"/>
          <w:highlight w:val="none"/>
        </w:rPr>
      </w:pPr>
      <w:r>
        <w:rPr>
          <w:rFonts w:hint="eastAsia" w:ascii="宋体" w:hAnsi="宋体" w:eastAsia="宋体" w:cs="宋体"/>
          <w:b/>
          <w:bCs/>
          <w:color w:val="auto"/>
          <w:szCs w:val="21"/>
          <w:highlight w:val="none"/>
        </w:rPr>
        <w:t>12.招标文件的修改</w:t>
      </w:r>
    </w:p>
    <w:p w14:paraId="20D1E04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12.1招标文件发布后，在法律法规规定时限内，确需要变更招标文件内容的，招标人可主动或在解答投标人提出的澄清问题时对招标文件进行修改，并同时报建设</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交通</w:t>
      </w:r>
      <w:r>
        <w:rPr>
          <w:rFonts w:hint="eastAsia" w:ascii="宋体" w:hAnsi="宋体" w:eastAsia="宋体" w:cs="宋体"/>
          <w:color w:val="auto"/>
          <w:szCs w:val="21"/>
          <w:highlight w:val="none"/>
        </w:rPr>
        <w:t>行政主管部门备案。招标人对工程量清单作出变更，要重新制作商务标电子招标文件和送审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文件，对评标方法、评审项目等重要评审内容作出变更，要重新制作技术标电子招标文件，对送审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作出变更，要重新制作送审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文件，并重新备案，同时发布补遗文件进行说明，便于各投标人及时重新下载最新的电子招标文件和送审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件编制电子投标文件。</w:t>
      </w:r>
    </w:p>
    <w:p w14:paraId="1F046DC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12.2招标文件和送审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文件的修改将在交易网发布，招标文件的修改作为招标文件的组成部分，并具有约束力。投标人应在截标时间前随时查看有关该工程招标文件的答疑、补遗内容。否则，由此引起的投标损失自负。</w:t>
      </w:r>
    </w:p>
    <w:p w14:paraId="0C4D064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12.3招标文件、招标文件澄清（答疑）纪要、招标文件修改（补充）文件内容均以网上发布的为准。当招标文件、澄清（答疑）纪要、修改（补充）函件内容相互矛盾时，以最后发出的为准。但是澄清（答疑）纪要、修改（补充）函件中存在否决性条款时，须由招标人重新编写《投标文件否决性条款》，将列入所增加的否决性条款。否则，仍应以先前发出的《投标文件否决性条款》为准，新增加的否决性条款无效。</w:t>
      </w:r>
    </w:p>
    <w:p w14:paraId="70AA9C4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12.4招标人保证招标文件澄清（答疑）纪要、招标文件修改（补充）文件在法律法规的规定时限前在交易网发布。为使投标人在编写投标文件时有充分时间对招标文件的修改（补充）部分进行研究，招标人可以酌情延长递交投标文件的截止日期，具体时间将在修改（补充）文件中明确。</w:t>
      </w:r>
    </w:p>
    <w:p w14:paraId="2FA048E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12.5在招标文件确定的提交投标文件截止时间后，招标人不得再变更或修改招标文件确定的评标及定标方法。</w:t>
      </w:r>
    </w:p>
    <w:p w14:paraId="3F99A94E">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38" w:name="_Toc8539"/>
      <w:bookmarkStart w:id="39" w:name="_Toc28200"/>
      <w:bookmarkStart w:id="40" w:name="_Toc21058"/>
      <w:bookmarkStart w:id="41" w:name="_Toc16277"/>
      <w:bookmarkStart w:id="42" w:name="_Toc22961"/>
      <w:bookmarkStart w:id="43" w:name="_Toc1055"/>
      <w:r>
        <w:rPr>
          <w:rFonts w:hint="eastAsia" w:eastAsia="宋体"/>
          <w:b/>
          <w:bCs w:val="0"/>
          <w:color w:val="auto"/>
          <w:sz w:val="32"/>
          <w:highlight w:val="none"/>
          <w:lang w:val="en-US"/>
        </w:rPr>
        <w:t>（二）投标</w:t>
      </w:r>
      <w:bookmarkEnd w:id="38"/>
      <w:bookmarkEnd w:id="39"/>
      <w:bookmarkEnd w:id="40"/>
      <w:bookmarkEnd w:id="41"/>
      <w:bookmarkEnd w:id="42"/>
      <w:bookmarkEnd w:id="43"/>
    </w:p>
    <w:p w14:paraId="480B5B9F">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13.对招标文件的质疑</w:t>
      </w:r>
    </w:p>
    <w:p w14:paraId="10C89E3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13.1招标人不集中组织答疑，实行网上答疑。投标人若对招标文件有疑问，需要招标人予以澄清，应按法律法规规定时限以不署名的形式在交易网提出。</w:t>
      </w:r>
    </w:p>
    <w:p w14:paraId="1B9AEEA0">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14.投标文件要求</w:t>
      </w:r>
    </w:p>
    <w:p w14:paraId="07F825D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14.1投标人获取招标文件后，应仔细检查招标文件的所有内容。投标人同时应认真审阅招标文件中所有的事项、条款、格式和标准要求等，如果投标人的投标文件没有按照招标文件要求提交全部资料或者投标文件没有对招标文件做出实质性响应，其风险应由投标人自行承担，并且根据有关条款规定，其投标有可能被拒绝。</w:t>
      </w:r>
    </w:p>
    <w:p w14:paraId="42E590FF">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15.投标费用</w:t>
      </w:r>
    </w:p>
    <w:p w14:paraId="56F8BCC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15.1投标人应承担其编制投标文件与递交投标文件所涉及的一切费用。不论投标结果如何，招标人在任何情况下无义务也无责任承担这些费用。</w:t>
      </w:r>
    </w:p>
    <w:p w14:paraId="3879948D">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16.关于联合体投标</w:t>
      </w:r>
    </w:p>
    <w:p w14:paraId="20DC035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16.1由两个或两个以上法人或者其他组织组成一个联合体以一个投标人的身份共同投标时，应符合招标项目资质及其他相关要求；</w:t>
      </w:r>
    </w:p>
    <w:p w14:paraId="59196F0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16.2投标人的投标文件及中标后签署的合同协议书对联合体每一成员均具</w:t>
      </w:r>
      <w:r>
        <w:rPr>
          <w:rFonts w:hint="eastAsia" w:ascii="宋体" w:hAnsi="宋体" w:eastAsia="宋体" w:cs="宋体"/>
          <w:color w:val="auto"/>
          <w:szCs w:val="21"/>
          <w:highlight w:val="none"/>
          <w:lang w:val="en-US" w:eastAsia="zh-CN"/>
        </w:rPr>
        <w:t>有</w:t>
      </w:r>
      <w:r>
        <w:rPr>
          <w:rFonts w:hint="eastAsia" w:ascii="宋体" w:hAnsi="宋体" w:eastAsia="宋体" w:cs="宋体"/>
          <w:color w:val="auto"/>
          <w:szCs w:val="21"/>
          <w:highlight w:val="none"/>
        </w:rPr>
        <w:t>法律约束力；</w:t>
      </w:r>
    </w:p>
    <w:p w14:paraId="01CA579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16.3联合体的各成员应当签订共同投标协议，明确约定各方拟承担的工作和责任，并将该共同投标协议随投标文件一并递交给招标人；</w:t>
      </w:r>
    </w:p>
    <w:p w14:paraId="4D5B3FB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16.4联合体中标后，联合体各方应当共同与招标人签订合同，为履行合同向招标人承担连带责任；</w:t>
      </w:r>
    </w:p>
    <w:p w14:paraId="4BFF4CD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16.5由联合体的各成员提交一份授权书，证明联合体代表资格，该授权书作为投标文件的组成部分一并提交给招标人； </w:t>
      </w:r>
    </w:p>
    <w:p w14:paraId="36D1876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16.6联合体代表应被授权作为联合体所有成员的代表承担责任和接受指令，并负责整个合同的全面履行；</w:t>
      </w:r>
    </w:p>
    <w:p w14:paraId="4F860DF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16.7参加联合体的各成员不得再以自己的名义单独投标，也不得同时参加两个或两个以上的联合体投标。出现上述情况者，其投标和与其有关的联合体的投标均做无效标处理；</w:t>
      </w:r>
    </w:p>
    <w:p w14:paraId="0C943CF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16.8除非另有规定或说明，本须知(本款)中“投标人”一词亦指联合体各成员。</w:t>
      </w:r>
    </w:p>
    <w:p w14:paraId="0B37936C">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17.投标文件的语言及度量单位</w:t>
      </w:r>
    </w:p>
    <w:p w14:paraId="38B3FEA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17.1投标人与招标人之间与投标有关的所有往来文件和投标文件均应使用中文。投标人随投标文件提供的证明文件和资料可以为其它语言，但必须附中文译文，并且，为了解释投标文件，应以中文为准。</w:t>
      </w:r>
    </w:p>
    <w:p w14:paraId="3619390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17.2除工程建设标准及技术要求另有规定外，投标文件使用的度量单位，均采用中华人民共和国法定计量单位。</w:t>
      </w:r>
    </w:p>
    <w:p w14:paraId="526E1F2B">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18.投标文件的组成</w:t>
      </w:r>
    </w:p>
    <w:p w14:paraId="1BDB221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18.1资格审查文件主要包括下列内容（扫描件）：</w:t>
      </w:r>
    </w:p>
    <w:p w14:paraId="7E8B43D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18.1.1投标人营业执照；</w:t>
      </w:r>
    </w:p>
    <w:p w14:paraId="2F40A27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18.1.2投标人资质证书；</w:t>
      </w:r>
    </w:p>
    <w:p w14:paraId="515BB1C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18.1.3投标人安全生产许可证证明以及拟派项目经理的安全生产考核合格证证明；</w:t>
      </w:r>
    </w:p>
    <w:p w14:paraId="2402898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18.1.4投标人拟派出的项目经理的《注册建造师证》；</w:t>
      </w:r>
    </w:p>
    <w:p w14:paraId="6EDA007E">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18.1.5投标担保证明文件（如银行保函、保证金、投标保证保险合同或保险单</w:t>
      </w:r>
      <w:r>
        <w:rPr>
          <w:rFonts w:hint="eastAsia" w:ascii="宋体" w:hAnsi="宋体" w:eastAsia="宋体" w:cs="宋体"/>
          <w:color w:val="auto"/>
          <w:szCs w:val="21"/>
          <w:highlight w:val="none"/>
          <w:lang w:eastAsia="zh-CN"/>
        </w:rPr>
        <w:t>、投标保证金承诺函</w:t>
      </w:r>
      <w:r>
        <w:rPr>
          <w:rFonts w:hint="eastAsia" w:ascii="宋体" w:hAnsi="宋体" w:eastAsia="宋体" w:cs="宋体"/>
          <w:color w:val="auto"/>
          <w:szCs w:val="21"/>
          <w:highlight w:val="none"/>
        </w:rPr>
        <w:t>等）；</w:t>
      </w:r>
    </w:p>
    <w:p w14:paraId="223A007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招标人要求提供的与投标人条件审查有关的其他资格证明材料：（必须详细、明确、足以证明资格条件）</w:t>
      </w:r>
    </w:p>
    <w:p w14:paraId="196DE4B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18.2资信标部分主要内容：详见招标文件“资信标要求一览表”</w:t>
      </w:r>
    </w:p>
    <w:p w14:paraId="0DE913A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18.3商务标部分主要包括下列内容：</w:t>
      </w:r>
    </w:p>
    <w:p w14:paraId="46DBE82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18.3.1工程量清单报价表的说明；</w:t>
      </w:r>
    </w:p>
    <w:p w14:paraId="418D2E9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18.3.2工程量清单报价表；</w:t>
      </w:r>
    </w:p>
    <w:p w14:paraId="1354C9E9">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18.3.3施工投标承诺函；</w:t>
      </w:r>
    </w:p>
    <w:p w14:paraId="60DD5A78">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18.3.4 投标人委托</w:t>
      </w:r>
      <w:r>
        <w:rPr>
          <w:rFonts w:hint="eastAsia" w:ascii="宋体" w:hAnsi="宋体" w:eastAsia="宋体" w:cs="宋体"/>
          <w:color w:val="auto"/>
          <w:szCs w:val="21"/>
          <w:highlight w:val="none"/>
        </w:rPr>
        <w:t>工程造价咨询企业</w:t>
      </w:r>
      <w:r>
        <w:rPr>
          <w:rFonts w:hint="eastAsia" w:ascii="宋体" w:hAnsi="宋体" w:eastAsia="宋体" w:cs="宋体"/>
          <w:color w:val="auto"/>
          <w:szCs w:val="21"/>
          <w:highlight w:val="none"/>
          <w:lang w:val="en-US" w:eastAsia="zh-CN"/>
        </w:rPr>
        <w:t>编制商务标书的，需提供委托协议，且商务标</w:t>
      </w:r>
      <w:r>
        <w:rPr>
          <w:rFonts w:hint="eastAsia" w:ascii="宋体" w:hAnsi="宋体" w:eastAsia="宋体" w:cs="宋体"/>
          <w:color w:val="auto"/>
          <w:szCs w:val="21"/>
          <w:highlight w:val="none"/>
        </w:rPr>
        <w:t>加签工程造价咨询企业</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造价工程师个人数字证书</w:t>
      </w:r>
      <w:r>
        <w:rPr>
          <w:rFonts w:hint="eastAsia" w:ascii="宋体" w:hAnsi="宋体" w:eastAsia="宋体" w:cs="宋体"/>
          <w:color w:val="auto"/>
          <w:szCs w:val="21"/>
          <w:highlight w:val="none"/>
          <w:lang w:val="en-US" w:eastAsia="zh-CN"/>
        </w:rPr>
        <w:t>；</w:t>
      </w:r>
    </w:p>
    <w:p w14:paraId="7276C21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18.3.</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招标文件要求提交的其它资料：</w:t>
      </w:r>
      <w:r>
        <w:rPr>
          <w:rFonts w:hint="eastAsia" w:ascii="宋体" w:hAnsi="宋体" w:eastAsia="宋体" w:cs="宋体"/>
          <w:bCs/>
          <w:color w:val="auto"/>
          <w:szCs w:val="21"/>
          <w:highlight w:val="none"/>
          <w:u w:val="single"/>
        </w:rPr>
        <w:t xml:space="preserve">      </w:t>
      </w:r>
    </w:p>
    <w:p w14:paraId="16BC4CB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18.4对技术标部分的要求： </w:t>
      </w:r>
    </w:p>
    <w:p w14:paraId="5BD24BE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□投标人应按照招标人提供的“技术标编写目录及要求”编制技术标书。（选择此项的，招标人必须在《第九章投标文件格式》的“技术标编写目录及要求”中填写相关内容。）</w:t>
      </w:r>
    </w:p>
    <w:p w14:paraId="08C5D65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□技术标部分不超过</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页（不含证明材料）。</w:t>
      </w:r>
    </w:p>
    <w:p w14:paraId="4FB6122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w:t>
      </w:r>
      <w:r>
        <w:rPr>
          <w:rFonts w:ascii="宋体" w:hAnsi="宋体" w:eastAsia="宋体" w:cs="宋体"/>
          <w:color w:val="auto"/>
          <w:szCs w:val="21"/>
          <w:highlight w:val="none"/>
        </w:rPr>
        <w:t>8.5</w:t>
      </w:r>
      <w:r>
        <w:rPr>
          <w:rFonts w:hint="eastAsia" w:ascii="宋体" w:hAnsi="宋体" w:eastAsia="宋体" w:cs="宋体"/>
          <w:color w:val="auto"/>
          <w:szCs w:val="21"/>
          <w:highlight w:val="none"/>
        </w:rPr>
        <w:t>对BIM标部分的要求：</w:t>
      </w:r>
    </w:p>
    <w:p w14:paraId="469E9EF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□投标人应按照招标人提供的“BIM标编写目录及要求”编制BIM标书。（选择此项的，招标人必须在第二章BIM标定性评审表、第九章投标文件格式的“BIM标编写目录及要求”中填写相关内容。）</w:t>
      </w:r>
    </w:p>
    <w:p w14:paraId="43726C5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□本工程不要求编制BIM标，但投标人中标后应当在</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日内编制相应的BIM实施方案，经招标人认可后组织实施。</w:t>
      </w:r>
    </w:p>
    <w:p w14:paraId="5FF819B2">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19.投标文件的格式要求</w:t>
      </w:r>
    </w:p>
    <w:p w14:paraId="3306E72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19.1商务标电子文档的格式要求：投标文件电子标书应使用</w:t>
      </w:r>
      <w:r>
        <w:rPr>
          <w:rFonts w:hint="eastAsia" w:ascii="宋体" w:hAnsi="宋体" w:eastAsia="宋体" w:cs="宋体"/>
          <w:color w:val="auto"/>
          <w:szCs w:val="21"/>
          <w:highlight w:val="none"/>
          <w:lang w:val="en-US" w:eastAsia="zh-CN"/>
        </w:rPr>
        <w:t>电子</w:t>
      </w:r>
      <w:r>
        <w:rPr>
          <w:rFonts w:hint="eastAsia" w:ascii="宋体" w:hAnsi="宋体" w:eastAsia="宋体" w:cs="宋体"/>
          <w:color w:val="auto"/>
          <w:szCs w:val="21"/>
          <w:highlight w:val="none"/>
        </w:rPr>
        <w:t>投标文件</w:t>
      </w:r>
      <w:r>
        <w:rPr>
          <w:rFonts w:hint="eastAsia" w:ascii="宋体" w:hAnsi="宋体" w:eastAsia="宋体" w:cs="宋体"/>
          <w:color w:val="auto"/>
          <w:szCs w:val="21"/>
          <w:highlight w:val="none"/>
          <w:lang w:eastAsia="zh-CN"/>
        </w:rPr>
        <w:t>编制工具</w:t>
      </w:r>
      <w:r>
        <w:rPr>
          <w:rFonts w:hint="eastAsia" w:ascii="宋体" w:hAnsi="宋体" w:eastAsia="宋体" w:cs="宋体"/>
          <w:color w:val="auto"/>
          <w:szCs w:val="21"/>
          <w:highlight w:val="none"/>
        </w:rPr>
        <w:t>制作。（电子文档为*.</w:t>
      </w:r>
      <w:r>
        <w:rPr>
          <w:rFonts w:ascii="宋体" w:hAnsi="宋体" w:eastAsia="宋体" w:cs="宋体"/>
          <w:color w:val="auto"/>
          <w:szCs w:val="21"/>
          <w:highlight w:val="none"/>
        </w:rPr>
        <w:t>SGTB</w:t>
      </w:r>
      <w:r>
        <w:rPr>
          <w:rFonts w:hint="eastAsia" w:ascii="宋体" w:hAnsi="宋体" w:eastAsia="宋体" w:cs="宋体"/>
          <w:color w:val="auto"/>
          <w:szCs w:val="21"/>
          <w:highlight w:val="none"/>
        </w:rPr>
        <w:t>格式）</w:t>
      </w:r>
    </w:p>
    <w:p w14:paraId="0D636E5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19.2其它电子文档的格式要求：</w:t>
      </w:r>
    </w:p>
    <w:p w14:paraId="6A76873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19.2.1投标文件电子标书应使用</w:t>
      </w:r>
      <w:r>
        <w:rPr>
          <w:rFonts w:hint="eastAsia" w:ascii="宋体" w:hAnsi="宋体" w:eastAsia="宋体" w:cs="宋体"/>
          <w:color w:val="auto"/>
          <w:szCs w:val="21"/>
          <w:highlight w:val="none"/>
          <w:lang w:val="en-US" w:eastAsia="zh-CN"/>
        </w:rPr>
        <w:t>电子</w:t>
      </w:r>
      <w:r>
        <w:rPr>
          <w:rFonts w:hint="eastAsia" w:ascii="宋体" w:hAnsi="宋体" w:eastAsia="宋体" w:cs="宋体"/>
          <w:color w:val="auto"/>
          <w:szCs w:val="21"/>
          <w:highlight w:val="none"/>
        </w:rPr>
        <w:t>投标文件</w:t>
      </w:r>
      <w:r>
        <w:rPr>
          <w:rFonts w:hint="eastAsia" w:ascii="宋体" w:hAnsi="宋体" w:eastAsia="宋体" w:cs="宋体"/>
          <w:color w:val="auto"/>
          <w:szCs w:val="21"/>
          <w:highlight w:val="none"/>
          <w:lang w:eastAsia="zh-CN"/>
        </w:rPr>
        <w:t>编制工具</w:t>
      </w:r>
      <w:r>
        <w:rPr>
          <w:rFonts w:hint="eastAsia" w:ascii="宋体" w:hAnsi="宋体" w:eastAsia="宋体" w:cs="宋体"/>
          <w:color w:val="auto"/>
          <w:szCs w:val="21"/>
          <w:highlight w:val="none"/>
        </w:rPr>
        <w:t>制作。（资格审查文件为*.</w:t>
      </w:r>
      <w:r>
        <w:rPr>
          <w:rFonts w:ascii="宋体" w:hAnsi="宋体" w:eastAsia="宋体" w:cs="宋体"/>
          <w:color w:val="auto"/>
          <w:szCs w:val="21"/>
          <w:highlight w:val="none"/>
        </w:rPr>
        <w:t>SGTZS</w:t>
      </w:r>
      <w:r>
        <w:rPr>
          <w:rFonts w:hint="eastAsia" w:ascii="宋体" w:hAnsi="宋体" w:eastAsia="宋体" w:cs="宋体"/>
          <w:color w:val="auto"/>
          <w:szCs w:val="21"/>
          <w:highlight w:val="none"/>
        </w:rPr>
        <w:t>格式、投标文件为*.</w:t>
      </w:r>
      <w:r>
        <w:rPr>
          <w:rFonts w:ascii="宋体" w:hAnsi="宋体" w:eastAsia="宋体" w:cs="宋体"/>
          <w:color w:val="auto"/>
          <w:szCs w:val="21"/>
          <w:highlight w:val="none"/>
        </w:rPr>
        <w:t>SGTB</w:t>
      </w:r>
      <w:r>
        <w:rPr>
          <w:rFonts w:hint="eastAsia" w:ascii="宋体" w:hAnsi="宋体" w:eastAsia="宋体" w:cs="宋体"/>
          <w:color w:val="auto"/>
          <w:szCs w:val="21"/>
          <w:highlight w:val="none"/>
        </w:rPr>
        <w:t>格式）</w:t>
      </w:r>
    </w:p>
    <w:p w14:paraId="011B794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19.</w:t>
      </w:r>
      <w:r>
        <w:rPr>
          <w:rFonts w:ascii="宋体" w:hAnsi="宋体" w:eastAsia="宋体" w:cs="宋体"/>
          <w:color w:val="auto"/>
          <w:szCs w:val="21"/>
          <w:highlight w:val="none"/>
        </w:rPr>
        <w:t>2.2</w:t>
      </w:r>
      <w:r>
        <w:rPr>
          <w:color w:val="auto"/>
          <w:highlight w:val="none"/>
        </w:rPr>
        <w:t xml:space="preserve"> </w:t>
      </w:r>
      <w:r>
        <w:rPr>
          <w:rFonts w:hint="eastAsia" w:ascii="宋体" w:hAnsi="宋体" w:eastAsia="宋体" w:cs="宋体"/>
          <w:color w:val="auto"/>
          <w:szCs w:val="21"/>
          <w:highlight w:val="none"/>
        </w:rPr>
        <w:t>使用符合建设工程招投标平台 BIM 电子招投标系统兼容要求的施工模型标书编制工具，根据招标文件要求进行BIM模型、商务报价、进度计划等文件的整合，整合完成后，将输出资料导入</w:t>
      </w:r>
      <w:r>
        <w:rPr>
          <w:rFonts w:hint="eastAsia" w:ascii="宋体" w:hAnsi="宋体" w:eastAsia="宋体" w:cs="宋体"/>
          <w:color w:val="auto"/>
          <w:szCs w:val="21"/>
          <w:highlight w:val="none"/>
          <w:lang w:eastAsia="zh-CN"/>
        </w:rPr>
        <w:t>电子投标文件编制工具</w:t>
      </w:r>
      <w:r>
        <w:rPr>
          <w:rFonts w:hint="eastAsia" w:ascii="宋体" w:hAnsi="宋体" w:eastAsia="宋体" w:cs="宋体"/>
          <w:color w:val="auto"/>
          <w:szCs w:val="21"/>
          <w:highlight w:val="none"/>
        </w:rPr>
        <w:t>进行签名，生成BIM投标文件（格式为*.</w:t>
      </w:r>
      <w:r>
        <w:rPr>
          <w:rFonts w:ascii="宋体" w:hAnsi="宋体" w:eastAsia="宋体" w:cs="宋体"/>
          <w:color w:val="auto"/>
          <w:szCs w:val="21"/>
          <w:highlight w:val="none"/>
        </w:rPr>
        <w:t>SGTB</w:t>
      </w:r>
      <w:r>
        <w:rPr>
          <w:rFonts w:hint="eastAsia" w:ascii="宋体" w:hAnsi="宋体" w:eastAsia="宋体" w:cs="宋体"/>
          <w:color w:val="auto"/>
          <w:szCs w:val="21"/>
          <w:highlight w:val="none"/>
        </w:rPr>
        <w:t>）。</w:t>
      </w:r>
    </w:p>
    <w:p w14:paraId="546B6D9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19.2.3投标文件包括投标文件的格式要求中规定的内容，投标人提交的投标文件必须使用招标文件所提供的投标文件格式，详见招标文件第九章—投标文件格式（表格可以按同样格式扩展）。</w:t>
      </w:r>
    </w:p>
    <w:p w14:paraId="49DD4764">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20.投标文件的签署</w:t>
      </w:r>
    </w:p>
    <w:p w14:paraId="113DAB9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20.1投标文件必须采用数字证书或电子营业执照进行签名，除加签投标人机构数字证书或电子营业执照、法定代表人个人数字证书外，技术标必须加签拟派项目经理（建造师）个人数字证书，商务标必须加签造价工程师个人数字证书。</w:t>
      </w:r>
    </w:p>
    <w:p w14:paraId="02C0D90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20.2采用个人数字证书签名的项目经理（建造师）、造价工程师对签署部分的投标文件的真实性、合法性承担个人执业责任（但并不因此免除投标人应承担的法律责任）。</w:t>
      </w:r>
    </w:p>
    <w:p w14:paraId="3C3F9C21">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21.投标报价</w:t>
      </w:r>
    </w:p>
    <w:p w14:paraId="09B42BD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21.1投标报价为投标人的投标文件中提出的各项支付金额的总和。</w:t>
      </w:r>
    </w:p>
    <w:p w14:paraId="28615EC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21.2投标人的投标报价，应是招标范围和合同条件上所列的各项内容中所述的全部，不得以任何理由予以重复，并以投标人在工程量清单中提出的综合单价或总价为依据。</w:t>
      </w:r>
    </w:p>
    <w:p w14:paraId="491D40D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21.3投标人应按工程量清单中列出的工程项目填报综合单价和合价。任何有选择的报价将不予接受，每一项目只允许有一个报价。投标人未填综合单价或合价的工程项目，将被视为该项费用已包括在其它有价款的综合单价或合价内，任何与此有关的工程价款，招标人将不另行支付。</w:t>
      </w:r>
    </w:p>
    <w:p w14:paraId="7E18E19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21.4工程建设标准和技术规范要求的费用应包括在投标报价中。</w:t>
      </w:r>
    </w:p>
    <w:p w14:paraId="3DC14B8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21.5投标人应先到工地踏勘以充分了解工地位置、道路、储存空间、装卸限制及任何其它足以影响投标报价的情况，任何因忽视或误解工地情况而导致的索赔或工期延长申请将不获批准。</w:t>
      </w:r>
    </w:p>
    <w:p w14:paraId="2E10DF5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21.6除非招标人通过修改招标文件予以更正，否则，投标人应按工程量清单中的项目和数量进行报价。</w:t>
      </w:r>
    </w:p>
    <w:p w14:paraId="6C1162FF">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21.7“安全文明施工费”应当作为非竞争性费用，在投标报价中单列（但应计入投标总价）。</w:t>
      </w:r>
    </w:p>
    <w:p w14:paraId="67DA5098">
      <w:pPr>
        <w:adjustRightInd/>
        <w:snapToGrid/>
        <w:spacing w:line="24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21.8 </w:t>
      </w:r>
      <w:r>
        <w:rPr>
          <w:rFonts w:hint="eastAsia" w:ascii="宋体" w:hAnsi="宋体" w:eastAsia="宋体" w:cs="宋体"/>
          <w:color w:val="auto"/>
          <w:szCs w:val="21"/>
          <w:highlight w:val="none"/>
        </w:rPr>
        <w:t>招标人对投标人的投标报价下浮比例有具体要求的，可在“第二章  投标须知 一、投标须知前附表 第16项”投标报价其他要求中进行明确。</w:t>
      </w:r>
    </w:p>
    <w:p w14:paraId="4E129EBD">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22.投标有效期</w:t>
      </w:r>
    </w:p>
    <w:p w14:paraId="374E922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22.1投标有效期按法律法规规定期限内，所有投标文件均保持有效。</w:t>
      </w:r>
    </w:p>
    <w:p w14:paraId="5515C62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22.2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的退还与没收的规定仍然适用。</w:t>
      </w:r>
    </w:p>
    <w:p w14:paraId="3C9EE31B">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23.投标担保</w:t>
      </w:r>
    </w:p>
    <w:p w14:paraId="0CBCEE4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23.1投标人应在递交投标文件的同时提交一笔不少于法律法规规定数额的投标保证金（不得超过招标项目估算价的2%，最高不得超过50万元）、等同投标保证金的投标保函或保证保险，作为其投标的一部分。投标担保是为了避免招标人因投标人的行为而蒙受损失，招标人可根据本须知规定的条件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w:t>
      </w:r>
    </w:p>
    <w:p w14:paraId="35C096E6">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23.2投标人应按前附表要求提交投标担保</w:t>
      </w:r>
      <w:r>
        <w:rPr>
          <w:rFonts w:hint="eastAsia" w:ascii="宋体" w:hAnsi="宋体" w:eastAsia="宋体" w:cs="宋体"/>
          <w:color w:val="auto"/>
          <w:szCs w:val="21"/>
          <w:highlight w:val="none"/>
          <w:lang w:eastAsia="zh-CN"/>
        </w:rPr>
        <w:t>。</w:t>
      </w:r>
    </w:p>
    <w:p w14:paraId="1A64FA1A">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14:paraId="759CB811">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14:paraId="00787D64">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14:paraId="72E06145">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14:paraId="67F0267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23.3投标保函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的格式见第九章--投标文件格式。如果投标人不采用参考格式的投标保函，拟采用的投标保函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14:paraId="2640A75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23.4</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对于未能按要求提交投标担保的，投标文件将按有关条款不予受理。</w:t>
      </w:r>
    </w:p>
    <w:p w14:paraId="23108FA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14:paraId="2FD6183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出现下列情形之一时，招标人应当在7天内退还投标人的投标担保：</w:t>
      </w:r>
    </w:p>
    <w:p w14:paraId="2331D47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.1中标通知书发出，中标人签订了工程承包合同；</w:t>
      </w:r>
    </w:p>
    <w:p w14:paraId="5508285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.2招标过程中招标活动因正当理由被招标人宣布终止；</w:t>
      </w:r>
    </w:p>
    <w:p w14:paraId="6517D54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.3招标失败需重新组织招标；</w:t>
      </w:r>
    </w:p>
    <w:p w14:paraId="66008F3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.4投标有效期满而投标人不同意作出延长。</w:t>
      </w:r>
    </w:p>
    <w:p w14:paraId="6E7E57B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 xml:space="preserve">7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14:paraId="707B799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.1投标人有弄虚作假或串通投标等违法违规行为；</w:t>
      </w:r>
    </w:p>
    <w:p w14:paraId="39D4731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.2投标人在投标有效期内撤回其投标文件；</w:t>
      </w:r>
    </w:p>
    <w:p w14:paraId="49E4E05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.3中标人无正当理由不与招标人订立合同，在签订合同时向招标人提出附加条件，或者不按照招标文件要求提交履约保证金的；</w:t>
      </w:r>
    </w:p>
    <w:p w14:paraId="1A80455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.4投标人资质证书或安全生产许可证被暂扣或吊销，但仍参与投标的。</w:t>
      </w:r>
    </w:p>
    <w:p w14:paraId="355EBFB8">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24.投标文件的提交</w:t>
      </w:r>
    </w:p>
    <w:p w14:paraId="5C42CE8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24.1联合体投标的工程，联合体代表应在投标时录入已进行企业信息登记的联合体其他成员单位。</w:t>
      </w:r>
    </w:p>
    <w:p w14:paraId="1A7D4A4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24.2投标人应根据投标文件递交的规定，在投标截止时间前将投标文件上传到交易</w:t>
      </w:r>
      <w:r>
        <w:rPr>
          <w:rFonts w:hint="eastAsia" w:ascii="宋体" w:hAnsi="宋体" w:eastAsia="宋体" w:cs="宋体"/>
          <w:color w:val="auto"/>
          <w:szCs w:val="21"/>
          <w:highlight w:val="none"/>
          <w:lang w:val="en-US" w:eastAsia="zh-CN"/>
        </w:rPr>
        <w:t>平台</w:t>
      </w:r>
      <w:r>
        <w:rPr>
          <w:rFonts w:hint="eastAsia" w:ascii="宋体" w:hAnsi="宋体" w:eastAsia="宋体" w:cs="宋体"/>
          <w:color w:val="auto"/>
          <w:szCs w:val="21"/>
          <w:highlight w:val="none"/>
        </w:rPr>
        <w:t>。</w:t>
      </w:r>
    </w:p>
    <w:p w14:paraId="73EAF7D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24.3投标人在递交投标文件以后，在规定的投标截止时间之前，可以重新提交经修改补充的投标文件，并电子签名确认和打印回执，原已提交的投标文件会被新的投标文件覆盖。</w:t>
      </w:r>
    </w:p>
    <w:p w14:paraId="6397E25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24.4在投标截止时间以后，不得补充、修改投标文件。</w:t>
      </w:r>
    </w:p>
    <w:p w14:paraId="58491A11">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24.5截标时递交标书的投标人数量不足3名的，招标人将按法律法规的规定暂停开标和评标程序。如导致招标失败，招标人将不负担因此给投标人造成的损失。</w:t>
      </w:r>
    </w:p>
    <w:p w14:paraId="291DF0A5">
      <w:pPr>
        <w:adjustRightInd w:val="0"/>
        <w:snapToGrid w:val="0"/>
        <w:spacing w:before="0" w:after="0"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rPr>
        <w:t>25.</w:t>
      </w:r>
      <w:r>
        <w:rPr>
          <w:rFonts w:hint="eastAsia" w:ascii="宋体" w:hAnsi="宋体" w:eastAsia="宋体" w:cs="宋体"/>
          <w:b/>
          <w:bCs/>
          <w:color w:val="auto"/>
          <w:sz w:val="21"/>
          <w:szCs w:val="21"/>
          <w:highlight w:val="none"/>
        </w:rPr>
        <w:t>其他规定</w:t>
      </w:r>
    </w:p>
    <w:p w14:paraId="5BBFCD7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25.1投标人保证投标文件及资料均未侵犯他人的知识产权，否则必须承担全部责任。若投标人使用了他人的专利、专有技术，涉及的费用由投标人负责。</w:t>
      </w:r>
    </w:p>
    <w:p w14:paraId="5C65CCA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投标人中标后应按照《深圳经济特区数据条例》的有关规定，加强对BIM数据的安全管理，建立健全数据管理制度，及时排查BIM数据在存储、使用、加工、传递、交付过程中可能出现的信息安全隐患，做好安全防护和处理。</w:t>
      </w:r>
    </w:p>
    <w:p w14:paraId="08EF55F3">
      <w:pPr>
        <w:adjustRightInd w:val="0"/>
        <w:snapToGrid w:val="0"/>
        <w:spacing w:line="360" w:lineRule="auto"/>
        <w:ind w:firstLine="420" w:firstLineChars="200"/>
        <w:rPr>
          <w:rFonts w:ascii="宋体" w:hAnsi="宋体" w:eastAsia="宋体" w:cs="宋体"/>
          <w:color w:val="auto"/>
          <w:szCs w:val="21"/>
          <w:highlight w:val="none"/>
        </w:rPr>
      </w:pPr>
    </w:p>
    <w:p w14:paraId="7DF9F1C2">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44" w:name="_Toc19176"/>
      <w:bookmarkStart w:id="45" w:name="_Toc7010"/>
      <w:bookmarkStart w:id="46" w:name="_Toc28259"/>
      <w:bookmarkStart w:id="47" w:name="_Toc13262"/>
      <w:bookmarkStart w:id="48" w:name="_Toc23086"/>
      <w:bookmarkStart w:id="49" w:name="_Toc9012"/>
      <w:r>
        <w:rPr>
          <w:rFonts w:hint="eastAsia" w:eastAsia="宋体"/>
          <w:b/>
          <w:bCs w:val="0"/>
          <w:color w:val="auto"/>
          <w:sz w:val="32"/>
          <w:highlight w:val="none"/>
          <w:lang w:val="en-US"/>
        </w:rPr>
        <w:t>（三）资格后审</w:t>
      </w:r>
      <w:bookmarkEnd w:id="44"/>
      <w:bookmarkEnd w:id="45"/>
      <w:bookmarkEnd w:id="46"/>
      <w:bookmarkEnd w:id="47"/>
      <w:bookmarkEnd w:id="48"/>
      <w:bookmarkEnd w:id="49"/>
    </w:p>
    <w:p w14:paraId="732216B4">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26.资格后审</w:t>
      </w:r>
    </w:p>
    <w:p w14:paraId="41250B3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26.1资格审查由招标人组成的资格后审委员会负责，在截标后招标人登陆交易网对各投标人资格进行审查。</w:t>
      </w:r>
    </w:p>
    <w:p w14:paraId="7967D9C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26.2资格后审委员会由3名以上单数的招标人代表组成，招标代理人员参与资格审查的，其人员不得超过总人数的1/3。</w:t>
      </w:r>
    </w:p>
    <w:p w14:paraId="78E89ED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26.3资格后审委员严格对照招标公告中要求的投标人资格条件，逐个审查投标人递交的资格审查文件，审核判断投标人是否满足该资格条件。</w:t>
      </w:r>
    </w:p>
    <w:p w14:paraId="776AD0C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26.4审查过程中如出现疑问，资格后审委员可要求投标人进行澄清说明，并根据招标公告设置的条件要求进行判断；如出现投标人资格不符合招标公告设置条件的，应当向投标人说明情况，并允许投标人答辩，记录有关情况。</w:t>
      </w:r>
    </w:p>
    <w:p w14:paraId="296CE0D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26.5拟进行资格后审澄清、答辩的代表由招标人核对身份。</w:t>
      </w:r>
    </w:p>
    <w:p w14:paraId="1A51F52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26.6资格后审委员会要求投标人进行澄清、答辩，但投标人在招标人规定时间内未派出人员及时作出澄清、答辩的，资格后审委员会将可能作出不利于投标人的判定。</w:t>
      </w:r>
    </w:p>
    <w:p w14:paraId="1F84914D">
      <w:pPr>
        <w:adjustRightInd w:val="0"/>
        <w:snapToGrid w:val="0"/>
        <w:spacing w:line="360" w:lineRule="auto"/>
        <w:ind w:firstLine="420" w:firstLineChars="200"/>
        <w:rPr>
          <w:rFonts w:ascii="宋体" w:hAnsi="宋体" w:eastAsia="宋体" w:cs="宋体"/>
          <w:color w:val="auto"/>
          <w:sz w:val="24"/>
          <w:szCs w:val="24"/>
          <w:highlight w:val="none"/>
        </w:rPr>
      </w:pPr>
      <w:r>
        <w:rPr>
          <w:rFonts w:hint="eastAsia" w:ascii="宋体" w:hAnsi="宋体" w:eastAsia="宋体" w:cs="宋体"/>
          <w:color w:val="auto"/>
          <w:szCs w:val="21"/>
          <w:highlight w:val="none"/>
        </w:rPr>
        <w:t>26.7全部投标人的资格审查材料审查完毕后，资格后审委员会出具资格审查报告，并按规定将审查结果进行公示，同时由系统直接将所有投标人的</w:t>
      </w:r>
      <w:r>
        <w:rPr>
          <w:rFonts w:hint="eastAsia" w:ascii="仿宋_GB2312" w:hAnsi="仿宋_GB2312" w:eastAsia="仿宋_GB2312" w:cs="仿宋_GB2312"/>
          <w:color w:val="auto"/>
          <w:sz w:val="21"/>
          <w:szCs w:val="21"/>
          <w:highlight w:val="none"/>
          <w:lang w:val="en-US" w:eastAsia="zh-CN"/>
        </w:rPr>
        <w:t>业绩文件</w:t>
      </w:r>
      <w:r>
        <w:rPr>
          <w:rFonts w:hint="eastAsia" w:ascii="宋体" w:hAnsi="宋体" w:eastAsia="宋体" w:cs="宋体"/>
          <w:color w:val="auto"/>
          <w:szCs w:val="21"/>
          <w:highlight w:val="none"/>
        </w:rPr>
        <w:t>内容公示。资格审查合格投标人少于3家的，不再进行后续招标投标程序。资格审查结果应当在交易网公示不少于3个工作日。</w:t>
      </w:r>
    </w:p>
    <w:p w14:paraId="32B8AFBA">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50" w:name="_Toc10951"/>
      <w:bookmarkStart w:id="51" w:name="_Toc31382"/>
      <w:bookmarkStart w:id="52" w:name="_Toc17110"/>
      <w:bookmarkStart w:id="53" w:name="_Toc24949"/>
      <w:bookmarkStart w:id="54" w:name="_Toc15306"/>
      <w:bookmarkStart w:id="55" w:name="_Toc31112"/>
      <w:r>
        <w:rPr>
          <w:rFonts w:hint="eastAsia" w:eastAsia="宋体"/>
          <w:b/>
          <w:bCs w:val="0"/>
          <w:color w:val="auto"/>
          <w:sz w:val="32"/>
          <w:highlight w:val="none"/>
          <w:lang w:val="en-US"/>
        </w:rPr>
        <w:t>（四）开标</w:t>
      </w:r>
      <w:bookmarkEnd w:id="50"/>
      <w:bookmarkEnd w:id="51"/>
      <w:bookmarkEnd w:id="52"/>
      <w:bookmarkEnd w:id="53"/>
      <w:bookmarkEnd w:id="54"/>
      <w:bookmarkEnd w:id="55"/>
    </w:p>
    <w:p w14:paraId="03ECE87E">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27.开标</w:t>
      </w:r>
    </w:p>
    <w:p w14:paraId="5D5D0ED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27.1开标会议由招标人在交易网进行，投标人现场参加开标会的必须是法定代表人或投标员，并必须遵守办理程序及人员身份的相关规定。 </w:t>
      </w:r>
    </w:p>
    <w:p w14:paraId="5A6854E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27.2资格后审不合格的投标人的投标文件将不再进入下一步开标程序。</w:t>
      </w:r>
    </w:p>
    <w:p w14:paraId="73F20CE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27.3开标时，招标人需按开标程序分步对电子投标文件各部分进行导入；如电子投标文件已加密的，也必须按开标程序分步对电子投标文件各部分进行解密。</w:t>
      </w:r>
    </w:p>
    <w:p w14:paraId="4C70FF8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27.4按招标文件规定宣布为不予受理情形的投标文件，不予送交评标委员会评审。</w:t>
      </w:r>
    </w:p>
    <w:p w14:paraId="00F01D8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27.5招标人应对开标过程进行记录，以存档备查。</w:t>
      </w:r>
    </w:p>
    <w:p w14:paraId="00C99447">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27.6对于</w:t>
      </w:r>
      <w:r>
        <w:rPr>
          <w:rFonts w:hint="eastAsia" w:ascii="宋体" w:hAnsi="宋体" w:eastAsia="宋体" w:cs="宋体"/>
          <w:color w:val="auto"/>
          <w:szCs w:val="21"/>
          <w:highlight w:val="none"/>
          <w:lang w:val="en-US" w:eastAsia="zh-CN"/>
        </w:rPr>
        <w:t>资格审查</w:t>
      </w:r>
      <w:r>
        <w:rPr>
          <w:rFonts w:hint="eastAsia" w:ascii="宋体" w:hAnsi="宋体" w:eastAsia="宋体" w:cs="宋体"/>
          <w:color w:val="auto"/>
          <w:szCs w:val="21"/>
          <w:highlight w:val="none"/>
        </w:rPr>
        <w:t>合格的投标人数量超过20名的，招标人应当采用票决法淘汰部分投标人，但进入后续评标程序的投标人数量应当为15至20名。</w:t>
      </w:r>
    </w:p>
    <w:p w14:paraId="3DBD6B25">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27.</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14:paraId="1D653145">
      <w:pPr>
        <w:adjustRightInd w:val="0"/>
        <w:snapToGrid w:val="0"/>
        <w:spacing w:line="360" w:lineRule="auto"/>
        <w:ind w:firstLine="420" w:firstLineChars="200"/>
        <w:rPr>
          <w:rFonts w:ascii="宋体" w:hAnsi="宋体" w:eastAsia="宋体" w:cs="宋体"/>
          <w:strike/>
          <w:color w:val="auto"/>
          <w:szCs w:val="21"/>
          <w:highlight w:val="none"/>
        </w:rPr>
      </w:pPr>
      <w:r>
        <w:rPr>
          <w:rFonts w:hint="eastAsia" w:ascii="宋体" w:hAnsi="宋体" w:eastAsia="宋体" w:cs="宋体"/>
          <w:color w:val="auto"/>
          <w:szCs w:val="21"/>
          <w:highlight w:val="none"/>
        </w:rPr>
        <w:t>27.</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招标人在过多投标人淘汰环节应当采用票决法进行择优</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经理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strike w:val="0"/>
          <w:color w:val="auto"/>
          <w:szCs w:val="21"/>
          <w:highlight w:val="none"/>
        </w:rPr>
        <w:t>招标人可以根据项目实际情况增加择优因素，也可以综合考虑择优因素或按择优因素的重要性，对投标人进行逐级淘汰。</w:t>
      </w:r>
    </w:p>
    <w:p w14:paraId="53E0ABC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w:t>
      </w:r>
      <w:r>
        <w:rPr>
          <w:rFonts w:hint="eastAsia" w:ascii="宋体" w:hAnsi="宋体" w:eastAsia="宋体" w:cs="宋体"/>
          <w:color w:val="auto"/>
          <w:szCs w:val="21"/>
          <w:highlight w:val="none"/>
          <w:lang w:eastAsia="zh-CN"/>
        </w:rPr>
        <w:t>9</w:t>
      </w:r>
      <w:r>
        <w:rPr>
          <w:rFonts w:hint="eastAsia" w:ascii="宋体" w:hAnsi="宋体" w:eastAsia="宋体" w:cs="宋体"/>
          <w:color w:val="auto"/>
          <w:kern w:val="0"/>
          <w:szCs w:val="21"/>
          <w:highlight w:val="none"/>
        </w:rPr>
        <w:t>招标人应对开标过程进行记录，以存档备查。</w:t>
      </w:r>
      <w:r>
        <w:rPr>
          <w:rFonts w:hint="eastAsia" w:ascii="宋体" w:hAnsi="宋体" w:eastAsia="宋体" w:cs="宋体"/>
          <w:color w:val="auto"/>
          <w:szCs w:val="21"/>
          <w:highlight w:val="none"/>
        </w:rPr>
        <w:t>开标及入围结果应当在交易网进行公示。</w:t>
      </w:r>
    </w:p>
    <w:p w14:paraId="3F38801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27.</w:t>
      </w: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招标人在深圳交易集团有限公司（深圳公共资源交易中心）现场组织的开标会应遵循《会议管理规定》及《开标会程序》的相关规定。</w:t>
      </w:r>
    </w:p>
    <w:p w14:paraId="68BDF634">
      <w:pPr>
        <w:adjustRightInd w:val="0"/>
        <w:snapToGrid w:val="0"/>
        <w:spacing w:line="360" w:lineRule="auto"/>
        <w:ind w:firstLine="422" w:firstLineChars="200"/>
        <w:rPr>
          <w:b/>
          <w:bCs/>
          <w:color w:val="auto"/>
          <w:szCs w:val="21"/>
          <w:highlight w:val="none"/>
        </w:rPr>
      </w:pPr>
      <w:r>
        <w:rPr>
          <w:rFonts w:hint="eastAsia" w:ascii="宋体" w:hAnsi="宋体" w:eastAsia="宋体" w:cs="宋体"/>
          <w:b/>
          <w:bCs/>
          <w:color w:val="auto"/>
          <w:szCs w:val="21"/>
          <w:highlight w:val="none"/>
        </w:rPr>
        <w:t>28.投标文件不予受理的情形（详见投标文件否决性条款第一条）</w:t>
      </w:r>
    </w:p>
    <w:p w14:paraId="543FC387">
      <w:pPr>
        <w:rPr>
          <w:color w:val="auto"/>
          <w:highlight w:val="none"/>
        </w:rPr>
      </w:pPr>
    </w:p>
    <w:p w14:paraId="6DCE8171">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56" w:name="_Toc13159"/>
      <w:bookmarkStart w:id="57" w:name="_Toc6149"/>
      <w:bookmarkStart w:id="58" w:name="_Toc28916"/>
      <w:bookmarkStart w:id="59" w:name="_Toc31279"/>
      <w:bookmarkStart w:id="60" w:name="_Toc13700"/>
      <w:bookmarkStart w:id="61" w:name="_Toc14893"/>
      <w:r>
        <w:rPr>
          <w:rFonts w:hint="eastAsia" w:eastAsia="宋体"/>
          <w:b/>
          <w:bCs w:val="0"/>
          <w:color w:val="auto"/>
          <w:sz w:val="32"/>
          <w:highlight w:val="none"/>
          <w:lang w:val="en-US"/>
        </w:rPr>
        <w:t>（五）评标</w:t>
      </w:r>
      <w:bookmarkEnd w:id="56"/>
      <w:bookmarkEnd w:id="57"/>
      <w:bookmarkEnd w:id="58"/>
      <w:bookmarkEnd w:id="59"/>
      <w:bookmarkEnd w:id="60"/>
      <w:bookmarkEnd w:id="61"/>
    </w:p>
    <w:p w14:paraId="14F3FAE1">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29.评标方法及标准</w:t>
      </w:r>
    </w:p>
    <w:p w14:paraId="5B27BC0A">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29.1评标委员会应当根据“投标须知前附表”规定的评标方法，对投标文件进行评审和比较，招标文件中没有规定的标准和方法不得作为评标的依据。</w:t>
      </w:r>
      <w:r>
        <w:rPr>
          <w:rFonts w:hint="eastAsia" w:ascii="宋体" w:hAnsi="宋体" w:eastAsia="宋体" w:cs="宋体"/>
          <w:color w:val="auto"/>
          <w:szCs w:val="21"/>
          <w:highlight w:val="none"/>
          <w:lang w:val="en-US" w:eastAsia="zh-CN"/>
        </w:rPr>
        <w:t>对招标文件规定的评标</w:t>
      </w:r>
      <w:r>
        <w:rPr>
          <w:rFonts w:hint="eastAsia" w:ascii="宋体" w:hAnsi="宋体" w:eastAsia="宋体" w:cs="宋体"/>
          <w:color w:val="auto"/>
          <w:szCs w:val="21"/>
          <w:highlight w:val="none"/>
        </w:rPr>
        <w:t>标准和方法</w:t>
      </w:r>
      <w:r>
        <w:rPr>
          <w:rFonts w:hint="eastAsia" w:ascii="宋体" w:hAnsi="宋体" w:eastAsia="宋体" w:cs="宋体"/>
          <w:color w:val="auto"/>
          <w:szCs w:val="21"/>
          <w:highlight w:val="none"/>
          <w:lang w:val="en-US" w:eastAsia="zh-CN"/>
        </w:rPr>
        <w:t>等内容存在异议的，应提请招标人澄清说明，并在评标报告中记录有关情况。招标人应委派熟悉项目情况的工作人员跟进评标工作，并负责对招标文件有关内容进行解释。</w:t>
      </w:r>
    </w:p>
    <w:p w14:paraId="3FE552BD">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30.评标委员会组建及职责</w:t>
      </w:r>
    </w:p>
    <w:p w14:paraId="0A9F417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30.1评标委员会组建方式：由招标人依法组建，负责评标活动。评标委员会的专家成员由招标人从评标专家库内按照专业随机抽取（招标人可以各委派一名代表作为技术标和商务标的评标委员会成员），且应当符合下列要求：</w:t>
      </w:r>
    </w:p>
    <w:p w14:paraId="402F767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30.1.1采用电子评标的，技术标评标委员会成员数量为5人以上单数，商务标评标委员会成员数量为3人以上单数；</w:t>
      </w:r>
    </w:p>
    <w:p w14:paraId="30371590">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30.1.2采用纸质方式评标的，技术标评标委员会和商务标评标委员会数量均为5人以上单数。</w:t>
      </w:r>
    </w:p>
    <w:p w14:paraId="5BE61699">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30.1.3 招标人代表应熟悉项目情况、掌握招标投标法律法规、能够熟练运用电子评标工具人员，且不得与投标人存在利害关系。</w:t>
      </w:r>
    </w:p>
    <w:p w14:paraId="6C49917F">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30.2评标委员会职责：评标委员会应根据招标文件规定的评标方法和标准，遵循公开、公正、公平、科学、择优的原则，对投标文件进行评审。评标委员会根据招标文件规定向招标人推荐合格投标人或中标候选人。</w:t>
      </w:r>
    </w:p>
    <w:p w14:paraId="2100638D">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评标委员会成员应认真、公正、诚实、廉洁、勤勉地履行专家职责，按时参加评标，严格遵守评标纪律，并对评标结果终身负责。</w:t>
      </w:r>
    </w:p>
    <w:p w14:paraId="68787BF4">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30.4 </w:t>
      </w:r>
      <w:r>
        <w:rPr>
          <w:rFonts w:hint="default" w:ascii="宋体" w:hAnsi="宋体" w:eastAsia="宋体" w:cs="宋体"/>
          <w:color w:val="auto"/>
          <w:szCs w:val="21"/>
          <w:highlight w:val="none"/>
          <w:lang w:val="en-US" w:eastAsia="zh-CN"/>
        </w:rPr>
        <w:t>招标人代表</w:t>
      </w:r>
      <w:r>
        <w:rPr>
          <w:rFonts w:hint="eastAsia" w:ascii="宋体" w:hAnsi="宋体" w:eastAsia="宋体" w:cs="宋体"/>
          <w:color w:val="auto"/>
          <w:szCs w:val="21"/>
          <w:highlight w:val="none"/>
          <w:lang w:val="en-US" w:eastAsia="zh-CN"/>
        </w:rPr>
        <w:t>应</w:t>
      </w:r>
      <w:r>
        <w:rPr>
          <w:rFonts w:hint="default" w:ascii="宋体" w:hAnsi="宋体" w:eastAsia="宋体" w:cs="宋体"/>
          <w:color w:val="auto"/>
          <w:szCs w:val="21"/>
          <w:highlight w:val="none"/>
          <w:lang w:val="en-US" w:eastAsia="zh-CN"/>
        </w:rPr>
        <w:t>认真做好评标准备，仔细研读招标文件，充分掌握评标标准</w:t>
      </w:r>
      <w:r>
        <w:rPr>
          <w:rFonts w:hint="eastAsia" w:ascii="宋体" w:hAnsi="宋体" w:eastAsia="宋体" w:cs="宋体"/>
          <w:color w:val="auto"/>
          <w:szCs w:val="21"/>
          <w:highlight w:val="none"/>
          <w:lang w:val="en-US" w:eastAsia="zh-CN"/>
        </w:rPr>
        <w:t>和推荐原则</w:t>
      </w:r>
      <w:r>
        <w:rPr>
          <w:rFonts w:hint="default" w:ascii="宋体" w:hAnsi="宋体" w:eastAsia="宋体" w:cs="宋体"/>
          <w:color w:val="auto"/>
          <w:szCs w:val="21"/>
          <w:highlight w:val="none"/>
          <w:lang w:val="en-US" w:eastAsia="zh-CN"/>
        </w:rPr>
        <w:t>、可能低于成本或者影响履约的异常低价投标的识别处理要求、否决投标的情形和判定方式等。招标人代表在评标过程中，应当履行下列职责：</w:t>
      </w:r>
    </w:p>
    <w:p w14:paraId="55F18E15">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30.4.1</w:t>
      </w:r>
      <w:r>
        <w:rPr>
          <w:rFonts w:hint="default" w:ascii="宋体" w:hAnsi="宋体" w:eastAsia="宋体" w:cs="宋体"/>
          <w:color w:val="auto"/>
          <w:szCs w:val="21"/>
          <w:highlight w:val="none"/>
          <w:lang w:val="en-US" w:eastAsia="zh-CN"/>
        </w:rPr>
        <w:t>公正独立地对投标文件进行评审和比较；</w:t>
      </w:r>
    </w:p>
    <w:p w14:paraId="62A29C6F">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30.4.2</w:t>
      </w:r>
      <w:r>
        <w:rPr>
          <w:rFonts w:hint="default" w:ascii="宋体" w:hAnsi="宋体" w:eastAsia="宋体" w:cs="宋体"/>
          <w:color w:val="auto"/>
          <w:szCs w:val="21"/>
          <w:highlight w:val="none"/>
          <w:lang w:val="en-US" w:eastAsia="zh-CN"/>
        </w:rPr>
        <w:t>发现评标专家存在发表倾向性意见、进行诱导性发言、不按招标文件规定的评标标准和方法评标等违规行为的，要予以提醒、劝阻，做好记录并向评标专家库组建单位和有关行政监督部门报告；</w:t>
      </w:r>
    </w:p>
    <w:p w14:paraId="54D7009E">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30.4.3</w:t>
      </w:r>
      <w:r>
        <w:rPr>
          <w:rFonts w:hint="default" w:ascii="宋体" w:hAnsi="宋体" w:eastAsia="宋体" w:cs="宋体"/>
          <w:color w:val="auto"/>
          <w:szCs w:val="21"/>
          <w:highlight w:val="none"/>
          <w:lang w:val="en-US" w:eastAsia="zh-CN"/>
        </w:rPr>
        <w:t>发现投标人报价异常的，应当提议评标委员会进行研究，要求该投标人作出说明并提供相关证明材料；投标人不能合理说明、证明的，应当提出否决该投标的评标意见；</w:t>
      </w:r>
    </w:p>
    <w:p w14:paraId="0DD00B49">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30.4.4</w:t>
      </w:r>
      <w:r>
        <w:rPr>
          <w:rFonts w:hint="default" w:ascii="宋体" w:hAnsi="宋体" w:eastAsia="宋体" w:cs="宋体"/>
          <w:color w:val="auto"/>
          <w:szCs w:val="21"/>
          <w:highlight w:val="none"/>
          <w:lang w:val="en-US" w:eastAsia="zh-CN"/>
        </w:rPr>
        <w:t>发现投标人存在业绩造假、资质伪造、围标串标或者其他违法嫌疑的，要提议评标委员会按照法律法规和招标文件规定进行处理；达到招标文件规定的否决投标标准的，应当提出否决该投标的评标意见；</w:t>
      </w:r>
    </w:p>
    <w:p w14:paraId="25F2DBF3">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30.4.5</w:t>
      </w:r>
      <w:r>
        <w:rPr>
          <w:rFonts w:hint="default" w:ascii="宋体" w:hAnsi="宋体" w:eastAsia="宋体" w:cs="宋体"/>
          <w:color w:val="auto"/>
          <w:szCs w:val="21"/>
          <w:highlight w:val="none"/>
          <w:lang w:val="en-US" w:eastAsia="zh-CN"/>
        </w:rPr>
        <w:t>其他招标人代表应当履行的职责。</w:t>
      </w:r>
    </w:p>
    <w:p w14:paraId="28E90C78">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31.投标文件的初步评审</w:t>
      </w:r>
    </w:p>
    <w:p w14:paraId="778D7FE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31.1计算机评标系统对投标文件进行自动清标分析，然后由评标委员会进行投标文件的初步评审。</w:t>
      </w:r>
    </w:p>
    <w:p w14:paraId="28890C7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31.2投标文件初步评审不合格的，应参照投标文件否决性条款作无效标处理。</w:t>
      </w:r>
    </w:p>
    <w:p w14:paraId="1A042D7D">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32.投标文件的详细评审</w:t>
      </w:r>
    </w:p>
    <w:p w14:paraId="23070B2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32.1评标委员会根据招标文件规定的评标方法和标准，对各投标人的投标文件分别进行详细评审。</w:t>
      </w:r>
    </w:p>
    <w:p w14:paraId="69333887">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33.投标文件的重大偏差</w:t>
      </w:r>
    </w:p>
    <w:p w14:paraId="5CE034A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33.1投标文件存在的重大偏差情形的，评标委员会应根据相应的投标文件否决性条款作废标处理。</w:t>
      </w:r>
    </w:p>
    <w:p w14:paraId="0E1FECBE">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34.投标文件的细微偏差</w:t>
      </w:r>
    </w:p>
    <w:p w14:paraId="2496A8D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34.1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14:paraId="5103B2A0">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35.投标文件的澄清答辩</w:t>
      </w:r>
    </w:p>
    <w:p w14:paraId="6B5E1D7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35.1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14:paraId="66444AE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35.2采用评标区录音电话方式澄清答辩的答辩人，仅限该项目递交投标文件时确定的投标员，投标员的联系方式以系统登记信息为准。采用现场方式澄清答辩的答辩人应为该单位的授权委托人，授权委托人须本人携带有效的身份证明文件（包含身份证原件、法定代表人证明书、法人授权委托书等）。澄清答辩人员的身份由招标人核验。</w:t>
      </w:r>
    </w:p>
    <w:p w14:paraId="54D9E51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35.3评标委员会要求投标人进行答辩，但投标人在评标委员会规定的时间内（不少于30分钟）内未派出代表及时作出答辩的，评标委员会将根据招标文件规定作出不利于投标人的判定，投标人不得因此提出任何异议。</w:t>
      </w:r>
    </w:p>
    <w:p w14:paraId="0B3E41E6">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36.无效标和废标的处理</w:t>
      </w:r>
    </w:p>
    <w:p w14:paraId="39D5A12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36.1除法律、法规、规章、规范性文件规定以及本招标文件否决性条款单列的无效标或者废标情形外，评标委员会不得对投标文件作无效标或者废标处理。评标委员会对投标文件应坚持谨慎确定无效标和废标的原则。</w:t>
      </w:r>
    </w:p>
    <w:p w14:paraId="0C0C6B9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36.2评标委员会在作出任何一项无效标和废标决定前，都应当严格遵循以下程序：</w:t>
      </w:r>
    </w:p>
    <w:p w14:paraId="7AC22D3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36.2.1向当事投标人作相应的澄清；</w:t>
      </w:r>
    </w:p>
    <w:p w14:paraId="457520E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36.2.2当事投标人应当在通知规定时间内，向评标委员会作出澄清和解释。未按时作出澄清和解释的，评标委员会可对相应投标文件按最不利情形认定；</w:t>
      </w:r>
    </w:p>
    <w:p w14:paraId="1897A52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36.2.3在充分讨论的基础上集体表决；</w:t>
      </w:r>
    </w:p>
    <w:p w14:paraId="5989834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36.2.4若表决通过无效标或废标决定，应在评标报告中详细载明无效标或废标的理由、依据、答辩的情况和集体表决的情况（同意无效标或废标和不同意无效标或废标的评标委员会成员均应当注明）；</w:t>
      </w:r>
    </w:p>
    <w:p w14:paraId="56F03F7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36.2.5评标委员会在否决所有投标文件前，应当向招标人核实有关情况，听取招标人意见。</w:t>
      </w:r>
    </w:p>
    <w:p w14:paraId="1BAAC394">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37.</w:t>
      </w:r>
      <w:r>
        <w:rPr>
          <w:rFonts w:hint="eastAsia" w:ascii="宋体" w:hAnsi="宋体" w:eastAsia="宋体" w:cs="宋体"/>
          <w:b/>
          <w:bCs/>
          <w:strike w:val="0"/>
          <w:color w:val="auto"/>
          <w:szCs w:val="21"/>
          <w:highlight w:val="none"/>
          <w:lang w:val="en-US" w:eastAsia="zh-CN"/>
        </w:rPr>
        <w:t>中标候选人</w:t>
      </w:r>
      <w:r>
        <w:rPr>
          <w:rFonts w:hint="eastAsia" w:ascii="宋体" w:hAnsi="宋体" w:eastAsia="宋体" w:cs="宋体"/>
          <w:b/>
          <w:bCs/>
          <w:color w:val="auto"/>
          <w:szCs w:val="21"/>
          <w:highlight w:val="none"/>
        </w:rPr>
        <w:t>的推荐</w:t>
      </w:r>
    </w:p>
    <w:p w14:paraId="69DE802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37.1评标委员会实行少数服从多数的原则，评标结果经评标委员会全体成员过半数通过有效。</w:t>
      </w:r>
    </w:p>
    <w:p w14:paraId="5C19614A">
      <w:pPr>
        <w:adjustRightInd w:val="0"/>
        <w:snapToGrid w:val="0"/>
        <w:spacing w:line="360" w:lineRule="auto"/>
        <w:ind w:firstLine="420" w:firstLineChars="200"/>
        <w:rPr>
          <w:rFonts w:ascii="宋体" w:hAnsi="宋体" w:eastAsia="宋体" w:cs="宋体"/>
          <w:strike/>
          <w:color w:val="auto"/>
          <w:szCs w:val="21"/>
          <w:highlight w:val="none"/>
        </w:rPr>
      </w:pPr>
      <w:r>
        <w:rPr>
          <w:rFonts w:hint="eastAsia" w:ascii="宋体" w:hAnsi="宋体" w:eastAsia="宋体" w:cs="宋体"/>
          <w:color w:val="auto"/>
          <w:szCs w:val="21"/>
          <w:highlight w:val="none"/>
        </w:rPr>
        <w:t>37.2</w:t>
      </w:r>
      <w:r>
        <w:rPr>
          <w:rFonts w:hint="eastAsia" w:ascii="宋体" w:hAnsi="宋体" w:eastAsia="宋体" w:cs="宋体"/>
          <w:strike w:val="0"/>
          <w:color w:val="auto"/>
          <w:kern w:val="0"/>
          <w:szCs w:val="21"/>
          <w:highlight w:val="none"/>
        </w:rPr>
        <w:t>评标委员会经过对投标文件进行评审和比较后</w:t>
      </w:r>
      <w:r>
        <w:rPr>
          <w:rFonts w:hint="eastAsia" w:ascii="宋体" w:hAnsi="宋体" w:eastAsia="宋体" w:cs="宋体"/>
          <w:strike w:val="0"/>
          <w:color w:val="auto"/>
          <w:kern w:val="0"/>
          <w:szCs w:val="21"/>
          <w:highlight w:val="none"/>
          <w:lang w:eastAsia="zh-CN"/>
        </w:rPr>
        <w:t>，</w:t>
      </w:r>
      <w:r>
        <w:rPr>
          <w:rFonts w:hint="eastAsia" w:ascii="宋体" w:hAnsi="宋体" w:eastAsia="宋体" w:cs="宋体"/>
          <w:strike w:val="0"/>
          <w:color w:val="auto"/>
          <w:szCs w:val="21"/>
          <w:highlight w:val="none"/>
          <w:u w:val="none"/>
        </w:rPr>
        <w:t>评审合格投标人数量超过5</w:t>
      </w:r>
      <w:r>
        <w:rPr>
          <w:rFonts w:hint="eastAsia" w:ascii="宋体" w:hAnsi="宋体" w:eastAsia="宋体" w:cs="宋体"/>
          <w:strike w:val="0"/>
          <w:color w:val="auto"/>
          <w:szCs w:val="21"/>
          <w:highlight w:val="none"/>
          <w:u w:val="none"/>
          <w:lang w:val="en-US" w:eastAsia="zh-CN"/>
        </w:rPr>
        <w:t>名的</w:t>
      </w:r>
      <w:r>
        <w:rPr>
          <w:rFonts w:hint="eastAsia" w:ascii="宋体" w:hAnsi="宋体" w:eastAsia="宋体" w:cs="宋体"/>
          <w:strike w:val="0"/>
          <w:color w:val="auto"/>
          <w:szCs w:val="21"/>
          <w:highlight w:val="none"/>
          <w:u w:val="none"/>
        </w:rPr>
        <w:t>，</w:t>
      </w:r>
      <w:r>
        <w:rPr>
          <w:rFonts w:hint="eastAsia" w:ascii="宋体" w:hAnsi="宋体" w:eastAsia="宋体" w:cs="宋体"/>
          <w:color w:val="auto"/>
          <w:szCs w:val="21"/>
          <w:highlight w:val="none"/>
        </w:rPr>
        <w:t>评标委员会应根据招标文件确定的规则，结合评审意见，</w:t>
      </w:r>
      <w:r>
        <w:rPr>
          <w:rFonts w:hint="eastAsia" w:ascii="宋体" w:hAnsi="宋体" w:eastAsia="宋体" w:cs="宋体"/>
          <w:strike w:val="0"/>
          <w:color w:val="auto"/>
          <w:szCs w:val="21"/>
          <w:highlight w:val="none"/>
        </w:rPr>
        <w:t>在合格投标人中</w:t>
      </w:r>
      <w:r>
        <w:rPr>
          <w:rFonts w:hint="eastAsia" w:ascii="宋体" w:hAnsi="宋体" w:eastAsia="宋体" w:cs="宋体"/>
          <w:strike w:val="0"/>
          <w:color w:val="auto"/>
          <w:szCs w:val="21"/>
          <w:highlight w:val="none"/>
          <w:lang w:val="en-US" w:eastAsia="zh-CN"/>
        </w:rPr>
        <w:t>择优推荐</w:t>
      </w:r>
      <w:r>
        <w:rPr>
          <w:rFonts w:hint="eastAsia" w:ascii="宋体" w:hAnsi="宋体" w:eastAsia="宋体" w:cs="宋体"/>
          <w:strike w:val="0"/>
          <w:color w:val="auto"/>
          <w:szCs w:val="21"/>
          <w:highlight w:val="none"/>
        </w:rPr>
        <w:t>50%的投标人作为</w:t>
      </w:r>
      <w:r>
        <w:rPr>
          <w:rFonts w:hint="eastAsia" w:ascii="宋体" w:hAnsi="宋体" w:eastAsia="宋体" w:cs="宋体"/>
          <w:strike w:val="0"/>
          <w:color w:val="auto"/>
          <w:szCs w:val="21"/>
          <w:highlight w:val="none"/>
          <w:lang w:val="en-US" w:eastAsia="zh-CN"/>
        </w:rPr>
        <w:t>中标</w:t>
      </w:r>
      <w:r>
        <w:rPr>
          <w:rFonts w:hint="eastAsia" w:ascii="宋体" w:hAnsi="宋体" w:eastAsia="宋体" w:cs="宋体"/>
          <w:strike w:val="0"/>
          <w:color w:val="auto"/>
          <w:szCs w:val="21"/>
          <w:highlight w:val="none"/>
        </w:rPr>
        <w:t>候选人（采用四舍五入取整），并详细说明推荐理由。</w:t>
      </w:r>
      <w:r>
        <w:rPr>
          <w:rFonts w:hint="eastAsia" w:ascii="宋体" w:hAnsi="宋体" w:eastAsia="宋体" w:cs="宋体"/>
          <w:strike w:val="0"/>
          <w:color w:val="auto"/>
          <w:szCs w:val="21"/>
          <w:highlight w:val="none"/>
          <w:u w:val="none"/>
        </w:rPr>
        <w:t>评审合格投标人数量</w:t>
      </w:r>
      <w:r>
        <w:rPr>
          <w:rFonts w:hint="eastAsia" w:ascii="宋体" w:hAnsi="宋体" w:eastAsia="宋体" w:cs="宋体"/>
          <w:strike w:val="0"/>
          <w:color w:val="auto"/>
          <w:szCs w:val="21"/>
          <w:highlight w:val="none"/>
          <w:u w:val="none"/>
          <w:lang w:val="en-US" w:eastAsia="zh-CN"/>
        </w:rPr>
        <w:t>为3-</w:t>
      </w:r>
      <w:r>
        <w:rPr>
          <w:rFonts w:hint="eastAsia" w:ascii="宋体" w:hAnsi="宋体" w:eastAsia="宋体" w:cs="宋体"/>
          <w:strike w:val="0"/>
          <w:color w:val="auto"/>
          <w:szCs w:val="21"/>
          <w:highlight w:val="none"/>
          <w:u w:val="none"/>
        </w:rPr>
        <w:t>5</w:t>
      </w:r>
      <w:r>
        <w:rPr>
          <w:rFonts w:hint="eastAsia" w:ascii="宋体" w:hAnsi="宋体" w:eastAsia="宋体" w:cs="宋体"/>
          <w:strike w:val="0"/>
          <w:color w:val="auto"/>
          <w:szCs w:val="21"/>
          <w:highlight w:val="none"/>
          <w:u w:val="none"/>
          <w:lang w:val="en-US" w:eastAsia="zh-CN"/>
        </w:rPr>
        <w:t>名的，所有合格投标人均为中标候选人</w:t>
      </w:r>
      <w:r>
        <w:rPr>
          <w:rStyle w:val="50"/>
          <w:rFonts w:hint="eastAsia" w:ascii="宋体" w:hAnsi="宋体" w:eastAsia="宋体" w:cs="宋体"/>
          <w:strike w:val="0"/>
          <w:color w:val="auto"/>
          <w:szCs w:val="21"/>
          <w:highlight w:val="none"/>
          <w:u w:val="none"/>
          <w:lang w:val="en-US" w:eastAsia="zh-CN"/>
        </w:rPr>
        <w:t>[</w:t>
      </w:r>
      <w:r>
        <w:rPr>
          <w:rStyle w:val="50"/>
          <w:rFonts w:hint="eastAsia" w:ascii="宋体" w:hAnsi="宋体" w:eastAsia="宋体" w:cs="宋体"/>
          <w:strike w:val="0"/>
          <w:color w:val="auto"/>
          <w:szCs w:val="21"/>
          <w:highlight w:val="none"/>
          <w:u w:val="none"/>
          <w:lang w:val="en-US" w:eastAsia="zh-CN"/>
        </w:rPr>
        <w:footnoteReference w:id="6"/>
      </w:r>
      <w:r>
        <w:rPr>
          <w:rStyle w:val="50"/>
          <w:rFonts w:hint="eastAsia" w:ascii="宋体" w:hAnsi="宋体" w:eastAsia="宋体" w:cs="宋体"/>
          <w:strike w:val="0"/>
          <w:color w:val="auto"/>
          <w:szCs w:val="21"/>
          <w:highlight w:val="none"/>
          <w:u w:val="none"/>
          <w:lang w:val="en-US" w:eastAsia="zh-CN"/>
        </w:rPr>
        <w:t>]</w:t>
      </w:r>
      <w:r>
        <w:rPr>
          <w:rFonts w:hint="eastAsia" w:ascii="宋体" w:hAnsi="宋体" w:eastAsia="宋体" w:cs="宋体"/>
          <w:strike w:val="0"/>
          <w:color w:val="auto"/>
          <w:szCs w:val="21"/>
          <w:highlight w:val="none"/>
          <w:u w:val="none"/>
          <w:lang w:val="en-US" w:eastAsia="zh-CN"/>
        </w:rPr>
        <w:t>。</w:t>
      </w:r>
    </w:p>
    <w:p w14:paraId="7EA32D4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37.3评标委员会作出无效标或者废标处理后，合格投标人数量不足3名的，招标人应当宣布本次招标失败，重新招标。</w:t>
      </w:r>
    </w:p>
    <w:p w14:paraId="462F0B8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37.4采用批量招标的，评标委员会作出无效标或者废标处理后，合格投标人数量不足拟定中标人数量加上2名的，招标人不得再采用批量招标方式。</w:t>
      </w:r>
    </w:p>
    <w:p w14:paraId="5374E2E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37.5重新招标的项目，评标委员会作出无效标或者废标处理后合格投标人数量仍不足3名的，评标委员会应当将对合格投标人的评审意见提交招标人，招标人可以按照原招标文件的定标程序和方法从合格投标人中确定中标人，或者将上述情况在交易网公示3个工作日后直接发包。</w:t>
      </w:r>
    </w:p>
    <w:p w14:paraId="5137A36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37.6评标过程中，若评标委员会认为本次招标缺乏竞争性，可以不推荐投标人，由招标人重新组织招标。</w:t>
      </w:r>
    </w:p>
    <w:p w14:paraId="0C45066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37.7如招投标过程中出现严重异常情况，经</w:t>
      </w:r>
      <w:r>
        <w:rPr>
          <w:rFonts w:hint="eastAsia" w:ascii="宋体" w:hAnsi="宋体" w:eastAsia="宋体" w:cs="宋体"/>
          <w:color w:val="auto"/>
          <w:szCs w:val="21"/>
          <w:highlight w:val="none"/>
          <w:lang w:val="en-US" w:eastAsia="zh-CN"/>
        </w:rPr>
        <w:t>行政</w:t>
      </w:r>
      <w:r>
        <w:rPr>
          <w:rFonts w:hint="eastAsia" w:ascii="宋体" w:hAnsi="宋体" w:eastAsia="宋体" w:cs="宋体"/>
          <w:color w:val="auto"/>
          <w:szCs w:val="21"/>
          <w:highlight w:val="none"/>
        </w:rPr>
        <w:t>主管部门批准，招标人可以不接受本次招标结果，应当重新招标。</w:t>
      </w:r>
    </w:p>
    <w:p w14:paraId="49475DA3">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38评标报告</w:t>
      </w:r>
    </w:p>
    <w:p w14:paraId="0648A48F">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38.1评标委员会收集并汇总全体评委评审意见后，由评标委员会主任委员填写《评标报告》。</w:t>
      </w:r>
    </w:p>
    <w:p w14:paraId="7DB7B2A9">
      <w:pPr>
        <w:adjustRightInd w:val="0"/>
        <w:snapToGrid w:val="0"/>
        <w:spacing w:line="360" w:lineRule="auto"/>
        <w:ind w:firstLine="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委员会应在评标报告中指出各投标文件的优点和存在的缺陷、签订合同前应注意和澄清的事项。评标过程中发现投标人报价存在异常低价的，应要求投标人作必要的澄清说明，提供相关材料，并在评标报告中提示该投标人在合同履行、工程质量安全等方面存在的风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投标人不能合理说明或者不能提供相关证明材料的，由评标委员会认定该投标人以低于成本报价竞标，应当否决其投标。</w:t>
      </w:r>
    </w:p>
    <w:p w14:paraId="2971424F">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38.2评标报告应由评标委员会全体成员签字。评标委员会成员对评审意见和中标候选人名单存在分歧意见的，可采用书面方式阐述其不同意见和理由</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w:t>
      </w:r>
      <w:r>
        <w:rPr>
          <w:rFonts w:hint="eastAsia" w:ascii="宋体" w:hAnsi="宋体" w:eastAsia="宋体" w:cs="宋体"/>
          <w:color w:val="auto"/>
          <w:szCs w:val="21"/>
          <w:highlight w:val="none"/>
        </w:rPr>
        <w:t>在评标报告中客观记录。评标委员会成员拒绝签字的，视为同意评标结论。评标委员会应对此做出书面记录。</w:t>
      </w:r>
    </w:p>
    <w:p w14:paraId="69A43F5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38.3对发现的涉嫌违法、违规行为，应当在评标报告中做出详细说明，做好取证工作，并及时告知行政主管部门。</w:t>
      </w:r>
    </w:p>
    <w:p w14:paraId="348DDCE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38.4评标委员会向招标人提交评标报告后即解散。评标过程中使用的文件、资料等，都不得带离评标室。</w:t>
      </w:r>
    </w:p>
    <w:p w14:paraId="17038184">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39.评标结果公示</w:t>
      </w:r>
    </w:p>
    <w:p w14:paraId="7AB0315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39.1招标人应当将评标报告（含合格投标人名单）</w:t>
      </w:r>
      <w:r>
        <w:rPr>
          <w:rFonts w:hint="eastAsia" w:ascii="宋体" w:hAnsi="宋体" w:eastAsia="宋体" w:cs="宋体"/>
          <w:color w:val="auto"/>
          <w:szCs w:val="21"/>
          <w:highlight w:val="none"/>
          <w:lang w:val="en-US" w:eastAsia="zh-CN"/>
        </w:rPr>
        <w:t>及资信标内容</w:t>
      </w:r>
      <w:r>
        <w:rPr>
          <w:rFonts w:hint="eastAsia" w:ascii="宋体" w:hAnsi="宋体" w:eastAsia="宋体" w:cs="宋体"/>
          <w:color w:val="auto"/>
          <w:szCs w:val="21"/>
          <w:highlight w:val="none"/>
        </w:rPr>
        <w:t>在交易网公示3个工作日。</w:t>
      </w:r>
    </w:p>
    <w:p w14:paraId="2097B8DB">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40.其它规定</w:t>
      </w:r>
    </w:p>
    <w:p w14:paraId="51BF57C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40.1若投标人的投标行为出现违反相关法律法规等政策文件列明的各种情形的，招标人将提请主管部门对相应投标人作不良记录。</w:t>
      </w:r>
    </w:p>
    <w:p w14:paraId="11F77C1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40.2评标过程中，若评标委员依据招标文件的规定要求招标人重新招标，招标人不承担因招标失败给投标人造成的损失。</w:t>
      </w:r>
    </w:p>
    <w:p w14:paraId="429DD36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40.3如果投标文件中的BIM标书文件与其他文件内容不一致时，原则上以其他文件内容为准，投标人在投标文件或澄清中明确以</w:t>
      </w:r>
      <w:r>
        <w:rPr>
          <w:rFonts w:hint="eastAsia" w:ascii="宋体" w:hAnsi="宋体" w:eastAsia="宋体" w:cs="宋体"/>
          <w:b/>
          <w:bCs/>
          <w:color w:val="auto"/>
          <w:kern w:val="0"/>
          <w:szCs w:val="21"/>
          <w:highlight w:val="none"/>
        </w:rPr>
        <w:t>BIM</w:t>
      </w:r>
      <w:r>
        <w:rPr>
          <w:rFonts w:hint="eastAsia" w:ascii="宋体" w:hAnsi="宋体" w:eastAsia="宋体" w:cs="宋体"/>
          <w:color w:val="auto"/>
          <w:kern w:val="0"/>
          <w:szCs w:val="21"/>
          <w:highlight w:val="none"/>
        </w:rPr>
        <w:t>标书文件为准的除外。</w:t>
      </w:r>
    </w:p>
    <w:p w14:paraId="185E04D3">
      <w:pPr>
        <w:adjustRightInd w:val="0"/>
        <w:snapToGrid w:val="0"/>
        <w:spacing w:line="360" w:lineRule="auto"/>
        <w:ind w:firstLine="420" w:firstLineChars="200"/>
        <w:rPr>
          <w:rFonts w:ascii="宋体" w:hAnsi="宋体" w:eastAsia="宋体" w:cs="宋体"/>
          <w:color w:val="auto"/>
          <w:szCs w:val="21"/>
          <w:highlight w:val="none"/>
        </w:rPr>
      </w:pPr>
    </w:p>
    <w:p w14:paraId="6447ECA4">
      <w:pPr>
        <w:adjustRightInd w:val="0"/>
        <w:snapToGrid w:val="0"/>
        <w:spacing w:line="360" w:lineRule="auto"/>
        <w:ind w:firstLine="420" w:firstLineChars="200"/>
        <w:rPr>
          <w:rFonts w:ascii="宋体" w:hAnsi="宋体" w:eastAsia="宋体" w:cs="宋体"/>
          <w:color w:val="auto"/>
          <w:szCs w:val="21"/>
          <w:highlight w:val="none"/>
        </w:rPr>
      </w:pPr>
    </w:p>
    <w:p w14:paraId="52A7E221">
      <w:pPr>
        <w:adjustRightInd w:val="0"/>
        <w:snapToGrid w:val="0"/>
        <w:spacing w:line="360" w:lineRule="auto"/>
        <w:ind w:firstLine="420" w:firstLineChars="200"/>
        <w:rPr>
          <w:rFonts w:ascii="宋体" w:hAnsi="宋体" w:eastAsia="宋体" w:cs="宋体"/>
          <w:color w:val="auto"/>
          <w:szCs w:val="21"/>
          <w:highlight w:val="none"/>
        </w:rPr>
      </w:pPr>
    </w:p>
    <w:p w14:paraId="779AD16E">
      <w:pPr>
        <w:adjustRightInd w:val="0"/>
        <w:snapToGrid w:val="0"/>
        <w:spacing w:line="360" w:lineRule="auto"/>
        <w:ind w:firstLine="420" w:firstLineChars="200"/>
        <w:rPr>
          <w:rFonts w:ascii="宋体" w:hAnsi="宋体" w:eastAsia="宋体" w:cs="宋体"/>
          <w:color w:val="auto"/>
          <w:szCs w:val="21"/>
          <w:highlight w:val="none"/>
        </w:rPr>
      </w:pPr>
    </w:p>
    <w:p w14:paraId="51522DFB">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41.评标表格</w:t>
      </w:r>
    </w:p>
    <w:p w14:paraId="36338830">
      <w:pPr>
        <w:adjustRightInd w:val="0"/>
        <w:snapToGrid w:val="0"/>
        <w:spacing w:line="360" w:lineRule="auto"/>
        <w:jc w:val="center"/>
        <w:rPr>
          <w:rFonts w:ascii="宋体" w:hAnsi="宋体" w:eastAsia="宋体" w:cs="宋体"/>
          <w:b/>
          <w:color w:val="auto"/>
          <w:sz w:val="30"/>
          <w:szCs w:val="30"/>
          <w:highlight w:val="none"/>
        </w:rPr>
      </w:pPr>
      <w:r>
        <w:rPr>
          <w:rFonts w:hint="eastAsia" w:ascii="宋体" w:hAnsi="宋体" w:eastAsia="宋体" w:cs="宋体"/>
          <w:b/>
          <w:color w:val="auto"/>
          <w:sz w:val="30"/>
          <w:szCs w:val="30"/>
          <w:highlight w:val="none"/>
        </w:rPr>
        <w:t>商务标定性评审表</w:t>
      </w:r>
    </w:p>
    <w:p w14:paraId="0A0C3312">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标段名称：                                投标单位：</w:t>
      </w:r>
    </w:p>
    <w:tbl>
      <w:tblPr>
        <w:tblStyle w:val="42"/>
        <w:tblW w:w="92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817"/>
        <w:gridCol w:w="1125"/>
        <w:gridCol w:w="1205"/>
        <w:gridCol w:w="1160"/>
        <w:gridCol w:w="1249"/>
        <w:gridCol w:w="536"/>
        <w:gridCol w:w="2014"/>
      </w:tblGrid>
      <w:tr w14:paraId="0D8B9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restart"/>
            <w:vAlign w:val="center"/>
          </w:tcPr>
          <w:p w14:paraId="063C8D3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一、投标总价概况</w:t>
            </w:r>
          </w:p>
        </w:tc>
        <w:tc>
          <w:tcPr>
            <w:tcW w:w="817" w:type="dxa"/>
            <w:vMerge w:val="restart"/>
            <w:vAlign w:val="center"/>
          </w:tcPr>
          <w:p w14:paraId="7ACF384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投标总价（万元）</w:t>
            </w:r>
          </w:p>
        </w:tc>
        <w:tc>
          <w:tcPr>
            <w:tcW w:w="1125" w:type="dxa"/>
            <w:vMerge w:val="restart"/>
            <w:vAlign w:val="center"/>
          </w:tcPr>
          <w:p w14:paraId="644991C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投标总价与</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kern w:val="0"/>
                <w:szCs w:val="21"/>
                <w:highlight w:val="none"/>
              </w:rPr>
              <w:t>的差额（万元）</w:t>
            </w:r>
          </w:p>
        </w:tc>
        <w:tc>
          <w:tcPr>
            <w:tcW w:w="1205" w:type="dxa"/>
            <w:vMerge w:val="restart"/>
            <w:vAlign w:val="center"/>
          </w:tcPr>
          <w:p w14:paraId="68EA138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投标总价的净下浮率（%）</w:t>
            </w:r>
          </w:p>
        </w:tc>
        <w:tc>
          <w:tcPr>
            <w:tcW w:w="4959" w:type="dxa"/>
            <w:gridSpan w:val="4"/>
            <w:vAlign w:val="center"/>
          </w:tcPr>
          <w:p w14:paraId="6DBAC13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投标总价中</w:t>
            </w:r>
          </w:p>
        </w:tc>
      </w:tr>
      <w:tr w14:paraId="3ECD6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continue"/>
          </w:tcPr>
          <w:p w14:paraId="303112E9">
            <w:pPr>
              <w:adjustRightInd w:val="0"/>
              <w:snapToGrid w:val="0"/>
              <w:spacing w:line="360" w:lineRule="auto"/>
              <w:rPr>
                <w:rFonts w:ascii="宋体" w:hAnsi="宋体" w:eastAsia="宋体" w:cs="宋体"/>
                <w:color w:val="auto"/>
                <w:kern w:val="0"/>
                <w:szCs w:val="21"/>
                <w:highlight w:val="none"/>
              </w:rPr>
            </w:pPr>
          </w:p>
        </w:tc>
        <w:tc>
          <w:tcPr>
            <w:tcW w:w="817" w:type="dxa"/>
            <w:vMerge w:val="continue"/>
          </w:tcPr>
          <w:p w14:paraId="0CA61FA0">
            <w:pPr>
              <w:adjustRightInd w:val="0"/>
              <w:snapToGrid w:val="0"/>
              <w:spacing w:line="360" w:lineRule="auto"/>
              <w:rPr>
                <w:rFonts w:ascii="宋体" w:hAnsi="宋体" w:eastAsia="宋体" w:cs="宋体"/>
                <w:color w:val="auto"/>
                <w:kern w:val="0"/>
                <w:szCs w:val="21"/>
                <w:highlight w:val="none"/>
              </w:rPr>
            </w:pPr>
          </w:p>
        </w:tc>
        <w:tc>
          <w:tcPr>
            <w:tcW w:w="1125" w:type="dxa"/>
            <w:vMerge w:val="continue"/>
          </w:tcPr>
          <w:p w14:paraId="671B6A5C">
            <w:pPr>
              <w:adjustRightInd w:val="0"/>
              <w:snapToGrid w:val="0"/>
              <w:spacing w:line="360" w:lineRule="auto"/>
              <w:rPr>
                <w:rFonts w:ascii="宋体" w:hAnsi="宋体" w:eastAsia="宋体" w:cs="宋体"/>
                <w:color w:val="auto"/>
                <w:kern w:val="0"/>
                <w:szCs w:val="21"/>
                <w:highlight w:val="none"/>
              </w:rPr>
            </w:pPr>
          </w:p>
        </w:tc>
        <w:tc>
          <w:tcPr>
            <w:tcW w:w="1205" w:type="dxa"/>
            <w:vMerge w:val="continue"/>
          </w:tcPr>
          <w:p w14:paraId="15A5B690">
            <w:pPr>
              <w:adjustRightInd w:val="0"/>
              <w:snapToGrid w:val="0"/>
              <w:spacing w:line="360" w:lineRule="auto"/>
              <w:rPr>
                <w:rFonts w:ascii="宋体" w:hAnsi="宋体" w:eastAsia="宋体" w:cs="宋体"/>
                <w:color w:val="auto"/>
                <w:kern w:val="0"/>
                <w:szCs w:val="21"/>
                <w:highlight w:val="none"/>
              </w:rPr>
            </w:pPr>
          </w:p>
        </w:tc>
        <w:tc>
          <w:tcPr>
            <w:tcW w:w="1160" w:type="dxa"/>
          </w:tcPr>
          <w:p w14:paraId="41BA86A0">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分部分项</w:t>
            </w:r>
          </w:p>
          <w:p w14:paraId="1A6B380D">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金额（万元）</w:t>
            </w:r>
          </w:p>
        </w:tc>
        <w:tc>
          <w:tcPr>
            <w:tcW w:w="1785" w:type="dxa"/>
            <w:gridSpan w:val="2"/>
          </w:tcPr>
          <w:p w14:paraId="3A88609F">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措施项目</w:t>
            </w:r>
          </w:p>
          <w:p w14:paraId="6827FFA8">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金额（万元）</w:t>
            </w:r>
          </w:p>
        </w:tc>
        <w:tc>
          <w:tcPr>
            <w:tcW w:w="2014" w:type="dxa"/>
          </w:tcPr>
          <w:p w14:paraId="42B8E7FC">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其他金额（万元）</w:t>
            </w:r>
          </w:p>
        </w:tc>
      </w:tr>
      <w:tr w14:paraId="53122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continue"/>
          </w:tcPr>
          <w:p w14:paraId="2507123F">
            <w:pPr>
              <w:adjustRightInd w:val="0"/>
              <w:snapToGrid w:val="0"/>
              <w:spacing w:line="360" w:lineRule="auto"/>
              <w:rPr>
                <w:rFonts w:ascii="宋体" w:hAnsi="宋体" w:eastAsia="宋体" w:cs="宋体"/>
                <w:color w:val="auto"/>
                <w:kern w:val="0"/>
                <w:szCs w:val="21"/>
                <w:highlight w:val="none"/>
              </w:rPr>
            </w:pPr>
          </w:p>
        </w:tc>
        <w:tc>
          <w:tcPr>
            <w:tcW w:w="817" w:type="dxa"/>
          </w:tcPr>
          <w:p w14:paraId="4A9C27DF">
            <w:pPr>
              <w:adjustRightInd w:val="0"/>
              <w:snapToGrid w:val="0"/>
              <w:spacing w:line="360" w:lineRule="auto"/>
              <w:rPr>
                <w:rFonts w:ascii="宋体" w:hAnsi="宋体" w:eastAsia="宋体" w:cs="宋体"/>
                <w:color w:val="auto"/>
                <w:kern w:val="0"/>
                <w:szCs w:val="21"/>
                <w:highlight w:val="none"/>
              </w:rPr>
            </w:pPr>
          </w:p>
        </w:tc>
        <w:tc>
          <w:tcPr>
            <w:tcW w:w="1125" w:type="dxa"/>
          </w:tcPr>
          <w:p w14:paraId="30D2FA0A">
            <w:pPr>
              <w:adjustRightInd w:val="0"/>
              <w:snapToGrid w:val="0"/>
              <w:spacing w:line="360" w:lineRule="auto"/>
              <w:rPr>
                <w:rFonts w:ascii="宋体" w:hAnsi="宋体" w:eastAsia="宋体" w:cs="宋体"/>
                <w:color w:val="auto"/>
                <w:kern w:val="0"/>
                <w:szCs w:val="21"/>
                <w:highlight w:val="none"/>
              </w:rPr>
            </w:pPr>
          </w:p>
        </w:tc>
        <w:tc>
          <w:tcPr>
            <w:tcW w:w="1205" w:type="dxa"/>
          </w:tcPr>
          <w:p w14:paraId="6ACA5294">
            <w:pPr>
              <w:adjustRightInd w:val="0"/>
              <w:snapToGrid w:val="0"/>
              <w:spacing w:line="360" w:lineRule="auto"/>
              <w:rPr>
                <w:rFonts w:ascii="宋体" w:hAnsi="宋体" w:eastAsia="宋体" w:cs="宋体"/>
                <w:color w:val="auto"/>
                <w:kern w:val="0"/>
                <w:szCs w:val="21"/>
                <w:highlight w:val="none"/>
              </w:rPr>
            </w:pPr>
          </w:p>
        </w:tc>
        <w:tc>
          <w:tcPr>
            <w:tcW w:w="1160" w:type="dxa"/>
          </w:tcPr>
          <w:p w14:paraId="6F54DEEB">
            <w:pPr>
              <w:adjustRightInd w:val="0"/>
              <w:snapToGrid w:val="0"/>
              <w:spacing w:line="360" w:lineRule="auto"/>
              <w:rPr>
                <w:rFonts w:ascii="宋体" w:hAnsi="宋体" w:eastAsia="宋体" w:cs="宋体"/>
                <w:color w:val="auto"/>
                <w:kern w:val="0"/>
                <w:szCs w:val="21"/>
                <w:highlight w:val="none"/>
              </w:rPr>
            </w:pPr>
          </w:p>
        </w:tc>
        <w:tc>
          <w:tcPr>
            <w:tcW w:w="1785" w:type="dxa"/>
            <w:gridSpan w:val="2"/>
          </w:tcPr>
          <w:p w14:paraId="36398738">
            <w:pPr>
              <w:adjustRightInd w:val="0"/>
              <w:snapToGrid w:val="0"/>
              <w:spacing w:line="360" w:lineRule="auto"/>
              <w:rPr>
                <w:rFonts w:ascii="宋体" w:hAnsi="宋体" w:eastAsia="宋体" w:cs="宋体"/>
                <w:color w:val="auto"/>
                <w:kern w:val="0"/>
                <w:szCs w:val="21"/>
                <w:highlight w:val="none"/>
              </w:rPr>
            </w:pPr>
          </w:p>
        </w:tc>
        <w:tc>
          <w:tcPr>
            <w:tcW w:w="2014" w:type="dxa"/>
          </w:tcPr>
          <w:p w14:paraId="27340841">
            <w:pPr>
              <w:adjustRightInd w:val="0"/>
              <w:snapToGrid w:val="0"/>
              <w:spacing w:line="360" w:lineRule="auto"/>
              <w:rPr>
                <w:rFonts w:ascii="宋体" w:hAnsi="宋体" w:eastAsia="宋体" w:cs="宋体"/>
                <w:color w:val="auto"/>
                <w:kern w:val="0"/>
                <w:szCs w:val="21"/>
                <w:highlight w:val="none"/>
              </w:rPr>
            </w:pPr>
          </w:p>
        </w:tc>
      </w:tr>
      <w:tr w14:paraId="3CD82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restart"/>
            <w:vAlign w:val="center"/>
          </w:tcPr>
          <w:p w14:paraId="597E751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二、指定单位工程报价分析</w:t>
            </w:r>
          </w:p>
        </w:tc>
        <w:tc>
          <w:tcPr>
            <w:tcW w:w="1942" w:type="dxa"/>
            <w:gridSpan w:val="2"/>
            <w:vAlign w:val="center"/>
          </w:tcPr>
          <w:p w14:paraId="447D83B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单位工程名称</w:t>
            </w:r>
          </w:p>
        </w:tc>
        <w:tc>
          <w:tcPr>
            <w:tcW w:w="1205" w:type="dxa"/>
            <w:vAlign w:val="center"/>
          </w:tcPr>
          <w:p w14:paraId="13EAE42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kern w:val="0"/>
                <w:szCs w:val="21"/>
                <w:highlight w:val="none"/>
              </w:rPr>
              <w:t>（万元）</w:t>
            </w:r>
          </w:p>
        </w:tc>
        <w:tc>
          <w:tcPr>
            <w:tcW w:w="1160" w:type="dxa"/>
            <w:vAlign w:val="center"/>
          </w:tcPr>
          <w:p w14:paraId="79BE838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投标价</w:t>
            </w:r>
          </w:p>
          <w:p w14:paraId="5C656F1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c>
          <w:tcPr>
            <w:tcW w:w="1249" w:type="dxa"/>
            <w:vAlign w:val="center"/>
          </w:tcPr>
          <w:p w14:paraId="173EABF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单位工程净下浮率（%）</w:t>
            </w:r>
          </w:p>
        </w:tc>
        <w:tc>
          <w:tcPr>
            <w:tcW w:w="2550" w:type="dxa"/>
            <w:gridSpan w:val="2"/>
            <w:vAlign w:val="center"/>
          </w:tcPr>
          <w:p w14:paraId="186F0D3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指定专业工程投标报价偏离度（A=投标总价净下浮率-单位工程净下浮率）</w:t>
            </w:r>
          </w:p>
        </w:tc>
      </w:tr>
      <w:tr w14:paraId="020F7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continue"/>
          </w:tcPr>
          <w:p w14:paraId="124F9259">
            <w:pPr>
              <w:adjustRightInd w:val="0"/>
              <w:snapToGrid w:val="0"/>
              <w:spacing w:line="360" w:lineRule="auto"/>
              <w:rPr>
                <w:rFonts w:ascii="宋体" w:hAnsi="宋体" w:eastAsia="宋体" w:cs="宋体"/>
                <w:color w:val="auto"/>
                <w:kern w:val="0"/>
                <w:szCs w:val="21"/>
                <w:highlight w:val="none"/>
              </w:rPr>
            </w:pPr>
          </w:p>
        </w:tc>
        <w:tc>
          <w:tcPr>
            <w:tcW w:w="1942" w:type="dxa"/>
            <w:gridSpan w:val="2"/>
          </w:tcPr>
          <w:p w14:paraId="151F6172">
            <w:pPr>
              <w:adjustRightInd w:val="0"/>
              <w:snapToGrid w:val="0"/>
              <w:spacing w:line="360" w:lineRule="auto"/>
              <w:rPr>
                <w:rFonts w:ascii="宋体" w:hAnsi="宋体" w:eastAsia="宋体" w:cs="宋体"/>
                <w:color w:val="auto"/>
                <w:kern w:val="0"/>
                <w:szCs w:val="21"/>
                <w:highlight w:val="none"/>
              </w:rPr>
            </w:pPr>
          </w:p>
        </w:tc>
        <w:tc>
          <w:tcPr>
            <w:tcW w:w="1205" w:type="dxa"/>
          </w:tcPr>
          <w:p w14:paraId="2FE728DC">
            <w:pPr>
              <w:adjustRightInd w:val="0"/>
              <w:snapToGrid w:val="0"/>
              <w:spacing w:line="360" w:lineRule="auto"/>
              <w:rPr>
                <w:rFonts w:ascii="宋体" w:hAnsi="宋体" w:eastAsia="宋体" w:cs="宋体"/>
                <w:color w:val="auto"/>
                <w:kern w:val="0"/>
                <w:szCs w:val="21"/>
                <w:highlight w:val="none"/>
              </w:rPr>
            </w:pPr>
          </w:p>
        </w:tc>
        <w:tc>
          <w:tcPr>
            <w:tcW w:w="1160" w:type="dxa"/>
          </w:tcPr>
          <w:p w14:paraId="2CE65B47">
            <w:pPr>
              <w:adjustRightInd w:val="0"/>
              <w:snapToGrid w:val="0"/>
              <w:spacing w:line="360" w:lineRule="auto"/>
              <w:rPr>
                <w:rFonts w:ascii="宋体" w:hAnsi="宋体" w:eastAsia="宋体" w:cs="宋体"/>
                <w:color w:val="auto"/>
                <w:kern w:val="0"/>
                <w:szCs w:val="21"/>
                <w:highlight w:val="none"/>
              </w:rPr>
            </w:pPr>
          </w:p>
        </w:tc>
        <w:tc>
          <w:tcPr>
            <w:tcW w:w="1249" w:type="dxa"/>
          </w:tcPr>
          <w:p w14:paraId="373C9D35">
            <w:pPr>
              <w:adjustRightInd w:val="0"/>
              <w:snapToGrid w:val="0"/>
              <w:spacing w:line="360" w:lineRule="auto"/>
              <w:rPr>
                <w:rFonts w:ascii="宋体" w:hAnsi="宋体" w:eastAsia="宋体" w:cs="宋体"/>
                <w:color w:val="auto"/>
                <w:kern w:val="0"/>
                <w:szCs w:val="21"/>
                <w:highlight w:val="none"/>
              </w:rPr>
            </w:pPr>
          </w:p>
        </w:tc>
        <w:tc>
          <w:tcPr>
            <w:tcW w:w="2550" w:type="dxa"/>
            <w:gridSpan w:val="2"/>
          </w:tcPr>
          <w:p w14:paraId="453BD3D5">
            <w:pPr>
              <w:adjustRightInd w:val="0"/>
              <w:snapToGrid w:val="0"/>
              <w:spacing w:line="360" w:lineRule="auto"/>
              <w:rPr>
                <w:rFonts w:ascii="宋体" w:hAnsi="宋体" w:eastAsia="宋体" w:cs="宋体"/>
                <w:color w:val="auto"/>
                <w:kern w:val="0"/>
                <w:szCs w:val="21"/>
                <w:highlight w:val="none"/>
              </w:rPr>
            </w:pPr>
          </w:p>
        </w:tc>
      </w:tr>
      <w:tr w14:paraId="3F1AF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continue"/>
          </w:tcPr>
          <w:p w14:paraId="1D0AA375">
            <w:pPr>
              <w:adjustRightInd w:val="0"/>
              <w:snapToGrid w:val="0"/>
              <w:spacing w:line="360" w:lineRule="auto"/>
              <w:rPr>
                <w:rFonts w:ascii="宋体" w:hAnsi="宋体" w:eastAsia="宋体" w:cs="宋体"/>
                <w:color w:val="auto"/>
                <w:kern w:val="0"/>
                <w:szCs w:val="21"/>
                <w:highlight w:val="none"/>
              </w:rPr>
            </w:pPr>
          </w:p>
        </w:tc>
        <w:tc>
          <w:tcPr>
            <w:tcW w:w="1942" w:type="dxa"/>
            <w:gridSpan w:val="2"/>
          </w:tcPr>
          <w:p w14:paraId="3C4E525E">
            <w:pPr>
              <w:adjustRightInd w:val="0"/>
              <w:snapToGrid w:val="0"/>
              <w:spacing w:line="360" w:lineRule="auto"/>
              <w:rPr>
                <w:rFonts w:ascii="宋体" w:hAnsi="宋体" w:eastAsia="宋体" w:cs="宋体"/>
                <w:color w:val="auto"/>
                <w:kern w:val="0"/>
                <w:szCs w:val="21"/>
                <w:highlight w:val="none"/>
              </w:rPr>
            </w:pPr>
          </w:p>
        </w:tc>
        <w:tc>
          <w:tcPr>
            <w:tcW w:w="1205" w:type="dxa"/>
          </w:tcPr>
          <w:p w14:paraId="3C163E1B">
            <w:pPr>
              <w:adjustRightInd w:val="0"/>
              <w:snapToGrid w:val="0"/>
              <w:spacing w:line="360" w:lineRule="auto"/>
              <w:rPr>
                <w:rFonts w:ascii="宋体" w:hAnsi="宋体" w:eastAsia="宋体" w:cs="宋体"/>
                <w:color w:val="auto"/>
                <w:kern w:val="0"/>
                <w:szCs w:val="21"/>
                <w:highlight w:val="none"/>
              </w:rPr>
            </w:pPr>
          </w:p>
        </w:tc>
        <w:tc>
          <w:tcPr>
            <w:tcW w:w="1160" w:type="dxa"/>
          </w:tcPr>
          <w:p w14:paraId="7D87DCB0">
            <w:pPr>
              <w:adjustRightInd w:val="0"/>
              <w:snapToGrid w:val="0"/>
              <w:spacing w:line="360" w:lineRule="auto"/>
              <w:rPr>
                <w:rFonts w:ascii="宋体" w:hAnsi="宋体" w:eastAsia="宋体" w:cs="宋体"/>
                <w:color w:val="auto"/>
                <w:kern w:val="0"/>
                <w:szCs w:val="21"/>
                <w:highlight w:val="none"/>
              </w:rPr>
            </w:pPr>
          </w:p>
        </w:tc>
        <w:tc>
          <w:tcPr>
            <w:tcW w:w="1249" w:type="dxa"/>
          </w:tcPr>
          <w:p w14:paraId="7FB05C7E">
            <w:pPr>
              <w:adjustRightInd w:val="0"/>
              <w:snapToGrid w:val="0"/>
              <w:spacing w:line="360" w:lineRule="auto"/>
              <w:rPr>
                <w:rFonts w:ascii="宋体" w:hAnsi="宋体" w:eastAsia="宋体" w:cs="宋体"/>
                <w:color w:val="auto"/>
                <w:kern w:val="0"/>
                <w:szCs w:val="21"/>
                <w:highlight w:val="none"/>
              </w:rPr>
            </w:pPr>
          </w:p>
        </w:tc>
        <w:tc>
          <w:tcPr>
            <w:tcW w:w="2550" w:type="dxa"/>
            <w:gridSpan w:val="2"/>
          </w:tcPr>
          <w:p w14:paraId="320E6FA3">
            <w:pPr>
              <w:adjustRightInd w:val="0"/>
              <w:snapToGrid w:val="0"/>
              <w:spacing w:line="360" w:lineRule="auto"/>
              <w:rPr>
                <w:rFonts w:ascii="宋体" w:hAnsi="宋体" w:eastAsia="宋体" w:cs="宋体"/>
                <w:color w:val="auto"/>
                <w:kern w:val="0"/>
                <w:szCs w:val="21"/>
                <w:highlight w:val="none"/>
              </w:rPr>
            </w:pPr>
          </w:p>
        </w:tc>
      </w:tr>
      <w:tr w14:paraId="7F3F6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restart"/>
            <w:vAlign w:val="center"/>
          </w:tcPr>
          <w:p w14:paraId="4766832F">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三、清单子目</w:t>
            </w:r>
            <w:r>
              <w:rPr>
                <w:rFonts w:hint="eastAsia" w:ascii="宋体" w:hAnsi="宋体" w:eastAsia="宋体" w:cs="宋体"/>
                <w:color w:val="auto"/>
                <w:szCs w:val="21"/>
                <w:highlight w:val="none"/>
                <w:lang w:eastAsia="zh-CN"/>
              </w:rPr>
              <w:t>最高投标限价</w:t>
            </w:r>
            <w:r>
              <w:rPr>
                <w:rFonts w:hint="eastAsia" w:ascii="宋体" w:hAnsi="宋体" w:eastAsia="宋体" w:cs="宋体"/>
                <w:bCs/>
                <w:color w:val="auto"/>
                <w:kern w:val="0"/>
                <w:szCs w:val="21"/>
                <w:highlight w:val="none"/>
              </w:rPr>
              <w:t>超过</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万元报价分析</w:t>
            </w:r>
          </w:p>
          <w:p w14:paraId="49BDB04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（列出B≥±</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%的清单项）</w:t>
            </w:r>
          </w:p>
          <w:p w14:paraId="4C57A3AA">
            <w:pPr>
              <w:adjustRightInd w:val="0"/>
              <w:snapToGrid w:val="0"/>
              <w:spacing w:line="360" w:lineRule="auto"/>
              <w:jc w:val="center"/>
              <w:rPr>
                <w:rFonts w:ascii="宋体" w:hAnsi="宋体" w:eastAsia="宋体" w:cs="宋体"/>
                <w:color w:val="auto"/>
                <w:kern w:val="0"/>
                <w:szCs w:val="21"/>
                <w:highlight w:val="none"/>
              </w:rPr>
            </w:pPr>
          </w:p>
        </w:tc>
        <w:tc>
          <w:tcPr>
            <w:tcW w:w="1942" w:type="dxa"/>
            <w:gridSpan w:val="2"/>
            <w:vAlign w:val="center"/>
          </w:tcPr>
          <w:p w14:paraId="1C78B5C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清单子目编号及工程名称</w:t>
            </w:r>
          </w:p>
        </w:tc>
        <w:tc>
          <w:tcPr>
            <w:tcW w:w="1205" w:type="dxa"/>
            <w:vAlign w:val="center"/>
          </w:tcPr>
          <w:p w14:paraId="1838C0F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kern w:val="0"/>
                <w:szCs w:val="21"/>
                <w:highlight w:val="none"/>
              </w:rPr>
              <w:t>（万元）</w:t>
            </w:r>
          </w:p>
        </w:tc>
        <w:tc>
          <w:tcPr>
            <w:tcW w:w="1160" w:type="dxa"/>
            <w:vAlign w:val="center"/>
          </w:tcPr>
          <w:p w14:paraId="0F3D35C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投标价</w:t>
            </w:r>
          </w:p>
          <w:p w14:paraId="435CAFD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（万元）</w:t>
            </w:r>
          </w:p>
        </w:tc>
        <w:tc>
          <w:tcPr>
            <w:tcW w:w="1249" w:type="dxa"/>
            <w:vAlign w:val="center"/>
          </w:tcPr>
          <w:p w14:paraId="6A76F2C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下浮率（%）</w:t>
            </w:r>
          </w:p>
        </w:tc>
        <w:tc>
          <w:tcPr>
            <w:tcW w:w="2550" w:type="dxa"/>
            <w:gridSpan w:val="2"/>
            <w:vAlign w:val="center"/>
          </w:tcPr>
          <w:p w14:paraId="0678B59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清单子目投标报价偏离度（B=投标总价净下浮率-清单子目报价相对</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kern w:val="0"/>
                <w:szCs w:val="21"/>
                <w:highlight w:val="none"/>
              </w:rPr>
              <w:t>下浮率）</w:t>
            </w:r>
          </w:p>
        </w:tc>
      </w:tr>
      <w:tr w14:paraId="1F084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183" w:type="dxa"/>
            <w:vMerge w:val="continue"/>
          </w:tcPr>
          <w:p w14:paraId="59486A5B">
            <w:pPr>
              <w:adjustRightInd w:val="0"/>
              <w:snapToGrid w:val="0"/>
              <w:spacing w:line="360" w:lineRule="auto"/>
              <w:rPr>
                <w:rFonts w:ascii="宋体" w:hAnsi="宋体" w:eastAsia="宋体" w:cs="宋体"/>
                <w:color w:val="auto"/>
                <w:kern w:val="0"/>
                <w:szCs w:val="21"/>
                <w:highlight w:val="none"/>
              </w:rPr>
            </w:pPr>
          </w:p>
        </w:tc>
        <w:tc>
          <w:tcPr>
            <w:tcW w:w="1942" w:type="dxa"/>
            <w:gridSpan w:val="2"/>
          </w:tcPr>
          <w:p w14:paraId="22A33371">
            <w:pPr>
              <w:adjustRightInd w:val="0"/>
              <w:snapToGrid w:val="0"/>
              <w:spacing w:line="360" w:lineRule="auto"/>
              <w:rPr>
                <w:rFonts w:ascii="宋体" w:hAnsi="宋体" w:eastAsia="宋体" w:cs="宋体"/>
                <w:color w:val="auto"/>
                <w:kern w:val="0"/>
                <w:szCs w:val="21"/>
                <w:highlight w:val="none"/>
              </w:rPr>
            </w:pPr>
          </w:p>
        </w:tc>
        <w:tc>
          <w:tcPr>
            <w:tcW w:w="1205" w:type="dxa"/>
          </w:tcPr>
          <w:p w14:paraId="10B97CBF">
            <w:pPr>
              <w:adjustRightInd w:val="0"/>
              <w:snapToGrid w:val="0"/>
              <w:spacing w:line="360" w:lineRule="auto"/>
              <w:rPr>
                <w:rFonts w:ascii="宋体" w:hAnsi="宋体" w:eastAsia="宋体" w:cs="宋体"/>
                <w:color w:val="auto"/>
                <w:kern w:val="0"/>
                <w:szCs w:val="21"/>
                <w:highlight w:val="none"/>
              </w:rPr>
            </w:pPr>
          </w:p>
        </w:tc>
        <w:tc>
          <w:tcPr>
            <w:tcW w:w="1160" w:type="dxa"/>
          </w:tcPr>
          <w:p w14:paraId="648D34A0">
            <w:pPr>
              <w:adjustRightInd w:val="0"/>
              <w:snapToGrid w:val="0"/>
              <w:spacing w:line="360" w:lineRule="auto"/>
              <w:rPr>
                <w:rFonts w:ascii="宋体" w:hAnsi="宋体" w:eastAsia="宋体" w:cs="宋体"/>
                <w:color w:val="auto"/>
                <w:kern w:val="0"/>
                <w:szCs w:val="21"/>
                <w:highlight w:val="none"/>
              </w:rPr>
            </w:pPr>
          </w:p>
        </w:tc>
        <w:tc>
          <w:tcPr>
            <w:tcW w:w="1249" w:type="dxa"/>
          </w:tcPr>
          <w:p w14:paraId="1D283C99">
            <w:pPr>
              <w:adjustRightInd w:val="0"/>
              <w:snapToGrid w:val="0"/>
              <w:spacing w:line="360" w:lineRule="auto"/>
              <w:rPr>
                <w:rFonts w:ascii="宋体" w:hAnsi="宋体" w:eastAsia="宋体" w:cs="宋体"/>
                <w:color w:val="auto"/>
                <w:kern w:val="0"/>
                <w:szCs w:val="21"/>
                <w:highlight w:val="none"/>
              </w:rPr>
            </w:pPr>
          </w:p>
        </w:tc>
        <w:tc>
          <w:tcPr>
            <w:tcW w:w="2550" w:type="dxa"/>
            <w:gridSpan w:val="2"/>
          </w:tcPr>
          <w:p w14:paraId="56CA0B68">
            <w:pPr>
              <w:adjustRightInd w:val="0"/>
              <w:snapToGrid w:val="0"/>
              <w:spacing w:line="360" w:lineRule="auto"/>
              <w:rPr>
                <w:rFonts w:ascii="宋体" w:hAnsi="宋体" w:eastAsia="宋体" w:cs="宋体"/>
                <w:color w:val="auto"/>
                <w:kern w:val="0"/>
                <w:szCs w:val="21"/>
                <w:highlight w:val="none"/>
              </w:rPr>
            </w:pPr>
          </w:p>
        </w:tc>
      </w:tr>
      <w:tr w14:paraId="578E3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183" w:type="dxa"/>
            <w:vMerge w:val="continue"/>
          </w:tcPr>
          <w:p w14:paraId="7206F20E">
            <w:pPr>
              <w:adjustRightInd w:val="0"/>
              <w:snapToGrid w:val="0"/>
              <w:spacing w:line="360" w:lineRule="auto"/>
              <w:rPr>
                <w:rFonts w:ascii="宋体" w:hAnsi="宋体" w:eastAsia="宋体" w:cs="宋体"/>
                <w:color w:val="auto"/>
                <w:kern w:val="0"/>
                <w:szCs w:val="21"/>
                <w:highlight w:val="none"/>
              </w:rPr>
            </w:pPr>
          </w:p>
        </w:tc>
        <w:tc>
          <w:tcPr>
            <w:tcW w:w="1942" w:type="dxa"/>
            <w:gridSpan w:val="2"/>
          </w:tcPr>
          <w:p w14:paraId="166E8C70">
            <w:pPr>
              <w:adjustRightInd w:val="0"/>
              <w:snapToGrid w:val="0"/>
              <w:spacing w:line="360" w:lineRule="auto"/>
              <w:rPr>
                <w:rFonts w:ascii="宋体" w:hAnsi="宋体" w:eastAsia="宋体" w:cs="宋体"/>
                <w:color w:val="auto"/>
                <w:kern w:val="0"/>
                <w:szCs w:val="21"/>
                <w:highlight w:val="none"/>
              </w:rPr>
            </w:pPr>
          </w:p>
        </w:tc>
        <w:tc>
          <w:tcPr>
            <w:tcW w:w="1205" w:type="dxa"/>
          </w:tcPr>
          <w:p w14:paraId="43065B30">
            <w:pPr>
              <w:adjustRightInd w:val="0"/>
              <w:snapToGrid w:val="0"/>
              <w:spacing w:line="360" w:lineRule="auto"/>
              <w:rPr>
                <w:rFonts w:ascii="宋体" w:hAnsi="宋体" w:eastAsia="宋体" w:cs="宋体"/>
                <w:color w:val="auto"/>
                <w:kern w:val="0"/>
                <w:szCs w:val="21"/>
                <w:highlight w:val="none"/>
              </w:rPr>
            </w:pPr>
          </w:p>
        </w:tc>
        <w:tc>
          <w:tcPr>
            <w:tcW w:w="1160" w:type="dxa"/>
          </w:tcPr>
          <w:p w14:paraId="0924F69C">
            <w:pPr>
              <w:adjustRightInd w:val="0"/>
              <w:snapToGrid w:val="0"/>
              <w:spacing w:line="360" w:lineRule="auto"/>
              <w:rPr>
                <w:rFonts w:ascii="宋体" w:hAnsi="宋体" w:eastAsia="宋体" w:cs="宋体"/>
                <w:color w:val="auto"/>
                <w:kern w:val="0"/>
                <w:szCs w:val="21"/>
                <w:highlight w:val="none"/>
              </w:rPr>
            </w:pPr>
          </w:p>
        </w:tc>
        <w:tc>
          <w:tcPr>
            <w:tcW w:w="1249" w:type="dxa"/>
          </w:tcPr>
          <w:p w14:paraId="09422F29">
            <w:pPr>
              <w:adjustRightInd w:val="0"/>
              <w:snapToGrid w:val="0"/>
              <w:spacing w:line="360" w:lineRule="auto"/>
              <w:rPr>
                <w:rFonts w:ascii="宋体" w:hAnsi="宋体" w:eastAsia="宋体" w:cs="宋体"/>
                <w:color w:val="auto"/>
                <w:kern w:val="0"/>
                <w:szCs w:val="21"/>
                <w:highlight w:val="none"/>
              </w:rPr>
            </w:pPr>
          </w:p>
        </w:tc>
        <w:tc>
          <w:tcPr>
            <w:tcW w:w="2550" w:type="dxa"/>
            <w:gridSpan w:val="2"/>
          </w:tcPr>
          <w:p w14:paraId="4B1D7D94">
            <w:pPr>
              <w:adjustRightInd w:val="0"/>
              <w:snapToGrid w:val="0"/>
              <w:spacing w:line="360" w:lineRule="auto"/>
              <w:rPr>
                <w:rFonts w:ascii="宋体" w:hAnsi="宋体" w:eastAsia="宋体" w:cs="宋体"/>
                <w:color w:val="auto"/>
                <w:kern w:val="0"/>
                <w:szCs w:val="21"/>
                <w:highlight w:val="none"/>
              </w:rPr>
            </w:pPr>
          </w:p>
        </w:tc>
      </w:tr>
      <w:tr w14:paraId="70E91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183" w:type="dxa"/>
            <w:vMerge w:val="continue"/>
          </w:tcPr>
          <w:p w14:paraId="1DEEA5D6">
            <w:pPr>
              <w:adjustRightInd w:val="0"/>
              <w:snapToGrid w:val="0"/>
              <w:spacing w:line="360" w:lineRule="auto"/>
              <w:rPr>
                <w:rFonts w:ascii="宋体" w:hAnsi="宋体" w:eastAsia="宋体" w:cs="宋体"/>
                <w:color w:val="auto"/>
                <w:kern w:val="0"/>
                <w:szCs w:val="21"/>
                <w:highlight w:val="none"/>
              </w:rPr>
            </w:pPr>
          </w:p>
        </w:tc>
        <w:tc>
          <w:tcPr>
            <w:tcW w:w="1942" w:type="dxa"/>
            <w:gridSpan w:val="2"/>
          </w:tcPr>
          <w:p w14:paraId="79B4D0B0">
            <w:pPr>
              <w:adjustRightInd w:val="0"/>
              <w:snapToGrid w:val="0"/>
              <w:spacing w:line="360" w:lineRule="auto"/>
              <w:rPr>
                <w:rFonts w:ascii="宋体" w:hAnsi="宋体" w:eastAsia="宋体" w:cs="宋体"/>
                <w:color w:val="auto"/>
                <w:kern w:val="0"/>
                <w:szCs w:val="21"/>
                <w:highlight w:val="none"/>
              </w:rPr>
            </w:pPr>
          </w:p>
        </w:tc>
        <w:tc>
          <w:tcPr>
            <w:tcW w:w="1205" w:type="dxa"/>
          </w:tcPr>
          <w:p w14:paraId="4CC531BF">
            <w:pPr>
              <w:adjustRightInd w:val="0"/>
              <w:snapToGrid w:val="0"/>
              <w:spacing w:line="360" w:lineRule="auto"/>
              <w:rPr>
                <w:rFonts w:ascii="宋体" w:hAnsi="宋体" w:eastAsia="宋体" w:cs="宋体"/>
                <w:color w:val="auto"/>
                <w:kern w:val="0"/>
                <w:szCs w:val="21"/>
                <w:highlight w:val="none"/>
              </w:rPr>
            </w:pPr>
          </w:p>
        </w:tc>
        <w:tc>
          <w:tcPr>
            <w:tcW w:w="1160" w:type="dxa"/>
          </w:tcPr>
          <w:p w14:paraId="07942CF4">
            <w:pPr>
              <w:adjustRightInd w:val="0"/>
              <w:snapToGrid w:val="0"/>
              <w:spacing w:line="360" w:lineRule="auto"/>
              <w:rPr>
                <w:rFonts w:ascii="宋体" w:hAnsi="宋体" w:eastAsia="宋体" w:cs="宋体"/>
                <w:color w:val="auto"/>
                <w:kern w:val="0"/>
                <w:szCs w:val="21"/>
                <w:highlight w:val="none"/>
              </w:rPr>
            </w:pPr>
          </w:p>
        </w:tc>
        <w:tc>
          <w:tcPr>
            <w:tcW w:w="1249" w:type="dxa"/>
          </w:tcPr>
          <w:p w14:paraId="5842216B">
            <w:pPr>
              <w:adjustRightInd w:val="0"/>
              <w:snapToGrid w:val="0"/>
              <w:spacing w:line="360" w:lineRule="auto"/>
              <w:rPr>
                <w:rFonts w:ascii="宋体" w:hAnsi="宋体" w:eastAsia="宋体" w:cs="宋体"/>
                <w:color w:val="auto"/>
                <w:kern w:val="0"/>
                <w:szCs w:val="21"/>
                <w:highlight w:val="none"/>
              </w:rPr>
            </w:pPr>
          </w:p>
        </w:tc>
        <w:tc>
          <w:tcPr>
            <w:tcW w:w="2550" w:type="dxa"/>
            <w:gridSpan w:val="2"/>
          </w:tcPr>
          <w:p w14:paraId="3BBDE07E">
            <w:pPr>
              <w:adjustRightInd w:val="0"/>
              <w:snapToGrid w:val="0"/>
              <w:spacing w:line="360" w:lineRule="auto"/>
              <w:rPr>
                <w:rFonts w:ascii="宋体" w:hAnsi="宋体" w:eastAsia="宋体" w:cs="宋体"/>
                <w:color w:val="auto"/>
                <w:kern w:val="0"/>
                <w:szCs w:val="21"/>
                <w:highlight w:val="none"/>
              </w:rPr>
            </w:pPr>
          </w:p>
        </w:tc>
      </w:tr>
      <w:tr w14:paraId="7A785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restart"/>
            <w:vAlign w:val="center"/>
          </w:tcPr>
          <w:p w14:paraId="1A696C1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四、措施项目费合计的异常报价分析</w:t>
            </w:r>
          </w:p>
        </w:tc>
        <w:tc>
          <w:tcPr>
            <w:tcW w:w="1942" w:type="dxa"/>
            <w:gridSpan w:val="2"/>
            <w:vAlign w:val="center"/>
          </w:tcPr>
          <w:p w14:paraId="295955F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措施项目费投标价合计（元）</w:t>
            </w:r>
          </w:p>
        </w:tc>
        <w:tc>
          <w:tcPr>
            <w:tcW w:w="1205" w:type="dxa"/>
            <w:vAlign w:val="center"/>
          </w:tcPr>
          <w:p w14:paraId="2B264A4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kern w:val="0"/>
                <w:szCs w:val="21"/>
                <w:highlight w:val="none"/>
              </w:rPr>
              <w:t>合计（元）</w:t>
            </w:r>
          </w:p>
        </w:tc>
        <w:tc>
          <w:tcPr>
            <w:tcW w:w="1160" w:type="dxa"/>
            <w:vAlign w:val="center"/>
          </w:tcPr>
          <w:p w14:paraId="687375B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下浮率（%）</w:t>
            </w:r>
          </w:p>
        </w:tc>
        <w:tc>
          <w:tcPr>
            <w:tcW w:w="3799" w:type="dxa"/>
            <w:gridSpan w:val="3"/>
            <w:vAlign w:val="center"/>
          </w:tcPr>
          <w:p w14:paraId="06B5DD0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措施项目投标报价偏离度（C=投标总价净下浮率-措施项目费相对</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kern w:val="0"/>
                <w:szCs w:val="21"/>
                <w:highlight w:val="none"/>
              </w:rPr>
              <w:t>下浮率）</w:t>
            </w:r>
          </w:p>
        </w:tc>
      </w:tr>
      <w:tr w14:paraId="439FE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vMerge w:val="continue"/>
          </w:tcPr>
          <w:p w14:paraId="3CBF5140">
            <w:pPr>
              <w:adjustRightInd w:val="0"/>
              <w:snapToGrid w:val="0"/>
              <w:spacing w:line="360" w:lineRule="auto"/>
              <w:rPr>
                <w:rFonts w:ascii="宋体" w:hAnsi="宋体" w:eastAsia="宋体" w:cs="宋体"/>
                <w:color w:val="auto"/>
                <w:kern w:val="0"/>
                <w:szCs w:val="21"/>
                <w:highlight w:val="none"/>
              </w:rPr>
            </w:pPr>
          </w:p>
        </w:tc>
        <w:tc>
          <w:tcPr>
            <w:tcW w:w="1942" w:type="dxa"/>
            <w:gridSpan w:val="2"/>
          </w:tcPr>
          <w:p w14:paraId="501CCD46">
            <w:pPr>
              <w:adjustRightInd w:val="0"/>
              <w:snapToGrid w:val="0"/>
              <w:spacing w:line="360" w:lineRule="auto"/>
              <w:rPr>
                <w:rFonts w:ascii="宋体" w:hAnsi="宋体" w:eastAsia="宋体" w:cs="宋体"/>
                <w:color w:val="auto"/>
                <w:kern w:val="0"/>
                <w:szCs w:val="21"/>
                <w:highlight w:val="none"/>
              </w:rPr>
            </w:pPr>
          </w:p>
        </w:tc>
        <w:tc>
          <w:tcPr>
            <w:tcW w:w="1205" w:type="dxa"/>
          </w:tcPr>
          <w:p w14:paraId="0CDA3EA9">
            <w:pPr>
              <w:adjustRightInd w:val="0"/>
              <w:snapToGrid w:val="0"/>
              <w:spacing w:line="360" w:lineRule="auto"/>
              <w:rPr>
                <w:rFonts w:ascii="宋体" w:hAnsi="宋体" w:eastAsia="宋体" w:cs="宋体"/>
                <w:color w:val="auto"/>
                <w:kern w:val="0"/>
                <w:szCs w:val="21"/>
                <w:highlight w:val="none"/>
              </w:rPr>
            </w:pPr>
          </w:p>
        </w:tc>
        <w:tc>
          <w:tcPr>
            <w:tcW w:w="1160" w:type="dxa"/>
          </w:tcPr>
          <w:p w14:paraId="00FDE94C">
            <w:pPr>
              <w:adjustRightInd w:val="0"/>
              <w:snapToGrid w:val="0"/>
              <w:spacing w:line="360" w:lineRule="auto"/>
              <w:rPr>
                <w:rFonts w:ascii="宋体" w:hAnsi="宋体" w:eastAsia="宋体" w:cs="宋体"/>
                <w:color w:val="auto"/>
                <w:kern w:val="0"/>
                <w:szCs w:val="21"/>
                <w:highlight w:val="none"/>
              </w:rPr>
            </w:pPr>
          </w:p>
        </w:tc>
        <w:tc>
          <w:tcPr>
            <w:tcW w:w="1249" w:type="dxa"/>
          </w:tcPr>
          <w:p w14:paraId="63160DFB">
            <w:pPr>
              <w:adjustRightInd w:val="0"/>
              <w:snapToGrid w:val="0"/>
              <w:spacing w:line="360" w:lineRule="auto"/>
              <w:rPr>
                <w:rFonts w:ascii="宋体" w:hAnsi="宋体" w:eastAsia="宋体" w:cs="宋体"/>
                <w:color w:val="auto"/>
                <w:kern w:val="0"/>
                <w:szCs w:val="21"/>
                <w:highlight w:val="none"/>
              </w:rPr>
            </w:pPr>
          </w:p>
        </w:tc>
        <w:tc>
          <w:tcPr>
            <w:tcW w:w="2550" w:type="dxa"/>
            <w:gridSpan w:val="2"/>
          </w:tcPr>
          <w:p w14:paraId="49CCA570">
            <w:pPr>
              <w:adjustRightInd w:val="0"/>
              <w:snapToGrid w:val="0"/>
              <w:spacing w:line="360" w:lineRule="auto"/>
              <w:rPr>
                <w:rFonts w:ascii="宋体" w:hAnsi="宋体" w:eastAsia="宋体" w:cs="宋体"/>
                <w:color w:val="auto"/>
                <w:kern w:val="0"/>
                <w:szCs w:val="21"/>
                <w:highlight w:val="none"/>
              </w:rPr>
            </w:pPr>
          </w:p>
        </w:tc>
      </w:tr>
      <w:tr w14:paraId="09C6F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tcPr>
          <w:p w14:paraId="38CEE4FD">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五、其他报价问题以及对合同签订、履行过程中的风险警示</w:t>
            </w:r>
          </w:p>
        </w:tc>
        <w:tc>
          <w:tcPr>
            <w:tcW w:w="8106" w:type="dxa"/>
            <w:gridSpan w:val="7"/>
          </w:tcPr>
          <w:p w14:paraId="2FC0785F">
            <w:pPr>
              <w:adjustRightInd w:val="0"/>
              <w:snapToGrid w:val="0"/>
              <w:spacing w:line="360" w:lineRule="auto"/>
              <w:rPr>
                <w:rFonts w:ascii="宋体" w:hAnsi="宋体" w:eastAsia="宋体" w:cs="宋体"/>
                <w:color w:val="auto"/>
                <w:kern w:val="0"/>
                <w:szCs w:val="21"/>
                <w:highlight w:val="none"/>
              </w:rPr>
            </w:pPr>
          </w:p>
          <w:p w14:paraId="5F9DAE5C">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投标文件商务标还存在</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等其他报价问题，并对合同签订、履行过程中的风险提出如下警示：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tc>
      </w:tr>
      <w:tr w14:paraId="39E21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3" w:type="dxa"/>
          </w:tcPr>
          <w:p w14:paraId="301C3272">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六、评审结论</w:t>
            </w:r>
          </w:p>
        </w:tc>
        <w:tc>
          <w:tcPr>
            <w:tcW w:w="8106" w:type="dxa"/>
            <w:gridSpan w:val="7"/>
          </w:tcPr>
          <w:p w14:paraId="26DFF646">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□合格       □不合格</w:t>
            </w:r>
          </w:p>
        </w:tc>
      </w:tr>
    </w:tbl>
    <w:p w14:paraId="19B3C99C">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评标专家：                               评标日期：    年   月   日</w:t>
      </w:r>
    </w:p>
    <w:p w14:paraId="05FBC3CF">
      <w:pPr>
        <w:adjustRightInd w:val="0"/>
        <w:snapToGrid w:val="0"/>
        <w:spacing w:line="360" w:lineRule="auto"/>
        <w:ind w:firstLine="420" w:firstLineChars="200"/>
        <w:rPr>
          <w:rFonts w:ascii="宋体" w:hAnsi="宋体" w:eastAsia="宋体" w:cs="宋体"/>
          <w:color w:val="auto"/>
          <w:szCs w:val="21"/>
          <w:highlight w:val="none"/>
        </w:rPr>
      </w:pPr>
    </w:p>
    <w:p w14:paraId="55ACB485">
      <w:pPr>
        <w:adjustRightInd w:val="0"/>
        <w:snapToGrid w:val="0"/>
        <w:spacing w:line="360" w:lineRule="auto"/>
        <w:ind w:firstLine="0" w:firstLineChars="0"/>
        <w:rPr>
          <w:rFonts w:ascii="宋体" w:hAnsi="宋体" w:eastAsia="宋体" w:cs="宋体"/>
          <w:color w:val="auto"/>
          <w:szCs w:val="21"/>
          <w:highlight w:val="none"/>
        </w:rPr>
      </w:pPr>
      <w:r>
        <w:rPr>
          <w:rFonts w:hint="eastAsia" w:ascii="宋体" w:hAnsi="宋体" w:eastAsia="宋体" w:cs="宋体"/>
          <w:color w:val="auto"/>
          <w:szCs w:val="21"/>
          <w:highlight w:val="none"/>
        </w:rPr>
        <w:t>备注：</w:t>
      </w:r>
      <w:r>
        <w:rPr>
          <w:rFonts w:hint="eastAsia" w:ascii="宋体" w:hAnsi="宋体" w:eastAsia="宋体" w:cs="宋体"/>
          <w:color w:val="auto"/>
          <w:szCs w:val="21"/>
          <w:highlight w:val="none"/>
          <w:lang w:val="en-US" w:eastAsia="zh-CN"/>
        </w:rPr>
        <w:t>评标专家应</w:t>
      </w:r>
      <w:r>
        <w:rPr>
          <w:rFonts w:hint="eastAsia" w:ascii="宋体" w:hAnsi="宋体" w:eastAsia="宋体" w:cs="宋体"/>
          <w:strike w:val="0"/>
          <w:color w:val="auto"/>
          <w:szCs w:val="21"/>
          <w:highlight w:val="none"/>
          <w:lang w:eastAsia="zh-CN"/>
        </w:rPr>
        <w:t>对可能低于成本或者影响履约的异常低价投标和严重不平衡报价进行分析研判，依法否决严重影响履约的低价投标。</w:t>
      </w:r>
    </w:p>
    <w:p w14:paraId="5956EB35">
      <w:pPr>
        <w:adjustRightInd w:val="0"/>
        <w:snapToGrid w:val="0"/>
        <w:spacing w:line="360" w:lineRule="auto"/>
        <w:ind w:firstLine="420" w:firstLineChars="200"/>
        <w:rPr>
          <w:rFonts w:ascii="宋体" w:hAnsi="宋体" w:eastAsia="宋体" w:cs="宋体"/>
          <w:color w:val="auto"/>
          <w:szCs w:val="21"/>
          <w:highlight w:val="none"/>
        </w:rPr>
      </w:pPr>
    </w:p>
    <w:p w14:paraId="39108925">
      <w:pPr>
        <w:adjustRightInd w:val="0"/>
        <w:snapToGrid w:val="0"/>
        <w:spacing w:line="360" w:lineRule="auto"/>
        <w:ind w:firstLine="420" w:firstLineChars="200"/>
        <w:rPr>
          <w:rFonts w:ascii="宋体" w:hAnsi="宋体" w:eastAsia="宋体" w:cs="宋体"/>
          <w:color w:val="auto"/>
          <w:szCs w:val="21"/>
          <w:highlight w:val="none"/>
        </w:rPr>
      </w:pPr>
    </w:p>
    <w:p w14:paraId="3F4EA28E">
      <w:pPr>
        <w:adjustRightInd w:val="0"/>
        <w:snapToGrid w:val="0"/>
        <w:spacing w:line="360" w:lineRule="auto"/>
        <w:jc w:val="center"/>
        <w:rPr>
          <w:rFonts w:ascii="宋体" w:hAnsi="宋体" w:eastAsia="宋体" w:cs="宋体"/>
          <w:b/>
          <w:color w:val="auto"/>
          <w:sz w:val="30"/>
          <w:szCs w:val="30"/>
          <w:highlight w:val="none"/>
        </w:rPr>
      </w:pPr>
      <w:bookmarkStart w:id="62" w:name="定性评审法"/>
      <w:r>
        <w:rPr>
          <w:rFonts w:hint="eastAsia" w:ascii="宋体" w:hAnsi="宋体" w:eastAsia="宋体" w:cs="宋体"/>
          <w:b/>
          <w:color w:val="auto"/>
          <w:sz w:val="30"/>
          <w:szCs w:val="30"/>
          <w:highlight w:val="none"/>
        </w:rPr>
        <w:t>技术标定性评审表</w:t>
      </w:r>
    </w:p>
    <w:p w14:paraId="51065214">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color w:val="auto"/>
          <w:szCs w:val="21"/>
          <w:highlight w:val="none"/>
        </w:rPr>
        <w:t>标段名称：                                       投标单位：</w:t>
      </w:r>
    </w:p>
    <w:tbl>
      <w:tblPr>
        <w:tblStyle w:val="42"/>
        <w:tblW w:w="95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94"/>
        <w:gridCol w:w="1700"/>
        <w:gridCol w:w="1274"/>
        <w:gridCol w:w="4209"/>
      </w:tblGrid>
      <w:tr w14:paraId="670DA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7A4C332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694" w:type="dxa"/>
            <w:shd w:val="clear" w:color="auto" w:fill="auto"/>
            <w:vAlign w:val="center"/>
          </w:tcPr>
          <w:p w14:paraId="0FC16CE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700" w:type="dxa"/>
            <w:shd w:val="clear" w:color="auto" w:fill="auto"/>
            <w:vAlign w:val="center"/>
          </w:tcPr>
          <w:p w14:paraId="455697E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274" w:type="dxa"/>
            <w:shd w:val="clear" w:color="auto" w:fill="auto"/>
            <w:vAlign w:val="center"/>
          </w:tcPr>
          <w:p w14:paraId="5879752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4209" w:type="dxa"/>
            <w:shd w:val="clear" w:color="auto" w:fill="auto"/>
            <w:vAlign w:val="center"/>
          </w:tcPr>
          <w:p w14:paraId="66EF686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7851C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4802D818">
            <w:pPr>
              <w:adjustRightInd w:val="0"/>
              <w:snapToGrid w:val="0"/>
              <w:spacing w:line="360" w:lineRule="auto"/>
              <w:jc w:val="center"/>
              <w:rPr>
                <w:rFonts w:hint="eastAsia" w:ascii="宋体" w:hAnsi="宋体" w:eastAsia="宋体" w:cs="宋体"/>
                <w:color w:val="auto"/>
                <w:kern w:val="0"/>
                <w:szCs w:val="21"/>
                <w:highlight w:val="none"/>
                <w:lang w:val="en-US" w:eastAsia="zh-CN"/>
              </w:rPr>
            </w:pPr>
            <w:bookmarkStart w:id="63" w:name="定性评审法2" w:colFirst="0" w:colLast="0"/>
            <w:r>
              <w:rPr>
                <w:rFonts w:hint="eastAsia" w:ascii="宋体" w:hAnsi="宋体" w:eastAsia="宋体" w:cs="宋体"/>
                <w:color w:val="auto"/>
                <w:kern w:val="0"/>
                <w:szCs w:val="21"/>
                <w:highlight w:val="none"/>
                <w:lang w:val="en-US" w:eastAsia="zh-CN"/>
              </w:rPr>
              <w:t>1</w:t>
            </w:r>
          </w:p>
        </w:tc>
        <w:tc>
          <w:tcPr>
            <w:tcW w:w="1694" w:type="dxa"/>
            <w:shd w:val="clear" w:color="auto" w:fill="auto"/>
            <w:vAlign w:val="center"/>
          </w:tcPr>
          <w:p w14:paraId="1651E2BE">
            <w:pPr>
              <w:adjustRightInd w:val="0"/>
              <w:snapToGrid w:val="0"/>
              <w:spacing w:line="360" w:lineRule="auto"/>
              <w:jc w:val="left"/>
              <w:rPr>
                <w:rFonts w:ascii="宋体" w:hAnsi="宋体" w:eastAsia="宋体" w:cs="宋体"/>
                <w:color w:val="auto"/>
                <w:kern w:val="0"/>
                <w:szCs w:val="21"/>
                <w:highlight w:val="none"/>
              </w:rPr>
            </w:pPr>
          </w:p>
        </w:tc>
        <w:tc>
          <w:tcPr>
            <w:tcW w:w="1700" w:type="dxa"/>
            <w:shd w:val="clear" w:color="auto" w:fill="auto"/>
            <w:vAlign w:val="center"/>
          </w:tcPr>
          <w:p w14:paraId="0E6955B7">
            <w:pPr>
              <w:adjustRightInd w:val="0"/>
              <w:snapToGrid w:val="0"/>
              <w:spacing w:line="360" w:lineRule="auto"/>
              <w:jc w:val="left"/>
              <w:rPr>
                <w:rFonts w:ascii="宋体" w:hAnsi="宋体" w:eastAsia="宋体" w:cs="宋体"/>
                <w:color w:val="auto"/>
                <w:kern w:val="0"/>
                <w:szCs w:val="21"/>
                <w:highlight w:val="none"/>
              </w:rPr>
            </w:pPr>
          </w:p>
        </w:tc>
        <w:tc>
          <w:tcPr>
            <w:tcW w:w="1274" w:type="dxa"/>
            <w:shd w:val="clear" w:color="auto" w:fill="auto"/>
            <w:vAlign w:val="center"/>
          </w:tcPr>
          <w:p w14:paraId="5D335CC7">
            <w:pPr>
              <w:adjustRightInd w:val="0"/>
              <w:snapToGrid w:val="0"/>
              <w:spacing w:line="360" w:lineRule="auto"/>
              <w:jc w:val="left"/>
              <w:rPr>
                <w:rFonts w:ascii="宋体" w:hAnsi="宋体" w:eastAsia="宋体" w:cs="宋体"/>
                <w:color w:val="auto"/>
                <w:kern w:val="0"/>
                <w:szCs w:val="21"/>
                <w:highlight w:val="none"/>
              </w:rPr>
            </w:pPr>
          </w:p>
        </w:tc>
        <w:tc>
          <w:tcPr>
            <w:tcW w:w="4209" w:type="dxa"/>
            <w:shd w:val="clear" w:color="auto" w:fill="auto"/>
            <w:vAlign w:val="center"/>
          </w:tcPr>
          <w:p w14:paraId="0ECC12F7">
            <w:pPr>
              <w:adjustRightInd w:val="0"/>
              <w:snapToGrid w:val="0"/>
              <w:spacing w:line="360" w:lineRule="auto"/>
              <w:jc w:val="center"/>
              <w:rPr>
                <w:rFonts w:ascii="宋体" w:hAnsi="宋体" w:eastAsia="宋体" w:cs="宋体"/>
                <w:color w:val="auto"/>
                <w:kern w:val="0"/>
                <w:szCs w:val="21"/>
                <w:highlight w:val="none"/>
              </w:rPr>
            </w:pPr>
          </w:p>
        </w:tc>
      </w:tr>
      <w:tr w14:paraId="2A040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753A9CB6">
            <w:pPr>
              <w:adjustRightInd w:val="0"/>
              <w:snapToGrid w:val="0"/>
              <w:spacing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w:t>
            </w:r>
          </w:p>
        </w:tc>
        <w:tc>
          <w:tcPr>
            <w:tcW w:w="1694" w:type="dxa"/>
            <w:shd w:val="clear" w:color="auto" w:fill="auto"/>
            <w:vAlign w:val="center"/>
          </w:tcPr>
          <w:p w14:paraId="62B0F6C9">
            <w:pPr>
              <w:adjustRightInd w:val="0"/>
              <w:snapToGrid w:val="0"/>
              <w:spacing w:line="360" w:lineRule="auto"/>
              <w:jc w:val="left"/>
              <w:rPr>
                <w:rFonts w:ascii="宋体" w:hAnsi="宋体" w:eastAsia="宋体" w:cs="宋体"/>
                <w:color w:val="auto"/>
                <w:kern w:val="0"/>
                <w:szCs w:val="21"/>
                <w:highlight w:val="none"/>
              </w:rPr>
            </w:pPr>
          </w:p>
        </w:tc>
        <w:tc>
          <w:tcPr>
            <w:tcW w:w="1700" w:type="dxa"/>
            <w:shd w:val="clear" w:color="auto" w:fill="auto"/>
            <w:vAlign w:val="center"/>
          </w:tcPr>
          <w:p w14:paraId="228E293E">
            <w:pPr>
              <w:adjustRightInd w:val="0"/>
              <w:snapToGrid w:val="0"/>
              <w:spacing w:line="360" w:lineRule="auto"/>
              <w:jc w:val="left"/>
              <w:rPr>
                <w:rFonts w:ascii="宋体" w:hAnsi="宋体" w:eastAsia="宋体" w:cs="宋体"/>
                <w:color w:val="auto"/>
                <w:kern w:val="0"/>
                <w:szCs w:val="21"/>
                <w:highlight w:val="none"/>
              </w:rPr>
            </w:pPr>
          </w:p>
        </w:tc>
        <w:tc>
          <w:tcPr>
            <w:tcW w:w="1274" w:type="dxa"/>
            <w:shd w:val="clear" w:color="auto" w:fill="auto"/>
            <w:vAlign w:val="center"/>
          </w:tcPr>
          <w:p w14:paraId="0FB1948B">
            <w:pPr>
              <w:adjustRightInd w:val="0"/>
              <w:snapToGrid w:val="0"/>
              <w:spacing w:line="360" w:lineRule="auto"/>
              <w:jc w:val="left"/>
              <w:rPr>
                <w:rFonts w:ascii="宋体" w:hAnsi="宋体" w:eastAsia="宋体" w:cs="宋体"/>
                <w:color w:val="auto"/>
                <w:kern w:val="0"/>
                <w:szCs w:val="21"/>
                <w:highlight w:val="none"/>
              </w:rPr>
            </w:pPr>
          </w:p>
        </w:tc>
        <w:tc>
          <w:tcPr>
            <w:tcW w:w="4209" w:type="dxa"/>
            <w:shd w:val="clear" w:color="auto" w:fill="auto"/>
            <w:vAlign w:val="center"/>
          </w:tcPr>
          <w:p w14:paraId="6B8370E7">
            <w:pPr>
              <w:adjustRightInd w:val="0"/>
              <w:snapToGrid w:val="0"/>
              <w:spacing w:line="360" w:lineRule="auto"/>
              <w:jc w:val="center"/>
              <w:rPr>
                <w:rFonts w:ascii="宋体" w:hAnsi="宋体" w:eastAsia="宋体" w:cs="宋体"/>
                <w:color w:val="auto"/>
                <w:kern w:val="0"/>
                <w:szCs w:val="21"/>
                <w:highlight w:val="none"/>
              </w:rPr>
            </w:pPr>
          </w:p>
        </w:tc>
      </w:tr>
      <w:tr w14:paraId="7C4AB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14:paraId="4572F36C">
            <w:pPr>
              <w:adjustRightInd w:val="0"/>
              <w:snapToGrid w:val="0"/>
              <w:spacing w:line="360" w:lineRule="auto"/>
              <w:jc w:val="center"/>
              <w:rPr>
                <w:rFonts w:ascii="宋体" w:hAnsi="宋体" w:eastAsia="宋体" w:cs="宋体"/>
                <w:color w:val="auto"/>
                <w:kern w:val="0"/>
                <w:szCs w:val="21"/>
                <w:highlight w:val="none"/>
              </w:rPr>
            </w:pPr>
          </w:p>
        </w:tc>
        <w:tc>
          <w:tcPr>
            <w:tcW w:w="1694" w:type="dxa"/>
            <w:shd w:val="clear" w:color="auto" w:fill="auto"/>
            <w:vAlign w:val="center"/>
          </w:tcPr>
          <w:p w14:paraId="293DCEEA">
            <w:pPr>
              <w:adjustRightInd w:val="0"/>
              <w:snapToGrid w:val="0"/>
              <w:spacing w:line="360" w:lineRule="auto"/>
              <w:jc w:val="left"/>
              <w:rPr>
                <w:rFonts w:ascii="宋体" w:hAnsi="宋体" w:eastAsia="宋体" w:cs="宋体"/>
                <w:color w:val="auto"/>
                <w:kern w:val="0"/>
                <w:szCs w:val="21"/>
                <w:highlight w:val="none"/>
              </w:rPr>
            </w:pPr>
          </w:p>
        </w:tc>
        <w:tc>
          <w:tcPr>
            <w:tcW w:w="1700" w:type="dxa"/>
            <w:shd w:val="clear" w:color="auto" w:fill="auto"/>
            <w:vAlign w:val="center"/>
          </w:tcPr>
          <w:p w14:paraId="16058023">
            <w:pPr>
              <w:adjustRightInd w:val="0"/>
              <w:snapToGrid w:val="0"/>
              <w:spacing w:line="360" w:lineRule="auto"/>
              <w:jc w:val="left"/>
              <w:rPr>
                <w:rFonts w:ascii="宋体" w:hAnsi="宋体" w:eastAsia="宋体" w:cs="宋体"/>
                <w:color w:val="auto"/>
                <w:kern w:val="0"/>
                <w:szCs w:val="21"/>
                <w:highlight w:val="none"/>
              </w:rPr>
            </w:pPr>
          </w:p>
        </w:tc>
        <w:tc>
          <w:tcPr>
            <w:tcW w:w="1274" w:type="dxa"/>
            <w:shd w:val="clear" w:color="auto" w:fill="auto"/>
            <w:vAlign w:val="center"/>
          </w:tcPr>
          <w:p w14:paraId="3D65DF23">
            <w:pPr>
              <w:adjustRightInd w:val="0"/>
              <w:snapToGrid w:val="0"/>
              <w:spacing w:line="360" w:lineRule="auto"/>
              <w:jc w:val="left"/>
              <w:rPr>
                <w:rFonts w:ascii="宋体" w:hAnsi="宋体" w:eastAsia="宋体" w:cs="宋体"/>
                <w:color w:val="auto"/>
                <w:kern w:val="0"/>
                <w:szCs w:val="21"/>
                <w:highlight w:val="none"/>
              </w:rPr>
            </w:pPr>
          </w:p>
        </w:tc>
        <w:tc>
          <w:tcPr>
            <w:tcW w:w="4209" w:type="dxa"/>
            <w:shd w:val="clear" w:color="auto" w:fill="auto"/>
            <w:vAlign w:val="center"/>
          </w:tcPr>
          <w:p w14:paraId="23CE2C0A">
            <w:pPr>
              <w:adjustRightInd w:val="0"/>
              <w:snapToGrid w:val="0"/>
              <w:spacing w:line="360" w:lineRule="auto"/>
              <w:jc w:val="center"/>
              <w:rPr>
                <w:rFonts w:ascii="宋体" w:hAnsi="宋体" w:eastAsia="宋体" w:cs="宋体"/>
                <w:color w:val="auto"/>
                <w:kern w:val="0"/>
                <w:szCs w:val="21"/>
                <w:highlight w:val="none"/>
              </w:rPr>
            </w:pPr>
          </w:p>
        </w:tc>
      </w:tr>
      <w:bookmarkEnd w:id="63"/>
      <w:tr w14:paraId="68372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52" w:type="dxa"/>
            <w:gridSpan w:val="5"/>
            <w:shd w:val="clear" w:color="auto" w:fill="auto"/>
            <w:vAlign w:val="center"/>
          </w:tcPr>
          <w:p w14:paraId="31384CF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1437F7AF">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评标专家：                           评标日期：    年  月  日</w:t>
      </w:r>
    </w:p>
    <w:p w14:paraId="2D3C24BE">
      <w:pPr>
        <w:adjustRightInd w:val="0"/>
        <w:snapToGrid w:val="0"/>
        <w:spacing w:line="360" w:lineRule="auto"/>
        <w:rPr>
          <w:rFonts w:ascii="宋体" w:hAnsi="宋体" w:eastAsia="宋体" w:cs="宋体"/>
          <w:b/>
          <w:color w:val="auto"/>
          <w:szCs w:val="21"/>
          <w:highlight w:val="none"/>
        </w:rPr>
      </w:pPr>
    </w:p>
    <w:p w14:paraId="2798E15F">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备注：</w:t>
      </w:r>
    </w:p>
    <w:p w14:paraId="4D6DDA5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1、本表适用于专家独立评审使用；</w:t>
      </w:r>
    </w:p>
    <w:p w14:paraId="5BEF0526">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评标专家应严格</w:t>
      </w:r>
      <w:r>
        <w:rPr>
          <w:rFonts w:hint="eastAsia" w:ascii="宋体" w:hAnsi="宋体" w:eastAsia="宋体" w:cs="宋体"/>
          <w:color w:val="auto"/>
          <w:szCs w:val="21"/>
          <w:highlight w:val="none"/>
        </w:rPr>
        <w:t>对照招标文件的评审标准，对各评标要素逐条进行评审</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评审合格的，应指出投标人</w:t>
      </w:r>
      <w:r>
        <w:rPr>
          <w:rFonts w:hint="eastAsia" w:ascii="宋体" w:hAnsi="宋体" w:eastAsia="宋体" w:cs="宋体"/>
          <w:color w:val="auto"/>
          <w:szCs w:val="21"/>
          <w:highlight w:val="none"/>
        </w:rPr>
        <w:t>各评审</w:t>
      </w:r>
      <w:r>
        <w:rPr>
          <w:rFonts w:hint="eastAsia" w:ascii="宋体" w:hAnsi="宋体" w:eastAsia="宋体" w:cs="宋体"/>
          <w:color w:val="auto"/>
          <w:szCs w:val="21"/>
          <w:highlight w:val="none"/>
          <w:lang w:val="en-US" w:eastAsia="zh-CN"/>
        </w:rPr>
        <w:t>要素</w:t>
      </w:r>
      <w:r>
        <w:rPr>
          <w:rFonts w:hint="eastAsia" w:ascii="宋体" w:hAnsi="宋体" w:eastAsia="宋体" w:cs="宋体"/>
          <w:color w:val="auto"/>
          <w:szCs w:val="21"/>
          <w:highlight w:val="none"/>
        </w:rPr>
        <w:t>的优点、存在缺陷或签订合同前应注意和澄清事项</w:t>
      </w:r>
      <w:r>
        <w:rPr>
          <w:rFonts w:hint="eastAsia" w:ascii="宋体" w:hAnsi="宋体" w:eastAsia="宋体" w:cs="宋体"/>
          <w:color w:val="auto"/>
          <w:szCs w:val="21"/>
          <w:highlight w:val="none"/>
          <w:lang w:val="en-US" w:eastAsia="zh-CN"/>
        </w:rPr>
        <w:t>的具体内容，</w:t>
      </w:r>
      <w:r>
        <w:rPr>
          <w:rFonts w:hint="eastAsia" w:ascii="宋体" w:hAnsi="宋体" w:eastAsia="宋体" w:cs="宋体"/>
          <w:color w:val="auto"/>
          <w:szCs w:val="21"/>
          <w:highlight w:val="none"/>
        </w:rPr>
        <w:t>不得</w:t>
      </w:r>
      <w:r>
        <w:rPr>
          <w:rFonts w:hint="eastAsia" w:ascii="宋体" w:hAnsi="宋体" w:eastAsia="宋体" w:cs="宋体"/>
          <w:color w:val="auto"/>
          <w:szCs w:val="21"/>
          <w:highlight w:val="none"/>
          <w:lang w:val="en-US" w:eastAsia="zh-CN"/>
        </w:rPr>
        <w:t>以</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技术</w:t>
      </w:r>
      <w:r>
        <w:rPr>
          <w:rFonts w:hint="eastAsia" w:ascii="宋体" w:hAnsi="宋体" w:eastAsia="宋体" w:cs="宋体"/>
          <w:color w:val="auto"/>
          <w:szCs w:val="21"/>
          <w:highlight w:val="none"/>
        </w:rPr>
        <w:t>可行</w:t>
      </w:r>
      <w:r>
        <w:rPr>
          <w:rFonts w:hint="eastAsia" w:ascii="宋体" w:hAnsi="宋体" w:eastAsia="宋体" w:cs="宋体"/>
          <w:color w:val="auto"/>
          <w:szCs w:val="21"/>
          <w:highlight w:val="none"/>
          <w:lang w:val="en-US" w:eastAsia="zh-CN"/>
        </w:rPr>
        <w:t>/技术</w:t>
      </w:r>
      <w:r>
        <w:rPr>
          <w:rFonts w:hint="eastAsia" w:ascii="宋体" w:hAnsi="宋体" w:eastAsia="宋体" w:cs="宋体"/>
          <w:color w:val="auto"/>
          <w:szCs w:val="21"/>
          <w:highlight w:val="none"/>
        </w:rPr>
        <w:t>不可行、</w:t>
      </w:r>
      <w:r>
        <w:rPr>
          <w:rFonts w:hint="eastAsia" w:ascii="宋体" w:hAnsi="宋体" w:eastAsia="宋体" w:cs="宋体"/>
          <w:color w:val="auto"/>
          <w:szCs w:val="21"/>
          <w:highlight w:val="none"/>
          <w:lang w:val="en-US" w:eastAsia="zh-CN"/>
        </w:rPr>
        <w:t>符合要求/不符合要求、针对性强/针对性不强，</w:t>
      </w:r>
      <w:r>
        <w:rPr>
          <w:rFonts w:hint="eastAsia" w:ascii="宋体" w:hAnsi="宋体" w:eastAsia="宋体" w:cs="宋体"/>
          <w:color w:val="auto"/>
          <w:szCs w:val="21"/>
          <w:highlight w:val="none"/>
        </w:rPr>
        <w:t>优、良、中、差”</w:t>
      </w:r>
      <w:r>
        <w:rPr>
          <w:rFonts w:hint="eastAsia" w:ascii="宋体" w:hAnsi="宋体" w:eastAsia="宋体" w:cs="宋体"/>
          <w:color w:val="auto"/>
          <w:szCs w:val="21"/>
          <w:highlight w:val="none"/>
          <w:lang w:val="en-US" w:eastAsia="zh-CN"/>
        </w:rPr>
        <w:t>等评价性意见替代前述具体内容。</w:t>
      </w:r>
    </w:p>
    <w:p w14:paraId="08B3F17C">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3、综合评价等级仅分为合格或不合格两个等级，不合格仅限于符合招标文件废标、无效标情形以及投标文件违反国家强制性条文标准的情形。</w:t>
      </w:r>
    </w:p>
    <w:p w14:paraId="27C909B3">
      <w:pPr>
        <w:adjustRightInd w:val="0"/>
        <w:snapToGrid w:val="0"/>
        <w:spacing w:line="360" w:lineRule="auto"/>
        <w:ind w:firstLine="420" w:firstLineChars="200"/>
        <w:rPr>
          <w:rFonts w:ascii="宋体" w:hAnsi="宋体" w:eastAsia="宋体" w:cs="宋体"/>
          <w:color w:val="auto"/>
          <w:szCs w:val="21"/>
          <w:highlight w:val="none"/>
        </w:rPr>
      </w:pPr>
    </w:p>
    <w:p w14:paraId="0A02E97B">
      <w:pPr>
        <w:adjustRightInd w:val="0"/>
        <w:snapToGrid w:val="0"/>
        <w:spacing w:line="360" w:lineRule="auto"/>
        <w:jc w:val="center"/>
        <w:rPr>
          <w:b/>
          <w:color w:val="auto"/>
          <w:sz w:val="28"/>
          <w:szCs w:val="28"/>
          <w:highlight w:val="none"/>
        </w:rPr>
      </w:pPr>
      <w:r>
        <w:rPr>
          <w:rFonts w:hint="eastAsia"/>
          <w:b/>
          <w:color w:val="auto"/>
          <w:sz w:val="28"/>
          <w:szCs w:val="28"/>
          <w:highlight w:val="none"/>
        </w:rPr>
        <w:t>BIM标定性评审表（仅供参考）</w:t>
      </w:r>
    </w:p>
    <w:p w14:paraId="310DE61E">
      <w:pPr>
        <w:adjustRightInd w:val="0"/>
        <w:snapToGrid w:val="0"/>
        <w:spacing w:line="360" w:lineRule="auto"/>
        <w:rPr>
          <w:b/>
          <w:color w:val="auto"/>
          <w:szCs w:val="21"/>
          <w:highlight w:val="none"/>
        </w:rPr>
      </w:pPr>
      <w:r>
        <w:rPr>
          <w:rFonts w:hint="eastAsia"/>
          <w:color w:val="auto"/>
          <w:szCs w:val="21"/>
          <w:highlight w:val="none"/>
        </w:rPr>
        <w:t>标段名称：</w:t>
      </w:r>
      <w:r>
        <w:rPr>
          <w:color w:val="auto"/>
          <w:szCs w:val="21"/>
          <w:highlight w:val="none"/>
        </w:rPr>
        <w:t xml:space="preserve">                 </w:t>
      </w:r>
      <w:r>
        <w:rPr>
          <w:rFonts w:hint="eastAsia"/>
          <w:color w:val="auto"/>
          <w:szCs w:val="21"/>
          <w:highlight w:val="none"/>
        </w:rPr>
        <w:t xml:space="preserve"> </w:t>
      </w:r>
      <w:r>
        <w:rPr>
          <w:color w:val="auto"/>
          <w:szCs w:val="21"/>
          <w:highlight w:val="none"/>
        </w:rPr>
        <w:t xml:space="preserve">                     </w:t>
      </w:r>
      <w:r>
        <w:rPr>
          <w:rFonts w:hint="eastAsia"/>
          <w:color w:val="auto"/>
          <w:szCs w:val="21"/>
          <w:highlight w:val="none"/>
        </w:rPr>
        <w:t>投标单位：</w:t>
      </w:r>
    </w:p>
    <w:tbl>
      <w:tblPr>
        <w:tblStyle w:val="42"/>
        <w:tblW w:w="95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95"/>
        <w:gridCol w:w="4370"/>
        <w:gridCol w:w="528"/>
        <w:gridCol w:w="2285"/>
      </w:tblGrid>
      <w:tr w14:paraId="49A9A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vAlign w:val="center"/>
          </w:tcPr>
          <w:p w14:paraId="1B6E36B3">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695" w:type="dxa"/>
            <w:vAlign w:val="center"/>
          </w:tcPr>
          <w:p w14:paraId="6914CA44">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评审项目</w:t>
            </w:r>
          </w:p>
        </w:tc>
        <w:tc>
          <w:tcPr>
            <w:tcW w:w="4370" w:type="dxa"/>
            <w:vAlign w:val="center"/>
          </w:tcPr>
          <w:p w14:paraId="0837D6EF">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评审内容</w:t>
            </w:r>
          </w:p>
        </w:tc>
        <w:tc>
          <w:tcPr>
            <w:tcW w:w="528" w:type="dxa"/>
            <w:vAlign w:val="center"/>
          </w:tcPr>
          <w:p w14:paraId="3E84A559">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优点</w:t>
            </w:r>
          </w:p>
        </w:tc>
        <w:tc>
          <w:tcPr>
            <w:tcW w:w="2285" w:type="dxa"/>
            <w:vAlign w:val="center"/>
          </w:tcPr>
          <w:p w14:paraId="04A6FCA0">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存在缺陷或签订合同前应注意和澄清事项</w:t>
            </w:r>
          </w:p>
        </w:tc>
      </w:tr>
      <w:tr w14:paraId="34BD7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675" w:type="dxa"/>
            <w:vAlign w:val="center"/>
          </w:tcPr>
          <w:p w14:paraId="2F75A343">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1695" w:type="dxa"/>
            <w:vAlign w:val="center"/>
          </w:tcPr>
          <w:p w14:paraId="23EB3AAC">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BIM实施方案</w:t>
            </w:r>
          </w:p>
        </w:tc>
        <w:tc>
          <w:tcPr>
            <w:tcW w:w="4370" w:type="dxa"/>
            <w:vAlign w:val="center"/>
          </w:tcPr>
          <w:p w14:paraId="6CE8EF31">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投标人BIM综合应用能力情况</w:t>
            </w:r>
          </w:p>
        </w:tc>
        <w:tc>
          <w:tcPr>
            <w:tcW w:w="528" w:type="dxa"/>
            <w:vAlign w:val="center"/>
          </w:tcPr>
          <w:p w14:paraId="77487E84">
            <w:pPr>
              <w:rPr>
                <w:rFonts w:ascii="宋体" w:hAnsi="宋体" w:eastAsia="宋体" w:cs="宋体"/>
                <w:color w:val="auto"/>
                <w:szCs w:val="21"/>
                <w:highlight w:val="none"/>
              </w:rPr>
            </w:pPr>
          </w:p>
        </w:tc>
        <w:tc>
          <w:tcPr>
            <w:tcW w:w="2285" w:type="dxa"/>
            <w:vAlign w:val="center"/>
          </w:tcPr>
          <w:p w14:paraId="77636565">
            <w:pPr>
              <w:rPr>
                <w:rFonts w:ascii="宋体" w:hAnsi="宋体" w:eastAsia="宋体" w:cs="宋体"/>
                <w:color w:val="auto"/>
                <w:szCs w:val="21"/>
                <w:highlight w:val="none"/>
              </w:rPr>
            </w:pPr>
          </w:p>
        </w:tc>
      </w:tr>
      <w:tr w14:paraId="4BDC5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675" w:type="dxa"/>
            <w:vAlign w:val="center"/>
          </w:tcPr>
          <w:p w14:paraId="22F032B5">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1695" w:type="dxa"/>
            <w:vAlign w:val="center"/>
          </w:tcPr>
          <w:p w14:paraId="53893931">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模型评审</w:t>
            </w:r>
          </w:p>
        </w:tc>
        <w:tc>
          <w:tcPr>
            <w:tcW w:w="4370" w:type="dxa"/>
            <w:vAlign w:val="center"/>
          </w:tcPr>
          <w:p w14:paraId="1E6E4CA3">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投标人对图纸的理解程度和BIM建模范围、精度情况</w:t>
            </w:r>
          </w:p>
        </w:tc>
        <w:tc>
          <w:tcPr>
            <w:tcW w:w="528" w:type="dxa"/>
            <w:vAlign w:val="center"/>
          </w:tcPr>
          <w:p w14:paraId="3774B21E">
            <w:pPr>
              <w:rPr>
                <w:rFonts w:ascii="宋体" w:hAnsi="宋体" w:eastAsia="宋体" w:cs="宋体"/>
                <w:color w:val="auto"/>
                <w:szCs w:val="21"/>
                <w:highlight w:val="none"/>
              </w:rPr>
            </w:pPr>
          </w:p>
        </w:tc>
        <w:tc>
          <w:tcPr>
            <w:tcW w:w="2285" w:type="dxa"/>
            <w:vAlign w:val="center"/>
          </w:tcPr>
          <w:p w14:paraId="77CC2EC4">
            <w:pPr>
              <w:rPr>
                <w:rFonts w:ascii="宋体" w:hAnsi="宋体" w:eastAsia="宋体" w:cs="宋体"/>
                <w:color w:val="auto"/>
                <w:szCs w:val="21"/>
                <w:highlight w:val="none"/>
              </w:rPr>
            </w:pPr>
          </w:p>
        </w:tc>
      </w:tr>
      <w:tr w14:paraId="7DE44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675" w:type="dxa"/>
            <w:vAlign w:val="center"/>
          </w:tcPr>
          <w:p w14:paraId="4A5276AC">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3</w:t>
            </w:r>
          </w:p>
        </w:tc>
        <w:tc>
          <w:tcPr>
            <w:tcW w:w="1695" w:type="dxa"/>
            <w:vAlign w:val="center"/>
          </w:tcPr>
          <w:p w14:paraId="39F43ACC">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进度评审</w:t>
            </w:r>
          </w:p>
        </w:tc>
        <w:tc>
          <w:tcPr>
            <w:tcW w:w="4370" w:type="dxa"/>
            <w:vAlign w:val="center"/>
          </w:tcPr>
          <w:p w14:paraId="1FDC8F1B">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投标人施工组织安排的合理性和科学性情况</w:t>
            </w:r>
          </w:p>
        </w:tc>
        <w:tc>
          <w:tcPr>
            <w:tcW w:w="528" w:type="dxa"/>
            <w:vAlign w:val="center"/>
          </w:tcPr>
          <w:p w14:paraId="0B52019B">
            <w:pPr>
              <w:rPr>
                <w:rFonts w:ascii="宋体" w:hAnsi="宋体" w:eastAsia="宋体" w:cs="宋体"/>
                <w:color w:val="auto"/>
                <w:szCs w:val="21"/>
                <w:highlight w:val="none"/>
              </w:rPr>
            </w:pPr>
          </w:p>
        </w:tc>
        <w:tc>
          <w:tcPr>
            <w:tcW w:w="2285" w:type="dxa"/>
            <w:vAlign w:val="center"/>
          </w:tcPr>
          <w:p w14:paraId="4D5DCF31">
            <w:pPr>
              <w:rPr>
                <w:rFonts w:ascii="宋体" w:hAnsi="宋体" w:eastAsia="宋体" w:cs="宋体"/>
                <w:color w:val="auto"/>
                <w:szCs w:val="21"/>
                <w:highlight w:val="none"/>
              </w:rPr>
            </w:pPr>
          </w:p>
        </w:tc>
      </w:tr>
      <w:tr w14:paraId="43A00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675" w:type="dxa"/>
            <w:vAlign w:val="center"/>
          </w:tcPr>
          <w:p w14:paraId="1BBCD442">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4</w:t>
            </w:r>
          </w:p>
        </w:tc>
        <w:tc>
          <w:tcPr>
            <w:tcW w:w="1695" w:type="dxa"/>
            <w:vAlign w:val="center"/>
          </w:tcPr>
          <w:p w14:paraId="221FFA47">
            <w:pPr>
              <w:adjustRightInd w:val="0"/>
              <w:snapToGrid w:val="0"/>
              <w:jc w:val="center"/>
              <w:rPr>
                <w:rFonts w:ascii="宋体" w:hAnsi="宋体" w:eastAsia="宋体" w:cs="宋体"/>
                <w:color w:val="auto"/>
                <w:szCs w:val="21"/>
                <w:highlight w:val="none"/>
              </w:rPr>
            </w:pPr>
          </w:p>
        </w:tc>
        <w:tc>
          <w:tcPr>
            <w:tcW w:w="4370" w:type="dxa"/>
            <w:vAlign w:val="center"/>
          </w:tcPr>
          <w:p w14:paraId="27CADE1D">
            <w:pPr>
              <w:adjustRightInd w:val="0"/>
              <w:snapToGrid w:val="0"/>
              <w:jc w:val="center"/>
              <w:rPr>
                <w:rFonts w:ascii="宋体" w:hAnsi="宋体" w:eastAsia="宋体" w:cs="宋体"/>
                <w:color w:val="auto"/>
                <w:szCs w:val="21"/>
                <w:highlight w:val="none"/>
              </w:rPr>
            </w:pPr>
          </w:p>
        </w:tc>
        <w:tc>
          <w:tcPr>
            <w:tcW w:w="528" w:type="dxa"/>
            <w:vAlign w:val="center"/>
          </w:tcPr>
          <w:p w14:paraId="65F3ED2E">
            <w:pPr>
              <w:rPr>
                <w:rFonts w:ascii="宋体" w:hAnsi="宋体" w:eastAsia="宋体" w:cs="宋体"/>
                <w:color w:val="auto"/>
                <w:szCs w:val="21"/>
                <w:highlight w:val="none"/>
              </w:rPr>
            </w:pPr>
          </w:p>
        </w:tc>
        <w:tc>
          <w:tcPr>
            <w:tcW w:w="2285" w:type="dxa"/>
            <w:vAlign w:val="center"/>
          </w:tcPr>
          <w:p w14:paraId="5CD65D31">
            <w:pPr>
              <w:rPr>
                <w:rFonts w:ascii="宋体" w:hAnsi="宋体" w:eastAsia="宋体" w:cs="宋体"/>
                <w:color w:val="auto"/>
                <w:szCs w:val="21"/>
                <w:highlight w:val="none"/>
              </w:rPr>
            </w:pPr>
          </w:p>
        </w:tc>
      </w:tr>
      <w:tr w14:paraId="29FFE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675" w:type="dxa"/>
            <w:vAlign w:val="center"/>
          </w:tcPr>
          <w:p w14:paraId="225EE5E6">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5</w:t>
            </w:r>
          </w:p>
        </w:tc>
        <w:tc>
          <w:tcPr>
            <w:tcW w:w="1695" w:type="dxa"/>
            <w:vAlign w:val="center"/>
          </w:tcPr>
          <w:p w14:paraId="582A3620">
            <w:pPr>
              <w:adjustRightInd w:val="0"/>
              <w:snapToGrid w:val="0"/>
              <w:jc w:val="center"/>
              <w:rPr>
                <w:rFonts w:ascii="宋体" w:hAnsi="宋体" w:eastAsia="宋体" w:cs="宋体"/>
                <w:color w:val="auto"/>
                <w:szCs w:val="21"/>
                <w:highlight w:val="none"/>
              </w:rPr>
            </w:pPr>
          </w:p>
        </w:tc>
        <w:tc>
          <w:tcPr>
            <w:tcW w:w="4370" w:type="dxa"/>
            <w:vAlign w:val="center"/>
          </w:tcPr>
          <w:p w14:paraId="0FC13B43">
            <w:pPr>
              <w:adjustRightInd w:val="0"/>
              <w:snapToGrid w:val="0"/>
              <w:jc w:val="center"/>
              <w:rPr>
                <w:rFonts w:ascii="宋体" w:hAnsi="宋体" w:eastAsia="宋体" w:cs="宋体"/>
                <w:color w:val="auto"/>
                <w:szCs w:val="21"/>
                <w:highlight w:val="none"/>
              </w:rPr>
            </w:pPr>
          </w:p>
        </w:tc>
        <w:tc>
          <w:tcPr>
            <w:tcW w:w="528" w:type="dxa"/>
            <w:vAlign w:val="center"/>
          </w:tcPr>
          <w:p w14:paraId="0FAAAD3A">
            <w:pPr>
              <w:rPr>
                <w:rFonts w:ascii="宋体" w:hAnsi="宋体" w:eastAsia="宋体" w:cs="宋体"/>
                <w:color w:val="auto"/>
                <w:szCs w:val="21"/>
                <w:highlight w:val="none"/>
              </w:rPr>
            </w:pPr>
          </w:p>
        </w:tc>
        <w:tc>
          <w:tcPr>
            <w:tcW w:w="2285" w:type="dxa"/>
            <w:vAlign w:val="center"/>
          </w:tcPr>
          <w:p w14:paraId="305DE63F">
            <w:pPr>
              <w:rPr>
                <w:rFonts w:ascii="宋体" w:hAnsi="宋体" w:eastAsia="宋体" w:cs="宋体"/>
                <w:color w:val="auto"/>
                <w:szCs w:val="21"/>
                <w:highlight w:val="none"/>
              </w:rPr>
            </w:pPr>
          </w:p>
        </w:tc>
      </w:tr>
      <w:tr w14:paraId="6D439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675" w:type="dxa"/>
            <w:vAlign w:val="center"/>
          </w:tcPr>
          <w:p w14:paraId="69D69233">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6</w:t>
            </w:r>
          </w:p>
        </w:tc>
        <w:tc>
          <w:tcPr>
            <w:tcW w:w="1695" w:type="dxa"/>
            <w:vAlign w:val="center"/>
          </w:tcPr>
          <w:p w14:paraId="289B1DBC">
            <w:pPr>
              <w:adjustRightInd w:val="0"/>
              <w:snapToGrid w:val="0"/>
              <w:jc w:val="center"/>
              <w:rPr>
                <w:rFonts w:ascii="宋体" w:hAnsi="宋体" w:eastAsia="宋体" w:cs="宋体"/>
                <w:color w:val="auto"/>
                <w:szCs w:val="21"/>
                <w:highlight w:val="none"/>
              </w:rPr>
            </w:pPr>
          </w:p>
        </w:tc>
        <w:tc>
          <w:tcPr>
            <w:tcW w:w="4370" w:type="dxa"/>
            <w:vAlign w:val="center"/>
          </w:tcPr>
          <w:p w14:paraId="1769281A">
            <w:pPr>
              <w:adjustRightInd w:val="0"/>
              <w:snapToGrid w:val="0"/>
              <w:jc w:val="center"/>
              <w:rPr>
                <w:rFonts w:ascii="宋体" w:hAnsi="宋体" w:eastAsia="宋体" w:cs="宋体"/>
                <w:color w:val="auto"/>
                <w:szCs w:val="21"/>
                <w:highlight w:val="none"/>
              </w:rPr>
            </w:pPr>
          </w:p>
        </w:tc>
        <w:tc>
          <w:tcPr>
            <w:tcW w:w="528" w:type="dxa"/>
            <w:vAlign w:val="center"/>
          </w:tcPr>
          <w:p w14:paraId="0059E49E">
            <w:pPr>
              <w:rPr>
                <w:rFonts w:ascii="宋体" w:hAnsi="宋体" w:eastAsia="宋体" w:cs="宋体"/>
                <w:color w:val="auto"/>
                <w:szCs w:val="21"/>
                <w:highlight w:val="none"/>
              </w:rPr>
            </w:pPr>
          </w:p>
        </w:tc>
        <w:tc>
          <w:tcPr>
            <w:tcW w:w="2285" w:type="dxa"/>
            <w:vAlign w:val="center"/>
          </w:tcPr>
          <w:p w14:paraId="43266CF0">
            <w:pPr>
              <w:rPr>
                <w:rFonts w:ascii="宋体" w:hAnsi="宋体" w:eastAsia="宋体" w:cs="宋体"/>
                <w:color w:val="auto"/>
                <w:szCs w:val="21"/>
                <w:highlight w:val="none"/>
              </w:rPr>
            </w:pPr>
          </w:p>
        </w:tc>
      </w:tr>
      <w:tr w14:paraId="0C95F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53" w:type="dxa"/>
            <w:gridSpan w:val="5"/>
            <w:vAlign w:val="center"/>
          </w:tcPr>
          <w:p w14:paraId="69FFAFB5">
            <w:pPr>
              <w:adjustRightInd w:val="0"/>
              <w:snapToGrid w:val="0"/>
              <w:jc w:val="left"/>
              <w:rPr>
                <w:rFonts w:ascii="宋体" w:hAnsi="宋体" w:eastAsia="宋体" w:cs="宋体"/>
                <w:color w:val="auto"/>
                <w:szCs w:val="21"/>
                <w:highlight w:val="none"/>
              </w:rPr>
            </w:pPr>
            <w:r>
              <w:rPr>
                <w:rFonts w:hint="eastAsia" w:ascii="宋体" w:hAnsi="宋体" w:eastAsia="宋体" w:cs="宋体"/>
                <w:color w:val="auto"/>
                <w:szCs w:val="21"/>
                <w:highlight w:val="none"/>
              </w:rPr>
              <w:t>综合评价等级：□合格    □不合格</w:t>
            </w:r>
          </w:p>
        </w:tc>
      </w:tr>
    </w:tbl>
    <w:p w14:paraId="0A214210">
      <w:pPr>
        <w:adjustRightInd w:val="0"/>
        <w:snapToGrid w:val="0"/>
        <w:spacing w:line="360" w:lineRule="auto"/>
        <w:rPr>
          <w:rFonts w:ascii="宋体" w:hAnsi="宋体" w:eastAsia="宋体" w:cs="宋体"/>
          <w:b/>
          <w:color w:val="auto"/>
          <w:szCs w:val="21"/>
          <w:highlight w:val="none"/>
        </w:rPr>
      </w:pPr>
      <w:r>
        <w:rPr>
          <w:rFonts w:hint="eastAsia" w:ascii="黑体" w:eastAsia="黑体"/>
          <w:color w:val="auto"/>
          <w:szCs w:val="21"/>
          <w:highlight w:val="none"/>
        </w:rPr>
        <w:t>评标专家：                           评标日期：    年  月  日</w:t>
      </w:r>
    </w:p>
    <w:p w14:paraId="08971B03">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备注：</w:t>
      </w:r>
    </w:p>
    <w:p w14:paraId="21DE49F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1、本表适用于专家独立评审使用；</w:t>
      </w:r>
    </w:p>
    <w:p w14:paraId="59E76E2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评标专家应严格</w:t>
      </w:r>
      <w:r>
        <w:rPr>
          <w:rFonts w:hint="eastAsia" w:ascii="宋体" w:hAnsi="宋体" w:eastAsia="宋体" w:cs="宋体"/>
          <w:color w:val="auto"/>
          <w:szCs w:val="21"/>
          <w:highlight w:val="none"/>
        </w:rPr>
        <w:t>对照招标文件的评审标准，对各评标要素逐条进行评审</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评审合格的，应指出投标人</w:t>
      </w:r>
      <w:r>
        <w:rPr>
          <w:rFonts w:hint="eastAsia" w:ascii="宋体" w:hAnsi="宋体" w:eastAsia="宋体" w:cs="宋体"/>
          <w:color w:val="auto"/>
          <w:szCs w:val="21"/>
          <w:highlight w:val="none"/>
        </w:rPr>
        <w:t>各评审</w:t>
      </w:r>
      <w:r>
        <w:rPr>
          <w:rFonts w:hint="eastAsia" w:ascii="宋体" w:hAnsi="宋体" w:eastAsia="宋体" w:cs="宋体"/>
          <w:color w:val="auto"/>
          <w:szCs w:val="21"/>
          <w:highlight w:val="none"/>
          <w:lang w:val="en-US" w:eastAsia="zh-CN"/>
        </w:rPr>
        <w:t>要素</w:t>
      </w:r>
      <w:r>
        <w:rPr>
          <w:rFonts w:hint="eastAsia" w:ascii="宋体" w:hAnsi="宋体" w:eastAsia="宋体" w:cs="宋体"/>
          <w:color w:val="auto"/>
          <w:szCs w:val="21"/>
          <w:highlight w:val="none"/>
        </w:rPr>
        <w:t>的优点、存在缺陷或签订合同前应注意和澄清事项</w:t>
      </w:r>
      <w:r>
        <w:rPr>
          <w:rFonts w:hint="eastAsia" w:ascii="宋体" w:hAnsi="宋体" w:eastAsia="宋体" w:cs="宋体"/>
          <w:color w:val="auto"/>
          <w:szCs w:val="21"/>
          <w:highlight w:val="none"/>
          <w:lang w:val="en-US" w:eastAsia="zh-CN"/>
        </w:rPr>
        <w:t>的具体内容，</w:t>
      </w:r>
      <w:r>
        <w:rPr>
          <w:rFonts w:hint="eastAsia" w:ascii="宋体" w:hAnsi="宋体" w:eastAsia="宋体" w:cs="宋体"/>
          <w:color w:val="auto"/>
          <w:szCs w:val="21"/>
          <w:highlight w:val="none"/>
        </w:rPr>
        <w:t>不得</w:t>
      </w:r>
      <w:r>
        <w:rPr>
          <w:rFonts w:hint="eastAsia" w:ascii="宋体" w:hAnsi="宋体" w:eastAsia="宋体" w:cs="宋体"/>
          <w:color w:val="auto"/>
          <w:szCs w:val="21"/>
          <w:highlight w:val="none"/>
          <w:lang w:val="en-US" w:eastAsia="zh-CN"/>
        </w:rPr>
        <w:t>以</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技术</w:t>
      </w:r>
      <w:r>
        <w:rPr>
          <w:rFonts w:hint="eastAsia" w:ascii="宋体" w:hAnsi="宋体" w:eastAsia="宋体" w:cs="宋体"/>
          <w:color w:val="auto"/>
          <w:szCs w:val="21"/>
          <w:highlight w:val="none"/>
        </w:rPr>
        <w:t>可行</w:t>
      </w:r>
      <w:r>
        <w:rPr>
          <w:rFonts w:hint="eastAsia" w:ascii="宋体" w:hAnsi="宋体" w:eastAsia="宋体" w:cs="宋体"/>
          <w:color w:val="auto"/>
          <w:szCs w:val="21"/>
          <w:highlight w:val="none"/>
          <w:lang w:val="en-US" w:eastAsia="zh-CN"/>
        </w:rPr>
        <w:t>/技术</w:t>
      </w:r>
      <w:r>
        <w:rPr>
          <w:rFonts w:hint="eastAsia" w:ascii="宋体" w:hAnsi="宋体" w:eastAsia="宋体" w:cs="宋体"/>
          <w:color w:val="auto"/>
          <w:szCs w:val="21"/>
          <w:highlight w:val="none"/>
        </w:rPr>
        <w:t>不可行、</w:t>
      </w:r>
      <w:r>
        <w:rPr>
          <w:rFonts w:hint="eastAsia" w:ascii="宋体" w:hAnsi="宋体" w:eastAsia="宋体" w:cs="宋体"/>
          <w:color w:val="auto"/>
          <w:szCs w:val="21"/>
          <w:highlight w:val="none"/>
          <w:lang w:val="en-US" w:eastAsia="zh-CN"/>
        </w:rPr>
        <w:t>符合要求/不符合要求、针对性强/针对性不强，</w:t>
      </w:r>
      <w:r>
        <w:rPr>
          <w:rFonts w:hint="eastAsia" w:ascii="宋体" w:hAnsi="宋体" w:eastAsia="宋体" w:cs="宋体"/>
          <w:color w:val="auto"/>
          <w:szCs w:val="21"/>
          <w:highlight w:val="none"/>
        </w:rPr>
        <w:t>优、良、中、差”</w:t>
      </w:r>
      <w:r>
        <w:rPr>
          <w:rFonts w:hint="eastAsia" w:ascii="宋体" w:hAnsi="宋体" w:eastAsia="宋体" w:cs="宋体"/>
          <w:color w:val="auto"/>
          <w:szCs w:val="21"/>
          <w:highlight w:val="none"/>
          <w:lang w:val="en-US" w:eastAsia="zh-CN"/>
        </w:rPr>
        <w:t>等评价性意见替代前述具体内容。</w:t>
      </w:r>
    </w:p>
    <w:p w14:paraId="7AEA67E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3、综合评价等级仅分为合格或不合格两个等级，不合格仅限于符合招标文件废标、无效标情形以及投标文件违反国家强制性条文标准的情形。</w:t>
      </w:r>
    </w:p>
    <w:bookmarkEnd w:id="62"/>
    <w:p w14:paraId="6BBE5A88">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64" w:name="_Toc31697"/>
      <w:bookmarkStart w:id="65" w:name="_Toc8528"/>
      <w:bookmarkStart w:id="66" w:name="_Toc17365"/>
      <w:bookmarkStart w:id="67" w:name="_Toc22422"/>
      <w:bookmarkStart w:id="68" w:name="_Toc10935"/>
      <w:bookmarkStart w:id="69" w:name="_Toc13098"/>
      <w:r>
        <w:rPr>
          <w:rFonts w:hint="eastAsia" w:eastAsia="宋体"/>
          <w:b/>
          <w:bCs w:val="0"/>
          <w:color w:val="auto"/>
          <w:sz w:val="32"/>
          <w:highlight w:val="none"/>
          <w:lang w:val="en-US"/>
        </w:rPr>
        <w:t>（六）定标</w:t>
      </w:r>
      <w:bookmarkEnd w:id="64"/>
      <w:bookmarkEnd w:id="65"/>
      <w:bookmarkEnd w:id="66"/>
      <w:bookmarkEnd w:id="67"/>
      <w:bookmarkEnd w:id="68"/>
      <w:bookmarkEnd w:id="69"/>
    </w:p>
    <w:p w14:paraId="1E97D079">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42.清标</w:t>
      </w:r>
    </w:p>
    <w:p w14:paraId="1BBA5359">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42.1在开展定标前，招标人</w:t>
      </w:r>
      <w:r>
        <w:rPr>
          <w:rFonts w:hint="eastAsia" w:ascii="宋体" w:hAnsi="宋体" w:eastAsia="宋体" w:cs="宋体"/>
          <w:color w:val="auto"/>
          <w:szCs w:val="21"/>
          <w:highlight w:val="none"/>
        </w:rPr>
        <w:t>原则上应开展清标工作，</w:t>
      </w:r>
      <w:r>
        <w:rPr>
          <w:rFonts w:hint="eastAsia" w:ascii="宋体" w:hAnsi="宋体" w:eastAsia="宋体" w:cs="宋体"/>
          <w:color w:val="auto"/>
          <w:kern w:val="0"/>
          <w:szCs w:val="21"/>
          <w:highlight w:val="none"/>
        </w:rPr>
        <w:t>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14:paraId="3B39C627">
      <w:pPr>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42.2 </w:t>
      </w: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14:paraId="4516C95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42.3 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14:paraId="1DC234DD">
      <w:pPr>
        <w:adjustRightInd w:val="0"/>
        <w:snapToGrid w:val="0"/>
        <w:spacing w:line="360" w:lineRule="auto"/>
        <w:ind w:firstLine="422" w:firstLineChars="200"/>
        <w:rPr>
          <w:rFonts w:ascii="宋体" w:hAnsi="宋体" w:eastAsia="宋体" w:cs="宋体"/>
          <w:color w:val="auto"/>
          <w:szCs w:val="21"/>
          <w:highlight w:val="none"/>
        </w:rPr>
      </w:pPr>
      <w:r>
        <w:rPr>
          <w:rFonts w:hint="eastAsia" w:ascii="宋体" w:hAnsi="宋体" w:eastAsia="宋体" w:cs="宋体"/>
          <w:b/>
          <w:bCs/>
          <w:color w:val="auto"/>
          <w:szCs w:val="21"/>
          <w:highlight w:val="none"/>
        </w:rPr>
        <w:t>43.</w:t>
      </w:r>
      <w:r>
        <w:rPr>
          <w:rFonts w:hint="eastAsia" w:ascii="宋体" w:hAnsi="宋体" w:eastAsia="宋体" w:cs="宋体"/>
          <w:color w:val="auto"/>
          <w:szCs w:val="21"/>
          <w:highlight w:val="none"/>
        </w:rPr>
        <w:t xml:space="preserve"> </w:t>
      </w:r>
      <w:r>
        <w:rPr>
          <w:rFonts w:hint="eastAsia" w:ascii="宋体" w:hAnsi="宋体" w:eastAsia="宋体" w:cs="宋体"/>
          <w:b/>
          <w:bCs/>
          <w:color w:val="auto"/>
          <w:szCs w:val="21"/>
          <w:highlight w:val="none"/>
        </w:rPr>
        <w:t>定标方法</w:t>
      </w:r>
    </w:p>
    <w:p w14:paraId="3C88F22C">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招标人在定标过程中，应当坚持择优与竞价相结合，择优为主，择优因素重点考虑施工组织设计（方案）、技术响应、BIM技术应用情况</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自有产业工人配备数量、</w:t>
      </w:r>
      <w:r>
        <w:rPr>
          <w:rFonts w:hint="eastAsia" w:ascii="宋体" w:hAnsi="宋体" w:eastAsia="宋体" w:cs="宋体"/>
          <w:color w:val="auto"/>
          <w:szCs w:val="21"/>
          <w:highlight w:val="none"/>
          <w:lang w:eastAsia="zh-CN"/>
        </w:rPr>
        <w:t>产业工人入门</w:t>
      </w:r>
      <w:r>
        <w:rPr>
          <w:rFonts w:hint="eastAsia" w:ascii="宋体" w:hAnsi="宋体" w:eastAsia="宋体" w:cs="宋体"/>
          <w:color w:val="auto"/>
          <w:szCs w:val="21"/>
          <w:highlight w:val="none"/>
          <w:lang w:val="en-US" w:eastAsia="zh-CN"/>
        </w:rPr>
        <w:t>级</w:t>
      </w:r>
      <w:r>
        <w:rPr>
          <w:rFonts w:hint="eastAsia" w:ascii="宋体" w:hAnsi="宋体" w:eastAsia="宋体" w:cs="宋体"/>
          <w:color w:val="auto"/>
          <w:szCs w:val="21"/>
          <w:highlight w:val="none"/>
          <w:lang w:eastAsia="zh-CN"/>
        </w:rPr>
        <w:t>培训情况、施工现场技能工人配备情况</w:t>
      </w:r>
      <w:r>
        <w:rPr>
          <w:rFonts w:hint="eastAsia" w:ascii="宋体" w:hAnsi="宋体" w:eastAsia="宋体" w:cs="宋体"/>
          <w:color w:val="auto"/>
          <w:szCs w:val="21"/>
          <w:highlight w:val="none"/>
        </w:rPr>
        <w:t>等因素，投标人承诺采用新材料、新设备、新工艺、新技术</w:t>
      </w:r>
      <w:r>
        <w:rPr>
          <w:rFonts w:hint="eastAsia" w:ascii="宋体" w:hAnsi="宋体" w:eastAsia="宋体" w:cs="宋体"/>
          <w:color w:val="auto"/>
          <w:szCs w:val="21"/>
          <w:highlight w:val="none"/>
          <w:lang w:val="en-US" w:eastAsia="zh-CN"/>
        </w:rPr>
        <w:t>的（包括选择首台（套）重大技术装备、节能环保产品、国四及以上排放标准非道路移动机械等），</w:t>
      </w:r>
      <w:r>
        <w:rPr>
          <w:rFonts w:hint="eastAsia" w:ascii="宋体" w:hAnsi="宋体" w:eastAsia="宋体" w:cs="宋体"/>
          <w:color w:val="auto"/>
          <w:szCs w:val="21"/>
          <w:highlight w:val="none"/>
        </w:rPr>
        <w:t>可以优先考虑。鼓励招标人将</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参与“百千万工程”</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相关业绩、奖项作为定标择优因素。招标人应采用下列方法在评标委员会推荐的</w:t>
      </w:r>
      <w:r>
        <w:rPr>
          <w:rFonts w:hint="eastAsia" w:ascii="宋体" w:hAnsi="宋体" w:eastAsia="宋体" w:cs="宋体"/>
          <w:color w:val="auto"/>
          <w:szCs w:val="21"/>
          <w:highlight w:val="none"/>
          <w:lang w:val="en-US" w:eastAsia="zh-CN"/>
        </w:rPr>
        <w:t>中标候选</w:t>
      </w:r>
      <w:r>
        <w:rPr>
          <w:rFonts w:hint="eastAsia" w:ascii="宋体" w:hAnsi="宋体" w:eastAsia="宋体" w:cs="宋体"/>
          <w:color w:val="auto"/>
          <w:szCs w:val="21"/>
          <w:highlight w:val="none"/>
        </w:rPr>
        <w:t>人中确定中标人：</w:t>
      </w:r>
    </w:p>
    <w:p w14:paraId="41440F8F">
      <w:pPr>
        <w:adjustRightInd w:val="0"/>
        <w:snapToGrid w:val="0"/>
        <w:spacing w:line="360" w:lineRule="auto"/>
        <w:ind w:firstLine="422" w:firstLineChars="200"/>
        <w:rPr>
          <w:rFonts w:ascii="宋体" w:hAnsi="宋体" w:eastAsia="宋体" w:cs="宋体"/>
          <w:color w:val="auto"/>
          <w:szCs w:val="21"/>
          <w:highlight w:val="none"/>
        </w:rPr>
      </w:pPr>
      <w:bookmarkStart w:id="70" w:name="票决定标法"/>
      <w:r>
        <w:rPr>
          <w:rFonts w:hint="eastAsia" w:ascii="宋体" w:hAnsi="宋体" w:eastAsia="宋体" w:cs="宋体"/>
          <w:b/>
          <w:color w:val="auto"/>
          <w:szCs w:val="21"/>
          <w:highlight w:val="none"/>
        </w:rPr>
        <w:t>43.1直接票决定标法</w:t>
      </w:r>
    </w:p>
    <w:p w14:paraId="6048FA18">
      <w:pPr>
        <w:adjustRightInd w:val="0"/>
        <w:snapToGrid w:val="0"/>
        <w:spacing w:line="360" w:lineRule="auto"/>
        <w:ind w:firstLine="420" w:firstLineChars="200"/>
        <w:jc w:val="left"/>
        <w:rPr>
          <w:rFonts w:ascii="宋体" w:hAnsi="宋体" w:eastAsia="宋体" w:cs="宋体"/>
          <w:color w:val="auto"/>
          <w:kern w:val="0"/>
          <w:highlight w:val="none"/>
        </w:rPr>
      </w:pPr>
      <w:bookmarkStart w:id="71" w:name="直接票决定标"/>
      <w:r>
        <w:rPr>
          <w:rFonts w:hint="eastAsia" w:ascii="宋体" w:hAnsi="宋体" w:eastAsia="宋体" w:cs="宋体"/>
          <w:color w:val="auto"/>
          <w:kern w:val="0"/>
          <w:highlight w:val="none"/>
        </w:rPr>
        <w:t>招标人组建定标委员会，定标委员会成员对所有进入定标程序的投标人根据前附表确定的方式进行投票，根据得票数确定中标人。</w:t>
      </w:r>
    </w:p>
    <w:p w14:paraId="514E115F">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14:paraId="03B38280">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14:paraId="5FF982AE">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14:paraId="0B115733">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248FA22E">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②简单多数法（且过半数）</w:t>
      </w:r>
    </w:p>
    <w:p w14:paraId="15D5B86E">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a.投票规则：定标委员会在进入投票范围的投标人中，以每人投票支持一个投标人的方式，得票最多且过半数的投标人为中标人。</w:t>
      </w:r>
    </w:p>
    <w:p w14:paraId="16E9751E">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14:paraId="701A116A">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③对比胜出法</w:t>
      </w:r>
    </w:p>
    <w:p w14:paraId="568FF90F">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14:paraId="4CB39899">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25A4B672">
      <w:pPr>
        <w:adjustRightInd w:val="0"/>
        <w:snapToGrid w:val="0"/>
        <w:spacing w:line="360" w:lineRule="auto"/>
        <w:ind w:firstLine="422" w:firstLineChars="200"/>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43.2逐轮票决定标法</w:t>
      </w:r>
    </w:p>
    <w:p w14:paraId="5F381A89">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招标人组建定标委员会，定标委员会成员对所有进入定标程序的投标人根据前附表确定的方式进行逐轮投票，每轮以得票数确定进入下一轮投票的投标人直至确定中标人。</w:t>
      </w:r>
    </w:p>
    <w:p w14:paraId="09D5A5E7">
      <w:pPr>
        <w:adjustRightInd w:val="0"/>
        <w:snapToGrid w:val="0"/>
        <w:spacing w:line="360" w:lineRule="auto"/>
        <w:ind w:firstLine="413" w:firstLineChars="196"/>
        <w:rPr>
          <w:rFonts w:ascii="宋体" w:hAnsi="宋体" w:eastAsia="宋体" w:cs="宋体"/>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14:paraId="2D1AF64D">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14:paraId="55D68998">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14:paraId="165E2C9B">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6C67926B">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②对比胜出法</w:t>
      </w:r>
    </w:p>
    <w:p w14:paraId="7B5D3E66">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14:paraId="1C9F0284">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0760A095">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14:paraId="6B3DAA1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14:paraId="7A5AAC5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14:paraId="18C6DC00">
      <w:pPr>
        <w:adjustRightInd w:val="0"/>
        <w:snapToGrid w:val="0"/>
        <w:spacing w:line="360" w:lineRule="auto"/>
        <w:ind w:firstLine="420" w:firstLineChars="200"/>
        <w:rPr>
          <w:rFonts w:ascii="宋体" w:hAnsi="宋体" w:eastAsia="宋体" w:cs="宋体"/>
          <w:color w:val="auto"/>
          <w:kern w:val="0"/>
          <w:highlight w:val="none"/>
        </w:rPr>
      </w:pPr>
      <w:r>
        <w:rPr>
          <w:rFonts w:hint="eastAsia" w:ascii="宋体" w:hAnsi="宋体" w:eastAsia="宋体" w:cs="宋体"/>
          <w:color w:val="auto"/>
          <w:szCs w:val="21"/>
          <w:highlight w:val="none"/>
        </w:rPr>
        <w:t>根据前述规则，直至剩余1名投标人为中标人。</w:t>
      </w:r>
    </w:p>
    <w:bookmarkEnd w:id="70"/>
    <w:bookmarkEnd w:id="71"/>
    <w:p w14:paraId="682B22B4">
      <w:pPr>
        <w:adjustRightInd w:val="0"/>
        <w:snapToGrid w:val="0"/>
        <w:spacing w:line="360" w:lineRule="auto"/>
        <w:ind w:firstLine="422" w:firstLineChars="200"/>
        <w:rPr>
          <w:rFonts w:ascii="宋体" w:hAnsi="宋体" w:eastAsia="宋体" w:cs="宋体"/>
          <w:color w:val="auto"/>
          <w:szCs w:val="21"/>
          <w:highlight w:val="none"/>
        </w:rPr>
      </w:pPr>
      <w:bookmarkStart w:id="72" w:name="集体议事法定标"/>
      <w:r>
        <w:rPr>
          <w:rFonts w:hint="eastAsia" w:ascii="宋体" w:hAnsi="宋体" w:eastAsia="宋体" w:cs="宋体"/>
          <w:b/>
          <w:color w:val="auto"/>
          <w:szCs w:val="21"/>
          <w:highlight w:val="none"/>
        </w:rPr>
        <w:t>43.</w:t>
      </w:r>
      <w:r>
        <w:rPr>
          <w:rFonts w:hint="eastAsia" w:ascii="宋体" w:hAnsi="宋体" w:eastAsia="宋体" w:cs="宋体"/>
          <w:b/>
          <w:color w:val="auto"/>
          <w:szCs w:val="21"/>
          <w:highlight w:val="none"/>
          <w:lang w:val="en-US" w:eastAsia="zh-CN"/>
        </w:rPr>
        <w:t>3</w:t>
      </w:r>
      <w:r>
        <w:rPr>
          <w:rFonts w:hint="eastAsia" w:ascii="宋体" w:hAnsi="宋体" w:eastAsia="宋体" w:cs="宋体"/>
          <w:b/>
          <w:color w:val="auto"/>
          <w:szCs w:val="21"/>
          <w:highlight w:val="none"/>
        </w:rPr>
        <w:t>集体议事定标法</w:t>
      </w:r>
    </w:p>
    <w:p w14:paraId="28B2F877">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bookmarkEnd w:id="72"/>
    </w:p>
    <w:p w14:paraId="6561C7D1">
      <w:pPr>
        <w:adjustRightInd w:val="0"/>
        <w:snapToGrid w:val="0"/>
        <w:spacing w:line="360" w:lineRule="auto"/>
        <w:ind w:firstLine="422" w:firstLineChars="200"/>
        <w:rPr>
          <w:rFonts w:ascii="宋体" w:hAnsi="宋体" w:eastAsia="宋体" w:cs="宋体"/>
          <w:color w:val="auto"/>
          <w:szCs w:val="21"/>
          <w:highlight w:val="none"/>
        </w:rPr>
      </w:pPr>
      <w:r>
        <w:rPr>
          <w:rFonts w:hint="eastAsia" w:ascii="宋体" w:hAnsi="宋体" w:eastAsia="宋体" w:cs="宋体"/>
          <w:b/>
          <w:bCs/>
          <w:color w:val="auto"/>
          <w:szCs w:val="21"/>
          <w:highlight w:val="none"/>
        </w:rPr>
        <w:t>44.定标程序</w:t>
      </w:r>
    </w:p>
    <w:p w14:paraId="286847C5">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szCs w:val="21"/>
          <w:highlight w:val="none"/>
        </w:rPr>
        <w:t>44.1招标人应当事先制定定标工作规则，对不同类别项目择优竞价结合方式、择优因素、竞价方法予以明确，并报招标人内设（或上级）的纪检监察机构（或督查机构）备案。</w:t>
      </w:r>
    </w:p>
    <w:p w14:paraId="55223DA1">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44.2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委员会成员构成、定标</w:t>
      </w:r>
      <w:r>
        <w:rPr>
          <w:rFonts w:hint="eastAsia" w:ascii="宋体" w:hAnsi="宋体" w:eastAsia="宋体" w:cs="宋体"/>
          <w:color w:val="auto"/>
          <w:kern w:val="0"/>
          <w:szCs w:val="21"/>
          <w:highlight w:val="none"/>
        </w:rPr>
        <w:t>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14:paraId="6D9EFA88">
      <w:pPr>
        <w:adjustRightInd w:val="0"/>
        <w:snapToGrid w:val="0"/>
        <w:spacing w:line="360" w:lineRule="auto"/>
        <w:ind w:firstLine="420" w:firstLineChars="20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50"/>
          <w:rFonts w:hint="eastAsia" w:ascii="宋体" w:hAnsi="宋体" w:eastAsia="宋体" w:cs="宋体"/>
          <w:color w:val="auto"/>
          <w:kern w:val="0"/>
          <w:szCs w:val="21"/>
          <w:highlight w:val="none"/>
          <w:lang w:val="en-US" w:eastAsia="zh-CN"/>
        </w:rPr>
        <w:t>[</w:t>
      </w:r>
      <w:r>
        <w:rPr>
          <w:rStyle w:val="50"/>
          <w:rFonts w:hint="eastAsia" w:ascii="宋体" w:hAnsi="宋体" w:eastAsia="宋体" w:cs="宋体"/>
          <w:color w:val="auto"/>
          <w:kern w:val="0"/>
          <w:szCs w:val="21"/>
          <w:highlight w:val="none"/>
          <w:lang w:val="en-US" w:eastAsia="zh-CN"/>
        </w:rPr>
        <w:footnoteReference w:id="7"/>
      </w:r>
      <w:r>
        <w:rPr>
          <w:rStyle w:val="50"/>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14:paraId="123A89CE">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44.3在定标环节，招标人应当遵循如下原则</w:t>
      </w:r>
      <w:r>
        <w:rPr>
          <w:rStyle w:val="50"/>
          <w:rFonts w:hint="eastAsia" w:ascii="宋体" w:hAnsi="宋体" w:eastAsia="宋体" w:cs="宋体"/>
          <w:color w:val="auto"/>
          <w:szCs w:val="21"/>
          <w:highlight w:val="none"/>
        </w:rPr>
        <w:t>[</w:t>
      </w:r>
      <w:r>
        <w:rPr>
          <w:rStyle w:val="50"/>
          <w:rFonts w:hint="eastAsia" w:ascii="宋体" w:hAnsi="宋体" w:eastAsia="宋体" w:cs="宋体"/>
          <w:color w:val="auto"/>
          <w:szCs w:val="21"/>
          <w:highlight w:val="none"/>
        </w:rPr>
        <w:footnoteReference w:id="8"/>
      </w:r>
      <w:r>
        <w:rPr>
          <w:rStyle w:val="50"/>
          <w:rFonts w:hint="eastAsia" w:ascii="宋体" w:hAnsi="宋体" w:eastAsia="宋体" w:cs="宋体"/>
          <w:color w:val="auto"/>
          <w:szCs w:val="21"/>
          <w:highlight w:val="none"/>
        </w:rPr>
        <w:t>]</w:t>
      </w:r>
      <w:r>
        <w:rPr>
          <w:rFonts w:hint="eastAsia" w:ascii="宋体" w:hAnsi="宋体" w:eastAsia="宋体" w:cs="宋体"/>
          <w:color w:val="auto"/>
          <w:szCs w:val="21"/>
          <w:highlight w:val="none"/>
        </w:rPr>
        <w:t>：</w:t>
      </w:r>
    </w:p>
    <w:p w14:paraId="400FE312">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经认定的国家、省、市级重大项目，按照规定可以设置同类工程经验（业绩）的项目，应综合考虑企业资质、业绩、履约，项目经理（总监）和其管理团队</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的资历、能力、信誉，以及投标方案中建筑信息模型（BIM）技术、模块化建筑（MiC）技术、智能建造、智能监测、装配式建筑、绿色建筑、绿色建材等应用情况，坚持优中选低原则。</w:t>
      </w:r>
    </w:p>
    <w:p w14:paraId="3C319BBF">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）具有通用技术、性能标准或者招标人对技术、性能没有特殊要求的项目，坚持低中选优原则。</w:t>
      </w:r>
    </w:p>
    <w:p w14:paraId="128AF10C">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rPr>
        <w:t>44.4</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招标人应在评标委员会推荐的中标候选人中确定中标人。招标人应认真审查评标委员会提交的评标报告，发现评标委员会</w:t>
      </w:r>
      <w:r>
        <w:rPr>
          <w:rFonts w:hint="eastAsia" w:ascii="宋体" w:hAnsi="宋体" w:eastAsia="宋体" w:cs="宋体"/>
          <w:strike w:val="0"/>
          <w:color w:val="auto"/>
          <w:szCs w:val="21"/>
          <w:highlight w:val="none"/>
          <w:lang w:eastAsia="zh-CN"/>
        </w:rPr>
        <w:t>存在下列异常情形的，</w:t>
      </w:r>
      <w:r>
        <w:rPr>
          <w:rFonts w:hint="eastAsia" w:ascii="宋体" w:hAnsi="宋体" w:eastAsia="宋体" w:cs="宋体"/>
          <w:strike w:val="0"/>
          <w:color w:val="auto"/>
          <w:szCs w:val="21"/>
          <w:highlight w:val="none"/>
        </w:rPr>
        <w:t>经招标投标行政监督部门批准后由评标委员会复核纠正</w:t>
      </w:r>
      <w:r>
        <w:rPr>
          <w:rStyle w:val="50"/>
          <w:rFonts w:hint="eastAsia" w:ascii="宋体" w:hAnsi="宋体" w:eastAsia="宋体" w:cs="宋体"/>
          <w:strike w:val="0"/>
          <w:color w:val="auto"/>
          <w:szCs w:val="21"/>
          <w:highlight w:val="none"/>
        </w:rPr>
        <w:t>[</w:t>
      </w:r>
      <w:r>
        <w:rPr>
          <w:rStyle w:val="50"/>
          <w:rFonts w:hint="eastAsia" w:ascii="宋体" w:hAnsi="宋体" w:eastAsia="宋体" w:cs="宋体"/>
          <w:strike w:val="0"/>
          <w:color w:val="auto"/>
          <w:szCs w:val="21"/>
          <w:highlight w:val="none"/>
        </w:rPr>
        <w:footnoteReference w:id="9"/>
      </w:r>
      <w:r>
        <w:rPr>
          <w:rStyle w:val="50"/>
          <w:rFonts w:hint="eastAsia" w:ascii="宋体" w:hAnsi="宋体" w:eastAsia="宋体" w:cs="宋体"/>
          <w:strike w:val="0"/>
          <w:color w:val="auto"/>
          <w:szCs w:val="21"/>
          <w:highlight w:val="none"/>
        </w:rPr>
        <w:t>]</w:t>
      </w:r>
      <w:r>
        <w:rPr>
          <w:rFonts w:hint="eastAsia" w:ascii="宋体" w:hAnsi="宋体" w:eastAsia="宋体" w:cs="宋体"/>
          <w:strike w:val="0"/>
          <w:color w:val="auto"/>
          <w:szCs w:val="21"/>
          <w:highlight w:val="none"/>
          <w:lang w:eastAsia="zh-CN"/>
        </w:rPr>
        <w:t>：</w:t>
      </w:r>
    </w:p>
    <w:p w14:paraId="7989F5F5">
      <w:pPr>
        <w:adjustRightInd w:val="0"/>
        <w:snapToGrid w:val="0"/>
        <w:spacing w:line="360" w:lineRule="auto"/>
        <w:ind w:firstLine="420" w:firstLineChars="200"/>
        <w:rPr>
          <w:rFonts w:hint="eastAsia" w:ascii="宋体" w:hAnsi="宋体" w:eastAsia="宋体" w:cs="宋体"/>
          <w:strike w:val="0"/>
          <w:color w:val="auto"/>
          <w:szCs w:val="21"/>
          <w:highlight w:val="none"/>
          <w:lang w:val="en-US" w:eastAsia="zh-CN"/>
        </w:rPr>
      </w:pPr>
      <w:r>
        <w:rPr>
          <w:rFonts w:hint="eastAsia" w:ascii="宋体" w:hAnsi="宋体" w:eastAsia="宋体" w:cs="宋体"/>
          <w:color w:val="auto"/>
          <w:szCs w:val="21"/>
          <w:highlight w:val="none"/>
        </w:rPr>
        <w:t>44.4</w:t>
      </w:r>
      <w:r>
        <w:rPr>
          <w:rFonts w:hint="eastAsia" w:ascii="宋体" w:hAnsi="宋体" w:eastAsia="宋体" w:cs="宋体"/>
          <w:color w:val="auto"/>
          <w:szCs w:val="21"/>
          <w:highlight w:val="none"/>
          <w:lang w:val="en-US" w:eastAsia="zh-CN"/>
        </w:rPr>
        <w:t>.1</w:t>
      </w:r>
      <w:r>
        <w:rPr>
          <w:rFonts w:hint="eastAsia" w:ascii="宋体" w:hAnsi="宋体" w:eastAsia="宋体" w:cs="宋体"/>
          <w:strike w:val="0"/>
          <w:color w:val="auto"/>
          <w:szCs w:val="21"/>
          <w:highlight w:val="none"/>
        </w:rPr>
        <w:t>未按招标文件规定进行评审、推荐中标候选人</w:t>
      </w:r>
      <w:r>
        <w:rPr>
          <w:rFonts w:hint="eastAsia" w:ascii="宋体" w:hAnsi="宋体" w:eastAsia="宋体" w:cs="宋体"/>
          <w:strike w:val="0"/>
          <w:color w:val="auto"/>
          <w:szCs w:val="21"/>
          <w:highlight w:val="none"/>
          <w:lang w:eastAsia="zh-CN"/>
        </w:rPr>
        <w:t>；</w:t>
      </w:r>
    </w:p>
    <w:p w14:paraId="51375F4F">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rPr>
        <w:t>44.4</w:t>
      </w:r>
      <w:r>
        <w:rPr>
          <w:rFonts w:hint="eastAsia" w:ascii="宋体" w:hAnsi="宋体" w:eastAsia="宋体" w:cs="宋体"/>
          <w:color w:val="auto"/>
          <w:szCs w:val="21"/>
          <w:highlight w:val="none"/>
          <w:lang w:val="en-US" w:eastAsia="zh-CN"/>
        </w:rPr>
        <w:t xml:space="preserve">.2 </w:t>
      </w:r>
      <w:r>
        <w:rPr>
          <w:rFonts w:hint="eastAsia" w:ascii="宋体" w:hAnsi="宋体" w:eastAsia="宋体" w:cs="宋体"/>
          <w:strike w:val="0"/>
          <w:color w:val="auto"/>
          <w:szCs w:val="21"/>
          <w:highlight w:val="none"/>
          <w:lang w:eastAsia="zh-CN"/>
        </w:rPr>
        <w:t>未对可能低于成本或者影响履约的异常低价投标和严重不平衡报价进行分析研判；</w:t>
      </w:r>
    </w:p>
    <w:p w14:paraId="20CA6582">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rPr>
        <w:t>44.4</w:t>
      </w:r>
      <w:r>
        <w:rPr>
          <w:rFonts w:hint="eastAsia" w:ascii="宋体" w:hAnsi="宋体" w:eastAsia="宋体" w:cs="宋体"/>
          <w:color w:val="auto"/>
          <w:szCs w:val="21"/>
          <w:highlight w:val="none"/>
          <w:lang w:val="en-US" w:eastAsia="zh-CN"/>
        </w:rPr>
        <w:t>.3</w:t>
      </w:r>
      <w:r>
        <w:rPr>
          <w:rFonts w:hint="eastAsia" w:ascii="宋体" w:hAnsi="宋体" w:eastAsia="宋体" w:cs="宋体"/>
          <w:strike w:val="0"/>
          <w:color w:val="auto"/>
          <w:szCs w:val="21"/>
          <w:highlight w:val="none"/>
          <w:lang w:eastAsia="zh-CN"/>
        </w:rPr>
        <w:t>未依法通知投标人进行澄清、说明；</w:t>
      </w:r>
    </w:p>
    <w:p w14:paraId="339960B5">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44.4</w:t>
      </w:r>
      <w:r>
        <w:rPr>
          <w:rFonts w:hint="eastAsia" w:ascii="宋体" w:hAnsi="宋体" w:eastAsia="宋体" w:cs="宋体"/>
          <w:color w:val="auto"/>
          <w:szCs w:val="21"/>
          <w:highlight w:val="none"/>
          <w:lang w:val="en-US" w:eastAsia="zh-CN"/>
        </w:rPr>
        <w:t>.4评标委员会对应当否决的投标未予否决，或者存在随意否决投标的情况；</w:t>
      </w:r>
    </w:p>
    <w:p w14:paraId="558B9C09">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rPr>
        <w:t>44.4</w:t>
      </w:r>
      <w:r>
        <w:rPr>
          <w:rFonts w:hint="eastAsia" w:ascii="宋体" w:hAnsi="宋体" w:eastAsia="宋体" w:cs="宋体"/>
          <w:color w:val="auto"/>
          <w:szCs w:val="21"/>
          <w:highlight w:val="none"/>
          <w:lang w:val="en-US" w:eastAsia="zh-CN"/>
        </w:rPr>
        <w:t>.5</w:t>
      </w:r>
      <w:r>
        <w:rPr>
          <w:rFonts w:hint="eastAsia" w:ascii="宋体" w:hAnsi="宋体" w:eastAsia="宋体" w:cs="宋体"/>
          <w:strike w:val="0"/>
          <w:color w:val="auto"/>
          <w:szCs w:val="21"/>
          <w:highlight w:val="none"/>
          <w:lang w:eastAsia="zh-CN"/>
        </w:rPr>
        <w:t>其他评标委员会不客观不公正履行评标职责的情形。</w:t>
      </w:r>
    </w:p>
    <w:p w14:paraId="317A7FA0">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44.5定标委员会由招标人的法定代表人或者主要负责人组建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可以按以下方式组建，具体组建方式由招标人在项目定标方案中予以明确</w:t>
      </w:r>
      <w:r>
        <w:rPr>
          <w:rStyle w:val="50"/>
          <w:rFonts w:hint="eastAsia" w:ascii="宋体" w:hAnsi="宋体" w:eastAsia="宋体" w:cs="宋体"/>
          <w:color w:val="auto"/>
          <w:szCs w:val="21"/>
          <w:highlight w:val="none"/>
          <w:lang w:val="en-US" w:eastAsia="zh-CN"/>
        </w:rPr>
        <w:t>[</w:t>
      </w:r>
      <w:r>
        <w:rPr>
          <w:rStyle w:val="50"/>
          <w:rFonts w:hint="eastAsia" w:ascii="宋体" w:hAnsi="宋体" w:eastAsia="宋体" w:cs="宋体"/>
          <w:color w:val="auto"/>
          <w:szCs w:val="21"/>
          <w:highlight w:val="none"/>
          <w:lang w:val="en-US" w:eastAsia="zh-CN"/>
        </w:rPr>
        <w:footnoteReference w:id="10"/>
      </w:r>
      <w:r>
        <w:rPr>
          <w:rStyle w:val="50"/>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lang w:val="en-US" w:eastAsia="zh-CN"/>
        </w:rPr>
        <w:t>：</w:t>
      </w:r>
    </w:p>
    <w:p w14:paraId="4CB9C769">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14:paraId="7947436A">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14:paraId="3FA8A738">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p>
    <w:p w14:paraId="4082E685">
      <w:pPr>
        <w:adjustRightInd w:val="0"/>
        <w:snapToGrid w:val="0"/>
        <w:spacing w:line="360" w:lineRule="auto"/>
        <w:ind w:firstLine="411" w:firstLineChars="196"/>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44.6定标委员会应当在定标会上推荐定标组长，招标人的法定代表人或者主要负责人参加定标委员会的，由其直接担任定标委员会组长。招标人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p>
    <w:p w14:paraId="0257A0AC">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szCs w:val="21"/>
          <w:highlight w:val="none"/>
        </w:rPr>
        <w:t>44.7招标人应当自评标结束后10个工作日内进入深圳交易集团有限公司（深圳公共资源交易中心）进行定标。不能按时定标的，应当通过交易网公示延期原因和最终定标时间。</w:t>
      </w:r>
    </w:p>
    <w:p w14:paraId="5F00D399">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szCs w:val="21"/>
          <w:highlight w:val="none"/>
        </w:rPr>
        <w:t>44.8定标委员会在定标时查看加密的项目定标方案，在综合考量评标委员会评审意见、招标人清标情况的基础上，按照既定的项目定标方案独立行使投票权，并明确理由。定标委员会成员在定标系统中提交选票（须说明推荐理由），并打印选票签名确认，定标过程公开、公平、公正。定标委员会按有关规定及招标文件约定的定标方法确定一名中标人。</w:t>
      </w:r>
    </w:p>
    <w:p w14:paraId="4F985F6A">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szCs w:val="21"/>
          <w:highlight w:val="none"/>
        </w:rPr>
        <w:t>44.9招标人应在定标结束后将定标记录、定标报告交由深圳交易集团有限公司（深圳公共资源交易中心）归档并同时公示定标结果和中标结果。定标记录应包括定标委员会会议过程、正式成员名单</w:t>
      </w:r>
      <w:r>
        <w:rPr>
          <w:rFonts w:hint="eastAsia" w:ascii="宋体" w:hAnsi="宋体" w:eastAsia="宋体" w:cs="宋体"/>
          <w:color w:val="auto"/>
          <w:szCs w:val="21"/>
          <w:highlight w:val="none"/>
          <w:lang w:eastAsia="zh-CN"/>
        </w:rPr>
        <w:t>、监督小组名单</w:t>
      </w:r>
      <w:r>
        <w:rPr>
          <w:rFonts w:hint="eastAsia" w:ascii="宋体" w:hAnsi="宋体" w:eastAsia="宋体" w:cs="宋体"/>
          <w:color w:val="auto"/>
          <w:szCs w:val="21"/>
          <w:highlight w:val="none"/>
        </w:rPr>
        <w:t>。定标报告应包括定标委员会的产生过程、定标程序及定标结果等内容。招标人提交中标信息确认时，应认真核对中标公示信息，无误后再签名确认。</w:t>
      </w:r>
    </w:p>
    <w:p w14:paraId="65E4FA78">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color w:val="auto"/>
          <w:szCs w:val="21"/>
          <w:highlight w:val="none"/>
        </w:rPr>
        <w:t>44.10招标人应当向定标委员会提供项目定标方案、清标报告作为定标辅助材料。定标结束后，项目定标方案、清标报告及定标委员投票结果等定标过程资料应当留存备查。</w:t>
      </w:r>
    </w:p>
    <w:p w14:paraId="6A871315">
      <w:pPr>
        <w:adjustRightInd w:val="0"/>
        <w:snapToGrid w:val="0"/>
        <w:spacing w:line="360" w:lineRule="auto"/>
        <w:ind w:firstLine="413" w:firstLineChars="196"/>
        <w:rPr>
          <w:rFonts w:hint="default" w:ascii="宋体" w:hAnsi="宋体" w:eastAsia="宋体" w:cs="宋体"/>
          <w:b/>
          <w:bCs/>
          <w:strike w:val="0"/>
          <w:color w:val="auto"/>
          <w:szCs w:val="21"/>
          <w:highlight w:val="none"/>
        </w:rPr>
      </w:pPr>
      <w:r>
        <w:rPr>
          <w:rFonts w:hint="eastAsia" w:ascii="宋体" w:hAnsi="宋体" w:eastAsia="宋体" w:cs="宋体"/>
          <w:b/>
          <w:color w:val="auto"/>
          <w:szCs w:val="21"/>
          <w:highlight w:val="none"/>
        </w:rPr>
        <w:t>45.</w:t>
      </w:r>
      <w:r>
        <w:rPr>
          <w:rFonts w:hint="eastAsia" w:ascii="宋体" w:hAnsi="宋体" w:eastAsia="宋体" w:cs="宋体"/>
          <w:b/>
          <w:bCs/>
          <w:color w:val="auto"/>
          <w:szCs w:val="21"/>
          <w:highlight w:val="none"/>
        </w:rPr>
        <w:t>定标后有下列情形之一的，招标人可以</w:t>
      </w:r>
      <w:r>
        <w:rPr>
          <w:rFonts w:hint="eastAsia" w:ascii="宋体" w:hAnsi="宋体" w:eastAsia="宋体" w:cs="宋体"/>
          <w:b/>
          <w:bCs/>
          <w:color w:val="auto"/>
          <w:szCs w:val="21"/>
          <w:highlight w:val="none"/>
          <w:lang w:val="en-US" w:eastAsia="zh-CN"/>
        </w:rPr>
        <w:t>从</w:t>
      </w:r>
      <w:r>
        <w:rPr>
          <w:rFonts w:hint="eastAsia" w:ascii="宋体" w:hAnsi="宋体" w:eastAsia="宋体" w:cs="宋体"/>
          <w:b/>
          <w:bCs/>
          <w:color w:val="auto"/>
          <w:szCs w:val="21"/>
          <w:highlight w:val="none"/>
        </w:rPr>
        <w:t>其他</w:t>
      </w:r>
      <w:r>
        <w:rPr>
          <w:rFonts w:hint="eastAsia" w:ascii="宋体" w:hAnsi="宋体" w:eastAsia="宋体" w:cs="宋体"/>
          <w:b/>
          <w:bCs/>
          <w:strike w:val="0"/>
          <w:color w:val="auto"/>
          <w:szCs w:val="21"/>
          <w:highlight w:val="none"/>
          <w:lang w:val="en-US" w:eastAsia="zh-CN"/>
        </w:rPr>
        <w:t>中标候选</w:t>
      </w:r>
      <w:r>
        <w:rPr>
          <w:rFonts w:hint="eastAsia" w:ascii="宋体" w:hAnsi="宋体" w:eastAsia="宋体" w:cs="宋体"/>
          <w:b/>
          <w:bCs/>
          <w:color w:val="auto"/>
          <w:szCs w:val="21"/>
          <w:highlight w:val="none"/>
        </w:rPr>
        <w:t>人中采用原招标文件规定的定标方法，由原定标委员会确定中标人。</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14:paraId="660ED657">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45.1中标人放弃中标资格或者拒不签订合同的；</w:t>
      </w:r>
    </w:p>
    <w:p w14:paraId="2CF78FFA">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45.2中标人不按照招标文件要求提交履约担保的；</w:t>
      </w:r>
    </w:p>
    <w:p w14:paraId="7041C95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45.3被查实存在影响中标结果违法行为的。</w:t>
      </w:r>
    </w:p>
    <w:p w14:paraId="0C648B9A">
      <w:pPr>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45.4 招标人将项目经理（总监）的资历、能力、信誉作为重要择优因素，除符合《关于建设工程招标投标改革的若干规定》（深府〔2015〕73号）第五十四条第（一）、（八）项以及《深圳市规范项目经理和项目总监理工程师任职行为的若干规定》（深建规〔2022〕1号）第四条第（三）项、第八条第（三）项规定情形外，</w:t>
      </w:r>
      <w:r>
        <w:rPr>
          <w:rFonts w:hint="eastAsia" w:ascii="宋体" w:hAnsi="宋体" w:eastAsia="宋体" w:cs="宋体"/>
          <w:b w:val="0"/>
          <w:bCs w:val="0"/>
          <w:color w:val="auto"/>
          <w:sz w:val="21"/>
          <w:szCs w:val="21"/>
          <w:highlight w:val="none"/>
          <w:u w:val="none"/>
          <w:lang w:val="en-US" w:eastAsia="zh-CN"/>
        </w:rPr>
        <w:t>在取得施工许可或者相关主管部门批准开工（含开工备案）手续前，中标人确认项目</w:t>
      </w:r>
      <w:r>
        <w:rPr>
          <w:rFonts w:hint="eastAsia" w:ascii="宋体" w:hAnsi="宋体" w:eastAsia="宋体" w:cs="宋体"/>
          <w:b w:val="0"/>
          <w:bCs w:val="0"/>
          <w:color w:val="auto"/>
          <w:sz w:val="21"/>
          <w:szCs w:val="21"/>
          <w:highlight w:val="none"/>
          <w:u w:val="none"/>
        </w:rPr>
        <w:t>经理（总监）</w:t>
      </w:r>
      <w:r>
        <w:rPr>
          <w:rFonts w:hint="eastAsia" w:ascii="宋体" w:hAnsi="宋体" w:eastAsia="宋体" w:cs="宋体"/>
          <w:b w:val="0"/>
          <w:bCs w:val="0"/>
          <w:color w:val="auto"/>
          <w:sz w:val="21"/>
          <w:szCs w:val="21"/>
          <w:highlight w:val="none"/>
          <w:u w:val="none"/>
          <w:lang w:val="en-US" w:eastAsia="zh-CN"/>
        </w:rPr>
        <w:t>无法到岗的。</w:t>
      </w:r>
    </w:p>
    <w:p w14:paraId="20C2D9A1">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46.招标人拒绝投标等权力</w:t>
      </w:r>
    </w:p>
    <w:p w14:paraId="7CFEFFD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46.1招标人不承诺将合同授予报价最低的投标人。</w:t>
      </w:r>
    </w:p>
    <w:p w14:paraId="2A64A47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46.2中标人确定后，招标人无义务向未中标的投标人就其未中标的原因作出解释。未中标的投标人不得向评标委员会组成人员或招标人询问评标过程的情况或索要相关材料。</w:t>
      </w:r>
    </w:p>
    <w:p w14:paraId="42171BE0">
      <w:pPr>
        <w:adjustRightInd w:val="0"/>
        <w:snapToGrid w:val="0"/>
        <w:spacing w:line="360" w:lineRule="auto"/>
        <w:ind w:firstLine="422" w:firstLineChars="200"/>
        <w:rPr>
          <w:rFonts w:ascii="宋体" w:hAnsi="宋体" w:eastAsia="宋体" w:cs="宋体"/>
          <w:b/>
          <w:bCs/>
          <w:color w:val="auto"/>
          <w:szCs w:val="21"/>
          <w:highlight w:val="none"/>
        </w:rPr>
      </w:pPr>
      <w:bookmarkStart w:id="73" w:name="资信标要求一览表"/>
      <w:r>
        <w:rPr>
          <w:rFonts w:hint="eastAsia" w:ascii="宋体" w:hAnsi="宋体" w:eastAsia="宋体" w:cs="宋体"/>
          <w:b/>
          <w:bCs/>
          <w:color w:val="auto"/>
          <w:szCs w:val="21"/>
          <w:highlight w:val="none"/>
        </w:rPr>
        <w:t>47.资信标表格</w:t>
      </w:r>
    </w:p>
    <w:p w14:paraId="51EF4F17">
      <w:pPr>
        <w:adjustRightInd w:val="0"/>
        <w:snapToGrid w:val="0"/>
        <w:spacing w:line="360" w:lineRule="auto"/>
        <w:ind w:firstLine="420" w:firstLineChars="200"/>
        <w:rPr>
          <w:rFonts w:ascii="宋体" w:hAnsi="宋体" w:eastAsia="宋体" w:cs="宋体"/>
          <w:b/>
          <w:color w:val="auto"/>
          <w:szCs w:val="21"/>
          <w:highlight w:val="none"/>
        </w:rPr>
      </w:pPr>
      <w:r>
        <w:rPr>
          <w:rFonts w:hint="eastAsia" w:ascii="宋体" w:hAnsi="宋体" w:eastAsia="宋体" w:cs="宋体"/>
          <w:color w:val="auto"/>
          <w:szCs w:val="21"/>
          <w:highlight w:val="none"/>
        </w:rPr>
        <w:t>47.1招标人可以结合项目实际要求投标人提供资信标作为定标参考因素之一。</w:t>
      </w:r>
    </w:p>
    <w:p w14:paraId="77712609">
      <w:pPr>
        <w:adjustRightInd w:val="0"/>
        <w:snapToGrid w:val="0"/>
        <w:spacing w:line="360" w:lineRule="auto"/>
        <w:jc w:val="center"/>
        <w:rPr>
          <w:rFonts w:ascii="宋体" w:hAnsi="宋体" w:eastAsia="宋体" w:cs="宋体"/>
          <w:b/>
          <w:color w:val="auto"/>
          <w:sz w:val="30"/>
          <w:szCs w:val="30"/>
          <w:highlight w:val="none"/>
        </w:rPr>
      </w:pPr>
      <w:r>
        <w:rPr>
          <w:rFonts w:hint="eastAsia" w:ascii="宋体" w:hAnsi="宋体" w:eastAsia="宋体" w:cs="宋体"/>
          <w:b/>
          <w:color w:val="auto"/>
          <w:sz w:val="30"/>
          <w:szCs w:val="30"/>
          <w:highlight w:val="none"/>
        </w:rPr>
        <w:t>资信标要求一览表（如有）</w:t>
      </w:r>
    </w:p>
    <w:tbl>
      <w:tblPr>
        <w:tblStyle w:val="42"/>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260"/>
        <w:gridCol w:w="4503"/>
      </w:tblGrid>
      <w:tr w14:paraId="24123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14:paraId="056AAF7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3260" w:type="dxa"/>
            <w:vAlign w:val="center"/>
          </w:tcPr>
          <w:p w14:paraId="7BC65AB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资信要素名称</w:t>
            </w:r>
          </w:p>
        </w:tc>
        <w:tc>
          <w:tcPr>
            <w:tcW w:w="4503" w:type="dxa"/>
            <w:vAlign w:val="center"/>
          </w:tcPr>
          <w:p w14:paraId="1474FE5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有关要求或说明</w:t>
            </w:r>
          </w:p>
        </w:tc>
      </w:tr>
      <w:tr w14:paraId="6F852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14:paraId="7D9A5244">
            <w:pPr>
              <w:adjustRightInd w:val="0"/>
              <w:snapToGrid w:val="0"/>
              <w:spacing w:line="360" w:lineRule="auto"/>
              <w:jc w:val="center"/>
              <w:rPr>
                <w:rFonts w:ascii="宋体" w:hAnsi="宋体" w:eastAsia="宋体" w:cs="宋体"/>
                <w:color w:val="auto"/>
                <w:kern w:val="0"/>
                <w:szCs w:val="21"/>
                <w:highlight w:val="none"/>
              </w:rPr>
            </w:pPr>
            <w:bookmarkStart w:id="74" w:name="资信标要求一览表2" w:colFirst="0" w:colLast="0"/>
          </w:p>
        </w:tc>
        <w:tc>
          <w:tcPr>
            <w:tcW w:w="3260" w:type="dxa"/>
            <w:vAlign w:val="center"/>
          </w:tcPr>
          <w:p w14:paraId="3DAE5CC8">
            <w:pPr>
              <w:adjustRightInd w:val="0"/>
              <w:snapToGrid w:val="0"/>
              <w:spacing w:line="360" w:lineRule="auto"/>
              <w:rPr>
                <w:rFonts w:ascii="宋体" w:hAnsi="宋体" w:eastAsia="宋体" w:cs="宋体"/>
                <w:color w:val="auto"/>
                <w:kern w:val="0"/>
                <w:szCs w:val="21"/>
                <w:highlight w:val="none"/>
              </w:rPr>
            </w:pPr>
          </w:p>
        </w:tc>
        <w:tc>
          <w:tcPr>
            <w:tcW w:w="4503" w:type="dxa"/>
            <w:vAlign w:val="center"/>
          </w:tcPr>
          <w:p w14:paraId="767C8389">
            <w:pPr>
              <w:adjustRightInd w:val="0"/>
              <w:snapToGrid w:val="0"/>
              <w:spacing w:line="360" w:lineRule="auto"/>
              <w:rPr>
                <w:rFonts w:ascii="宋体" w:hAnsi="宋体" w:eastAsia="宋体" w:cs="宋体"/>
                <w:color w:val="auto"/>
                <w:kern w:val="0"/>
                <w:szCs w:val="21"/>
                <w:highlight w:val="none"/>
              </w:rPr>
            </w:pPr>
          </w:p>
        </w:tc>
      </w:tr>
      <w:bookmarkEnd w:id="74"/>
    </w:tbl>
    <w:p w14:paraId="33F9A867">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备注：资信要素不进行评审，真实性通过公示予以监督。</w:t>
      </w:r>
    </w:p>
    <w:bookmarkEnd w:id="73"/>
    <w:p w14:paraId="25467CF6">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75" w:name="_Toc13909"/>
      <w:bookmarkStart w:id="76" w:name="_Toc19005"/>
      <w:bookmarkStart w:id="77" w:name="_Toc45"/>
      <w:bookmarkStart w:id="78" w:name="_Toc24706"/>
      <w:bookmarkStart w:id="79" w:name="_Toc29655"/>
      <w:bookmarkStart w:id="80" w:name="_Toc21717"/>
      <w:r>
        <w:rPr>
          <w:rFonts w:hint="eastAsia" w:eastAsia="宋体"/>
          <w:b/>
          <w:bCs w:val="0"/>
          <w:color w:val="auto"/>
          <w:sz w:val="32"/>
          <w:highlight w:val="none"/>
          <w:lang w:val="en-US"/>
        </w:rPr>
        <w:t>（七）中标通知书</w:t>
      </w:r>
      <w:bookmarkEnd w:id="75"/>
      <w:bookmarkEnd w:id="76"/>
      <w:bookmarkEnd w:id="77"/>
      <w:bookmarkEnd w:id="78"/>
      <w:bookmarkEnd w:id="79"/>
      <w:bookmarkEnd w:id="80"/>
    </w:p>
    <w:p w14:paraId="023BB219">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48.</w:t>
      </w:r>
      <w:r>
        <w:rPr>
          <w:rFonts w:hint="eastAsia" w:ascii="宋体" w:hAnsi="宋体" w:eastAsia="宋体" w:cs="宋体"/>
          <w:color w:val="auto"/>
          <w:highlight w:val="none"/>
        </w:rPr>
        <w:t xml:space="preserve"> </w:t>
      </w:r>
      <w:r>
        <w:rPr>
          <w:rFonts w:hint="eastAsia" w:ascii="宋体" w:hAnsi="宋体" w:eastAsia="宋体" w:cs="宋体"/>
          <w:b/>
          <w:bCs/>
          <w:color w:val="auto"/>
          <w:szCs w:val="21"/>
          <w:highlight w:val="none"/>
        </w:rPr>
        <w:t>中标通知书</w:t>
      </w:r>
    </w:p>
    <w:p w14:paraId="670C5A0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48.1在规定的公示期内未收到对中标结果的异议的，招标人将按法律法规规定的时间内向中标人发出中标通知书。如接到有关投诉的，招标人将可能暂停发出中标通知书。</w:t>
      </w:r>
    </w:p>
    <w:p w14:paraId="7E43FB6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48.2招标人在发出中标通知书之前因正当理由，经行政监督部门批准并经交易网公示3个工作日后，招标人有权接受或拒绝投标、宣布投标程序无效或拒绝所有投标。对受影响的投标人不承担任何责任。</w:t>
      </w:r>
    </w:p>
    <w:p w14:paraId="6A75C98C">
      <w:pPr>
        <w:adjustRightInd w:val="0"/>
        <w:snapToGrid w:val="0"/>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szCs w:val="21"/>
          <w:highlight w:val="none"/>
        </w:rPr>
        <w:t>48.3中标人应在收到中标通知书后15天内，向招标人提交可实施的施工组织设计，招标人应当会同监理单位对施工组织设计进行审核。</w:t>
      </w:r>
    </w:p>
    <w:p w14:paraId="5D9F7076">
      <w:pPr>
        <w:pStyle w:val="4"/>
        <w:keepNext w:val="0"/>
        <w:keepLines w:val="0"/>
        <w:widowControl w:val="0"/>
        <w:tabs>
          <w:tab w:val="left" w:pos="720"/>
          <w:tab w:val="left" w:pos="4032"/>
        </w:tabs>
        <w:adjustRightInd w:val="0"/>
        <w:snapToGrid w:val="0"/>
        <w:spacing w:before="0" w:after="0" w:line="360" w:lineRule="auto"/>
        <w:jc w:val="center"/>
        <w:rPr>
          <w:rFonts w:eastAsia="宋体"/>
          <w:b/>
          <w:bCs w:val="0"/>
          <w:color w:val="auto"/>
          <w:sz w:val="32"/>
          <w:highlight w:val="none"/>
          <w:lang w:val="en-US"/>
        </w:rPr>
      </w:pPr>
      <w:bookmarkStart w:id="81" w:name="_Toc24147"/>
      <w:bookmarkStart w:id="82" w:name="_Toc6410"/>
      <w:bookmarkStart w:id="83" w:name="_Toc17575"/>
      <w:bookmarkStart w:id="84" w:name="_Toc4971"/>
      <w:bookmarkStart w:id="85" w:name="_Toc6968"/>
      <w:bookmarkStart w:id="86" w:name="_Toc9135"/>
      <w:r>
        <w:rPr>
          <w:rFonts w:hint="eastAsia" w:eastAsia="宋体"/>
          <w:b/>
          <w:bCs w:val="0"/>
          <w:color w:val="auto"/>
          <w:sz w:val="32"/>
          <w:highlight w:val="none"/>
          <w:lang w:val="en-US"/>
        </w:rPr>
        <w:t>（八）合同的授予</w:t>
      </w:r>
      <w:bookmarkEnd w:id="81"/>
      <w:bookmarkEnd w:id="82"/>
      <w:bookmarkEnd w:id="83"/>
      <w:bookmarkEnd w:id="84"/>
      <w:bookmarkEnd w:id="85"/>
      <w:bookmarkEnd w:id="86"/>
    </w:p>
    <w:p w14:paraId="06EDD65C">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49.合同授予标准</w:t>
      </w:r>
    </w:p>
    <w:p w14:paraId="7DAC640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49.1本工程的施工合同将授予按招标文件规定所确定的中标人。</w:t>
      </w:r>
    </w:p>
    <w:p w14:paraId="738E854B">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50.合同协议书的签订</w:t>
      </w:r>
    </w:p>
    <w:p w14:paraId="088E641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50.1招标人与中标人将于招标文件规定的时限内，根据招标文件和中标人的投标文件签订建设工程施工合同，合同价为中标人的投标报价（因计算错误，评标委员会修正中标价的除外）。</w:t>
      </w:r>
    </w:p>
    <w:p w14:paraId="493545F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50.2招标人与中标人签订的施工合同必须遵守本招标文件的合同条件，并且不得更改合同条件。</w:t>
      </w:r>
    </w:p>
    <w:p w14:paraId="38A86C7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50.3中标人不按招标文件规定与招标人签订合同，招标人有权废除中标，并没收其投标保证金或投标保函，给招标人造成的损失超过投标担保数额的，还应当对超过部分予以赔偿，同时依法承担相应法律责任。</w:t>
      </w:r>
    </w:p>
    <w:p w14:paraId="243394C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50.4中标人应当按照合同约定履行义务，完成中标工程施工，不得将中标工程转让（转包）给他人施工。</w:t>
      </w:r>
    </w:p>
    <w:p w14:paraId="296559E3">
      <w:pPr>
        <w:adjustRightInd w:val="0"/>
        <w:snapToGrid w:val="0"/>
        <w:spacing w:line="360" w:lineRule="auto"/>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51.工程担保</w:t>
      </w:r>
    </w:p>
    <w:p w14:paraId="3F366E9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51.1中标人应在签订工程承包合同时，按招标文件规定的时间、出具单位及规定的金额向招标人提交履约担保，履约担保可参照使用本招标文件附表提供的格式。履约担保为中标价与</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的差额，且不高于中标价的10%。</w:t>
      </w:r>
    </w:p>
    <w:p w14:paraId="0F9CBDD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51.2招标人应在中标人提交履约担保的同时向中标人提供与履约担保数额等额的工程款支付担保。</w:t>
      </w:r>
    </w:p>
    <w:p w14:paraId="73CCA38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51.3中标人不按招标文件规定提交履约担保的，招标人有权取消其中标资格，并没收其投标保证金，给招标人造成的损失超过投标保证金数额的，中标人应当对超过部分予以赔偿。</w:t>
      </w:r>
    </w:p>
    <w:p w14:paraId="127DD2C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51.4承包商履约担保和业主支付担保都必须采用经对方认可的银行保函、保证保险、专业工程担保公司担保等 。双方均不得在工程担保有效期内解除担保。</w:t>
      </w:r>
    </w:p>
    <w:p w14:paraId="24438856">
      <w:pPr>
        <w:rPr>
          <w:color w:val="auto"/>
          <w:szCs w:val="21"/>
          <w:highlight w:val="none"/>
        </w:rPr>
      </w:pPr>
      <w:r>
        <w:rPr>
          <w:color w:val="auto"/>
          <w:szCs w:val="21"/>
          <w:highlight w:val="none"/>
        </w:rPr>
        <w:br w:type="page"/>
      </w:r>
    </w:p>
    <w:p w14:paraId="5EAFF267">
      <w:pPr>
        <w:adjustRightInd w:val="0"/>
        <w:snapToGrid w:val="0"/>
        <w:jc w:val="center"/>
        <w:outlineLvl w:val="0"/>
        <w:rPr>
          <w:rFonts w:ascii="黑体" w:hAnsi="黑体" w:eastAsia="黑体" w:cs="黑体"/>
          <w:bCs/>
          <w:color w:val="auto"/>
          <w:sz w:val="44"/>
          <w:szCs w:val="44"/>
          <w:highlight w:val="none"/>
        </w:rPr>
      </w:pPr>
      <w:bookmarkStart w:id="87" w:name="_Toc3408"/>
      <w:bookmarkStart w:id="88" w:name="_Toc1533"/>
      <w:bookmarkStart w:id="89" w:name="_Toc29169"/>
      <w:bookmarkStart w:id="90" w:name="_Toc2220"/>
      <w:bookmarkStart w:id="91" w:name="_Toc18045"/>
      <w:bookmarkStart w:id="92" w:name="_Toc1753"/>
      <w:bookmarkStart w:id="93" w:name="_Toc14347"/>
      <w:r>
        <w:rPr>
          <w:rFonts w:hint="eastAsia" w:ascii="黑体" w:hAnsi="黑体" w:eastAsia="黑体" w:cs="黑体"/>
          <w:bCs/>
          <w:color w:val="auto"/>
          <w:sz w:val="44"/>
          <w:szCs w:val="44"/>
          <w:highlight w:val="none"/>
        </w:rPr>
        <w:t>第三章  招标人对招标文件及合同范本的补充/修改</w:t>
      </w:r>
      <w:bookmarkEnd w:id="87"/>
      <w:bookmarkEnd w:id="88"/>
      <w:bookmarkEnd w:id="89"/>
      <w:bookmarkEnd w:id="90"/>
      <w:bookmarkEnd w:id="91"/>
      <w:bookmarkEnd w:id="92"/>
    </w:p>
    <w:p w14:paraId="7B9A7B26">
      <w:pPr>
        <w:topLinePunct/>
        <w:adjustRightInd w:val="0"/>
        <w:snapToGrid w:val="0"/>
        <w:spacing w:line="360" w:lineRule="auto"/>
        <w:ind w:firstLine="440" w:firstLineChars="200"/>
        <w:rPr>
          <w:color w:val="auto"/>
          <w:sz w:val="22"/>
          <w:highlight w:val="none"/>
        </w:rPr>
      </w:pPr>
    </w:p>
    <w:p w14:paraId="14EEE1A9">
      <w:pPr>
        <w:topLinePunct/>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招标人可根据工程实际情况，对本范本进行补充或修改，但有关补充或修改内容不得违法违规，且必须逐一列举在以下栏目中。请投标人认真阅读并遵照执行：</w:t>
      </w:r>
    </w:p>
    <w:p w14:paraId="412C85F4">
      <w:pPr>
        <w:topLinePunct/>
        <w:adjustRightInd w:val="0"/>
        <w:snapToGrid w:val="0"/>
        <w:spacing w:line="360" w:lineRule="auto"/>
        <w:ind w:firstLine="420" w:firstLineChars="200"/>
        <w:rPr>
          <w:rFonts w:hint="default"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提示：招标人必须</w:t>
      </w:r>
    </w:p>
    <w:p w14:paraId="1168ED66">
      <w:pPr>
        <w:topLinePunct/>
        <w:adjustRightInd w:val="0"/>
        <w:snapToGrid w:val="0"/>
        <w:spacing w:line="360" w:lineRule="auto"/>
        <w:ind w:firstLine="420" w:firstLineChars="200"/>
        <w:rPr>
          <w:rFonts w:hint="default" w:ascii="宋体" w:hAnsi="宋体" w:eastAsia="宋体" w:cs="宋体"/>
          <w:color w:val="auto"/>
          <w:szCs w:val="21"/>
          <w:highlight w:val="none"/>
          <w:u w:val="single"/>
          <w:lang w:val="en-US" w:eastAsia="zh-CN"/>
        </w:rPr>
      </w:pPr>
    </w:p>
    <w:p w14:paraId="1F72CF3A">
      <w:pPr>
        <w:topLinePunct/>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补充修改</w:t>
      </w:r>
    </w:p>
    <w:p w14:paraId="074EB555">
      <w:pPr>
        <w:topLinePunct/>
        <w:adjustRightInd w:val="0"/>
        <w:snapToGrid w:val="0"/>
        <w:spacing w:line="360" w:lineRule="auto"/>
        <w:ind w:firstLine="420" w:firstLineChars="200"/>
        <w:rPr>
          <w:rFonts w:ascii="宋体" w:hAnsi="宋体" w:eastAsia="宋体" w:cs="宋体"/>
          <w:color w:val="auto"/>
          <w:szCs w:val="21"/>
          <w:highlight w:val="none"/>
          <w:u w:val="single"/>
        </w:rPr>
      </w:pPr>
    </w:p>
    <w:p w14:paraId="0225F92B">
      <w:pPr>
        <w:topLinePunct/>
        <w:adjustRightInd w:val="0"/>
        <w:snapToGrid w:val="0"/>
        <w:spacing w:line="360" w:lineRule="auto"/>
        <w:ind w:firstLine="420" w:firstLineChars="200"/>
        <w:rPr>
          <w:rFonts w:ascii="宋体" w:hAnsi="宋体" w:eastAsia="宋体" w:cs="宋体"/>
          <w:color w:val="auto"/>
          <w:szCs w:val="21"/>
          <w:highlight w:val="none"/>
        </w:rPr>
      </w:pPr>
    </w:p>
    <w:p w14:paraId="1AD453CE">
      <w:pPr>
        <w:topLinePunct/>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以下空白。</w:t>
      </w:r>
    </w:p>
    <w:p w14:paraId="05977646">
      <w:pPr>
        <w:topLinePunct/>
        <w:adjustRightInd w:val="0"/>
        <w:snapToGrid w:val="0"/>
        <w:spacing w:line="360" w:lineRule="auto"/>
        <w:ind w:firstLine="420" w:firstLineChars="200"/>
        <w:rPr>
          <w:rFonts w:ascii="宋体" w:hAnsi="宋体" w:eastAsia="宋体" w:cs="宋体"/>
          <w:color w:val="auto"/>
          <w:szCs w:val="21"/>
          <w:highlight w:val="none"/>
        </w:rPr>
      </w:pPr>
    </w:p>
    <w:p w14:paraId="35B8733D">
      <w:pPr>
        <w:topLinePunct/>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   标   人：</w:t>
      </w:r>
      <w:r>
        <w:rPr>
          <w:rFonts w:hint="eastAsia" w:ascii="宋体" w:hAnsi="宋体" w:eastAsia="宋体" w:cs="宋体"/>
          <w:bCs/>
          <w:color w:val="auto"/>
          <w:szCs w:val="21"/>
          <w:highlight w:val="none"/>
          <w:u w:val="single"/>
        </w:rPr>
        <w:t xml:space="preserve">      </w:t>
      </w:r>
    </w:p>
    <w:p w14:paraId="389CAA12">
      <w:pPr>
        <w:topLinePunct/>
        <w:adjustRightInd w:val="0"/>
        <w:snapToGrid w:val="0"/>
        <w:spacing w:line="360" w:lineRule="auto"/>
        <w:ind w:firstLine="420" w:firstLineChars="200"/>
        <w:rPr>
          <w:rFonts w:ascii="宋体" w:hAnsi="宋体" w:eastAsia="宋体" w:cs="宋体"/>
          <w:color w:val="auto"/>
          <w:szCs w:val="21"/>
          <w:highlight w:val="none"/>
        </w:rPr>
      </w:pPr>
    </w:p>
    <w:p w14:paraId="0F23CCC3">
      <w:pPr>
        <w:topLinePunct/>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招标代理机构：</w:t>
      </w:r>
      <w:r>
        <w:rPr>
          <w:rFonts w:hint="eastAsia" w:ascii="宋体" w:hAnsi="宋体" w:eastAsia="宋体" w:cs="宋体"/>
          <w:bCs/>
          <w:color w:val="auto"/>
          <w:szCs w:val="21"/>
          <w:highlight w:val="none"/>
          <w:u w:val="single"/>
        </w:rPr>
        <w:t xml:space="preserve">      </w:t>
      </w:r>
    </w:p>
    <w:p w14:paraId="0F426A40">
      <w:pPr>
        <w:topLinePunct/>
        <w:adjustRightInd w:val="0"/>
        <w:snapToGrid w:val="0"/>
        <w:spacing w:line="360" w:lineRule="auto"/>
        <w:ind w:firstLine="420" w:firstLineChars="200"/>
        <w:rPr>
          <w:rFonts w:ascii="宋体" w:hAnsi="宋体" w:eastAsia="宋体" w:cs="宋体"/>
          <w:color w:val="auto"/>
          <w:szCs w:val="21"/>
          <w:highlight w:val="none"/>
        </w:rPr>
      </w:pPr>
    </w:p>
    <w:p w14:paraId="58029F2F">
      <w:pPr>
        <w:topLinePunct/>
        <w:adjustRightInd w:val="0"/>
        <w:snapToGrid w:val="0"/>
        <w:spacing w:line="360" w:lineRule="auto"/>
        <w:ind w:firstLine="420" w:firstLineChars="200"/>
        <w:rPr>
          <w:rFonts w:ascii="宋体" w:hAnsi="宋体" w:eastAsia="宋体" w:cs="宋体"/>
          <w:color w:val="auto"/>
          <w:highlight w:val="none"/>
        </w:rPr>
        <w:sectPr>
          <w:headerReference r:id="rId5" w:type="first"/>
          <w:headerReference r:id="rId4" w:type="default"/>
          <w:footerReference r:id="rId6" w:type="default"/>
          <w:pgSz w:w="11907" w:h="16840"/>
          <w:pgMar w:top="1417" w:right="1417" w:bottom="1417" w:left="1417" w:header="851" w:footer="851" w:gutter="0"/>
          <w:pgNumType w:fmt="decimal"/>
          <w:cols w:space="425" w:num="1"/>
          <w:docGrid w:type="lines" w:linePitch="312" w:charSpace="0"/>
        </w:sectPr>
      </w:pPr>
      <w:r>
        <w:rPr>
          <w:rFonts w:hint="eastAsia" w:ascii="宋体" w:hAnsi="宋体" w:eastAsia="宋体" w:cs="宋体"/>
          <w:color w:val="auto"/>
          <w:szCs w:val="21"/>
          <w:highlight w:val="none"/>
        </w:rPr>
        <w:t>编制日期：</w:t>
      </w:r>
      <w:r>
        <w:rPr>
          <w:rFonts w:hint="eastAsia" w:ascii="宋体" w:hAnsi="宋体" w:eastAsia="宋体" w:cs="宋体"/>
          <w:bCs/>
          <w:color w:val="auto"/>
          <w:szCs w:val="21"/>
          <w:highlight w:val="none"/>
          <w:u w:val="single"/>
        </w:rPr>
        <w:t xml:space="preserve">      </w:t>
      </w:r>
      <w:bookmarkEnd w:id="93"/>
      <w:r>
        <w:rPr>
          <w:rFonts w:hint="eastAsia" w:ascii="宋体" w:hAnsi="宋体" w:eastAsia="宋体" w:cs="宋体"/>
          <w:color w:val="auto"/>
          <w:highlight w:val="none"/>
        </w:rPr>
        <w:br w:type="page"/>
      </w:r>
    </w:p>
    <w:p w14:paraId="3AE52621">
      <w:pPr>
        <w:topLinePunct/>
        <w:adjustRightInd w:val="0"/>
        <w:snapToGrid w:val="0"/>
        <w:spacing w:line="360" w:lineRule="auto"/>
        <w:ind w:firstLine="420" w:firstLineChars="200"/>
        <w:rPr>
          <w:rFonts w:ascii="宋体" w:hAnsi="宋体" w:eastAsia="宋体" w:cs="宋体"/>
          <w:color w:val="auto"/>
          <w:highlight w:val="none"/>
        </w:rPr>
      </w:pPr>
    </w:p>
    <w:p w14:paraId="7BEB0666">
      <w:pPr>
        <w:adjustRightInd w:val="0"/>
        <w:snapToGrid w:val="0"/>
        <w:spacing w:line="360" w:lineRule="auto"/>
        <w:jc w:val="center"/>
        <w:outlineLvl w:val="0"/>
        <w:rPr>
          <w:rFonts w:hint="eastAsia" w:ascii="黑体" w:hAnsi="黑体" w:eastAsia="黑体" w:cs="黑体"/>
          <w:b/>
          <w:bCs w:val="0"/>
          <w:color w:val="auto"/>
          <w:sz w:val="32"/>
          <w:szCs w:val="32"/>
          <w:highlight w:val="none"/>
        </w:rPr>
      </w:pPr>
      <w:bookmarkStart w:id="94" w:name="_Toc13629"/>
      <w:bookmarkStart w:id="95" w:name="_Toc23579"/>
      <w:bookmarkStart w:id="96" w:name="_Toc15305"/>
      <w:bookmarkStart w:id="97" w:name="_Toc23924"/>
      <w:bookmarkStart w:id="98" w:name="_Toc14641"/>
      <w:bookmarkStart w:id="99" w:name="_Toc7592"/>
      <w:r>
        <w:rPr>
          <w:rFonts w:hint="eastAsia" w:ascii="黑体" w:hAnsi="黑体" w:eastAsia="黑体" w:cs="黑体"/>
          <w:b/>
          <w:bCs w:val="0"/>
          <w:color w:val="auto"/>
          <w:sz w:val="32"/>
          <w:szCs w:val="32"/>
          <w:highlight w:val="none"/>
        </w:rPr>
        <w:t>第四章  合同条款</w:t>
      </w:r>
      <w:bookmarkEnd w:id="94"/>
      <w:bookmarkEnd w:id="95"/>
      <w:bookmarkEnd w:id="96"/>
      <w:bookmarkEnd w:id="97"/>
      <w:bookmarkEnd w:id="98"/>
      <w:bookmarkEnd w:id="99"/>
    </w:p>
    <w:p w14:paraId="561A5C65">
      <w:pPr>
        <w:rPr>
          <w:rFonts w:ascii="黑体" w:eastAsia="黑体"/>
          <w:color w:val="auto"/>
          <w:sz w:val="28"/>
          <w:szCs w:val="28"/>
          <w:highlight w:val="none"/>
        </w:rPr>
        <w:sectPr>
          <w:headerReference r:id="rId7" w:type="default"/>
          <w:footerReference r:id="rId8" w:type="default"/>
          <w:pgSz w:w="11907" w:h="16840"/>
          <w:pgMar w:top="1417" w:right="1417" w:bottom="1417" w:left="1417" w:header="851" w:footer="851" w:gutter="0"/>
          <w:pgNumType w:fmt="decimal"/>
          <w:cols w:space="425" w:num="1"/>
          <w:docGrid w:type="lines" w:linePitch="312" w:charSpace="0"/>
        </w:sectPr>
      </w:pPr>
    </w:p>
    <w:p w14:paraId="01D2B954">
      <w:pPr>
        <w:rPr>
          <w:rFonts w:ascii="黑体" w:eastAsia="黑体"/>
          <w:color w:val="auto"/>
          <w:sz w:val="28"/>
          <w:szCs w:val="28"/>
          <w:highlight w:val="none"/>
        </w:rPr>
      </w:pPr>
    </w:p>
    <w:p w14:paraId="0963128C">
      <w:pPr>
        <w:jc w:val="left"/>
        <w:rPr>
          <w:rFonts w:hint="eastAsia" w:ascii="宋体" w:hAnsi="宋体" w:eastAsia="宋体" w:cs="Times New Roman"/>
          <w:b/>
          <w:sz w:val="28"/>
          <w:szCs w:val="28"/>
        </w:rPr>
      </w:pPr>
      <w:bookmarkStart w:id="100" w:name="Bookmark27"/>
      <w:bookmarkEnd w:id="100"/>
      <w:bookmarkStart w:id="101" w:name="_Toc14831"/>
      <w:bookmarkStart w:id="102" w:name="_Toc3126"/>
      <w:bookmarkStart w:id="103" w:name="_Toc24401"/>
      <w:bookmarkStart w:id="104" w:name="_Toc201735218"/>
      <w:bookmarkStart w:id="105" w:name="_Toc8567"/>
      <w:bookmarkStart w:id="106" w:name="_Toc28895"/>
      <w:bookmarkStart w:id="107" w:name="_Toc9127"/>
      <w:bookmarkStart w:id="108" w:name="_Toc302635677"/>
      <w:bookmarkStart w:id="109" w:name="_Toc18209"/>
      <w:bookmarkStart w:id="110" w:name="_Toc21582"/>
      <w:bookmarkStart w:id="111" w:name="_Toc1339486044"/>
      <w:bookmarkStart w:id="112" w:name="_Toc208587423"/>
      <w:bookmarkStart w:id="113" w:name="_Toc2449"/>
      <w:bookmarkStart w:id="114" w:name="_Toc11999"/>
      <w:bookmarkStart w:id="115" w:name="_Toc38943429"/>
      <w:r>
        <w:rPr>
          <w:rFonts w:ascii="宋体" w:hAnsi="宋体" w:eastAsia="宋体" w:cs="Times New Roman"/>
          <w:b/>
          <w:sz w:val="28"/>
          <w:szCs w:val="28"/>
        </w:rPr>
        <w:t>SFD-2025-01</w:t>
      </w:r>
    </w:p>
    <w:p w14:paraId="0485C8FB">
      <w:pPr>
        <w:jc w:val="right"/>
        <w:rPr>
          <w:rFonts w:hint="eastAsia" w:ascii="黑体" w:hAnsi="宋体" w:eastAsia="黑体" w:cs="Times New Roman"/>
          <w:sz w:val="28"/>
          <w:szCs w:val="28"/>
        </w:rPr>
      </w:pPr>
      <w:r>
        <w:rPr>
          <w:rFonts w:hint="eastAsia" w:ascii="黑体" w:hAnsi="宋体" w:eastAsia="黑体" w:cs="Times New Roman"/>
          <w:sz w:val="28"/>
          <w:szCs w:val="28"/>
        </w:rPr>
        <w:t>工程编号：</w:t>
      </w:r>
      <w:r>
        <w:rPr>
          <w:rFonts w:hint="eastAsia" w:ascii="黑体" w:hAnsi="宋体" w:eastAsia="黑体" w:cs="Times New Roman"/>
          <w:sz w:val="28"/>
          <w:szCs w:val="28"/>
          <w:u w:val="single"/>
        </w:rPr>
        <w:t xml:space="preserve">                 </w:t>
      </w:r>
    </w:p>
    <w:p w14:paraId="690092E6">
      <w:pPr>
        <w:jc w:val="right"/>
        <w:rPr>
          <w:rFonts w:hint="eastAsia" w:ascii="黑体" w:hAnsi="宋体" w:eastAsia="黑体" w:cs="Times New Roman"/>
          <w:sz w:val="28"/>
          <w:szCs w:val="28"/>
          <w:u w:val="single"/>
        </w:rPr>
      </w:pPr>
      <w:r>
        <w:rPr>
          <w:rFonts w:hint="eastAsia" w:ascii="黑体" w:hAnsi="宋体" w:eastAsia="黑体" w:cs="Times New Roman"/>
          <w:sz w:val="28"/>
          <w:szCs w:val="28"/>
        </w:rPr>
        <w:t>合同编号：</w:t>
      </w:r>
      <w:r>
        <w:rPr>
          <w:rFonts w:hint="eastAsia" w:ascii="黑体" w:hAnsi="宋体" w:eastAsia="黑体" w:cs="Times New Roman"/>
          <w:sz w:val="28"/>
          <w:szCs w:val="28"/>
          <w:u w:val="single"/>
        </w:rPr>
        <w:t xml:space="preserve">                 </w:t>
      </w:r>
    </w:p>
    <w:p w14:paraId="7D615983">
      <w:pPr>
        <w:jc w:val="right"/>
        <w:rPr>
          <w:rFonts w:hint="eastAsia" w:ascii="黑体" w:hAnsi="Times New Roman" w:eastAsia="黑体" w:cs="Times New Roman"/>
          <w:sz w:val="32"/>
          <w:szCs w:val="32"/>
          <w:u w:val="single"/>
        </w:rPr>
      </w:pPr>
    </w:p>
    <w:p w14:paraId="49A66F33">
      <w:pPr>
        <w:jc w:val="right"/>
        <w:rPr>
          <w:rFonts w:hint="eastAsia" w:ascii="黑体" w:hAnsi="Times New Roman" w:eastAsia="黑体" w:cs="Times New Roman"/>
          <w:sz w:val="32"/>
          <w:szCs w:val="32"/>
          <w:u w:val="single"/>
        </w:rPr>
      </w:pPr>
    </w:p>
    <w:p w14:paraId="446E19B2">
      <w:pPr>
        <w:jc w:val="center"/>
        <w:rPr>
          <w:rFonts w:hint="eastAsia" w:ascii="黑体" w:hAnsi="宋体" w:eastAsia="黑体" w:cs="Times New Roman"/>
          <w:sz w:val="44"/>
          <w:szCs w:val="44"/>
        </w:rPr>
      </w:pPr>
      <w:r>
        <w:rPr>
          <w:rFonts w:hint="eastAsia" w:ascii="黑体" w:hAnsi="宋体" w:eastAsia="黑体" w:cs="Times New Roman"/>
          <w:sz w:val="44"/>
          <w:szCs w:val="44"/>
        </w:rPr>
        <w:t>深圳市建设工程</w:t>
      </w:r>
    </w:p>
    <w:p w14:paraId="6216234B">
      <w:pPr>
        <w:jc w:val="center"/>
        <w:rPr>
          <w:rFonts w:hint="eastAsia" w:ascii="黑体" w:hAnsi="宋体" w:eastAsia="黑体" w:cs="Times New Roman"/>
          <w:szCs w:val="21"/>
        </w:rPr>
      </w:pPr>
    </w:p>
    <w:p w14:paraId="505E23B3">
      <w:pPr>
        <w:jc w:val="center"/>
        <w:rPr>
          <w:rFonts w:hint="eastAsia" w:ascii="黑体" w:hAnsi="宋体" w:eastAsia="黑体" w:cs="Times New Roman"/>
          <w:sz w:val="52"/>
          <w:szCs w:val="52"/>
        </w:rPr>
      </w:pPr>
      <w:r>
        <w:rPr>
          <w:rFonts w:hint="eastAsia" w:ascii="黑体" w:hAnsi="宋体" w:eastAsia="黑体" w:cs="Times New Roman"/>
          <w:sz w:val="52"/>
          <w:szCs w:val="52"/>
        </w:rPr>
        <w:t>施工(单价)</w:t>
      </w:r>
      <w:r>
        <w:rPr>
          <w:rFonts w:hint="eastAsia" w:ascii="黑体" w:hAnsi="宋体" w:eastAsia="黑体" w:cs="Times New Roman"/>
          <w:sz w:val="52"/>
          <w:szCs w:val="52"/>
          <w:lang w:eastAsia="zh-CN"/>
        </w:rPr>
        <w:t>标准</w:t>
      </w:r>
      <w:r>
        <w:rPr>
          <w:rFonts w:hint="eastAsia" w:ascii="黑体" w:hAnsi="宋体" w:eastAsia="黑体" w:cs="Times New Roman"/>
          <w:sz w:val="52"/>
          <w:szCs w:val="52"/>
        </w:rPr>
        <w:t>合同</w:t>
      </w:r>
    </w:p>
    <w:p w14:paraId="4A38EF29">
      <w:pPr>
        <w:jc w:val="center"/>
        <w:rPr>
          <w:rFonts w:hint="eastAsia" w:ascii="黑体" w:hAnsi="宋体" w:eastAsia="黑体" w:cs="Times New Roman"/>
          <w:sz w:val="32"/>
          <w:szCs w:val="32"/>
        </w:rPr>
      </w:pPr>
      <w:bookmarkStart w:id="116" w:name="_Toc67418029"/>
      <w:bookmarkStart w:id="117" w:name="_Toc67326976"/>
      <w:bookmarkStart w:id="118" w:name="_Toc492904945"/>
      <w:bookmarkStart w:id="119" w:name="_Toc25027"/>
      <w:bookmarkStart w:id="120" w:name="_Toc67418462"/>
      <w:bookmarkStart w:id="121" w:name="_Toc448840947"/>
      <w:bookmarkStart w:id="122" w:name="_Toc453616279"/>
      <w:bookmarkStart w:id="123" w:name="_Toc448493953"/>
      <w:r>
        <w:rPr>
          <w:rFonts w:hint="eastAsia" w:ascii="黑体" w:hAnsi="宋体" w:eastAsia="黑体" w:cs="Times New Roman"/>
          <w:sz w:val="32"/>
          <w:szCs w:val="32"/>
        </w:rPr>
        <w:t>(适用于招标工程)</w:t>
      </w:r>
      <w:bookmarkEnd w:id="116"/>
      <w:bookmarkEnd w:id="117"/>
      <w:bookmarkEnd w:id="118"/>
      <w:bookmarkEnd w:id="119"/>
      <w:bookmarkEnd w:id="120"/>
      <w:bookmarkEnd w:id="121"/>
      <w:bookmarkEnd w:id="122"/>
      <w:bookmarkEnd w:id="123"/>
    </w:p>
    <w:p w14:paraId="7F95B846">
      <w:pPr>
        <w:jc w:val="center"/>
        <w:rPr>
          <w:rFonts w:hint="eastAsia" w:ascii="黑体" w:hAnsi="Times New Roman" w:eastAsia="黑体" w:cs="Times New Roman"/>
          <w:sz w:val="32"/>
          <w:szCs w:val="32"/>
        </w:rPr>
      </w:pPr>
    </w:p>
    <w:p w14:paraId="507F67DC">
      <w:pPr>
        <w:jc w:val="center"/>
        <w:rPr>
          <w:rFonts w:hint="eastAsia" w:ascii="黑体" w:hAnsi="Times New Roman" w:eastAsia="黑体" w:cs="Times New Roman"/>
          <w:sz w:val="32"/>
          <w:szCs w:val="32"/>
        </w:rPr>
      </w:pPr>
    </w:p>
    <w:p w14:paraId="1D5CA847">
      <w:pPr>
        <w:rPr>
          <w:rFonts w:hint="eastAsia" w:ascii="黑体" w:hAnsi="Times New Roman" w:eastAsia="黑体" w:cs="Times New Roman"/>
          <w:sz w:val="32"/>
          <w:szCs w:val="32"/>
        </w:rPr>
      </w:pPr>
    </w:p>
    <w:p w14:paraId="0399BA0C">
      <w:pPr>
        <w:spacing w:before="312" w:after="156" w:line="480" w:lineRule="auto"/>
        <w:ind w:firstLine="320"/>
        <w:rPr>
          <w:rFonts w:hint="eastAsia" w:ascii="黑体" w:hAnsi="Times New Roman" w:eastAsia="黑体" w:cs="Times New Roman"/>
          <w:sz w:val="32"/>
          <w:szCs w:val="32"/>
        </w:rPr>
      </w:pPr>
      <w:r>
        <w:rPr>
          <w:rFonts w:hint="eastAsia" w:ascii="黑体" w:hAnsi="Times New Roman" w:eastAsia="黑体" w:cs="Times New Roman"/>
          <w:sz w:val="32"/>
          <w:szCs w:val="32"/>
        </w:rPr>
        <w:t>工程名称：</w:t>
      </w:r>
      <w:r>
        <w:rPr>
          <w:rFonts w:hint="eastAsia" w:ascii="黑体" w:hAnsi="Times New Roman" w:eastAsia="黑体" w:cs="Times New Roman"/>
          <w:sz w:val="32"/>
          <w:szCs w:val="32"/>
          <w:u w:val="single"/>
        </w:rPr>
        <w:t xml:space="preserve">         　　　                  </w:t>
      </w:r>
    </w:p>
    <w:p w14:paraId="442BF61C">
      <w:pPr>
        <w:spacing w:before="312" w:after="156" w:line="480" w:lineRule="auto"/>
        <w:ind w:firstLine="320"/>
        <w:rPr>
          <w:rFonts w:hint="eastAsia" w:ascii="黑体" w:hAnsi="Times New Roman" w:eastAsia="黑体" w:cs="Times New Roman"/>
          <w:sz w:val="32"/>
          <w:szCs w:val="32"/>
        </w:rPr>
      </w:pPr>
      <w:r>
        <w:rPr>
          <w:rFonts w:hint="eastAsia" w:ascii="黑体" w:hAnsi="Times New Roman" w:eastAsia="黑体" w:cs="Times New Roman"/>
          <w:sz w:val="32"/>
          <w:szCs w:val="32"/>
        </w:rPr>
        <w:t>工程地点：</w:t>
      </w:r>
      <w:r>
        <w:rPr>
          <w:rFonts w:hint="eastAsia" w:ascii="黑体" w:hAnsi="Times New Roman" w:eastAsia="黑体" w:cs="Times New Roman"/>
          <w:sz w:val="32"/>
          <w:szCs w:val="32"/>
          <w:u w:val="single"/>
        </w:rPr>
        <w:t xml:space="preserve">            　　　               </w:t>
      </w:r>
      <w:r>
        <w:rPr>
          <w:rFonts w:ascii="黑体" w:hAnsi="Times New Roman" w:eastAsia="黑体" w:cs="Times New Roman"/>
          <w:sz w:val="32"/>
          <w:szCs w:val="32"/>
          <w:u w:val="single"/>
        </w:rPr>
        <w:t xml:space="preserve"> </w:t>
      </w:r>
    </w:p>
    <w:p w14:paraId="40D49585">
      <w:pPr>
        <w:spacing w:before="312" w:after="156" w:line="480" w:lineRule="auto"/>
        <w:ind w:firstLine="320"/>
        <w:rPr>
          <w:rFonts w:hint="eastAsia" w:ascii="黑体" w:hAnsi="Times New Roman" w:eastAsia="黑体" w:cs="Times New Roman"/>
          <w:sz w:val="32"/>
          <w:szCs w:val="32"/>
        </w:rPr>
      </w:pPr>
      <w:r>
        <w:rPr>
          <w:rFonts w:hint="eastAsia" w:ascii="黑体" w:hAnsi="Times New Roman" w:eastAsia="黑体" w:cs="Times New Roman"/>
          <w:sz w:val="32"/>
          <w:szCs w:val="32"/>
        </w:rPr>
        <w:t>发 包 人：</w:t>
      </w:r>
      <w:r>
        <w:rPr>
          <w:rFonts w:hint="eastAsia" w:ascii="黑体" w:hAnsi="Times New Roman" w:eastAsia="黑体" w:cs="Times New Roman"/>
          <w:sz w:val="32"/>
          <w:szCs w:val="32"/>
          <w:u w:val="single"/>
        </w:rPr>
        <w:t xml:space="preserve">             　　　              </w:t>
      </w:r>
    </w:p>
    <w:p w14:paraId="2459504A">
      <w:pPr>
        <w:spacing w:before="312" w:after="156" w:line="480" w:lineRule="auto"/>
        <w:ind w:firstLine="320"/>
        <w:rPr>
          <w:rFonts w:hint="eastAsia" w:ascii="黑体" w:hAnsi="Times New Roman" w:eastAsia="黑体" w:cs="Times New Roman"/>
          <w:sz w:val="32"/>
          <w:szCs w:val="32"/>
          <w:u w:val="single"/>
        </w:rPr>
      </w:pPr>
      <w:r>
        <w:rPr>
          <w:rFonts w:hint="eastAsia" w:ascii="黑体" w:hAnsi="Times New Roman" w:eastAsia="黑体" w:cs="Times New Roman"/>
          <w:sz w:val="32"/>
          <w:szCs w:val="32"/>
        </w:rPr>
        <w:t>承 包 人：</w:t>
      </w:r>
      <w:r>
        <w:rPr>
          <w:rFonts w:hint="eastAsia" w:ascii="黑体" w:hAnsi="Times New Roman" w:eastAsia="黑体" w:cs="Times New Roman"/>
          <w:sz w:val="32"/>
          <w:szCs w:val="32"/>
          <w:u w:val="single"/>
        </w:rPr>
        <w:t xml:space="preserve">                　　　           </w:t>
      </w:r>
    </w:p>
    <w:p w14:paraId="24F42E60">
      <w:pPr>
        <w:ind w:firstLine="960"/>
        <w:rPr>
          <w:rFonts w:hint="eastAsia" w:ascii="黑体" w:hAnsi="宋体" w:eastAsia="黑体" w:cs="Times New Roman"/>
          <w:sz w:val="32"/>
          <w:szCs w:val="32"/>
          <w:u w:val="single"/>
        </w:rPr>
      </w:pPr>
    </w:p>
    <w:p w14:paraId="6FD175CB">
      <w:pPr>
        <w:rPr>
          <w:rFonts w:hint="eastAsia" w:ascii="黑体" w:hAnsi="宋体" w:eastAsia="黑体" w:cs="Times New Roman"/>
          <w:szCs w:val="24"/>
        </w:rPr>
      </w:pPr>
    </w:p>
    <w:p w14:paraId="1788790B">
      <w:pPr>
        <w:rPr>
          <w:rFonts w:hint="eastAsia" w:ascii="黑体" w:hAnsi="宋体" w:eastAsia="黑体" w:cs="Times New Roman"/>
          <w:szCs w:val="24"/>
        </w:rPr>
      </w:pPr>
    </w:p>
    <w:p w14:paraId="0FB33EE6">
      <w:pPr>
        <w:jc w:val="center"/>
        <w:rPr>
          <w:rFonts w:ascii="Times New Roman" w:hAnsi="Times New Roman" w:eastAsia="宋体" w:cs="Times New Roman"/>
          <w:b/>
          <w:bCs/>
          <w:sz w:val="32"/>
          <w:szCs w:val="32"/>
        </w:rPr>
      </w:pPr>
      <w:r>
        <w:rPr>
          <w:rFonts w:hint="eastAsia" w:ascii="黑体" w:hAnsi="宋体" w:eastAsia="黑体" w:cs="Times New Roman"/>
          <w:sz w:val="28"/>
          <w:szCs w:val="28"/>
        </w:rPr>
        <w:t>20</w:t>
      </w:r>
      <w:r>
        <w:rPr>
          <w:rFonts w:ascii="黑体" w:hAnsi="宋体" w:eastAsia="黑体" w:cs="Times New Roman"/>
          <w:sz w:val="28"/>
          <w:szCs w:val="28"/>
        </w:rPr>
        <w:t>25</w:t>
      </w:r>
      <w:r>
        <w:rPr>
          <w:rFonts w:hint="eastAsia" w:ascii="黑体" w:hAnsi="宋体" w:eastAsia="黑体" w:cs="Times New Roman"/>
          <w:sz w:val="28"/>
          <w:szCs w:val="28"/>
        </w:rPr>
        <w:t>年版</w:t>
      </w:r>
      <w:r>
        <w:rPr>
          <w:rFonts w:hint="eastAsia" w:ascii="黑体" w:hAnsi="Times New Roman" w:eastAsia="黑体" w:cs="Times New Roman"/>
          <w:b/>
          <w:bCs/>
          <w:sz w:val="44"/>
          <w:szCs w:val="24"/>
        </w:rPr>
        <w:br w:type="page"/>
      </w:r>
      <w:r>
        <w:rPr>
          <w:rFonts w:hint="eastAsia" w:ascii="Times New Roman" w:hAnsi="Times New Roman" w:eastAsia="宋体" w:cs="Times New Roman"/>
          <w:b/>
          <w:bCs/>
          <w:sz w:val="32"/>
          <w:szCs w:val="32"/>
        </w:rPr>
        <w:t>说</w:t>
      </w:r>
      <w:r>
        <w:rPr>
          <w:rFonts w:ascii="Times New Roman" w:hAnsi="Times New Roman" w:eastAsia="宋体" w:cs="Times New Roman"/>
          <w:b/>
          <w:bCs/>
          <w:sz w:val="32"/>
          <w:szCs w:val="32"/>
        </w:rPr>
        <w:t xml:space="preserve"> </w:t>
      </w:r>
      <w:r>
        <w:rPr>
          <w:rFonts w:hint="eastAsia" w:ascii="Times New Roman" w:hAnsi="Times New Roman" w:eastAsia="宋体" w:cs="Times New Roman"/>
          <w:b/>
          <w:bCs/>
          <w:sz w:val="32"/>
          <w:szCs w:val="32"/>
        </w:rPr>
        <w:t>明</w:t>
      </w:r>
    </w:p>
    <w:p w14:paraId="2B6F6000">
      <w:pPr>
        <w:ind w:firstLine="480"/>
        <w:rPr>
          <w:rFonts w:ascii="Times New Roman" w:hAnsi="Times New Roman" w:eastAsia="宋体" w:cs="Times New Roman"/>
          <w:sz w:val="24"/>
          <w:szCs w:val="24"/>
        </w:rPr>
      </w:pPr>
    </w:p>
    <w:p w14:paraId="3E70DB43">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本合同(示范文本)根据《中华人民共和国民法典》、《中华人民共和国建筑法》、《中华人民共和国招标投标法》等法律以及深圳市相关的法规,借鉴国际通用的工程施工合同和住房城乡建设部、国家市场监督管理总局制定的《建设工程施工合同（示范文本）》,结合深圳市现行施工合同(示范文本)近几年的实践情况,由深圳市建设工程造价管理站编制而成。</w:t>
      </w:r>
    </w:p>
    <w:p w14:paraId="6D06F41E">
      <w:pPr>
        <w:spacing w:line="360" w:lineRule="auto"/>
        <w:ind w:firstLine="480"/>
        <w:rPr>
          <w:rFonts w:hint="eastAsia" w:ascii="宋体" w:hAnsi="宋体" w:eastAsia="宋体" w:cs="Times New Roman"/>
          <w:bCs/>
          <w:sz w:val="24"/>
          <w:szCs w:val="24"/>
        </w:rPr>
      </w:pPr>
      <w:r>
        <w:rPr>
          <w:rFonts w:hint="eastAsia" w:ascii="宋体" w:hAnsi="宋体" w:eastAsia="宋体" w:cs="Times New Roman"/>
          <w:bCs/>
          <w:sz w:val="24"/>
          <w:szCs w:val="24"/>
        </w:rPr>
        <w:t>一、《示范文本》的组成</w:t>
      </w:r>
    </w:p>
    <w:p w14:paraId="652D23B6">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本合同(示范文本)由“协议书”、“通用条款</w:t>
      </w:r>
      <w:r>
        <w:rPr>
          <w:rFonts w:ascii="宋体" w:hAnsi="宋体" w:eastAsia="宋体" w:cs="Times New Roman"/>
          <w:sz w:val="24"/>
          <w:szCs w:val="24"/>
        </w:rPr>
        <w:t>”</w:t>
      </w:r>
      <w:r>
        <w:rPr>
          <w:rFonts w:hint="eastAsia" w:ascii="宋体" w:hAnsi="宋体" w:eastAsia="宋体" w:cs="Times New Roman"/>
          <w:sz w:val="24"/>
          <w:szCs w:val="24"/>
        </w:rPr>
        <w:t>、“专用条款</w:t>
      </w:r>
      <w:r>
        <w:rPr>
          <w:rFonts w:ascii="宋体" w:hAnsi="宋体" w:eastAsia="宋体" w:cs="Times New Roman"/>
          <w:sz w:val="24"/>
          <w:szCs w:val="24"/>
        </w:rPr>
        <w:t>”</w:t>
      </w:r>
      <w:r>
        <w:rPr>
          <w:rFonts w:hint="eastAsia" w:ascii="宋体" w:hAnsi="宋体" w:eastAsia="宋体" w:cs="Times New Roman"/>
          <w:sz w:val="24"/>
          <w:szCs w:val="24"/>
        </w:rPr>
        <w:t>和“补充条款”四部分组成。其中：</w:t>
      </w:r>
    </w:p>
    <w:p w14:paraId="4FAD1E03">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1.“协议书”作为合同文本的第一部分,是发包人与承包人就合同内容协商达成一致意见后,相互承诺履行合同而签署的协议。《协议书》包括工程概况、工程承包范围、合同工期、质量标准、合同价格等合同主要内容,明确了组成合同的所有文件，并约定了合同生效的方式及合同订立的时间、地点，集中约定了发承包双方基本的合同权利义务。</w:t>
      </w:r>
    </w:p>
    <w:p w14:paraId="6DD1DB94">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2.“通用条款</w:t>
      </w:r>
      <w:r>
        <w:rPr>
          <w:rFonts w:ascii="宋体" w:hAnsi="宋体" w:eastAsia="宋体" w:cs="Times New Roman"/>
          <w:sz w:val="24"/>
          <w:szCs w:val="24"/>
        </w:rPr>
        <w:t>”</w:t>
      </w:r>
      <w:r>
        <w:rPr>
          <w:rFonts w:hint="eastAsia" w:ascii="宋体" w:hAnsi="宋体" w:eastAsia="宋体" w:cs="Times New Roman"/>
          <w:sz w:val="24"/>
          <w:szCs w:val="24"/>
        </w:rPr>
        <w:t>是根据现行法律、法规、规章等规定，就工程建设的实施及相关事项，对发包人与承包人的权利义务作出的原则性约定。既考虑了现行法律法规对工程建设的有关要求，也考虑了建设工程施工管理的实际需要，具有较强的普遍性和通用性，是通用于建设工程施工的基础性合同条款。</w:t>
      </w:r>
    </w:p>
    <w:p w14:paraId="57DC3BD4">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3.“专用条款</w:t>
      </w:r>
      <w:r>
        <w:rPr>
          <w:rFonts w:ascii="宋体" w:hAnsi="宋体" w:eastAsia="宋体" w:cs="Times New Roman"/>
          <w:sz w:val="24"/>
          <w:szCs w:val="24"/>
        </w:rPr>
        <w:t>”</w:t>
      </w:r>
      <w:r>
        <w:rPr>
          <w:rFonts w:hint="eastAsia" w:ascii="宋体" w:hAnsi="宋体" w:eastAsia="宋体" w:cs="Times New Roman"/>
          <w:sz w:val="24"/>
          <w:szCs w:val="24"/>
        </w:rPr>
        <w:t>是指对通用条款原则性约定的细化、完善、补充、修改或另行约定的条款。发包人与承包人可根据法律、法规和规章的规定，结合具体工程实际，对应通用条款的内容，对不明确的条款作出具体约定；对不适用的条款作出修改；对缺少的内容作出补充；使合同更具可操作性，便于理解和履行。</w:t>
      </w:r>
    </w:p>
    <w:p w14:paraId="677F9F65">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4.“补充条款”是对合同中通用条款和专用条款未约定或约定不明确的内容进行补充约定的条款。</w:t>
      </w:r>
    </w:p>
    <w:p w14:paraId="789A9CD6">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二、专用条款使用注意事项</w:t>
      </w:r>
    </w:p>
    <w:p w14:paraId="2680F31B">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1.专用条款的编号应与相应的通用条款的编号一致。</w:t>
      </w:r>
    </w:p>
    <w:p w14:paraId="56A021AE">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2.在专用条款中有横道线的地方，发承包双方可针对相应的通用条款进行细化、完善、补充、修改或另行约定；如无细化、完善、补充、修改或另行约定，则填写“无”或划“/”。</w:t>
      </w:r>
    </w:p>
    <w:p w14:paraId="43D5E2D6">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3.“通用条款”和“专用条款”一并作为完整的合同条款，当两者之间有不符之处，以“专用条款”为准。“通用条款”中出现斜体字加粗“</w:t>
      </w:r>
      <w:r>
        <w:rPr>
          <w:rFonts w:hint="eastAsia" w:ascii="宋体" w:hAnsi="宋体" w:eastAsia="宋体" w:cs="Times New Roman"/>
          <w:b/>
          <w:i/>
          <w:sz w:val="24"/>
          <w:szCs w:val="24"/>
        </w:rPr>
        <w:t>专用条款</w:t>
      </w:r>
      <w:r>
        <w:rPr>
          <w:rFonts w:hint="eastAsia" w:ascii="宋体" w:hAnsi="宋体" w:eastAsia="宋体" w:cs="Times New Roman"/>
          <w:sz w:val="24"/>
          <w:szCs w:val="24"/>
        </w:rPr>
        <w:t>”字样的条文在相应“专用条款”的条文中有明确的约定。应按照同一编号的条款一起阅读和理解。</w:t>
      </w:r>
    </w:p>
    <w:p w14:paraId="280DD915">
      <w:pPr>
        <w:spacing w:line="360" w:lineRule="auto"/>
        <w:ind w:firstLine="480"/>
        <w:rPr>
          <w:rFonts w:hint="eastAsia" w:ascii="宋体" w:hAnsi="宋体" w:eastAsia="宋体" w:cs="Times New Roman"/>
          <w:b/>
          <w:sz w:val="24"/>
          <w:szCs w:val="24"/>
        </w:rPr>
      </w:pPr>
      <w:r>
        <w:rPr>
          <w:rFonts w:hint="eastAsia" w:ascii="宋体" w:hAnsi="宋体" w:eastAsia="宋体" w:cs="Times New Roman"/>
          <w:bCs/>
          <w:sz w:val="24"/>
          <w:szCs w:val="24"/>
        </w:rPr>
        <w:t>三、《示范文本》的性质和适用范围</w:t>
      </w:r>
    </w:p>
    <w:p w14:paraId="50FE011B">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本合同(示范文本)适用于房屋建筑工程、土木工程、线路管道和设备安装工程、装修工程等建设招标工程</w:t>
      </w:r>
      <w:r>
        <w:rPr>
          <w:rFonts w:hint="eastAsia" w:ascii="宋体" w:hAnsi="宋体" w:eastAsia="宋体" w:cs="Times New Roman"/>
          <w:b/>
          <w:sz w:val="24"/>
          <w:szCs w:val="24"/>
        </w:rPr>
        <w:t>固定单价施工合同</w:t>
      </w:r>
      <w:r>
        <w:rPr>
          <w:rFonts w:hint="eastAsia" w:ascii="宋体" w:hAnsi="宋体" w:eastAsia="宋体" w:cs="Times New Roman"/>
          <w:sz w:val="24"/>
          <w:szCs w:val="24"/>
        </w:rPr>
        <w:t>,发包人与承包人可结合建设工程具体情况，参考本合同(示范文本)订立合同，并按照法律法规规定和合同约定承担相应的法律责任及合同权利义务。</w:t>
      </w:r>
    </w:p>
    <w:p w14:paraId="12FDE74C">
      <w:pPr>
        <w:spacing w:line="360" w:lineRule="auto"/>
        <w:ind w:firstLine="480"/>
        <w:rPr>
          <w:rFonts w:hint="eastAsia" w:ascii="宋体" w:hAnsi="宋体" w:eastAsia="宋体" w:cs="Times New Roman"/>
          <w:sz w:val="24"/>
          <w:szCs w:val="24"/>
        </w:rPr>
      </w:pPr>
    </w:p>
    <w:p w14:paraId="757D6B1D">
      <w:pPr>
        <w:spacing w:line="360" w:lineRule="auto"/>
        <w:ind w:firstLine="560"/>
        <w:rPr>
          <w:rFonts w:hint="eastAsia" w:ascii="黑体" w:hAnsi="宋体" w:eastAsia="黑体" w:cs="Times New Roman"/>
          <w:sz w:val="28"/>
          <w:szCs w:val="28"/>
        </w:rPr>
      </w:pPr>
      <w:r>
        <w:rPr>
          <w:rFonts w:hint="eastAsia" w:ascii="黑体" w:hAnsi="宋体" w:eastAsia="黑体" w:cs="Times New Roman"/>
          <w:sz w:val="28"/>
          <w:szCs w:val="28"/>
        </w:rPr>
        <w:t>《示范文本》使用过程中，</w:t>
      </w:r>
      <w:r>
        <w:rPr>
          <w:rFonts w:ascii="黑体" w:hAnsi="宋体" w:eastAsia="黑体" w:cs="Times New Roman"/>
          <w:sz w:val="28"/>
          <w:szCs w:val="28"/>
        </w:rPr>
        <w:t>如有任何疑问或不明之处,请及时向专业人士咨询。</w:t>
      </w:r>
    </w:p>
    <w:p w14:paraId="6C859507">
      <w:pPr>
        <w:spacing w:line="360" w:lineRule="auto"/>
        <w:ind w:firstLine="560"/>
        <w:rPr>
          <w:rFonts w:hint="eastAsia" w:ascii="黑体" w:hAnsi="宋体" w:eastAsia="黑体" w:cs="Times New Roman"/>
          <w:sz w:val="28"/>
          <w:szCs w:val="28"/>
        </w:rPr>
      </w:pPr>
      <w:r>
        <w:rPr>
          <w:rFonts w:hint="eastAsia" w:ascii="黑体" w:hAnsi="宋体" w:eastAsia="黑体" w:cs="Times New Roman"/>
          <w:sz w:val="28"/>
          <w:szCs w:val="28"/>
        </w:rPr>
        <w:t>任何单位或个人未经深圳市建设工程造价管理站同意，不得以任何形式销售本合同(示范文本)及其中的任何部分。</w:t>
      </w:r>
    </w:p>
    <w:p w14:paraId="38B8E709">
      <w:pPr>
        <w:spacing w:line="360" w:lineRule="auto"/>
        <w:ind w:firstLine="560"/>
        <w:rPr>
          <w:rFonts w:ascii="Times New Roman" w:hAnsi="Times New Roman" w:eastAsia="黑体" w:cs="Times New Roman"/>
          <w:sz w:val="28"/>
          <w:szCs w:val="28"/>
        </w:rPr>
      </w:pPr>
      <w:r>
        <w:rPr>
          <w:rFonts w:ascii="Times New Roman" w:hAnsi="Times New Roman" w:eastAsia="黑体" w:cs="Times New Roman"/>
          <w:sz w:val="28"/>
          <w:szCs w:val="28"/>
        </w:rPr>
        <w:t>本次印发版次为SFD-2025-01，即2025版第</w:t>
      </w:r>
      <w:r>
        <w:rPr>
          <w:rFonts w:hint="eastAsia" w:ascii="Times New Roman" w:hAnsi="Times New Roman" w:eastAsia="黑体" w:cs="Times New Roman"/>
          <w:sz w:val="28"/>
          <w:szCs w:val="28"/>
        </w:rPr>
        <w:t>一</w:t>
      </w:r>
      <w:r>
        <w:rPr>
          <w:rFonts w:ascii="Times New Roman" w:hAnsi="Times New Roman" w:eastAsia="黑体" w:cs="Times New Roman"/>
          <w:sz w:val="28"/>
          <w:szCs w:val="28"/>
        </w:rPr>
        <w:t>版。</w:t>
      </w:r>
    </w:p>
    <w:tbl>
      <w:tblPr>
        <w:tblStyle w:val="41"/>
        <w:tblW w:w="6584" w:type="dxa"/>
        <w:jc w:val="center"/>
        <w:tblLayout w:type="autofit"/>
        <w:tblCellMar>
          <w:top w:w="0" w:type="dxa"/>
          <w:left w:w="108" w:type="dxa"/>
          <w:bottom w:w="0" w:type="dxa"/>
          <w:right w:w="108" w:type="dxa"/>
        </w:tblCellMar>
      </w:tblPr>
      <w:tblGrid>
        <w:gridCol w:w="222"/>
        <w:gridCol w:w="222"/>
        <w:gridCol w:w="222"/>
        <w:gridCol w:w="222"/>
        <w:gridCol w:w="14"/>
        <w:gridCol w:w="236"/>
        <w:gridCol w:w="194"/>
        <w:gridCol w:w="28"/>
        <w:gridCol w:w="308"/>
        <w:gridCol w:w="28"/>
        <w:gridCol w:w="348"/>
        <w:gridCol w:w="320"/>
        <w:gridCol w:w="28"/>
        <w:gridCol w:w="308"/>
        <w:gridCol w:w="28"/>
        <w:gridCol w:w="228"/>
        <w:gridCol w:w="200"/>
        <w:gridCol w:w="28"/>
        <w:gridCol w:w="1052"/>
        <w:gridCol w:w="28"/>
        <w:gridCol w:w="2292"/>
        <w:gridCol w:w="28"/>
      </w:tblGrid>
      <w:tr w14:paraId="48DA2BD3">
        <w:tblPrEx>
          <w:tblCellMar>
            <w:top w:w="0" w:type="dxa"/>
            <w:left w:w="108" w:type="dxa"/>
            <w:bottom w:w="0" w:type="dxa"/>
            <w:right w:w="108" w:type="dxa"/>
          </w:tblCellMar>
        </w:tblPrEx>
        <w:trPr>
          <w:gridAfter w:val="1"/>
          <w:wAfter w:w="28" w:type="dxa"/>
          <w:trHeight w:val="270" w:hRule="atLeast"/>
          <w:jc w:val="center"/>
        </w:trPr>
        <w:tc>
          <w:tcPr>
            <w:tcW w:w="444" w:type="dxa"/>
            <w:gridSpan w:val="2"/>
            <w:tcBorders>
              <w:top w:val="nil"/>
              <w:left w:val="nil"/>
              <w:bottom w:val="nil"/>
              <w:right w:val="nil"/>
            </w:tcBorders>
            <w:shd w:val="clear" w:color="000000" w:fill="FFFFFF"/>
            <w:noWrap/>
            <w:vAlign w:val="bottom"/>
          </w:tcPr>
          <w:p w14:paraId="0313D040">
            <w:pPr>
              <w:widowControl/>
              <w:jc w:val="center"/>
              <w:rPr>
                <w:rFonts w:hint="eastAsia" w:ascii="宋体" w:hAnsi="宋体" w:eastAsia="宋体" w:cs="宋体"/>
                <w:color w:val="auto"/>
                <w:sz w:val="24"/>
                <w:szCs w:val="24"/>
              </w:rPr>
            </w:pPr>
            <w:r>
              <w:rPr>
                <w:rFonts w:hint="eastAsia" w:ascii="宋体" w:hAnsi="宋体" w:eastAsia="宋体" w:cs="宋体"/>
                <w:color w:val="auto"/>
                <w:sz w:val="24"/>
                <w:szCs w:val="24"/>
              </w:rPr>
              <w:t>S</w:t>
            </w:r>
          </w:p>
        </w:tc>
        <w:tc>
          <w:tcPr>
            <w:tcW w:w="444" w:type="dxa"/>
            <w:gridSpan w:val="2"/>
            <w:tcBorders>
              <w:top w:val="nil"/>
              <w:left w:val="nil"/>
              <w:bottom w:val="nil"/>
              <w:right w:val="nil"/>
            </w:tcBorders>
            <w:shd w:val="clear" w:color="000000" w:fill="FFFFFF"/>
            <w:noWrap/>
            <w:vAlign w:val="bottom"/>
          </w:tcPr>
          <w:p w14:paraId="38BE5E63">
            <w:pPr>
              <w:widowControl/>
              <w:jc w:val="center"/>
              <w:rPr>
                <w:rFonts w:hint="eastAsia" w:ascii="宋体" w:hAnsi="宋体" w:eastAsia="宋体" w:cs="宋体"/>
                <w:color w:val="auto"/>
                <w:sz w:val="24"/>
                <w:szCs w:val="24"/>
              </w:rPr>
            </w:pPr>
            <w:r>
              <w:rPr>
                <w:rFonts w:hint="eastAsia" w:ascii="宋体" w:hAnsi="宋体" w:eastAsia="宋体" w:cs="宋体"/>
                <w:color w:val="auto"/>
                <w:sz w:val="24"/>
                <w:szCs w:val="24"/>
              </w:rPr>
              <w:t>F</w:t>
            </w:r>
          </w:p>
        </w:tc>
        <w:tc>
          <w:tcPr>
            <w:tcW w:w="444" w:type="dxa"/>
            <w:gridSpan w:val="3"/>
            <w:tcBorders>
              <w:top w:val="nil"/>
              <w:left w:val="nil"/>
              <w:bottom w:val="nil"/>
              <w:right w:val="nil"/>
            </w:tcBorders>
            <w:shd w:val="clear" w:color="000000" w:fill="FFFFFF"/>
            <w:noWrap/>
            <w:vAlign w:val="bottom"/>
          </w:tcPr>
          <w:p w14:paraId="2F204A4F">
            <w:pPr>
              <w:widowControl/>
              <w:jc w:val="center"/>
              <w:rPr>
                <w:rFonts w:hint="eastAsia" w:ascii="宋体" w:hAnsi="宋体" w:eastAsia="宋体" w:cs="宋体"/>
                <w:color w:val="auto"/>
                <w:sz w:val="24"/>
                <w:szCs w:val="24"/>
              </w:rPr>
            </w:pPr>
            <w:r>
              <w:rPr>
                <w:rFonts w:hint="eastAsia" w:ascii="宋体" w:hAnsi="宋体" w:eastAsia="宋体" w:cs="宋体"/>
                <w:color w:val="auto"/>
                <w:sz w:val="24"/>
                <w:szCs w:val="24"/>
              </w:rPr>
              <w:t>D</w:t>
            </w:r>
          </w:p>
        </w:tc>
        <w:tc>
          <w:tcPr>
            <w:tcW w:w="336" w:type="dxa"/>
            <w:gridSpan w:val="2"/>
            <w:tcBorders>
              <w:top w:val="nil"/>
              <w:left w:val="nil"/>
              <w:bottom w:val="nil"/>
              <w:right w:val="nil"/>
            </w:tcBorders>
            <w:shd w:val="clear" w:color="000000" w:fill="FFFFFF"/>
            <w:noWrap/>
            <w:vAlign w:val="bottom"/>
          </w:tcPr>
          <w:p w14:paraId="138DF8E9">
            <w:pPr>
              <w:widowControl/>
              <w:rPr>
                <w:rFonts w:ascii="宋体" w:hAnsi="宋体" w:eastAsia="宋体" w:cs="宋体"/>
                <w:color w:val="auto"/>
                <w:sz w:val="24"/>
                <w:szCs w:val="24"/>
              </w:rPr>
            </w:pPr>
          </w:p>
        </w:tc>
        <w:tc>
          <w:tcPr>
            <w:tcW w:w="696" w:type="dxa"/>
            <w:gridSpan w:val="3"/>
            <w:tcBorders>
              <w:top w:val="nil"/>
              <w:left w:val="nil"/>
              <w:bottom w:val="nil"/>
              <w:right w:val="nil"/>
            </w:tcBorders>
            <w:shd w:val="clear" w:color="000000" w:fill="FFFFFF"/>
            <w:noWrap/>
            <w:vAlign w:val="bottom"/>
          </w:tcPr>
          <w:p w14:paraId="411D84A5">
            <w:pPr>
              <w:widowControl/>
              <w:jc w:val="center"/>
              <w:rPr>
                <w:rFonts w:ascii="宋体" w:hAnsi="宋体" w:eastAsia="宋体" w:cs="宋体"/>
                <w:color w:val="auto"/>
                <w:sz w:val="24"/>
                <w:szCs w:val="24"/>
              </w:rPr>
            </w:pPr>
            <w:r>
              <w:rPr>
                <w:rFonts w:hint="eastAsia" w:ascii="宋体" w:hAnsi="宋体" w:eastAsia="宋体" w:cs="宋体"/>
                <w:color w:val="auto"/>
                <w:sz w:val="24"/>
                <w:szCs w:val="24"/>
              </w:rPr>
              <w:t>20</w:t>
            </w:r>
            <w:r>
              <w:rPr>
                <w:rFonts w:ascii="宋体" w:hAnsi="宋体" w:eastAsia="宋体" w:cs="宋体"/>
                <w:color w:val="auto"/>
                <w:sz w:val="24"/>
                <w:szCs w:val="24"/>
              </w:rPr>
              <w:t>2</w:t>
            </w:r>
            <w:r>
              <w:rPr>
                <w:rFonts w:hint="eastAsia" w:ascii="宋体" w:hAnsi="宋体" w:eastAsia="宋体" w:cs="宋体"/>
                <w:color w:val="auto"/>
                <w:sz w:val="24"/>
                <w:szCs w:val="24"/>
              </w:rPr>
              <w:t>5</w:t>
            </w:r>
          </w:p>
        </w:tc>
        <w:tc>
          <w:tcPr>
            <w:tcW w:w="336" w:type="dxa"/>
            <w:gridSpan w:val="2"/>
            <w:tcBorders>
              <w:top w:val="nil"/>
              <w:left w:val="nil"/>
              <w:bottom w:val="nil"/>
              <w:right w:val="nil"/>
            </w:tcBorders>
            <w:shd w:val="clear" w:color="000000" w:fill="FFFFFF"/>
            <w:noWrap/>
            <w:vAlign w:val="bottom"/>
          </w:tcPr>
          <w:p w14:paraId="696470DA">
            <w:pPr>
              <w:widowControl/>
              <w:rPr>
                <w:rFonts w:ascii="宋体" w:hAnsi="宋体" w:eastAsia="宋体" w:cs="宋体"/>
                <w:color w:val="auto"/>
                <w:sz w:val="24"/>
                <w:szCs w:val="24"/>
              </w:rPr>
            </w:pPr>
          </w:p>
        </w:tc>
        <w:tc>
          <w:tcPr>
            <w:tcW w:w="456" w:type="dxa"/>
            <w:gridSpan w:val="3"/>
            <w:tcBorders>
              <w:top w:val="nil"/>
              <w:left w:val="nil"/>
              <w:bottom w:val="nil"/>
              <w:right w:val="nil"/>
            </w:tcBorders>
            <w:shd w:val="clear" w:color="000000" w:fill="FFFFFF"/>
            <w:noWrap/>
            <w:vAlign w:val="bottom"/>
          </w:tcPr>
          <w:p w14:paraId="3E5E7BEB">
            <w:pPr>
              <w:widowControl/>
              <w:jc w:val="center"/>
              <w:rPr>
                <w:rFonts w:hint="eastAsia" w:ascii="宋体" w:hAnsi="宋体" w:eastAsia="宋体" w:cs="宋体"/>
                <w:color w:val="auto"/>
                <w:sz w:val="24"/>
                <w:szCs w:val="24"/>
              </w:rPr>
            </w:pPr>
            <w:r>
              <w:rPr>
                <w:rFonts w:hint="eastAsia" w:ascii="宋体" w:hAnsi="宋体" w:eastAsia="宋体" w:cs="宋体"/>
                <w:color w:val="auto"/>
                <w:sz w:val="24"/>
                <w:szCs w:val="24"/>
              </w:rPr>
              <w:t>0</w:t>
            </w:r>
            <w:r>
              <w:rPr>
                <w:rFonts w:ascii="宋体" w:hAnsi="宋体" w:eastAsia="宋体" w:cs="宋体"/>
                <w:color w:val="auto"/>
                <w:sz w:val="24"/>
                <w:szCs w:val="24"/>
              </w:rPr>
              <w:t>1</w:t>
            </w:r>
          </w:p>
        </w:tc>
        <w:tc>
          <w:tcPr>
            <w:tcW w:w="1080" w:type="dxa"/>
            <w:gridSpan w:val="2"/>
            <w:tcBorders>
              <w:top w:val="nil"/>
              <w:left w:val="nil"/>
              <w:bottom w:val="nil"/>
              <w:right w:val="nil"/>
            </w:tcBorders>
            <w:shd w:val="clear" w:color="000000" w:fill="FFFFFF"/>
            <w:noWrap/>
            <w:vAlign w:val="bottom"/>
          </w:tcPr>
          <w:p w14:paraId="1C1108BE">
            <w:pPr>
              <w:widowControl/>
              <w:rPr>
                <w:rFonts w:ascii="宋体" w:hAnsi="宋体" w:eastAsia="宋体" w:cs="宋体"/>
                <w:color w:val="auto"/>
                <w:sz w:val="24"/>
                <w:szCs w:val="24"/>
              </w:rPr>
            </w:pPr>
          </w:p>
        </w:tc>
        <w:tc>
          <w:tcPr>
            <w:tcW w:w="2320" w:type="dxa"/>
            <w:gridSpan w:val="2"/>
            <w:tcBorders>
              <w:top w:val="nil"/>
              <w:left w:val="nil"/>
              <w:bottom w:val="nil"/>
              <w:right w:val="nil"/>
            </w:tcBorders>
            <w:shd w:val="clear" w:color="000000" w:fill="FFFFFF"/>
            <w:noWrap/>
            <w:vAlign w:val="bottom"/>
          </w:tcPr>
          <w:p w14:paraId="23A21655">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r>
      <w:tr w14:paraId="341D676B">
        <w:tblPrEx>
          <w:tblCellMar>
            <w:top w:w="0" w:type="dxa"/>
            <w:left w:w="108" w:type="dxa"/>
            <w:bottom w:w="0" w:type="dxa"/>
            <w:right w:w="108" w:type="dxa"/>
          </w:tblCellMar>
        </w:tblPrEx>
        <w:trPr>
          <w:trHeight w:val="270" w:hRule="atLeast"/>
          <w:jc w:val="center"/>
        </w:trPr>
        <w:tc>
          <w:tcPr>
            <w:tcW w:w="222" w:type="dxa"/>
            <w:tcBorders>
              <w:top w:val="nil"/>
              <w:left w:val="nil"/>
              <w:bottom w:val="nil"/>
              <w:right w:val="nil"/>
            </w:tcBorders>
            <w:shd w:val="clear" w:color="000000" w:fill="FFFFFF"/>
            <w:noWrap/>
            <w:vAlign w:val="bottom"/>
          </w:tcPr>
          <w:p w14:paraId="0B3B9E5C">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2" w:type="dxa"/>
            <w:tcBorders>
              <w:top w:val="nil"/>
              <w:left w:val="single" w:color="auto" w:sz="4" w:space="0"/>
              <w:bottom w:val="single" w:color="auto" w:sz="4" w:space="0"/>
              <w:right w:val="nil"/>
            </w:tcBorders>
            <w:shd w:val="clear" w:color="000000" w:fill="FFFFFF"/>
            <w:noWrap/>
            <w:vAlign w:val="bottom"/>
          </w:tcPr>
          <w:p w14:paraId="26BB5E05">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2" w:type="dxa"/>
            <w:tcBorders>
              <w:top w:val="nil"/>
              <w:left w:val="nil"/>
              <w:bottom w:val="single" w:color="auto" w:sz="4" w:space="0"/>
              <w:right w:val="nil"/>
            </w:tcBorders>
            <w:shd w:val="clear" w:color="000000" w:fill="FFFFFF"/>
            <w:noWrap/>
            <w:vAlign w:val="bottom"/>
          </w:tcPr>
          <w:p w14:paraId="648904A6">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36" w:type="dxa"/>
            <w:gridSpan w:val="2"/>
            <w:tcBorders>
              <w:top w:val="nil"/>
              <w:left w:val="single" w:color="auto" w:sz="4" w:space="0"/>
              <w:bottom w:val="single" w:color="auto" w:sz="4" w:space="0"/>
              <w:right w:val="nil"/>
            </w:tcBorders>
            <w:shd w:val="clear" w:color="000000" w:fill="FFFFFF"/>
            <w:noWrap/>
            <w:vAlign w:val="bottom"/>
          </w:tcPr>
          <w:p w14:paraId="5547A88D">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36" w:type="dxa"/>
            <w:tcBorders>
              <w:top w:val="nil"/>
              <w:left w:val="nil"/>
              <w:bottom w:val="single" w:color="auto" w:sz="4" w:space="0"/>
              <w:right w:val="nil"/>
            </w:tcBorders>
            <w:shd w:val="clear" w:color="000000" w:fill="FFFFFF"/>
            <w:noWrap/>
            <w:vAlign w:val="bottom"/>
          </w:tcPr>
          <w:p w14:paraId="645B647C">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2" w:type="dxa"/>
            <w:gridSpan w:val="2"/>
            <w:tcBorders>
              <w:top w:val="nil"/>
              <w:left w:val="single" w:color="auto" w:sz="4" w:space="0"/>
              <w:bottom w:val="single" w:color="auto" w:sz="4" w:space="0"/>
              <w:right w:val="nil"/>
            </w:tcBorders>
            <w:shd w:val="clear" w:color="000000" w:fill="FFFFFF"/>
            <w:noWrap/>
            <w:vAlign w:val="bottom"/>
          </w:tcPr>
          <w:p w14:paraId="312E9AB4">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36" w:type="dxa"/>
            <w:gridSpan w:val="2"/>
            <w:tcBorders>
              <w:top w:val="nil"/>
              <w:left w:val="nil"/>
              <w:bottom w:val="single" w:color="auto" w:sz="4" w:space="0"/>
              <w:right w:val="nil"/>
            </w:tcBorders>
            <w:shd w:val="clear" w:color="000000" w:fill="FFFFFF"/>
            <w:noWrap/>
            <w:vAlign w:val="bottom"/>
          </w:tcPr>
          <w:p w14:paraId="2D4129AD">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48" w:type="dxa"/>
            <w:tcBorders>
              <w:top w:val="nil"/>
              <w:left w:val="nil"/>
              <w:bottom w:val="single" w:color="auto" w:sz="4" w:space="0"/>
              <w:right w:val="nil"/>
            </w:tcBorders>
            <w:shd w:val="clear" w:color="000000" w:fill="FFFFFF"/>
            <w:noWrap/>
            <w:vAlign w:val="bottom"/>
          </w:tcPr>
          <w:p w14:paraId="1FE4B5E5">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48" w:type="dxa"/>
            <w:gridSpan w:val="2"/>
            <w:tcBorders>
              <w:top w:val="nil"/>
              <w:left w:val="single" w:color="auto" w:sz="4" w:space="0"/>
              <w:bottom w:val="single" w:color="auto" w:sz="4" w:space="0"/>
              <w:right w:val="nil"/>
            </w:tcBorders>
            <w:shd w:val="clear" w:color="000000" w:fill="FFFFFF"/>
            <w:noWrap/>
            <w:vAlign w:val="bottom"/>
          </w:tcPr>
          <w:p w14:paraId="4FEEA2F0">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36" w:type="dxa"/>
            <w:gridSpan w:val="2"/>
            <w:tcBorders>
              <w:top w:val="nil"/>
              <w:left w:val="nil"/>
              <w:bottom w:val="single" w:color="auto" w:sz="4" w:space="0"/>
              <w:right w:val="nil"/>
            </w:tcBorders>
            <w:shd w:val="clear" w:color="000000" w:fill="FFFFFF"/>
            <w:noWrap/>
            <w:vAlign w:val="bottom"/>
          </w:tcPr>
          <w:p w14:paraId="31C522A2">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8" w:type="dxa"/>
            <w:tcBorders>
              <w:top w:val="nil"/>
              <w:left w:val="nil"/>
              <w:bottom w:val="single" w:color="auto" w:sz="4" w:space="0"/>
              <w:right w:val="nil"/>
            </w:tcBorders>
            <w:shd w:val="clear" w:color="000000" w:fill="FFFFFF"/>
            <w:noWrap/>
            <w:vAlign w:val="bottom"/>
          </w:tcPr>
          <w:p w14:paraId="56BE4C69">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8" w:type="dxa"/>
            <w:gridSpan w:val="2"/>
            <w:tcBorders>
              <w:top w:val="nil"/>
              <w:left w:val="single" w:color="auto" w:sz="4" w:space="0"/>
              <w:bottom w:val="single" w:color="auto" w:sz="4" w:space="0"/>
              <w:right w:val="nil"/>
            </w:tcBorders>
            <w:shd w:val="clear" w:color="000000" w:fill="FFFFFF"/>
            <w:noWrap/>
            <w:vAlign w:val="bottom"/>
          </w:tcPr>
          <w:p w14:paraId="16BF6302">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1080" w:type="dxa"/>
            <w:gridSpan w:val="2"/>
            <w:tcBorders>
              <w:top w:val="nil"/>
              <w:left w:val="nil"/>
              <w:bottom w:val="single" w:color="auto" w:sz="4" w:space="0"/>
              <w:right w:val="nil"/>
            </w:tcBorders>
            <w:shd w:val="clear" w:color="000000" w:fill="FFFFFF"/>
            <w:noWrap/>
            <w:vAlign w:val="bottom"/>
          </w:tcPr>
          <w:p w14:paraId="4C1DF495">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320" w:type="dxa"/>
            <w:gridSpan w:val="2"/>
            <w:tcBorders>
              <w:top w:val="nil"/>
              <w:left w:val="nil"/>
              <w:bottom w:val="nil"/>
              <w:right w:val="nil"/>
            </w:tcBorders>
            <w:shd w:val="clear" w:color="000000" w:fill="FFFFFF"/>
            <w:noWrap/>
            <w:vAlign w:val="bottom"/>
          </w:tcPr>
          <w:p w14:paraId="049E13BF">
            <w:pPr>
              <w:widowControl/>
              <w:rPr>
                <w:rFonts w:ascii="宋体" w:hAnsi="宋体" w:eastAsia="宋体" w:cs="宋体"/>
                <w:color w:val="auto"/>
                <w:sz w:val="24"/>
                <w:szCs w:val="24"/>
              </w:rPr>
            </w:pPr>
            <w:r>
              <w:rPr>
                <w:rFonts w:hint="eastAsia" w:ascii="宋体" w:hAnsi="宋体" w:eastAsia="宋体" w:cs="宋体"/>
                <w:color w:val="auto"/>
                <w:sz w:val="24"/>
                <w:szCs w:val="24"/>
              </w:rPr>
              <w:t>深圳</w:t>
            </w:r>
          </w:p>
        </w:tc>
      </w:tr>
      <w:tr w14:paraId="61C269FF">
        <w:tblPrEx>
          <w:tblCellMar>
            <w:top w:w="0" w:type="dxa"/>
            <w:left w:w="108" w:type="dxa"/>
            <w:bottom w:w="0" w:type="dxa"/>
            <w:right w:w="108" w:type="dxa"/>
          </w:tblCellMar>
        </w:tblPrEx>
        <w:trPr>
          <w:trHeight w:val="270" w:hRule="atLeast"/>
          <w:jc w:val="center"/>
        </w:trPr>
        <w:tc>
          <w:tcPr>
            <w:tcW w:w="222" w:type="dxa"/>
            <w:tcBorders>
              <w:top w:val="nil"/>
              <w:left w:val="nil"/>
              <w:bottom w:val="nil"/>
              <w:right w:val="nil"/>
            </w:tcBorders>
            <w:shd w:val="clear" w:color="000000" w:fill="FFFFFF"/>
            <w:noWrap/>
            <w:vAlign w:val="bottom"/>
          </w:tcPr>
          <w:p w14:paraId="5E8D5F4F">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2" w:type="dxa"/>
            <w:tcBorders>
              <w:top w:val="nil"/>
              <w:left w:val="nil"/>
              <w:bottom w:val="nil"/>
              <w:right w:val="nil"/>
            </w:tcBorders>
            <w:shd w:val="clear" w:color="000000" w:fill="FFFFFF"/>
            <w:noWrap/>
            <w:vAlign w:val="bottom"/>
          </w:tcPr>
          <w:p w14:paraId="29163AE4">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2" w:type="dxa"/>
            <w:tcBorders>
              <w:top w:val="nil"/>
              <w:left w:val="nil"/>
              <w:bottom w:val="nil"/>
              <w:right w:val="nil"/>
            </w:tcBorders>
            <w:shd w:val="clear" w:color="000000" w:fill="FFFFFF"/>
            <w:noWrap/>
            <w:vAlign w:val="bottom"/>
          </w:tcPr>
          <w:p w14:paraId="1D77248A">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36" w:type="dxa"/>
            <w:gridSpan w:val="2"/>
            <w:tcBorders>
              <w:top w:val="nil"/>
              <w:left w:val="single" w:color="auto" w:sz="4" w:space="0"/>
              <w:bottom w:val="single" w:color="auto" w:sz="4" w:space="0"/>
              <w:right w:val="nil"/>
            </w:tcBorders>
            <w:shd w:val="clear" w:color="000000" w:fill="FFFFFF"/>
            <w:noWrap/>
            <w:vAlign w:val="bottom"/>
          </w:tcPr>
          <w:p w14:paraId="6586F99A">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36" w:type="dxa"/>
            <w:tcBorders>
              <w:top w:val="nil"/>
              <w:left w:val="nil"/>
              <w:bottom w:val="single" w:color="auto" w:sz="4" w:space="0"/>
              <w:right w:val="nil"/>
            </w:tcBorders>
            <w:shd w:val="clear" w:color="000000" w:fill="FFFFFF"/>
            <w:noWrap/>
            <w:vAlign w:val="bottom"/>
          </w:tcPr>
          <w:p w14:paraId="0416832E">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2" w:type="dxa"/>
            <w:gridSpan w:val="2"/>
            <w:tcBorders>
              <w:top w:val="nil"/>
              <w:left w:val="single" w:color="auto" w:sz="4" w:space="0"/>
              <w:bottom w:val="single" w:color="auto" w:sz="4" w:space="0"/>
              <w:right w:val="nil"/>
            </w:tcBorders>
            <w:shd w:val="clear" w:color="000000" w:fill="FFFFFF"/>
            <w:noWrap/>
            <w:vAlign w:val="bottom"/>
          </w:tcPr>
          <w:p w14:paraId="7A82208A">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36" w:type="dxa"/>
            <w:gridSpan w:val="2"/>
            <w:tcBorders>
              <w:top w:val="nil"/>
              <w:left w:val="nil"/>
              <w:bottom w:val="single" w:color="auto" w:sz="4" w:space="0"/>
              <w:right w:val="nil"/>
            </w:tcBorders>
            <w:shd w:val="clear" w:color="000000" w:fill="FFFFFF"/>
            <w:noWrap/>
            <w:vAlign w:val="bottom"/>
          </w:tcPr>
          <w:p w14:paraId="1BB1AF6E">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48" w:type="dxa"/>
            <w:tcBorders>
              <w:top w:val="nil"/>
              <w:left w:val="nil"/>
              <w:bottom w:val="single" w:color="auto" w:sz="4" w:space="0"/>
              <w:right w:val="nil"/>
            </w:tcBorders>
            <w:shd w:val="clear" w:color="000000" w:fill="FFFFFF"/>
            <w:noWrap/>
            <w:vAlign w:val="bottom"/>
          </w:tcPr>
          <w:p w14:paraId="337D7209">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48" w:type="dxa"/>
            <w:gridSpan w:val="2"/>
            <w:tcBorders>
              <w:top w:val="nil"/>
              <w:left w:val="single" w:color="auto" w:sz="4" w:space="0"/>
              <w:bottom w:val="single" w:color="auto" w:sz="4" w:space="0"/>
              <w:right w:val="nil"/>
            </w:tcBorders>
            <w:shd w:val="clear" w:color="000000" w:fill="FFFFFF"/>
            <w:noWrap/>
            <w:vAlign w:val="bottom"/>
          </w:tcPr>
          <w:p w14:paraId="471B01C0">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36" w:type="dxa"/>
            <w:gridSpan w:val="2"/>
            <w:tcBorders>
              <w:top w:val="nil"/>
              <w:left w:val="nil"/>
              <w:bottom w:val="single" w:color="auto" w:sz="4" w:space="0"/>
              <w:right w:val="nil"/>
            </w:tcBorders>
            <w:shd w:val="clear" w:color="000000" w:fill="FFFFFF"/>
            <w:noWrap/>
            <w:vAlign w:val="bottom"/>
          </w:tcPr>
          <w:p w14:paraId="78B05CA6">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8" w:type="dxa"/>
            <w:tcBorders>
              <w:top w:val="nil"/>
              <w:left w:val="nil"/>
              <w:bottom w:val="single" w:color="auto" w:sz="4" w:space="0"/>
              <w:right w:val="nil"/>
            </w:tcBorders>
            <w:shd w:val="clear" w:color="000000" w:fill="FFFFFF"/>
            <w:noWrap/>
            <w:vAlign w:val="bottom"/>
          </w:tcPr>
          <w:p w14:paraId="7C98D442">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8" w:type="dxa"/>
            <w:gridSpan w:val="2"/>
            <w:tcBorders>
              <w:top w:val="nil"/>
              <w:left w:val="single" w:color="auto" w:sz="4" w:space="0"/>
              <w:bottom w:val="single" w:color="auto" w:sz="4" w:space="0"/>
              <w:right w:val="nil"/>
            </w:tcBorders>
            <w:shd w:val="clear" w:color="000000" w:fill="FFFFFF"/>
            <w:noWrap/>
            <w:vAlign w:val="bottom"/>
          </w:tcPr>
          <w:p w14:paraId="1C1BD845">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1080" w:type="dxa"/>
            <w:gridSpan w:val="2"/>
            <w:tcBorders>
              <w:top w:val="nil"/>
              <w:left w:val="nil"/>
              <w:bottom w:val="single" w:color="auto" w:sz="4" w:space="0"/>
              <w:right w:val="nil"/>
            </w:tcBorders>
            <w:shd w:val="clear" w:color="000000" w:fill="FFFFFF"/>
            <w:noWrap/>
            <w:vAlign w:val="bottom"/>
          </w:tcPr>
          <w:p w14:paraId="360ACFB4">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320" w:type="dxa"/>
            <w:gridSpan w:val="2"/>
            <w:tcBorders>
              <w:top w:val="nil"/>
              <w:left w:val="nil"/>
              <w:bottom w:val="nil"/>
              <w:right w:val="nil"/>
            </w:tcBorders>
            <w:shd w:val="clear" w:color="000000" w:fill="FFFFFF"/>
            <w:noWrap/>
            <w:vAlign w:val="bottom"/>
          </w:tcPr>
          <w:p w14:paraId="4F3D6C19">
            <w:pPr>
              <w:widowControl/>
              <w:rPr>
                <w:rFonts w:ascii="宋体" w:hAnsi="宋体" w:eastAsia="宋体" w:cs="宋体"/>
                <w:color w:val="auto"/>
                <w:sz w:val="24"/>
                <w:szCs w:val="24"/>
              </w:rPr>
            </w:pPr>
            <w:r>
              <w:rPr>
                <w:rFonts w:hint="eastAsia" w:ascii="宋体" w:hAnsi="宋体" w:eastAsia="宋体" w:cs="宋体"/>
                <w:color w:val="auto"/>
                <w:sz w:val="24"/>
                <w:szCs w:val="24"/>
              </w:rPr>
              <w:t>范本</w:t>
            </w:r>
          </w:p>
        </w:tc>
      </w:tr>
      <w:tr w14:paraId="6E598B82">
        <w:tblPrEx>
          <w:tblCellMar>
            <w:top w:w="0" w:type="dxa"/>
            <w:left w:w="108" w:type="dxa"/>
            <w:bottom w:w="0" w:type="dxa"/>
            <w:right w:w="108" w:type="dxa"/>
          </w:tblCellMar>
        </w:tblPrEx>
        <w:trPr>
          <w:trHeight w:val="270" w:hRule="atLeast"/>
          <w:jc w:val="center"/>
        </w:trPr>
        <w:tc>
          <w:tcPr>
            <w:tcW w:w="222" w:type="dxa"/>
            <w:tcBorders>
              <w:top w:val="nil"/>
              <w:left w:val="nil"/>
              <w:bottom w:val="nil"/>
              <w:right w:val="nil"/>
            </w:tcBorders>
            <w:shd w:val="clear" w:color="000000" w:fill="FFFFFF"/>
            <w:noWrap/>
            <w:vAlign w:val="bottom"/>
          </w:tcPr>
          <w:p w14:paraId="28B8BB9D">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2" w:type="dxa"/>
            <w:tcBorders>
              <w:top w:val="nil"/>
              <w:left w:val="nil"/>
              <w:bottom w:val="nil"/>
              <w:right w:val="nil"/>
            </w:tcBorders>
            <w:shd w:val="clear" w:color="000000" w:fill="FFFFFF"/>
            <w:noWrap/>
            <w:vAlign w:val="bottom"/>
          </w:tcPr>
          <w:p w14:paraId="76CE9592">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2" w:type="dxa"/>
            <w:tcBorders>
              <w:top w:val="nil"/>
              <w:left w:val="nil"/>
              <w:bottom w:val="nil"/>
              <w:right w:val="nil"/>
            </w:tcBorders>
            <w:shd w:val="clear" w:color="000000" w:fill="FFFFFF"/>
            <w:noWrap/>
            <w:vAlign w:val="bottom"/>
          </w:tcPr>
          <w:p w14:paraId="451BEE5C">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36" w:type="dxa"/>
            <w:gridSpan w:val="2"/>
            <w:tcBorders>
              <w:top w:val="nil"/>
              <w:left w:val="nil"/>
              <w:bottom w:val="nil"/>
              <w:right w:val="nil"/>
            </w:tcBorders>
            <w:shd w:val="clear" w:color="000000" w:fill="FFFFFF"/>
            <w:noWrap/>
            <w:vAlign w:val="bottom"/>
          </w:tcPr>
          <w:p w14:paraId="09FF2604">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36" w:type="dxa"/>
            <w:tcBorders>
              <w:top w:val="nil"/>
              <w:left w:val="nil"/>
              <w:bottom w:val="nil"/>
              <w:right w:val="nil"/>
            </w:tcBorders>
            <w:shd w:val="clear" w:color="000000" w:fill="FFFFFF"/>
            <w:noWrap/>
            <w:vAlign w:val="bottom"/>
          </w:tcPr>
          <w:p w14:paraId="050665EC">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2" w:type="dxa"/>
            <w:gridSpan w:val="2"/>
            <w:tcBorders>
              <w:top w:val="nil"/>
              <w:left w:val="single" w:color="auto" w:sz="4" w:space="0"/>
              <w:bottom w:val="single" w:color="auto" w:sz="4" w:space="0"/>
              <w:right w:val="nil"/>
            </w:tcBorders>
            <w:shd w:val="clear" w:color="000000" w:fill="FFFFFF"/>
            <w:noWrap/>
            <w:vAlign w:val="bottom"/>
          </w:tcPr>
          <w:p w14:paraId="7BC31CF3">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36" w:type="dxa"/>
            <w:gridSpan w:val="2"/>
            <w:tcBorders>
              <w:top w:val="nil"/>
              <w:left w:val="nil"/>
              <w:bottom w:val="single" w:color="auto" w:sz="4" w:space="0"/>
              <w:right w:val="nil"/>
            </w:tcBorders>
            <w:shd w:val="clear" w:color="000000" w:fill="FFFFFF"/>
            <w:noWrap/>
            <w:vAlign w:val="bottom"/>
          </w:tcPr>
          <w:p w14:paraId="1F3B3E0D">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48" w:type="dxa"/>
            <w:tcBorders>
              <w:top w:val="nil"/>
              <w:left w:val="nil"/>
              <w:bottom w:val="single" w:color="auto" w:sz="4" w:space="0"/>
              <w:right w:val="nil"/>
            </w:tcBorders>
            <w:shd w:val="clear" w:color="000000" w:fill="FFFFFF"/>
            <w:noWrap/>
            <w:vAlign w:val="bottom"/>
          </w:tcPr>
          <w:p w14:paraId="69BE0C98">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48" w:type="dxa"/>
            <w:gridSpan w:val="2"/>
            <w:tcBorders>
              <w:top w:val="nil"/>
              <w:left w:val="single" w:color="auto" w:sz="4" w:space="0"/>
              <w:bottom w:val="single" w:color="auto" w:sz="4" w:space="0"/>
              <w:right w:val="nil"/>
            </w:tcBorders>
            <w:shd w:val="clear" w:color="000000" w:fill="FFFFFF"/>
            <w:noWrap/>
            <w:vAlign w:val="bottom"/>
          </w:tcPr>
          <w:p w14:paraId="5401D89F">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36" w:type="dxa"/>
            <w:gridSpan w:val="2"/>
            <w:tcBorders>
              <w:top w:val="nil"/>
              <w:left w:val="nil"/>
              <w:bottom w:val="single" w:color="auto" w:sz="4" w:space="0"/>
              <w:right w:val="nil"/>
            </w:tcBorders>
            <w:shd w:val="clear" w:color="000000" w:fill="FFFFFF"/>
            <w:noWrap/>
            <w:vAlign w:val="bottom"/>
          </w:tcPr>
          <w:p w14:paraId="406CF897">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8" w:type="dxa"/>
            <w:tcBorders>
              <w:top w:val="nil"/>
              <w:left w:val="nil"/>
              <w:bottom w:val="single" w:color="auto" w:sz="4" w:space="0"/>
              <w:right w:val="nil"/>
            </w:tcBorders>
            <w:shd w:val="clear" w:color="000000" w:fill="FFFFFF"/>
            <w:noWrap/>
            <w:vAlign w:val="bottom"/>
          </w:tcPr>
          <w:p w14:paraId="0A5EFF17">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8" w:type="dxa"/>
            <w:gridSpan w:val="2"/>
            <w:tcBorders>
              <w:top w:val="nil"/>
              <w:left w:val="single" w:color="auto" w:sz="4" w:space="0"/>
              <w:bottom w:val="single" w:color="auto" w:sz="4" w:space="0"/>
              <w:right w:val="nil"/>
            </w:tcBorders>
            <w:shd w:val="clear" w:color="000000" w:fill="FFFFFF"/>
            <w:noWrap/>
            <w:vAlign w:val="bottom"/>
          </w:tcPr>
          <w:p w14:paraId="12D7F442">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1080" w:type="dxa"/>
            <w:gridSpan w:val="2"/>
            <w:tcBorders>
              <w:top w:val="nil"/>
              <w:left w:val="nil"/>
              <w:bottom w:val="single" w:color="auto" w:sz="4" w:space="0"/>
              <w:right w:val="nil"/>
            </w:tcBorders>
            <w:shd w:val="clear" w:color="000000" w:fill="FFFFFF"/>
            <w:noWrap/>
            <w:vAlign w:val="bottom"/>
          </w:tcPr>
          <w:p w14:paraId="04C83DC2">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320" w:type="dxa"/>
            <w:gridSpan w:val="2"/>
            <w:tcBorders>
              <w:top w:val="nil"/>
              <w:left w:val="nil"/>
              <w:bottom w:val="nil"/>
              <w:right w:val="nil"/>
            </w:tcBorders>
            <w:shd w:val="clear" w:color="000000" w:fill="FFFFFF"/>
            <w:noWrap/>
            <w:vAlign w:val="bottom"/>
          </w:tcPr>
          <w:p w14:paraId="24571F2C">
            <w:pPr>
              <w:widowControl/>
              <w:rPr>
                <w:rFonts w:hint="eastAsia" w:ascii="宋体" w:hAnsi="宋体" w:eastAsia="宋体" w:cs="宋体"/>
                <w:color w:val="auto"/>
                <w:sz w:val="24"/>
                <w:szCs w:val="24"/>
              </w:rPr>
            </w:pPr>
            <w:r>
              <w:rPr>
                <w:rFonts w:hint="eastAsia" w:ascii="宋体" w:hAnsi="宋体" w:eastAsia="宋体" w:cs="宋体"/>
                <w:color w:val="auto"/>
                <w:sz w:val="24"/>
                <w:szCs w:val="24"/>
              </w:rPr>
              <w:t>招标工程单价合同</w:t>
            </w:r>
          </w:p>
        </w:tc>
      </w:tr>
      <w:tr w14:paraId="31B9EB78">
        <w:tblPrEx>
          <w:tblCellMar>
            <w:top w:w="0" w:type="dxa"/>
            <w:left w:w="108" w:type="dxa"/>
            <w:bottom w:w="0" w:type="dxa"/>
            <w:right w:w="108" w:type="dxa"/>
          </w:tblCellMar>
        </w:tblPrEx>
        <w:trPr>
          <w:trHeight w:val="270" w:hRule="atLeast"/>
          <w:jc w:val="center"/>
        </w:trPr>
        <w:tc>
          <w:tcPr>
            <w:tcW w:w="222" w:type="dxa"/>
            <w:tcBorders>
              <w:top w:val="nil"/>
              <w:left w:val="nil"/>
              <w:bottom w:val="nil"/>
              <w:right w:val="nil"/>
            </w:tcBorders>
            <w:shd w:val="clear" w:color="000000" w:fill="FFFFFF"/>
            <w:noWrap/>
            <w:vAlign w:val="bottom"/>
          </w:tcPr>
          <w:p w14:paraId="02506322">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2" w:type="dxa"/>
            <w:tcBorders>
              <w:top w:val="nil"/>
              <w:left w:val="nil"/>
              <w:bottom w:val="nil"/>
              <w:right w:val="nil"/>
            </w:tcBorders>
            <w:shd w:val="clear" w:color="000000" w:fill="FFFFFF"/>
            <w:noWrap/>
            <w:vAlign w:val="bottom"/>
          </w:tcPr>
          <w:p w14:paraId="5777B1A5">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2" w:type="dxa"/>
            <w:tcBorders>
              <w:top w:val="nil"/>
              <w:left w:val="nil"/>
              <w:bottom w:val="nil"/>
              <w:right w:val="nil"/>
            </w:tcBorders>
            <w:shd w:val="clear" w:color="000000" w:fill="FFFFFF"/>
            <w:noWrap/>
            <w:vAlign w:val="bottom"/>
          </w:tcPr>
          <w:p w14:paraId="1B398689">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36" w:type="dxa"/>
            <w:gridSpan w:val="2"/>
            <w:tcBorders>
              <w:top w:val="nil"/>
              <w:left w:val="nil"/>
              <w:bottom w:val="nil"/>
              <w:right w:val="nil"/>
            </w:tcBorders>
            <w:shd w:val="clear" w:color="000000" w:fill="FFFFFF"/>
            <w:noWrap/>
            <w:vAlign w:val="bottom"/>
          </w:tcPr>
          <w:p w14:paraId="6C2BF8CF">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36" w:type="dxa"/>
            <w:tcBorders>
              <w:top w:val="nil"/>
              <w:left w:val="nil"/>
              <w:bottom w:val="nil"/>
              <w:right w:val="nil"/>
            </w:tcBorders>
            <w:shd w:val="clear" w:color="000000" w:fill="FFFFFF"/>
            <w:noWrap/>
            <w:vAlign w:val="bottom"/>
          </w:tcPr>
          <w:p w14:paraId="3DBABA36">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2" w:type="dxa"/>
            <w:gridSpan w:val="2"/>
            <w:tcBorders>
              <w:top w:val="nil"/>
              <w:left w:val="nil"/>
              <w:bottom w:val="nil"/>
              <w:right w:val="nil"/>
            </w:tcBorders>
            <w:shd w:val="clear" w:color="000000" w:fill="FFFFFF"/>
            <w:noWrap/>
            <w:vAlign w:val="bottom"/>
          </w:tcPr>
          <w:p w14:paraId="615BC46E">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36" w:type="dxa"/>
            <w:gridSpan w:val="2"/>
            <w:tcBorders>
              <w:top w:val="nil"/>
              <w:left w:val="nil"/>
              <w:bottom w:val="nil"/>
              <w:right w:val="nil"/>
            </w:tcBorders>
            <w:shd w:val="clear" w:color="000000" w:fill="FFFFFF"/>
            <w:noWrap/>
            <w:vAlign w:val="bottom"/>
          </w:tcPr>
          <w:p w14:paraId="15E35065">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48" w:type="dxa"/>
            <w:tcBorders>
              <w:top w:val="nil"/>
              <w:left w:val="nil"/>
              <w:bottom w:val="nil"/>
              <w:right w:val="nil"/>
            </w:tcBorders>
            <w:shd w:val="clear" w:color="000000" w:fill="FFFFFF"/>
            <w:noWrap/>
            <w:vAlign w:val="bottom"/>
          </w:tcPr>
          <w:p w14:paraId="779A017F">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48" w:type="dxa"/>
            <w:gridSpan w:val="2"/>
            <w:tcBorders>
              <w:top w:val="nil"/>
              <w:left w:val="single" w:color="auto" w:sz="4" w:space="0"/>
              <w:bottom w:val="single" w:color="auto" w:sz="4" w:space="0"/>
              <w:right w:val="nil"/>
            </w:tcBorders>
            <w:shd w:val="clear" w:color="000000" w:fill="FFFFFF"/>
            <w:noWrap/>
            <w:vAlign w:val="bottom"/>
          </w:tcPr>
          <w:p w14:paraId="5ADB53A9">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36" w:type="dxa"/>
            <w:gridSpan w:val="2"/>
            <w:tcBorders>
              <w:top w:val="nil"/>
              <w:left w:val="nil"/>
              <w:bottom w:val="single" w:color="auto" w:sz="4" w:space="0"/>
              <w:right w:val="nil"/>
            </w:tcBorders>
            <w:shd w:val="clear" w:color="000000" w:fill="FFFFFF"/>
            <w:noWrap/>
            <w:vAlign w:val="bottom"/>
          </w:tcPr>
          <w:p w14:paraId="170606FA">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8" w:type="dxa"/>
            <w:tcBorders>
              <w:top w:val="nil"/>
              <w:left w:val="nil"/>
              <w:bottom w:val="single" w:color="auto" w:sz="4" w:space="0"/>
              <w:right w:val="nil"/>
            </w:tcBorders>
            <w:shd w:val="clear" w:color="000000" w:fill="FFFFFF"/>
            <w:noWrap/>
            <w:vAlign w:val="bottom"/>
          </w:tcPr>
          <w:p w14:paraId="17EDADE6">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8" w:type="dxa"/>
            <w:gridSpan w:val="2"/>
            <w:tcBorders>
              <w:top w:val="nil"/>
              <w:left w:val="single" w:color="auto" w:sz="4" w:space="0"/>
              <w:bottom w:val="single" w:color="auto" w:sz="4" w:space="0"/>
              <w:right w:val="nil"/>
            </w:tcBorders>
            <w:shd w:val="clear" w:color="000000" w:fill="FFFFFF"/>
            <w:noWrap/>
            <w:vAlign w:val="bottom"/>
          </w:tcPr>
          <w:p w14:paraId="1CC336FB">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1080" w:type="dxa"/>
            <w:gridSpan w:val="2"/>
            <w:tcBorders>
              <w:top w:val="nil"/>
              <w:left w:val="nil"/>
              <w:bottom w:val="single" w:color="auto" w:sz="4" w:space="0"/>
              <w:right w:val="nil"/>
            </w:tcBorders>
            <w:shd w:val="clear" w:color="000000" w:fill="FFFFFF"/>
            <w:noWrap/>
            <w:vAlign w:val="bottom"/>
          </w:tcPr>
          <w:p w14:paraId="3909E9C4">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320" w:type="dxa"/>
            <w:gridSpan w:val="2"/>
            <w:tcBorders>
              <w:top w:val="nil"/>
              <w:left w:val="nil"/>
              <w:bottom w:val="nil"/>
              <w:right w:val="nil"/>
            </w:tcBorders>
            <w:shd w:val="clear" w:color="000000" w:fill="FFFFFF"/>
            <w:noWrap/>
            <w:vAlign w:val="bottom"/>
          </w:tcPr>
          <w:p w14:paraId="7E091233">
            <w:pPr>
              <w:widowControl/>
              <w:rPr>
                <w:rFonts w:ascii="宋体" w:hAnsi="宋体" w:eastAsia="宋体" w:cs="宋体"/>
                <w:color w:val="auto"/>
                <w:sz w:val="24"/>
                <w:szCs w:val="24"/>
              </w:rPr>
            </w:pPr>
            <w:r>
              <w:rPr>
                <w:rFonts w:hint="eastAsia" w:ascii="宋体" w:hAnsi="宋体" w:eastAsia="宋体" w:cs="宋体"/>
                <w:color w:val="auto"/>
                <w:sz w:val="24"/>
                <w:szCs w:val="24"/>
              </w:rPr>
              <w:t>20</w:t>
            </w:r>
            <w:r>
              <w:rPr>
                <w:rFonts w:ascii="宋体" w:hAnsi="宋体" w:eastAsia="宋体" w:cs="宋体"/>
                <w:color w:val="auto"/>
                <w:sz w:val="24"/>
                <w:szCs w:val="24"/>
              </w:rPr>
              <w:t>2</w:t>
            </w:r>
            <w:r>
              <w:rPr>
                <w:rFonts w:hint="eastAsia" w:ascii="宋体" w:hAnsi="宋体" w:eastAsia="宋体" w:cs="宋体"/>
                <w:color w:val="auto"/>
                <w:sz w:val="24"/>
                <w:szCs w:val="24"/>
              </w:rPr>
              <w:t>5版</w:t>
            </w:r>
          </w:p>
        </w:tc>
      </w:tr>
      <w:tr w14:paraId="225F54B8">
        <w:tblPrEx>
          <w:tblCellMar>
            <w:top w:w="0" w:type="dxa"/>
            <w:left w:w="108" w:type="dxa"/>
            <w:bottom w:w="0" w:type="dxa"/>
            <w:right w:w="108" w:type="dxa"/>
          </w:tblCellMar>
        </w:tblPrEx>
        <w:trPr>
          <w:trHeight w:val="270" w:hRule="atLeast"/>
          <w:jc w:val="center"/>
        </w:trPr>
        <w:tc>
          <w:tcPr>
            <w:tcW w:w="222" w:type="dxa"/>
            <w:tcBorders>
              <w:top w:val="nil"/>
              <w:left w:val="nil"/>
              <w:bottom w:val="nil"/>
              <w:right w:val="nil"/>
            </w:tcBorders>
            <w:shd w:val="clear" w:color="000000" w:fill="FFFFFF"/>
            <w:noWrap/>
            <w:vAlign w:val="bottom"/>
          </w:tcPr>
          <w:p w14:paraId="1E344AD0">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2" w:type="dxa"/>
            <w:tcBorders>
              <w:top w:val="nil"/>
              <w:left w:val="nil"/>
              <w:bottom w:val="nil"/>
              <w:right w:val="nil"/>
            </w:tcBorders>
            <w:shd w:val="clear" w:color="000000" w:fill="FFFFFF"/>
            <w:noWrap/>
            <w:vAlign w:val="bottom"/>
          </w:tcPr>
          <w:p w14:paraId="4CAA030D">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2" w:type="dxa"/>
            <w:tcBorders>
              <w:top w:val="nil"/>
              <w:left w:val="nil"/>
              <w:bottom w:val="nil"/>
              <w:right w:val="nil"/>
            </w:tcBorders>
            <w:shd w:val="clear" w:color="000000" w:fill="FFFFFF"/>
            <w:noWrap/>
            <w:vAlign w:val="bottom"/>
          </w:tcPr>
          <w:p w14:paraId="28FE9E05">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36" w:type="dxa"/>
            <w:gridSpan w:val="2"/>
            <w:tcBorders>
              <w:top w:val="nil"/>
              <w:left w:val="nil"/>
              <w:bottom w:val="nil"/>
              <w:right w:val="nil"/>
            </w:tcBorders>
            <w:shd w:val="clear" w:color="000000" w:fill="FFFFFF"/>
            <w:noWrap/>
            <w:vAlign w:val="bottom"/>
          </w:tcPr>
          <w:p w14:paraId="0EBDA17E">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36" w:type="dxa"/>
            <w:tcBorders>
              <w:top w:val="nil"/>
              <w:left w:val="nil"/>
              <w:bottom w:val="nil"/>
              <w:right w:val="nil"/>
            </w:tcBorders>
            <w:shd w:val="clear" w:color="000000" w:fill="FFFFFF"/>
            <w:noWrap/>
            <w:vAlign w:val="bottom"/>
          </w:tcPr>
          <w:p w14:paraId="2573A89A">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2" w:type="dxa"/>
            <w:gridSpan w:val="2"/>
            <w:tcBorders>
              <w:top w:val="nil"/>
              <w:left w:val="nil"/>
              <w:bottom w:val="nil"/>
              <w:right w:val="nil"/>
            </w:tcBorders>
            <w:shd w:val="clear" w:color="000000" w:fill="FFFFFF"/>
            <w:noWrap/>
            <w:vAlign w:val="bottom"/>
          </w:tcPr>
          <w:p w14:paraId="0ABCD555">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36" w:type="dxa"/>
            <w:gridSpan w:val="2"/>
            <w:tcBorders>
              <w:top w:val="nil"/>
              <w:left w:val="nil"/>
              <w:bottom w:val="nil"/>
              <w:right w:val="nil"/>
            </w:tcBorders>
            <w:shd w:val="clear" w:color="000000" w:fill="FFFFFF"/>
            <w:noWrap/>
            <w:vAlign w:val="bottom"/>
          </w:tcPr>
          <w:p w14:paraId="72F8D712">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48" w:type="dxa"/>
            <w:tcBorders>
              <w:top w:val="nil"/>
              <w:left w:val="nil"/>
              <w:bottom w:val="nil"/>
              <w:right w:val="nil"/>
            </w:tcBorders>
            <w:shd w:val="clear" w:color="000000" w:fill="FFFFFF"/>
            <w:noWrap/>
            <w:vAlign w:val="bottom"/>
          </w:tcPr>
          <w:p w14:paraId="321C02EC">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48" w:type="dxa"/>
            <w:gridSpan w:val="2"/>
            <w:tcBorders>
              <w:top w:val="nil"/>
              <w:left w:val="nil"/>
              <w:bottom w:val="nil"/>
              <w:right w:val="nil"/>
            </w:tcBorders>
            <w:shd w:val="clear" w:color="000000" w:fill="FFFFFF"/>
            <w:noWrap/>
            <w:vAlign w:val="bottom"/>
          </w:tcPr>
          <w:p w14:paraId="40D0528E">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336" w:type="dxa"/>
            <w:gridSpan w:val="2"/>
            <w:tcBorders>
              <w:top w:val="nil"/>
              <w:left w:val="nil"/>
              <w:bottom w:val="nil"/>
              <w:right w:val="nil"/>
            </w:tcBorders>
            <w:shd w:val="clear" w:color="000000" w:fill="FFFFFF"/>
            <w:noWrap/>
            <w:vAlign w:val="bottom"/>
          </w:tcPr>
          <w:p w14:paraId="26D9280A">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8" w:type="dxa"/>
            <w:tcBorders>
              <w:top w:val="nil"/>
              <w:left w:val="nil"/>
              <w:bottom w:val="nil"/>
              <w:right w:val="nil"/>
            </w:tcBorders>
            <w:shd w:val="clear" w:color="000000" w:fill="FFFFFF"/>
            <w:noWrap/>
            <w:vAlign w:val="bottom"/>
          </w:tcPr>
          <w:p w14:paraId="6E653435">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28" w:type="dxa"/>
            <w:gridSpan w:val="2"/>
            <w:tcBorders>
              <w:top w:val="nil"/>
              <w:left w:val="single" w:color="auto" w:sz="4" w:space="0"/>
              <w:bottom w:val="single" w:color="auto" w:sz="4" w:space="0"/>
              <w:right w:val="nil"/>
            </w:tcBorders>
            <w:shd w:val="clear" w:color="000000" w:fill="FFFFFF"/>
            <w:noWrap/>
            <w:vAlign w:val="bottom"/>
          </w:tcPr>
          <w:p w14:paraId="0F2B195C">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1080" w:type="dxa"/>
            <w:gridSpan w:val="2"/>
            <w:tcBorders>
              <w:top w:val="nil"/>
              <w:left w:val="nil"/>
              <w:bottom w:val="single" w:color="auto" w:sz="4" w:space="0"/>
              <w:right w:val="nil"/>
            </w:tcBorders>
            <w:shd w:val="clear" w:color="000000" w:fill="FFFFFF"/>
            <w:noWrap/>
            <w:vAlign w:val="bottom"/>
          </w:tcPr>
          <w:p w14:paraId="23D28F7E">
            <w:pPr>
              <w:widowControl/>
              <w:rPr>
                <w:rFonts w:ascii="宋体" w:hAnsi="宋体" w:eastAsia="宋体" w:cs="宋体"/>
                <w:color w:val="auto"/>
                <w:sz w:val="24"/>
                <w:szCs w:val="24"/>
              </w:rPr>
            </w:pPr>
            <w:r>
              <w:rPr>
                <w:rFonts w:hint="eastAsia" w:ascii="宋体" w:hAnsi="宋体" w:eastAsia="宋体" w:cs="宋体"/>
                <w:color w:val="auto"/>
                <w:sz w:val="24"/>
                <w:szCs w:val="24"/>
              </w:rPr>
              <w:t>　</w:t>
            </w:r>
          </w:p>
        </w:tc>
        <w:tc>
          <w:tcPr>
            <w:tcW w:w="2320" w:type="dxa"/>
            <w:gridSpan w:val="2"/>
            <w:tcBorders>
              <w:top w:val="nil"/>
              <w:left w:val="nil"/>
              <w:bottom w:val="nil"/>
              <w:right w:val="nil"/>
            </w:tcBorders>
            <w:shd w:val="clear" w:color="000000" w:fill="FFFFFF"/>
            <w:noWrap/>
            <w:vAlign w:val="bottom"/>
          </w:tcPr>
          <w:p w14:paraId="1A99F892">
            <w:pPr>
              <w:widowControl/>
              <w:rPr>
                <w:rFonts w:hint="default" w:ascii="宋体" w:hAnsi="宋体" w:eastAsia="宋体" w:cs="宋体"/>
                <w:color w:val="auto"/>
                <w:sz w:val="24"/>
                <w:szCs w:val="24"/>
              </w:rPr>
            </w:pPr>
            <w:r>
              <w:rPr>
                <w:rFonts w:hint="eastAsia" w:ascii="宋体" w:hAnsi="宋体" w:eastAsia="宋体" w:cs="宋体"/>
                <w:color w:val="auto"/>
                <w:sz w:val="24"/>
                <w:szCs w:val="24"/>
                <w:lang w:val="en-US" w:eastAsia="zh-CN"/>
              </w:rPr>
              <w:t>第一版</w:t>
            </w:r>
          </w:p>
        </w:tc>
      </w:tr>
    </w:tbl>
    <w:p w14:paraId="25DFD986">
      <w:pPr>
        <w:spacing w:line="360" w:lineRule="auto"/>
        <w:ind w:firstLine="560"/>
        <w:rPr>
          <w:rFonts w:hint="eastAsia" w:ascii="Times New Roman" w:hAnsi="Times New Roman" w:eastAsia="黑体" w:cs="Times New Roman"/>
          <w:sz w:val="28"/>
          <w:szCs w:val="28"/>
        </w:rPr>
      </w:pPr>
    </w:p>
    <w:p w14:paraId="3EC71103">
      <w:pPr>
        <w:keepNext w:val="0"/>
        <w:keepLines w:val="0"/>
        <w:widowControl/>
        <w:numPr>
          <w:ilvl w:val="0"/>
          <w:numId w:val="0"/>
        </w:numPr>
        <w:spacing w:before="240" w:after="240"/>
        <w:jc w:val="center"/>
        <w:outlineLvl w:val="0"/>
        <w:rPr>
          <w:rFonts w:hint="eastAsia" w:ascii="宋体" w:hAnsi="宋体" w:eastAsia="宋体" w:cs="Times New Roman"/>
          <w:b/>
          <w:bCs/>
          <w:snapToGrid w:val="0"/>
          <w:kern w:val="0"/>
          <w:sz w:val="32"/>
          <w:szCs w:val="44"/>
          <w:lang w:val="en-US" w:eastAsia="zh-CN" w:bidi="ar-SA"/>
        </w:rPr>
        <w:sectPr>
          <w:pgSz w:w="11907" w:h="16840"/>
          <w:pgMar w:top="1417" w:right="1417" w:bottom="1417" w:left="1417" w:header="851" w:footer="851" w:gutter="0"/>
          <w:pgNumType w:fmt="decimal"/>
          <w:cols w:space="425" w:num="1"/>
          <w:docGrid w:type="lines" w:linePitch="312" w:charSpace="0"/>
        </w:sectPr>
      </w:pPr>
    </w:p>
    <w:p w14:paraId="3FDB9C2F">
      <w:pPr>
        <w:keepNext w:val="0"/>
        <w:keepLines w:val="0"/>
        <w:widowControl/>
        <w:numPr>
          <w:ilvl w:val="0"/>
          <w:numId w:val="0"/>
        </w:numPr>
        <w:spacing w:before="240" w:after="240"/>
        <w:jc w:val="center"/>
        <w:outlineLvl w:val="0"/>
        <w:rPr>
          <w:rFonts w:ascii="宋体" w:hAnsi="宋体" w:eastAsia="宋体" w:cs="Times New Roman"/>
          <w:b/>
          <w:bCs/>
          <w:snapToGrid w:val="0"/>
          <w:kern w:val="0"/>
          <w:sz w:val="32"/>
          <w:szCs w:val="44"/>
          <w:lang w:val="en-US" w:eastAsia="zh-CN" w:bidi="ar-SA"/>
        </w:rPr>
      </w:pPr>
      <w:r>
        <w:rPr>
          <w:rFonts w:hint="eastAsia" w:ascii="宋体" w:hAnsi="宋体" w:eastAsia="宋体" w:cs="Times New Roman"/>
          <w:b/>
          <w:bCs/>
          <w:snapToGrid w:val="0"/>
          <w:kern w:val="0"/>
          <w:sz w:val="32"/>
          <w:szCs w:val="44"/>
          <w:lang w:val="en-US" w:eastAsia="zh-CN" w:bidi="ar-SA"/>
        </w:rPr>
        <w:t>第一部分 协议书</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12141366">
      <w:pPr>
        <w:spacing w:line="360" w:lineRule="auto"/>
        <w:ind w:firstLine="519"/>
        <w:rPr>
          <w:rFonts w:ascii="宋体" w:hAnsi="宋体" w:eastAsia="宋体" w:cs="Times New Roman"/>
          <w:b/>
          <w:bCs/>
          <w:sz w:val="24"/>
          <w:szCs w:val="24"/>
        </w:rPr>
      </w:pPr>
      <w:r>
        <w:rPr>
          <w:rFonts w:hint="eastAsia" w:ascii="宋体" w:hAnsi="宋体" w:eastAsia="宋体" w:cs="Times New Roman"/>
          <w:b/>
          <w:bCs/>
          <w:sz w:val="24"/>
          <w:szCs w:val="24"/>
        </w:rPr>
        <w:t>发包人</w:t>
      </w:r>
      <w:r>
        <w:rPr>
          <w:rFonts w:hint="eastAsia" w:ascii="宋体" w:hAnsi="宋体" w:eastAsia="宋体" w:cs="Times New Roman"/>
          <w:bCs/>
          <w:sz w:val="24"/>
          <w:szCs w:val="24"/>
        </w:rPr>
        <w:t>(全称)：</w:t>
      </w:r>
      <w:r>
        <w:rPr>
          <w:rFonts w:hint="eastAsia" w:ascii="宋体" w:hAnsi="宋体" w:eastAsia="宋体" w:cs="Times New Roman"/>
          <w:sz w:val="24"/>
          <w:szCs w:val="24"/>
          <w:u w:val="single"/>
        </w:rPr>
        <w:t xml:space="preserve"> </w:t>
      </w:r>
      <w:r>
        <w:rPr>
          <w:rFonts w:hint="eastAsia" w:ascii="宋体" w:hAnsi="宋体" w:eastAsia="宋体" w:cs="Times New Roman"/>
          <w:b/>
          <w:bCs/>
          <w:sz w:val="24"/>
          <w:szCs w:val="24"/>
          <w:u w:val="single"/>
        </w:rPr>
        <w:t xml:space="preserve">                                    </w:t>
      </w:r>
      <w:r>
        <w:rPr>
          <w:rFonts w:hint="eastAsia" w:ascii="宋体" w:hAnsi="宋体" w:eastAsia="宋体" w:cs="Times New Roman"/>
          <w:sz w:val="24"/>
          <w:szCs w:val="24"/>
          <w:u w:val="single"/>
        </w:rPr>
        <w:t xml:space="preserve"> </w:t>
      </w:r>
    </w:p>
    <w:p w14:paraId="16CF309C">
      <w:pPr>
        <w:spacing w:line="360" w:lineRule="auto"/>
        <w:ind w:firstLine="519"/>
        <w:rPr>
          <w:rFonts w:ascii="宋体" w:hAnsi="宋体" w:eastAsia="宋体" w:cs="Times New Roman"/>
          <w:b/>
          <w:bCs/>
          <w:sz w:val="24"/>
          <w:szCs w:val="24"/>
        </w:rPr>
      </w:pPr>
      <w:r>
        <w:rPr>
          <w:rFonts w:hint="eastAsia" w:ascii="宋体" w:hAnsi="宋体" w:eastAsia="宋体" w:cs="Times New Roman"/>
          <w:b/>
          <w:bCs/>
          <w:sz w:val="24"/>
          <w:szCs w:val="24"/>
        </w:rPr>
        <w:t>承包人</w:t>
      </w:r>
      <w:r>
        <w:rPr>
          <w:rFonts w:hint="eastAsia" w:ascii="宋体" w:hAnsi="宋体" w:eastAsia="宋体" w:cs="Times New Roman"/>
          <w:bCs/>
          <w:sz w:val="24"/>
          <w:szCs w:val="24"/>
        </w:rPr>
        <w:t>(全称)</w:t>
      </w:r>
      <w:r>
        <w:rPr>
          <w:rFonts w:hint="eastAsia" w:ascii="宋体" w:hAnsi="宋体" w:eastAsia="宋体" w:cs="Times New Roman"/>
          <w:b/>
          <w:bCs/>
          <w:sz w:val="24"/>
          <w:szCs w:val="24"/>
        </w:rPr>
        <w:t>：</w:t>
      </w:r>
      <w:r>
        <w:rPr>
          <w:rFonts w:hint="eastAsia" w:ascii="宋体" w:hAnsi="宋体" w:eastAsia="宋体" w:cs="Times New Roman"/>
          <w:sz w:val="24"/>
          <w:szCs w:val="24"/>
          <w:u w:val="single"/>
        </w:rPr>
        <w:t xml:space="preserve">                                      </w:t>
      </w:r>
    </w:p>
    <w:p w14:paraId="35C3F69C">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根据《中华人民共和国民法典》、《中华人民共和国建筑法》、《中华人民共和国招标投标法》、《</w:t>
      </w:r>
      <w:r>
        <w:rPr>
          <w:rFonts w:ascii="宋体" w:hAnsi="宋体" w:eastAsia="宋体" w:cs="Times New Roman"/>
          <w:sz w:val="24"/>
          <w:szCs w:val="24"/>
        </w:rPr>
        <w:t>深圳经济特区建设工程施工招标投标条例</w:t>
      </w:r>
      <w:r>
        <w:rPr>
          <w:rFonts w:hint="eastAsia" w:ascii="宋体" w:hAnsi="宋体" w:eastAsia="宋体" w:cs="Times New Roman"/>
          <w:sz w:val="24"/>
          <w:szCs w:val="24"/>
        </w:rPr>
        <w:t>》及其他有关法律、法规，遵循平等、自愿、公平和诚实信用的原则，发包人和承包人就本工程施工事项协商一致，订立本合同，达成协议如下：</w:t>
      </w:r>
    </w:p>
    <w:p w14:paraId="4DE57442">
      <w:pPr>
        <w:keepNext w:val="0"/>
        <w:keepLines w:val="0"/>
        <w:widowControl/>
        <w:numPr>
          <w:ilvl w:val="0"/>
          <w:numId w:val="0"/>
        </w:numPr>
        <w:spacing w:before="0" w:after="0"/>
        <w:jc w:val="left"/>
        <w:outlineLvl w:val="0"/>
        <w:rPr>
          <w:rFonts w:ascii="宋体" w:hAnsi="宋体" w:eastAsia="宋体" w:cs="Times New Roman"/>
          <w:b/>
          <w:bCs/>
          <w:snapToGrid w:val="0"/>
          <w:kern w:val="0"/>
          <w:sz w:val="30"/>
          <w:szCs w:val="44"/>
          <w:lang w:val="en-US" w:eastAsia="zh-CN" w:bidi="ar-SA"/>
        </w:rPr>
      </w:pPr>
      <w:bookmarkStart w:id="124" w:name="_Toc1155082773"/>
      <w:bookmarkStart w:id="125" w:name="_Toc7869"/>
      <w:bookmarkStart w:id="126" w:name="_Toc30567"/>
      <w:bookmarkStart w:id="127" w:name="_Toc201735219"/>
      <w:bookmarkStart w:id="128" w:name="_Toc302635678"/>
      <w:bookmarkStart w:id="129" w:name="_Toc27383"/>
      <w:bookmarkStart w:id="130" w:name="_Toc3004"/>
      <w:bookmarkStart w:id="131" w:name="_Toc208587424"/>
      <w:bookmarkStart w:id="132" w:name="_Toc17539"/>
      <w:bookmarkStart w:id="133" w:name="_Toc3339"/>
      <w:bookmarkStart w:id="134" w:name="_Toc1563"/>
      <w:bookmarkStart w:id="135" w:name="_Toc19619"/>
      <w:bookmarkStart w:id="136" w:name="_Toc21551"/>
      <w:bookmarkStart w:id="137" w:name="_Toc16659"/>
      <w:r>
        <w:rPr>
          <w:rFonts w:hint="eastAsia" w:ascii="宋体" w:hAnsi="宋体" w:eastAsia="宋体" w:cs="Times New Roman"/>
          <w:b/>
          <w:bCs/>
          <w:snapToGrid w:val="0"/>
          <w:kern w:val="0"/>
          <w:sz w:val="30"/>
          <w:szCs w:val="44"/>
          <w:lang w:val="en-US" w:eastAsia="zh-CN" w:bidi="ar-SA"/>
        </w:rPr>
        <w:t>一、工程概况</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7BADB5EE">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工程名称：</w:t>
      </w:r>
      <w:r>
        <w:rPr>
          <w:rFonts w:hint="eastAsia" w:ascii="宋体" w:hAnsi="宋体" w:eastAsia="宋体" w:cs="Times New Roman"/>
          <w:sz w:val="24"/>
          <w:szCs w:val="24"/>
          <w:u w:val="single"/>
        </w:rPr>
        <w:t xml:space="preserve">                                                                </w:t>
      </w:r>
    </w:p>
    <w:p w14:paraId="1737992D">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工程地点：</w:t>
      </w:r>
      <w:r>
        <w:rPr>
          <w:rFonts w:hint="eastAsia" w:ascii="宋体" w:hAnsi="宋体" w:eastAsia="宋体" w:cs="Times New Roman"/>
          <w:sz w:val="24"/>
          <w:szCs w:val="24"/>
          <w:u w:val="single"/>
        </w:rPr>
        <w:t xml:space="preserve">                                                           </w:t>
      </w:r>
    </w:p>
    <w:p w14:paraId="7FD01795">
      <w:pPr>
        <w:spacing w:line="360" w:lineRule="auto"/>
        <w:ind w:firstLine="480"/>
        <w:rPr>
          <w:rFonts w:ascii="宋体" w:hAnsi="宋体" w:eastAsia="宋体" w:cs="Times New Roman"/>
          <w:sz w:val="24"/>
          <w:szCs w:val="24"/>
          <w:u w:val="single"/>
        </w:rPr>
      </w:pPr>
      <w:r>
        <w:rPr>
          <w:rFonts w:ascii="宋体" w:hAnsi="宋体" w:eastAsia="宋体" w:cs="Times New Roman"/>
          <w:sz w:val="24"/>
          <w:szCs w:val="24"/>
        </w:rPr>
        <w:t>核准（备案）证编号</w:t>
      </w:r>
      <w:r>
        <w:rPr>
          <w:rFonts w:hint="eastAsia" w:ascii="宋体" w:hAnsi="宋体" w:eastAsia="宋体" w:cs="Times New Roman"/>
          <w:sz w:val="24"/>
          <w:szCs w:val="24"/>
        </w:rPr>
        <w:t>：</w:t>
      </w:r>
      <w:r>
        <w:rPr>
          <w:rFonts w:hint="eastAsia" w:ascii="宋体" w:hAnsi="宋体" w:eastAsia="宋体" w:cs="Times New Roman"/>
          <w:sz w:val="24"/>
          <w:szCs w:val="24"/>
          <w:u w:val="single"/>
        </w:rPr>
        <w:t xml:space="preserve">                                                 </w:t>
      </w:r>
    </w:p>
    <w:p w14:paraId="05971A69">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工程规模及特征：</w:t>
      </w:r>
      <w:r>
        <w:rPr>
          <w:rFonts w:hint="eastAsia" w:ascii="宋体" w:hAnsi="宋体" w:eastAsia="宋体" w:cs="Times New Roman"/>
          <w:sz w:val="24"/>
          <w:szCs w:val="24"/>
          <w:u w:val="single"/>
        </w:rPr>
        <w:t xml:space="preserve">                                                   </w:t>
      </w:r>
    </w:p>
    <w:p w14:paraId="69A85882">
      <w:pPr>
        <w:spacing w:line="360" w:lineRule="auto"/>
        <w:ind w:firstLine="480"/>
        <w:rPr>
          <w:rFonts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5BEFE6B0">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资金来源：财政资金</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%；非财政国有资金</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%；集体资金</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%；民营资金</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%；外商投资</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%；混合经济</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%；其他</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3ACD64E6">
      <w:pPr>
        <w:keepNext w:val="0"/>
        <w:keepLines w:val="0"/>
        <w:widowControl/>
        <w:numPr>
          <w:ilvl w:val="0"/>
          <w:numId w:val="0"/>
        </w:numPr>
        <w:spacing w:before="0" w:after="0"/>
        <w:jc w:val="left"/>
        <w:outlineLvl w:val="0"/>
        <w:rPr>
          <w:rFonts w:ascii="宋体" w:hAnsi="宋体" w:eastAsia="宋体" w:cs="Times New Roman"/>
          <w:b/>
          <w:bCs/>
          <w:snapToGrid w:val="0"/>
          <w:kern w:val="0"/>
          <w:sz w:val="30"/>
          <w:szCs w:val="44"/>
          <w:lang w:val="en-US" w:eastAsia="zh-CN" w:bidi="ar-SA"/>
        </w:rPr>
      </w:pPr>
      <w:bookmarkStart w:id="138" w:name="_Toc21315"/>
      <w:bookmarkStart w:id="139" w:name="_Toc15817"/>
      <w:bookmarkStart w:id="140" w:name="_Toc1669986885"/>
      <w:bookmarkStart w:id="141" w:name="_Toc8242"/>
      <w:bookmarkStart w:id="142" w:name="_Toc3171"/>
      <w:bookmarkStart w:id="143" w:name="_Toc208587425"/>
      <w:bookmarkStart w:id="144" w:name="_Toc201735220"/>
      <w:bookmarkStart w:id="145" w:name="_Toc8530"/>
      <w:bookmarkStart w:id="146" w:name="_Toc19789"/>
      <w:bookmarkStart w:id="147" w:name="_Toc13273"/>
      <w:bookmarkStart w:id="148" w:name="_Toc26784"/>
      <w:bookmarkStart w:id="149" w:name="_Toc302635679"/>
      <w:bookmarkStart w:id="150" w:name="_Toc15464"/>
      <w:bookmarkStart w:id="151" w:name="_Toc18525"/>
      <w:r>
        <w:rPr>
          <w:rFonts w:hint="eastAsia" w:ascii="宋体" w:hAnsi="宋体" w:eastAsia="宋体" w:cs="Times New Roman"/>
          <w:b/>
          <w:bCs/>
          <w:snapToGrid w:val="0"/>
          <w:kern w:val="0"/>
          <w:sz w:val="30"/>
          <w:szCs w:val="44"/>
          <w:lang w:val="en-US" w:eastAsia="zh-CN" w:bidi="ar-SA"/>
        </w:rPr>
        <w:t>二、工程承包范围</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7FC6EC11">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6F3FABC3">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1DBF6D6E">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2FF03430">
      <w:pPr>
        <w:spacing w:line="360" w:lineRule="auto"/>
        <w:ind w:firstLine="480"/>
        <w:rPr>
          <w:rFonts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67973BEB">
      <w:pPr>
        <w:spacing w:line="360" w:lineRule="auto"/>
        <w:rPr>
          <w:rFonts w:hint="eastAsia" w:ascii="宋体" w:hAnsi="宋体" w:eastAsia="宋体" w:cs="Times New Roman"/>
          <w:b/>
          <w:sz w:val="24"/>
          <w:szCs w:val="24"/>
        </w:rPr>
      </w:pPr>
      <w:r>
        <w:rPr>
          <w:rFonts w:hint="eastAsia" w:ascii="宋体" w:hAnsi="宋体" w:eastAsia="宋体" w:cs="Times New Roman"/>
          <w:b/>
          <w:sz w:val="24"/>
          <w:szCs w:val="24"/>
        </w:rPr>
        <w:t>1.市政公用及配套专业工程、其他工程：</w:t>
      </w:r>
      <w:r>
        <w:rPr>
          <w:rFonts w:hint="eastAsia" w:ascii="宋体" w:hAnsi="宋体" w:eastAsia="宋体" w:cs="Times New Roman"/>
          <w:szCs w:val="21"/>
        </w:rPr>
        <w:t>(在□内打√，并填写相应的工程量)</w:t>
      </w:r>
    </w:p>
    <w:tbl>
      <w:tblPr>
        <w:tblStyle w:val="41"/>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2"/>
        <w:gridCol w:w="4392"/>
      </w:tblGrid>
      <w:tr w14:paraId="77E12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4392" w:type="dxa"/>
            <w:tcBorders>
              <w:top w:val="single" w:color="auto" w:sz="4" w:space="0"/>
              <w:left w:val="single" w:color="auto" w:sz="4" w:space="0"/>
              <w:bottom w:val="single" w:color="auto" w:sz="4" w:space="0"/>
              <w:right w:val="single" w:color="auto" w:sz="4" w:space="0"/>
            </w:tcBorders>
            <w:noWrap w:val="0"/>
            <w:vAlign w:val="center"/>
          </w:tcPr>
          <w:p w14:paraId="1B88E8FE">
            <w:pPr>
              <w:spacing w:line="240" w:lineRule="atLeast"/>
              <w:rPr>
                <w:rFonts w:ascii="楷体_GB2312" w:hAnsi="Times New Roman" w:eastAsia="楷体_GB2312" w:cs="Times New Roman"/>
                <w:bCs/>
                <w:sz w:val="22"/>
                <w:szCs w:val="24"/>
              </w:rPr>
            </w:pPr>
            <w:r>
              <w:rPr>
                <w:rFonts w:hint="eastAsia" w:ascii="楷体_GB2312" w:hAnsi="Times New Roman" w:eastAsia="楷体_GB2312" w:cs="Times New Roman"/>
                <w:bCs/>
                <w:sz w:val="22"/>
                <w:szCs w:val="24"/>
              </w:rPr>
              <w:t>□七通一平工程             万平方米</w:t>
            </w:r>
          </w:p>
        </w:tc>
        <w:tc>
          <w:tcPr>
            <w:tcW w:w="4392" w:type="dxa"/>
            <w:tcBorders>
              <w:top w:val="single" w:color="auto" w:sz="4" w:space="0"/>
              <w:left w:val="single" w:color="auto" w:sz="4" w:space="0"/>
              <w:bottom w:val="single" w:color="auto" w:sz="4" w:space="0"/>
              <w:right w:val="single" w:color="auto" w:sz="4" w:space="0"/>
            </w:tcBorders>
            <w:noWrap w:val="0"/>
            <w:vAlign w:val="center"/>
          </w:tcPr>
          <w:p w14:paraId="6190768F">
            <w:pPr>
              <w:tabs>
                <w:tab w:val="left" w:pos="600"/>
              </w:tabs>
              <w:rPr>
                <w:rFonts w:ascii="楷体_GB2312" w:hAnsi="Times New Roman" w:eastAsia="楷体_GB2312" w:cs="Times New Roman"/>
                <w:bCs/>
                <w:sz w:val="22"/>
                <w:szCs w:val="24"/>
              </w:rPr>
            </w:pPr>
            <w:r>
              <w:rPr>
                <w:rFonts w:hint="eastAsia" w:ascii="楷体_GB2312" w:hAnsi="Times New Roman" w:eastAsia="楷体_GB2312" w:cs="Times New Roman"/>
                <w:bCs/>
                <w:sz w:val="22"/>
                <w:szCs w:val="24"/>
              </w:rPr>
              <w:t>□电信管道工程          米</w:t>
            </w:r>
          </w:p>
        </w:tc>
      </w:tr>
      <w:tr w14:paraId="6B27B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392" w:type="dxa"/>
            <w:tcBorders>
              <w:top w:val="single" w:color="auto" w:sz="4" w:space="0"/>
              <w:left w:val="single" w:color="auto" w:sz="4" w:space="0"/>
              <w:bottom w:val="single" w:color="auto" w:sz="4" w:space="0"/>
              <w:right w:val="single" w:color="auto" w:sz="4" w:space="0"/>
            </w:tcBorders>
            <w:noWrap w:val="0"/>
            <w:vAlign w:val="center"/>
          </w:tcPr>
          <w:p w14:paraId="7362011D">
            <w:pPr>
              <w:spacing w:line="240" w:lineRule="atLeast"/>
              <w:rPr>
                <w:rFonts w:ascii="Times New Roman" w:hAnsi="Times New Roman" w:eastAsia="宋体" w:cs="Times New Roman"/>
                <w:sz w:val="22"/>
                <w:szCs w:val="24"/>
              </w:rPr>
            </w:pPr>
            <w:r>
              <w:rPr>
                <w:rFonts w:hint="eastAsia" w:ascii="楷体_GB2312" w:hAnsi="Times New Roman" w:eastAsia="楷体_GB2312" w:cs="Times New Roman"/>
                <w:bCs/>
                <w:sz w:val="22"/>
                <w:szCs w:val="24"/>
              </w:rPr>
              <w:t>□挡墙护坡工程 长： 米； 宽： 米；高： 米</w:t>
            </w:r>
          </w:p>
        </w:tc>
        <w:tc>
          <w:tcPr>
            <w:tcW w:w="4392" w:type="dxa"/>
            <w:tcBorders>
              <w:top w:val="single" w:color="auto" w:sz="4" w:space="0"/>
              <w:left w:val="single" w:color="auto" w:sz="4" w:space="0"/>
              <w:bottom w:val="single" w:color="auto" w:sz="4" w:space="0"/>
              <w:right w:val="single" w:color="auto" w:sz="4" w:space="0"/>
            </w:tcBorders>
            <w:noWrap w:val="0"/>
            <w:vAlign w:val="center"/>
          </w:tcPr>
          <w:p w14:paraId="7B0A02CC">
            <w:pPr>
              <w:tabs>
                <w:tab w:val="left" w:pos="600"/>
              </w:tabs>
              <w:rPr>
                <w:rFonts w:ascii="楷体_GB2312" w:hAnsi="Times New Roman" w:eastAsia="楷体_GB2312" w:cs="Times New Roman"/>
                <w:bCs/>
                <w:sz w:val="22"/>
                <w:szCs w:val="24"/>
              </w:rPr>
            </w:pPr>
            <w:r>
              <w:rPr>
                <w:rFonts w:hint="eastAsia" w:ascii="楷体_GB2312" w:hAnsi="Times New Roman" w:eastAsia="楷体_GB2312" w:cs="Times New Roman"/>
                <w:bCs/>
                <w:sz w:val="22"/>
                <w:szCs w:val="24"/>
              </w:rPr>
              <w:t xml:space="preserve">□电力管道工程          米        </w:t>
            </w:r>
          </w:p>
        </w:tc>
      </w:tr>
      <w:tr w14:paraId="24F4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392" w:type="dxa"/>
            <w:tcBorders>
              <w:top w:val="single" w:color="auto" w:sz="4" w:space="0"/>
              <w:left w:val="single" w:color="auto" w:sz="4" w:space="0"/>
              <w:bottom w:val="single" w:color="auto" w:sz="4" w:space="0"/>
              <w:right w:val="single" w:color="auto" w:sz="4" w:space="0"/>
            </w:tcBorders>
            <w:noWrap w:val="0"/>
            <w:vAlign w:val="center"/>
          </w:tcPr>
          <w:p w14:paraId="1D10DDCD">
            <w:pPr>
              <w:spacing w:line="240" w:lineRule="atLeast"/>
              <w:rPr>
                <w:rFonts w:ascii="Times New Roman" w:hAnsi="Times New Roman" w:eastAsia="宋体" w:cs="Times New Roman"/>
                <w:sz w:val="22"/>
                <w:szCs w:val="24"/>
              </w:rPr>
            </w:pPr>
            <w:r>
              <w:rPr>
                <w:rFonts w:hint="eastAsia" w:ascii="楷体_GB2312" w:hAnsi="Times New Roman" w:eastAsia="楷体_GB2312" w:cs="Times New Roman"/>
                <w:bCs/>
                <w:sz w:val="22"/>
                <w:szCs w:val="24"/>
              </w:rPr>
              <w:t xml:space="preserve">□软基处理工程            </w:t>
            </w:r>
            <w:r>
              <w:rPr>
                <w:rFonts w:ascii="楷体_GB2312" w:hAnsi="Times New Roman" w:eastAsia="楷体_GB2312" w:cs="Times New Roman"/>
                <w:bCs/>
                <w:sz w:val="22"/>
                <w:szCs w:val="24"/>
              </w:rPr>
              <w:t xml:space="preserve"> </w:t>
            </w:r>
            <w:r>
              <w:rPr>
                <w:rFonts w:hint="eastAsia" w:ascii="楷体_GB2312" w:hAnsi="Times New Roman" w:eastAsia="楷体_GB2312" w:cs="Times New Roman"/>
                <w:bCs/>
                <w:sz w:val="22"/>
                <w:szCs w:val="24"/>
              </w:rPr>
              <w:t>万平方米</w:t>
            </w:r>
          </w:p>
        </w:tc>
        <w:tc>
          <w:tcPr>
            <w:tcW w:w="4392" w:type="dxa"/>
            <w:tcBorders>
              <w:top w:val="single" w:color="auto" w:sz="4" w:space="0"/>
              <w:left w:val="single" w:color="auto" w:sz="4" w:space="0"/>
              <w:bottom w:val="single" w:color="auto" w:sz="4" w:space="0"/>
              <w:right w:val="single" w:color="auto" w:sz="4" w:space="0"/>
            </w:tcBorders>
            <w:noWrap w:val="0"/>
            <w:vAlign w:val="center"/>
          </w:tcPr>
          <w:p w14:paraId="77B7310B">
            <w:pPr>
              <w:tabs>
                <w:tab w:val="left" w:pos="600"/>
              </w:tabs>
              <w:rPr>
                <w:rFonts w:ascii="楷体_GB2312" w:hAnsi="Times New Roman" w:eastAsia="楷体_GB2312" w:cs="Times New Roman"/>
                <w:bCs/>
                <w:sz w:val="22"/>
                <w:szCs w:val="24"/>
              </w:rPr>
            </w:pPr>
            <w:r>
              <w:rPr>
                <w:rFonts w:hint="eastAsia" w:ascii="楷体_GB2312" w:hAnsi="Times New Roman" w:eastAsia="楷体_GB2312" w:cs="Times New Roman"/>
                <w:bCs/>
                <w:sz w:val="22"/>
                <w:szCs w:val="24"/>
              </w:rPr>
              <w:t>□污水处理厂及配套工程     立方米/d</w:t>
            </w:r>
          </w:p>
        </w:tc>
      </w:tr>
      <w:tr w14:paraId="2B39C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392" w:type="dxa"/>
            <w:tcBorders>
              <w:top w:val="single" w:color="auto" w:sz="4" w:space="0"/>
              <w:left w:val="single" w:color="auto" w:sz="4" w:space="0"/>
              <w:bottom w:val="single" w:color="auto" w:sz="4" w:space="0"/>
              <w:right w:val="single" w:color="auto" w:sz="4" w:space="0"/>
            </w:tcBorders>
            <w:noWrap w:val="0"/>
            <w:vAlign w:val="center"/>
          </w:tcPr>
          <w:p w14:paraId="746CFB11">
            <w:pPr>
              <w:spacing w:line="240" w:lineRule="atLeast"/>
              <w:rPr>
                <w:rFonts w:ascii="楷体_GB2312" w:hAnsi="Times New Roman" w:eastAsia="楷体_GB2312" w:cs="Times New Roman"/>
                <w:bCs/>
                <w:sz w:val="22"/>
                <w:szCs w:val="24"/>
              </w:rPr>
            </w:pPr>
            <w:r>
              <w:rPr>
                <w:rFonts w:hint="eastAsia" w:ascii="楷体_GB2312" w:hAnsi="Times New Roman" w:eastAsia="楷体_GB2312" w:cs="Times New Roman"/>
                <w:bCs/>
                <w:sz w:val="22"/>
                <w:szCs w:val="24"/>
              </w:rPr>
              <w:t>□水厂及配套工程           立方米/d</w:t>
            </w:r>
          </w:p>
        </w:tc>
        <w:tc>
          <w:tcPr>
            <w:tcW w:w="4392" w:type="dxa"/>
            <w:tcBorders>
              <w:top w:val="single" w:color="auto" w:sz="4" w:space="0"/>
              <w:left w:val="single" w:color="auto" w:sz="4" w:space="0"/>
              <w:bottom w:val="single" w:color="auto" w:sz="4" w:space="0"/>
              <w:right w:val="single" w:color="auto" w:sz="4" w:space="0"/>
            </w:tcBorders>
            <w:noWrap w:val="0"/>
            <w:vAlign w:val="center"/>
          </w:tcPr>
          <w:p w14:paraId="1A4A5442">
            <w:pPr>
              <w:tabs>
                <w:tab w:val="left" w:pos="600"/>
              </w:tabs>
              <w:rPr>
                <w:rFonts w:ascii="楷体_GB2312" w:hAnsi="Times New Roman" w:eastAsia="楷体_GB2312" w:cs="Times New Roman"/>
                <w:bCs/>
                <w:sz w:val="22"/>
                <w:szCs w:val="24"/>
              </w:rPr>
            </w:pPr>
            <w:r>
              <w:rPr>
                <w:rFonts w:hint="eastAsia" w:ascii="楷体_GB2312" w:hAnsi="Times New Roman" w:eastAsia="楷体_GB2312" w:cs="Times New Roman"/>
                <w:bCs/>
                <w:sz w:val="22"/>
                <w:szCs w:val="24"/>
              </w:rPr>
              <w:t>□污泥处理厂及配套工程     立方米/d</w:t>
            </w:r>
          </w:p>
        </w:tc>
      </w:tr>
      <w:tr w14:paraId="69E23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392" w:type="dxa"/>
            <w:tcBorders>
              <w:top w:val="single" w:color="auto" w:sz="4" w:space="0"/>
              <w:left w:val="single" w:color="auto" w:sz="4" w:space="0"/>
              <w:bottom w:val="single" w:color="auto" w:sz="4" w:space="0"/>
              <w:right w:val="single" w:color="auto" w:sz="4" w:space="0"/>
            </w:tcBorders>
            <w:noWrap w:val="0"/>
            <w:vAlign w:val="center"/>
          </w:tcPr>
          <w:p w14:paraId="6D1B605E">
            <w:pPr>
              <w:spacing w:line="240" w:lineRule="atLeast"/>
              <w:rPr>
                <w:rFonts w:ascii="楷体_GB2312" w:hAnsi="Times New Roman" w:eastAsia="楷体_GB2312" w:cs="Times New Roman"/>
                <w:bCs/>
                <w:sz w:val="22"/>
                <w:szCs w:val="24"/>
              </w:rPr>
            </w:pPr>
            <w:r>
              <w:rPr>
                <w:rFonts w:hint="eastAsia" w:ascii="楷体_GB2312" w:hAnsi="Times New Roman" w:eastAsia="楷体_GB2312" w:cs="Times New Roman"/>
                <w:bCs/>
                <w:sz w:val="22"/>
                <w:szCs w:val="24"/>
              </w:rPr>
              <w:t xml:space="preserve">□给水管道工程           </w:t>
            </w:r>
            <w:r>
              <w:rPr>
                <w:rFonts w:ascii="楷体_GB2312" w:hAnsi="Times New Roman" w:eastAsia="楷体_GB2312" w:cs="Times New Roman"/>
                <w:bCs/>
                <w:sz w:val="22"/>
                <w:szCs w:val="24"/>
              </w:rPr>
              <w:t xml:space="preserve">  </w:t>
            </w:r>
            <w:r>
              <w:rPr>
                <w:rFonts w:hint="eastAsia" w:ascii="楷体_GB2312" w:hAnsi="Times New Roman" w:eastAsia="楷体_GB2312" w:cs="Times New Roman"/>
                <w:bCs/>
                <w:sz w:val="22"/>
                <w:szCs w:val="24"/>
              </w:rPr>
              <w:t>米</w:t>
            </w:r>
          </w:p>
        </w:tc>
        <w:tc>
          <w:tcPr>
            <w:tcW w:w="4392" w:type="dxa"/>
            <w:tcBorders>
              <w:top w:val="single" w:color="auto" w:sz="4" w:space="0"/>
              <w:left w:val="single" w:color="auto" w:sz="4" w:space="0"/>
              <w:bottom w:val="single" w:color="auto" w:sz="4" w:space="0"/>
              <w:right w:val="single" w:color="auto" w:sz="4" w:space="0"/>
            </w:tcBorders>
            <w:noWrap w:val="0"/>
            <w:vAlign w:val="center"/>
          </w:tcPr>
          <w:p w14:paraId="05E021CD">
            <w:pPr>
              <w:tabs>
                <w:tab w:val="left" w:pos="600"/>
              </w:tabs>
              <w:rPr>
                <w:rFonts w:ascii="楷体_GB2312" w:hAnsi="Times New Roman" w:eastAsia="楷体_GB2312" w:cs="Times New Roman"/>
                <w:bCs/>
                <w:sz w:val="22"/>
                <w:szCs w:val="24"/>
              </w:rPr>
            </w:pPr>
            <w:r>
              <w:rPr>
                <w:rFonts w:hint="eastAsia" w:ascii="楷体_GB2312" w:hAnsi="Times New Roman" w:eastAsia="楷体_GB2312" w:cs="Times New Roman"/>
                <w:bCs/>
                <w:sz w:val="22"/>
                <w:szCs w:val="24"/>
              </w:rPr>
              <w:t>□泵站工程                   平方米</w:t>
            </w:r>
          </w:p>
        </w:tc>
      </w:tr>
      <w:tr w14:paraId="6751E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392" w:type="dxa"/>
            <w:tcBorders>
              <w:top w:val="single" w:color="auto" w:sz="4" w:space="0"/>
              <w:left w:val="single" w:color="auto" w:sz="4" w:space="0"/>
              <w:bottom w:val="single" w:color="auto" w:sz="4" w:space="0"/>
              <w:right w:val="single" w:color="auto" w:sz="4" w:space="0"/>
            </w:tcBorders>
            <w:noWrap w:val="0"/>
            <w:vAlign w:val="center"/>
          </w:tcPr>
          <w:p w14:paraId="1BD3F918">
            <w:pPr>
              <w:spacing w:line="240" w:lineRule="atLeast"/>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□道路工程   长：  米 宽：  米</w:t>
            </w:r>
          </w:p>
        </w:tc>
        <w:tc>
          <w:tcPr>
            <w:tcW w:w="4392" w:type="dxa"/>
            <w:tcBorders>
              <w:top w:val="single" w:color="auto" w:sz="4" w:space="0"/>
              <w:left w:val="single" w:color="auto" w:sz="4" w:space="0"/>
              <w:bottom w:val="single" w:color="auto" w:sz="4" w:space="0"/>
              <w:right w:val="single" w:color="auto" w:sz="4" w:space="0"/>
            </w:tcBorders>
            <w:noWrap w:val="0"/>
            <w:vAlign w:val="center"/>
          </w:tcPr>
          <w:p w14:paraId="54210947">
            <w:pPr>
              <w:tabs>
                <w:tab w:val="left" w:pos="600"/>
              </w:tabs>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□隧道工程  长：  米 宽：  米 高：  米</w:t>
            </w:r>
          </w:p>
        </w:tc>
      </w:tr>
      <w:tr w14:paraId="15A31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392" w:type="dxa"/>
            <w:tcBorders>
              <w:top w:val="single" w:color="auto" w:sz="4" w:space="0"/>
              <w:left w:val="single" w:color="auto" w:sz="4" w:space="0"/>
              <w:bottom w:val="single" w:color="auto" w:sz="4" w:space="0"/>
              <w:right w:val="single" w:color="auto" w:sz="4" w:space="0"/>
            </w:tcBorders>
            <w:noWrap w:val="0"/>
            <w:vAlign w:val="center"/>
          </w:tcPr>
          <w:p w14:paraId="1A08BD4E">
            <w:pPr>
              <w:spacing w:line="240" w:lineRule="atLeast"/>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□桥梁工程           座</w:t>
            </w:r>
          </w:p>
        </w:tc>
        <w:tc>
          <w:tcPr>
            <w:tcW w:w="4392" w:type="dxa"/>
            <w:tcBorders>
              <w:top w:val="single" w:color="auto" w:sz="4" w:space="0"/>
              <w:left w:val="single" w:color="auto" w:sz="4" w:space="0"/>
              <w:bottom w:val="single" w:color="auto" w:sz="4" w:space="0"/>
              <w:right w:val="single" w:color="auto" w:sz="4" w:space="0"/>
            </w:tcBorders>
            <w:noWrap w:val="0"/>
            <w:vAlign w:val="center"/>
          </w:tcPr>
          <w:p w14:paraId="45D61118">
            <w:pPr>
              <w:tabs>
                <w:tab w:val="left" w:pos="600"/>
              </w:tabs>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□道路改造工程  长：  米   宽：  米</w:t>
            </w:r>
          </w:p>
        </w:tc>
      </w:tr>
      <w:tr w14:paraId="6C4CB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392" w:type="dxa"/>
            <w:tcBorders>
              <w:top w:val="single" w:color="auto" w:sz="4" w:space="0"/>
              <w:left w:val="single" w:color="auto" w:sz="4" w:space="0"/>
              <w:bottom w:val="single" w:color="auto" w:sz="4" w:space="0"/>
              <w:right w:val="single" w:color="auto" w:sz="4" w:space="0"/>
            </w:tcBorders>
            <w:noWrap w:val="0"/>
            <w:vAlign w:val="center"/>
          </w:tcPr>
          <w:p w14:paraId="09F8CE36">
            <w:pPr>
              <w:spacing w:line="240" w:lineRule="atLeast"/>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□排水箱涵工程  长：  米 宽：  米 高：  米</w:t>
            </w:r>
          </w:p>
        </w:tc>
        <w:tc>
          <w:tcPr>
            <w:tcW w:w="4392" w:type="dxa"/>
            <w:tcBorders>
              <w:top w:val="single" w:color="auto" w:sz="4" w:space="0"/>
              <w:left w:val="single" w:color="auto" w:sz="4" w:space="0"/>
              <w:bottom w:val="single" w:color="auto" w:sz="4" w:space="0"/>
              <w:right w:val="single" w:color="auto" w:sz="4" w:space="0"/>
            </w:tcBorders>
            <w:noWrap w:val="0"/>
            <w:vAlign w:val="center"/>
          </w:tcPr>
          <w:p w14:paraId="3359251A">
            <w:pPr>
              <w:tabs>
                <w:tab w:val="left" w:pos="600"/>
              </w:tabs>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 xml:space="preserve">□路灯照明工程           座    </w:t>
            </w:r>
          </w:p>
        </w:tc>
      </w:tr>
      <w:tr w14:paraId="02AC6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392" w:type="dxa"/>
            <w:tcBorders>
              <w:top w:val="single" w:color="auto" w:sz="4" w:space="0"/>
              <w:left w:val="single" w:color="auto" w:sz="4" w:space="0"/>
              <w:bottom w:val="single" w:color="auto" w:sz="4" w:space="0"/>
              <w:right w:val="single" w:color="auto" w:sz="4" w:space="0"/>
            </w:tcBorders>
            <w:noWrap w:val="0"/>
            <w:vAlign w:val="center"/>
          </w:tcPr>
          <w:p w14:paraId="225F0FC8">
            <w:pPr>
              <w:spacing w:line="240" w:lineRule="atLeast"/>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□交通监控、收费综合系统工程</w:t>
            </w:r>
          </w:p>
        </w:tc>
        <w:tc>
          <w:tcPr>
            <w:tcW w:w="4392" w:type="dxa"/>
            <w:tcBorders>
              <w:top w:val="single" w:color="auto" w:sz="4" w:space="0"/>
              <w:left w:val="single" w:color="auto" w:sz="4" w:space="0"/>
              <w:bottom w:val="single" w:color="auto" w:sz="4" w:space="0"/>
              <w:right w:val="single" w:color="auto" w:sz="4" w:space="0"/>
            </w:tcBorders>
            <w:noWrap w:val="0"/>
            <w:vAlign w:val="center"/>
          </w:tcPr>
          <w:p w14:paraId="11EE02DF">
            <w:pPr>
              <w:tabs>
                <w:tab w:val="left" w:pos="600"/>
              </w:tabs>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□绿化工程          米</w:t>
            </w:r>
          </w:p>
        </w:tc>
      </w:tr>
      <w:tr w14:paraId="08826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392" w:type="dxa"/>
            <w:tcBorders>
              <w:top w:val="single" w:color="auto" w:sz="4" w:space="0"/>
              <w:left w:val="single" w:color="auto" w:sz="4" w:space="0"/>
              <w:bottom w:val="single" w:color="auto" w:sz="4" w:space="0"/>
              <w:right w:val="single" w:color="auto" w:sz="4" w:space="0"/>
            </w:tcBorders>
            <w:noWrap w:val="0"/>
            <w:vAlign w:val="center"/>
          </w:tcPr>
          <w:p w14:paraId="13FF5A72">
            <w:pPr>
              <w:spacing w:line="240" w:lineRule="atLeast"/>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□交通安全设施工程          米</w:t>
            </w:r>
          </w:p>
        </w:tc>
        <w:tc>
          <w:tcPr>
            <w:tcW w:w="4392" w:type="dxa"/>
            <w:tcBorders>
              <w:top w:val="single" w:color="auto" w:sz="4" w:space="0"/>
              <w:left w:val="single" w:color="auto" w:sz="4" w:space="0"/>
              <w:bottom w:val="single" w:color="auto" w:sz="4" w:space="0"/>
              <w:right w:val="single" w:color="auto" w:sz="4" w:space="0"/>
            </w:tcBorders>
            <w:noWrap w:val="0"/>
            <w:vAlign w:val="center"/>
          </w:tcPr>
          <w:p w14:paraId="3D81E64C">
            <w:pPr>
              <w:tabs>
                <w:tab w:val="left" w:pos="600"/>
              </w:tabs>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□燃气工程          米</w:t>
            </w:r>
          </w:p>
        </w:tc>
      </w:tr>
      <w:tr w14:paraId="12DA8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392" w:type="dxa"/>
            <w:tcBorders>
              <w:top w:val="single" w:color="auto" w:sz="4" w:space="0"/>
              <w:left w:val="single" w:color="auto" w:sz="4" w:space="0"/>
              <w:bottom w:val="single" w:color="auto" w:sz="4" w:space="0"/>
              <w:right w:val="single" w:color="auto" w:sz="4" w:space="0"/>
            </w:tcBorders>
            <w:noWrap w:val="0"/>
            <w:vAlign w:val="top"/>
          </w:tcPr>
          <w:p w14:paraId="02A71DAE">
            <w:pPr>
              <w:spacing w:line="240" w:lineRule="atLeast"/>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□轨道交通围护结构施工阶段</w:t>
            </w:r>
          </w:p>
        </w:tc>
        <w:tc>
          <w:tcPr>
            <w:tcW w:w="4392" w:type="dxa"/>
            <w:tcBorders>
              <w:top w:val="single" w:color="auto" w:sz="4" w:space="0"/>
              <w:left w:val="single" w:color="auto" w:sz="4" w:space="0"/>
              <w:bottom w:val="single" w:color="auto" w:sz="4" w:space="0"/>
              <w:right w:val="single" w:color="auto" w:sz="4" w:space="0"/>
            </w:tcBorders>
            <w:noWrap w:val="0"/>
            <w:vAlign w:val="top"/>
          </w:tcPr>
          <w:p w14:paraId="627414D0">
            <w:pPr>
              <w:tabs>
                <w:tab w:val="left" w:pos="600"/>
              </w:tabs>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 xml:space="preserve">□地下连续墙 </w:t>
            </w:r>
            <w:r>
              <w:rPr>
                <w:rFonts w:ascii="楷体_GB2312" w:hAnsi="Times New Roman" w:eastAsia="楷体_GB2312" w:cs="Times New Roman"/>
                <w:bCs/>
                <w:sz w:val="22"/>
                <w:szCs w:val="24"/>
              </w:rPr>
              <w:t xml:space="preserve"> </w:t>
            </w:r>
            <w:r>
              <w:rPr>
                <w:rFonts w:hint="eastAsia" w:ascii="楷体_GB2312" w:hAnsi="Times New Roman" w:eastAsia="楷体_GB2312" w:cs="Times New Roman"/>
                <w:bCs/>
                <w:sz w:val="22"/>
                <w:szCs w:val="24"/>
              </w:rPr>
              <w:t xml:space="preserve">□围护桩 </w:t>
            </w:r>
            <w:r>
              <w:rPr>
                <w:rFonts w:ascii="楷体_GB2312" w:hAnsi="Times New Roman" w:eastAsia="楷体_GB2312" w:cs="Times New Roman"/>
                <w:bCs/>
                <w:sz w:val="22"/>
                <w:szCs w:val="24"/>
              </w:rPr>
              <w:t xml:space="preserve"> </w:t>
            </w:r>
            <w:r>
              <w:rPr>
                <w:rFonts w:hint="eastAsia" w:ascii="楷体_GB2312" w:hAnsi="Times New Roman" w:eastAsia="楷体_GB2312" w:cs="Times New Roman"/>
                <w:bCs/>
                <w:sz w:val="22"/>
                <w:szCs w:val="24"/>
              </w:rPr>
              <w:t xml:space="preserve">□基坑支护 </w:t>
            </w:r>
            <w:r>
              <w:rPr>
                <w:rFonts w:ascii="楷体_GB2312" w:hAnsi="Times New Roman" w:eastAsia="楷体_GB2312" w:cs="Times New Roman"/>
                <w:bCs/>
                <w:sz w:val="22"/>
                <w:szCs w:val="24"/>
              </w:rPr>
              <w:t xml:space="preserve">   </w:t>
            </w:r>
            <w:r>
              <w:rPr>
                <w:rFonts w:hint="eastAsia" w:ascii="楷体_GB2312" w:hAnsi="Times New Roman" w:eastAsia="楷体_GB2312" w:cs="Times New Roman"/>
                <w:bCs/>
                <w:sz w:val="22"/>
                <w:szCs w:val="24"/>
              </w:rPr>
              <w:t>□土石方</w:t>
            </w:r>
          </w:p>
        </w:tc>
      </w:tr>
      <w:tr w14:paraId="66E13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392" w:type="dxa"/>
            <w:tcBorders>
              <w:top w:val="single" w:color="auto" w:sz="4" w:space="0"/>
              <w:left w:val="single" w:color="auto" w:sz="4" w:space="0"/>
              <w:bottom w:val="single" w:color="auto" w:sz="4" w:space="0"/>
              <w:right w:val="single" w:color="auto" w:sz="4" w:space="0"/>
            </w:tcBorders>
            <w:noWrap w:val="0"/>
            <w:vAlign w:val="top"/>
          </w:tcPr>
          <w:p w14:paraId="25B7D6BF">
            <w:pPr>
              <w:spacing w:line="240" w:lineRule="atLeast"/>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□轨道交通市政管线永久改迁施工阶段</w:t>
            </w:r>
          </w:p>
        </w:tc>
        <w:tc>
          <w:tcPr>
            <w:tcW w:w="4392" w:type="dxa"/>
            <w:tcBorders>
              <w:top w:val="single" w:color="auto" w:sz="4" w:space="0"/>
              <w:left w:val="single" w:color="auto" w:sz="4" w:space="0"/>
              <w:bottom w:val="single" w:color="auto" w:sz="4" w:space="0"/>
              <w:right w:val="single" w:color="auto" w:sz="4" w:space="0"/>
            </w:tcBorders>
            <w:noWrap w:val="0"/>
            <w:vAlign w:val="top"/>
          </w:tcPr>
          <w:p w14:paraId="6B173A00">
            <w:pPr>
              <w:tabs>
                <w:tab w:val="left" w:pos="600"/>
              </w:tabs>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 xml:space="preserve">□燃气改迁及恢复 </w:t>
            </w:r>
            <w:r>
              <w:rPr>
                <w:rFonts w:ascii="楷体_GB2312" w:hAnsi="Times New Roman" w:eastAsia="楷体_GB2312" w:cs="Times New Roman"/>
                <w:bCs/>
                <w:sz w:val="22"/>
                <w:szCs w:val="24"/>
              </w:rPr>
              <w:t xml:space="preserve">  </w:t>
            </w:r>
            <w:r>
              <w:rPr>
                <w:rFonts w:hint="eastAsia" w:ascii="楷体_GB2312" w:hAnsi="Times New Roman" w:eastAsia="楷体_GB2312" w:cs="Times New Roman"/>
                <w:bCs/>
                <w:sz w:val="22"/>
                <w:szCs w:val="24"/>
              </w:rPr>
              <w:t>□给排水改迁及恢复</w:t>
            </w:r>
          </w:p>
        </w:tc>
      </w:tr>
      <w:tr w14:paraId="207AC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392" w:type="dxa"/>
            <w:tcBorders>
              <w:top w:val="single" w:color="auto" w:sz="4" w:space="0"/>
              <w:left w:val="single" w:color="auto" w:sz="4" w:space="0"/>
              <w:bottom w:val="single" w:color="auto" w:sz="4" w:space="0"/>
              <w:right w:val="single" w:color="auto" w:sz="4" w:space="0"/>
            </w:tcBorders>
            <w:noWrap w:val="0"/>
            <w:vAlign w:val="top"/>
          </w:tcPr>
          <w:p w14:paraId="5CC35718">
            <w:pPr>
              <w:spacing w:line="240" w:lineRule="atLeast"/>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□轨道交通主体结构施工阶段</w:t>
            </w:r>
          </w:p>
        </w:tc>
        <w:tc>
          <w:tcPr>
            <w:tcW w:w="4392" w:type="dxa"/>
            <w:tcBorders>
              <w:top w:val="single" w:color="auto" w:sz="4" w:space="0"/>
              <w:left w:val="single" w:color="auto" w:sz="4" w:space="0"/>
              <w:bottom w:val="single" w:color="auto" w:sz="4" w:space="0"/>
              <w:right w:val="single" w:color="auto" w:sz="4" w:space="0"/>
            </w:tcBorders>
            <w:noWrap w:val="0"/>
            <w:vAlign w:val="top"/>
          </w:tcPr>
          <w:p w14:paraId="1CAE2AA4">
            <w:pPr>
              <w:tabs>
                <w:tab w:val="left" w:pos="600"/>
              </w:tabs>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 xml:space="preserve">□车站工程 </w:t>
            </w:r>
            <w:r>
              <w:rPr>
                <w:rFonts w:ascii="楷体_GB2312" w:hAnsi="Times New Roman" w:eastAsia="楷体_GB2312" w:cs="Times New Roman"/>
                <w:bCs/>
                <w:sz w:val="22"/>
                <w:szCs w:val="24"/>
              </w:rPr>
              <w:t xml:space="preserve">  </w:t>
            </w:r>
            <w:r>
              <w:rPr>
                <w:rFonts w:hint="eastAsia" w:ascii="楷体_GB2312" w:hAnsi="Times New Roman" w:eastAsia="楷体_GB2312" w:cs="Times New Roman"/>
                <w:bCs/>
                <w:sz w:val="22"/>
                <w:szCs w:val="24"/>
              </w:rPr>
              <w:t xml:space="preserve">□区间工程 </w:t>
            </w:r>
            <w:r>
              <w:rPr>
                <w:rFonts w:ascii="楷体_GB2312" w:hAnsi="Times New Roman" w:eastAsia="楷体_GB2312" w:cs="Times New Roman"/>
                <w:bCs/>
                <w:sz w:val="22"/>
                <w:szCs w:val="24"/>
              </w:rPr>
              <w:t xml:space="preserve">  </w:t>
            </w:r>
            <w:r>
              <w:rPr>
                <w:rFonts w:hint="eastAsia" w:ascii="楷体_GB2312" w:hAnsi="Times New Roman" w:eastAsia="楷体_GB2312" w:cs="Times New Roman"/>
                <w:bCs/>
                <w:sz w:val="22"/>
                <w:szCs w:val="24"/>
              </w:rPr>
              <w:t>□场段工程</w:t>
            </w:r>
          </w:p>
        </w:tc>
      </w:tr>
      <w:tr w14:paraId="388E7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392" w:type="dxa"/>
            <w:tcBorders>
              <w:top w:val="single" w:color="auto" w:sz="4" w:space="0"/>
              <w:left w:val="single" w:color="auto" w:sz="4" w:space="0"/>
              <w:bottom w:val="single" w:color="auto" w:sz="4" w:space="0"/>
              <w:right w:val="single" w:color="auto" w:sz="4" w:space="0"/>
            </w:tcBorders>
            <w:noWrap w:val="0"/>
            <w:vAlign w:val="top"/>
          </w:tcPr>
          <w:p w14:paraId="13C2A2E2">
            <w:pPr>
              <w:spacing w:line="240" w:lineRule="atLeast"/>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□轨道交通站后工程施工阶段</w:t>
            </w:r>
          </w:p>
        </w:tc>
        <w:tc>
          <w:tcPr>
            <w:tcW w:w="4392" w:type="dxa"/>
            <w:tcBorders>
              <w:top w:val="single" w:color="auto" w:sz="4" w:space="0"/>
              <w:left w:val="single" w:color="auto" w:sz="4" w:space="0"/>
              <w:bottom w:val="single" w:color="auto" w:sz="4" w:space="0"/>
              <w:right w:val="single" w:color="auto" w:sz="4" w:space="0"/>
            </w:tcBorders>
            <w:noWrap w:val="0"/>
            <w:vAlign w:val="top"/>
          </w:tcPr>
          <w:p w14:paraId="7DACCEB1">
            <w:pPr>
              <w:tabs>
                <w:tab w:val="left" w:pos="600"/>
              </w:tabs>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 xml:space="preserve">□附属工程 </w:t>
            </w:r>
            <w:r>
              <w:rPr>
                <w:rFonts w:ascii="楷体_GB2312" w:hAnsi="Times New Roman" w:eastAsia="楷体_GB2312" w:cs="Times New Roman"/>
                <w:bCs/>
                <w:sz w:val="22"/>
                <w:szCs w:val="24"/>
              </w:rPr>
              <w:t xml:space="preserve">  </w:t>
            </w:r>
            <w:r>
              <w:rPr>
                <w:rFonts w:hint="eastAsia" w:ascii="楷体_GB2312" w:hAnsi="Times New Roman" w:eastAsia="楷体_GB2312" w:cs="Times New Roman"/>
                <w:bCs/>
                <w:sz w:val="22"/>
                <w:szCs w:val="24"/>
              </w:rPr>
              <w:t xml:space="preserve">□轨道工程 </w:t>
            </w:r>
            <w:r>
              <w:rPr>
                <w:rFonts w:ascii="楷体_GB2312" w:hAnsi="Times New Roman" w:eastAsia="楷体_GB2312" w:cs="Times New Roman"/>
                <w:bCs/>
                <w:sz w:val="22"/>
                <w:szCs w:val="24"/>
              </w:rPr>
              <w:t xml:space="preserve">  </w:t>
            </w:r>
            <w:r>
              <w:rPr>
                <w:rFonts w:hint="eastAsia" w:ascii="楷体_GB2312" w:hAnsi="Times New Roman" w:eastAsia="楷体_GB2312" w:cs="Times New Roman"/>
                <w:bCs/>
                <w:sz w:val="22"/>
                <w:szCs w:val="24"/>
              </w:rPr>
              <w:t xml:space="preserve">□常规设备安装装修工程 </w:t>
            </w:r>
            <w:r>
              <w:rPr>
                <w:rFonts w:ascii="楷体_GB2312" w:hAnsi="Times New Roman" w:eastAsia="楷体_GB2312" w:cs="Times New Roman"/>
                <w:bCs/>
                <w:sz w:val="22"/>
                <w:szCs w:val="24"/>
              </w:rPr>
              <w:t xml:space="preserve">  </w:t>
            </w:r>
            <w:r>
              <w:rPr>
                <w:rFonts w:hint="eastAsia" w:ascii="楷体_GB2312" w:hAnsi="Times New Roman" w:eastAsia="楷体_GB2312" w:cs="Times New Roman"/>
                <w:bCs/>
                <w:sz w:val="22"/>
                <w:szCs w:val="24"/>
              </w:rPr>
              <w:t>□系统设备安装工程</w:t>
            </w:r>
          </w:p>
        </w:tc>
      </w:tr>
      <w:tr w14:paraId="312E1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784" w:type="dxa"/>
            <w:gridSpan w:val="2"/>
            <w:tcBorders>
              <w:top w:val="single" w:color="auto" w:sz="4" w:space="0"/>
              <w:left w:val="single" w:color="auto" w:sz="4" w:space="0"/>
              <w:bottom w:val="single" w:color="auto" w:sz="4" w:space="0"/>
              <w:right w:val="single" w:color="auto" w:sz="4" w:space="0"/>
            </w:tcBorders>
            <w:noWrap w:val="0"/>
            <w:vAlign w:val="center"/>
          </w:tcPr>
          <w:p w14:paraId="670BF16B">
            <w:pPr>
              <w:rPr>
                <w:rFonts w:ascii="楷体_GB2312" w:hAnsi="Times New Roman" w:eastAsia="楷体_GB2312" w:cs="Times New Roman"/>
                <w:bCs/>
                <w:sz w:val="22"/>
                <w:szCs w:val="24"/>
              </w:rPr>
            </w:pPr>
            <w:r>
              <w:rPr>
                <w:rFonts w:hint="eastAsia" w:ascii="楷体_GB2312" w:hAnsi="Times New Roman" w:eastAsia="楷体_GB2312" w:cs="Times New Roman"/>
                <w:bCs/>
                <w:sz w:val="22"/>
                <w:szCs w:val="24"/>
              </w:rPr>
              <w:t>□其他:</w:t>
            </w:r>
          </w:p>
        </w:tc>
      </w:tr>
    </w:tbl>
    <w:p w14:paraId="65E73120">
      <w:pPr>
        <w:spacing w:line="360" w:lineRule="auto"/>
        <w:rPr>
          <w:rFonts w:hint="eastAsia" w:ascii="宋体" w:hAnsi="宋体" w:eastAsia="宋体" w:cs="Times New Roman"/>
          <w:b/>
          <w:sz w:val="24"/>
          <w:szCs w:val="24"/>
        </w:rPr>
      </w:pPr>
      <w:r>
        <w:rPr>
          <w:rFonts w:hint="eastAsia" w:ascii="宋体" w:hAnsi="宋体" w:eastAsia="宋体" w:cs="Times New Roman"/>
          <w:b/>
          <w:sz w:val="24"/>
          <w:szCs w:val="24"/>
        </w:rPr>
        <w:t>2.房屋建筑及配套专业工程：</w:t>
      </w:r>
      <w:r>
        <w:rPr>
          <w:rFonts w:hint="eastAsia" w:ascii="宋体" w:hAnsi="宋体" w:eastAsia="宋体" w:cs="Times New Roman"/>
          <w:szCs w:val="21"/>
        </w:rPr>
        <w:t>(在□内打√，并填写相应的工程量)</w:t>
      </w:r>
    </w:p>
    <w:tbl>
      <w:tblPr>
        <w:tblStyle w:val="41"/>
        <w:tblW w:w="8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0"/>
        <w:gridCol w:w="2211"/>
        <w:gridCol w:w="4422"/>
      </w:tblGrid>
      <w:tr w14:paraId="5C8C8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8843" w:type="dxa"/>
            <w:gridSpan w:val="3"/>
            <w:tcBorders>
              <w:top w:val="single" w:color="auto" w:sz="4" w:space="0"/>
              <w:left w:val="single" w:color="auto" w:sz="4" w:space="0"/>
              <w:bottom w:val="single" w:color="auto" w:sz="4" w:space="0"/>
              <w:right w:val="single" w:color="auto" w:sz="4" w:space="0"/>
            </w:tcBorders>
            <w:noWrap w:val="0"/>
            <w:vAlign w:val="center"/>
          </w:tcPr>
          <w:p w14:paraId="3B1558EC">
            <w:pPr>
              <w:spacing w:line="240" w:lineRule="atLeast"/>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□地基与基础工程  （□基础  □ 基坑支护  □边坡  □土石方  □其他</w:t>
            </w:r>
            <w:r>
              <w:rPr>
                <w:rFonts w:hint="eastAsia" w:ascii="楷体_GB2312" w:hAnsi="Times New Roman" w:eastAsia="楷体_GB2312" w:cs="Times New Roman"/>
                <w:sz w:val="22"/>
                <w:szCs w:val="24"/>
                <w:u w:val="single"/>
              </w:rPr>
              <w:t xml:space="preserve">         </w:t>
            </w:r>
            <w:r>
              <w:rPr>
                <w:rFonts w:hint="eastAsia" w:ascii="楷体_GB2312" w:hAnsi="Times New Roman" w:eastAsia="楷体_GB2312" w:cs="Times New Roman"/>
                <w:bCs/>
                <w:sz w:val="22"/>
                <w:szCs w:val="24"/>
              </w:rPr>
              <w:t xml:space="preserve">  ）;  </w:t>
            </w:r>
          </w:p>
        </w:tc>
      </w:tr>
      <w:tr w14:paraId="7F205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8843" w:type="dxa"/>
            <w:gridSpan w:val="3"/>
            <w:tcBorders>
              <w:top w:val="single" w:color="auto" w:sz="4" w:space="0"/>
              <w:left w:val="single" w:color="auto" w:sz="4" w:space="0"/>
              <w:bottom w:val="single" w:color="auto" w:sz="4" w:space="0"/>
              <w:right w:val="single" w:color="auto" w:sz="4" w:space="0"/>
            </w:tcBorders>
            <w:noWrap w:val="0"/>
            <w:vAlign w:val="center"/>
          </w:tcPr>
          <w:p w14:paraId="529CB3E5">
            <w:pPr>
              <w:spacing w:line="240" w:lineRule="atLeast"/>
              <w:ind w:left="2200" w:hanging="2200" w:hangingChars="1000"/>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□主体结构工程    （□钢筋混凝土 □钢结构 □钢管混凝土结构  □型钢混凝土结构</w:t>
            </w:r>
            <w:r>
              <w:rPr>
                <w:rFonts w:ascii="楷体_GB2312" w:hAnsi="Times New Roman" w:eastAsia="楷体_GB2312" w:cs="Times New Roman"/>
                <w:bCs/>
                <w:sz w:val="22"/>
                <w:szCs w:val="24"/>
              </w:rPr>
              <w:t xml:space="preserve">  </w:t>
            </w:r>
            <w:r>
              <w:rPr>
                <w:rFonts w:hint="eastAsia" w:ascii="楷体_GB2312" w:hAnsi="Times New Roman" w:eastAsia="楷体_GB2312" w:cs="Times New Roman"/>
                <w:bCs/>
                <w:sz w:val="22"/>
                <w:szCs w:val="24"/>
              </w:rPr>
              <w:t xml:space="preserve">□其他 </w:t>
            </w:r>
            <w:r>
              <w:rPr>
                <w:rFonts w:hint="eastAsia" w:ascii="楷体_GB2312" w:hAnsi="Times New Roman" w:eastAsia="楷体_GB2312" w:cs="Times New Roman"/>
                <w:sz w:val="22"/>
                <w:szCs w:val="24"/>
                <w:u w:val="single"/>
              </w:rPr>
              <w:t xml:space="preserve">     </w:t>
            </w:r>
            <w:r>
              <w:rPr>
                <w:rFonts w:hint="eastAsia" w:ascii="楷体_GB2312" w:hAnsi="Times New Roman" w:eastAsia="楷体_GB2312" w:cs="Times New Roman"/>
                <w:bCs/>
                <w:sz w:val="22"/>
                <w:szCs w:val="24"/>
              </w:rPr>
              <w:t xml:space="preserve">）;  </w:t>
            </w:r>
          </w:p>
        </w:tc>
      </w:tr>
      <w:tr w14:paraId="0E166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8843" w:type="dxa"/>
            <w:gridSpan w:val="3"/>
            <w:tcBorders>
              <w:top w:val="single" w:color="auto" w:sz="4" w:space="0"/>
              <w:left w:val="single" w:color="auto" w:sz="4" w:space="0"/>
              <w:bottom w:val="single" w:color="auto" w:sz="4" w:space="0"/>
              <w:right w:val="single" w:color="auto" w:sz="4" w:space="0"/>
            </w:tcBorders>
            <w:noWrap w:val="0"/>
            <w:vAlign w:val="center"/>
          </w:tcPr>
          <w:p w14:paraId="619F4AAD">
            <w:pPr>
              <w:spacing w:line="240" w:lineRule="atLeast"/>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□装饰装修工程    （□门窗   □幕墙：    □其他</w:t>
            </w:r>
            <w:r>
              <w:rPr>
                <w:rFonts w:hint="eastAsia" w:ascii="楷体_GB2312" w:hAnsi="Times New Roman" w:eastAsia="楷体_GB2312" w:cs="Times New Roman"/>
                <w:sz w:val="22"/>
                <w:szCs w:val="24"/>
                <w:u w:val="single"/>
              </w:rPr>
              <w:t xml:space="preserve">         </w:t>
            </w:r>
            <w:r>
              <w:rPr>
                <w:rFonts w:hint="eastAsia" w:ascii="楷体_GB2312" w:hAnsi="Times New Roman" w:eastAsia="楷体_GB2312" w:cs="Times New Roman"/>
                <w:bCs/>
                <w:sz w:val="22"/>
                <w:szCs w:val="24"/>
              </w:rPr>
              <w:t xml:space="preserve">  ）;  </w:t>
            </w:r>
          </w:p>
        </w:tc>
      </w:tr>
      <w:tr w14:paraId="6AA1E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8843" w:type="dxa"/>
            <w:gridSpan w:val="3"/>
            <w:tcBorders>
              <w:top w:val="single" w:color="auto" w:sz="4" w:space="0"/>
              <w:left w:val="single" w:color="auto" w:sz="4" w:space="0"/>
              <w:bottom w:val="single" w:color="auto" w:sz="4" w:space="0"/>
              <w:right w:val="single" w:color="auto" w:sz="4" w:space="0"/>
            </w:tcBorders>
            <w:noWrap w:val="0"/>
            <w:vAlign w:val="center"/>
          </w:tcPr>
          <w:p w14:paraId="246F59BF">
            <w:pPr>
              <w:spacing w:line="240" w:lineRule="atLeast"/>
              <w:rPr>
                <w:rFonts w:ascii="楷体_GB2312" w:hAnsi="Times New Roman" w:eastAsia="楷体_GB2312" w:cs="Times New Roman"/>
                <w:bCs/>
                <w:sz w:val="22"/>
                <w:szCs w:val="24"/>
              </w:rPr>
            </w:pPr>
            <w:r>
              <w:rPr>
                <w:rFonts w:hint="eastAsia" w:ascii="楷体_GB2312" w:hAnsi="Times New Roman" w:eastAsia="楷体_GB2312" w:cs="Times New Roman"/>
                <w:bCs/>
                <w:sz w:val="22"/>
                <w:szCs w:val="24"/>
              </w:rPr>
              <w:t>□通风与空调       (□通风  □空调       □其他</w:t>
            </w:r>
            <w:r>
              <w:rPr>
                <w:rFonts w:hint="eastAsia" w:ascii="楷体_GB2312" w:hAnsi="Times New Roman" w:eastAsia="楷体_GB2312" w:cs="Times New Roman"/>
                <w:sz w:val="22"/>
                <w:szCs w:val="24"/>
                <w:u w:val="single"/>
              </w:rPr>
              <w:t xml:space="preserve">         </w:t>
            </w:r>
            <w:r>
              <w:rPr>
                <w:rFonts w:hint="eastAsia" w:ascii="楷体_GB2312" w:hAnsi="Times New Roman" w:eastAsia="楷体_GB2312" w:cs="Times New Roman"/>
                <w:bCs/>
                <w:sz w:val="22"/>
                <w:szCs w:val="24"/>
              </w:rPr>
              <w:t xml:space="preserve">  ）;</w:t>
            </w:r>
          </w:p>
        </w:tc>
      </w:tr>
      <w:tr w14:paraId="040EA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8843" w:type="dxa"/>
            <w:gridSpan w:val="3"/>
            <w:tcBorders>
              <w:top w:val="single" w:color="auto" w:sz="4" w:space="0"/>
              <w:left w:val="single" w:color="auto" w:sz="4" w:space="0"/>
              <w:bottom w:val="single" w:color="auto" w:sz="4" w:space="0"/>
              <w:right w:val="single" w:color="auto" w:sz="4" w:space="0"/>
            </w:tcBorders>
            <w:noWrap w:val="0"/>
            <w:vAlign w:val="center"/>
          </w:tcPr>
          <w:p w14:paraId="687CD08C">
            <w:pPr>
              <w:spacing w:line="240" w:lineRule="atLeast"/>
              <w:rPr>
                <w:rFonts w:ascii="楷体_GB2312" w:hAnsi="Times New Roman" w:eastAsia="楷体_GB2312" w:cs="Times New Roman"/>
                <w:bCs/>
                <w:sz w:val="22"/>
                <w:szCs w:val="24"/>
              </w:rPr>
            </w:pPr>
            <w:r>
              <w:rPr>
                <w:rFonts w:hint="eastAsia" w:ascii="楷体_GB2312" w:hAnsi="Times New Roman" w:eastAsia="楷体_GB2312" w:cs="Times New Roman"/>
                <w:bCs/>
                <w:sz w:val="22"/>
                <w:szCs w:val="24"/>
              </w:rPr>
              <w:t>□</w:t>
            </w:r>
            <w:r>
              <w:rPr>
                <w:rFonts w:hint="eastAsia" w:ascii="楷体_GB2312" w:hAnsi="Times New Roman" w:eastAsia="楷体_GB2312" w:cs="Times New Roman"/>
                <w:bCs/>
                <w:spacing w:val="-20"/>
                <w:sz w:val="22"/>
                <w:szCs w:val="24"/>
              </w:rPr>
              <w:t xml:space="preserve">建筑给水排水及供暖  </w:t>
            </w:r>
            <w:r>
              <w:rPr>
                <w:rFonts w:hint="eastAsia" w:ascii="楷体_GB2312" w:hAnsi="Times New Roman" w:eastAsia="楷体_GB2312" w:cs="Times New Roman"/>
                <w:bCs/>
                <w:sz w:val="22"/>
                <w:szCs w:val="24"/>
              </w:rPr>
              <w:t>（□室内给、排水系统 □ 室外给、排水系统   □其他</w:t>
            </w:r>
            <w:r>
              <w:rPr>
                <w:rFonts w:hint="eastAsia" w:ascii="楷体_GB2312" w:hAnsi="Times New Roman" w:eastAsia="楷体_GB2312" w:cs="Times New Roman"/>
                <w:sz w:val="22"/>
                <w:szCs w:val="24"/>
                <w:u w:val="single"/>
              </w:rPr>
              <w:t xml:space="preserve">       </w:t>
            </w:r>
            <w:r>
              <w:rPr>
                <w:rFonts w:hint="eastAsia" w:ascii="楷体_GB2312" w:hAnsi="Times New Roman" w:eastAsia="楷体_GB2312" w:cs="Times New Roman"/>
                <w:bCs/>
                <w:sz w:val="22"/>
                <w:szCs w:val="24"/>
              </w:rPr>
              <w:t xml:space="preserve">）;  </w:t>
            </w:r>
          </w:p>
        </w:tc>
      </w:tr>
      <w:tr w14:paraId="307C7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8843" w:type="dxa"/>
            <w:gridSpan w:val="3"/>
            <w:tcBorders>
              <w:top w:val="single" w:color="auto" w:sz="4" w:space="0"/>
              <w:left w:val="single" w:color="auto" w:sz="4" w:space="0"/>
              <w:bottom w:val="single" w:color="auto" w:sz="4" w:space="0"/>
              <w:right w:val="single" w:color="auto" w:sz="4" w:space="0"/>
            </w:tcBorders>
            <w:noWrap w:val="0"/>
            <w:vAlign w:val="center"/>
          </w:tcPr>
          <w:p w14:paraId="5FDF18D0">
            <w:pPr>
              <w:rPr>
                <w:rFonts w:ascii="Times New Roman" w:hAnsi="Times New Roman" w:eastAsia="宋体" w:cs="Times New Roman"/>
                <w:sz w:val="22"/>
                <w:szCs w:val="24"/>
              </w:rPr>
            </w:pPr>
            <w:r>
              <w:rPr>
                <w:rFonts w:hint="eastAsia" w:ascii="楷体_GB2312" w:hAnsi="Times New Roman" w:eastAsia="楷体_GB2312" w:cs="Times New Roman"/>
                <w:bCs/>
                <w:sz w:val="22"/>
                <w:szCs w:val="24"/>
              </w:rPr>
              <w:t>□建筑电气工程     (□室外电气    □电气照明     □其他</w:t>
            </w:r>
            <w:r>
              <w:rPr>
                <w:rFonts w:hint="eastAsia" w:ascii="楷体_GB2312" w:hAnsi="Times New Roman" w:eastAsia="楷体_GB2312" w:cs="Times New Roman"/>
                <w:sz w:val="22"/>
                <w:szCs w:val="24"/>
                <w:u w:val="single"/>
              </w:rPr>
              <w:t xml:space="preserve">         </w:t>
            </w:r>
            <w:r>
              <w:rPr>
                <w:rFonts w:hint="eastAsia" w:ascii="楷体_GB2312" w:hAnsi="Times New Roman" w:eastAsia="楷体_GB2312" w:cs="Times New Roman"/>
                <w:bCs/>
                <w:sz w:val="22"/>
                <w:szCs w:val="24"/>
              </w:rPr>
              <w:t xml:space="preserve">  ）;</w:t>
            </w:r>
          </w:p>
        </w:tc>
      </w:tr>
      <w:tr w14:paraId="5D1BA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8843" w:type="dxa"/>
            <w:gridSpan w:val="3"/>
            <w:tcBorders>
              <w:top w:val="single" w:color="auto" w:sz="4" w:space="0"/>
              <w:left w:val="single" w:color="auto" w:sz="4" w:space="0"/>
              <w:bottom w:val="single" w:color="auto" w:sz="4" w:space="0"/>
              <w:right w:val="single" w:color="auto" w:sz="4" w:space="0"/>
            </w:tcBorders>
            <w:noWrap w:val="0"/>
            <w:vAlign w:val="center"/>
          </w:tcPr>
          <w:p w14:paraId="2295D312">
            <w:pPr>
              <w:spacing w:line="240" w:lineRule="atLeast"/>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 xml:space="preserve">□智能建筑 </w:t>
            </w:r>
            <w:r>
              <w:rPr>
                <w:rFonts w:ascii="楷体_GB2312" w:hAnsi="Times New Roman" w:eastAsia="楷体_GB2312" w:cs="Times New Roman"/>
                <w:bCs/>
                <w:sz w:val="22"/>
                <w:szCs w:val="24"/>
              </w:rPr>
              <w:t xml:space="preserve">        </w:t>
            </w:r>
            <w:r>
              <w:rPr>
                <w:rFonts w:hint="eastAsia" w:ascii="楷体_GB2312" w:hAnsi="Times New Roman" w:eastAsia="楷体_GB2312" w:cs="Times New Roman"/>
                <w:bCs/>
                <w:sz w:val="22"/>
                <w:szCs w:val="24"/>
              </w:rPr>
              <w:t>(□综合布线系统  □信息网络系统     □其他</w:t>
            </w:r>
            <w:r>
              <w:rPr>
                <w:rFonts w:hint="eastAsia" w:ascii="楷体_GB2312" w:hAnsi="Times New Roman" w:eastAsia="楷体_GB2312" w:cs="Times New Roman"/>
                <w:sz w:val="22"/>
                <w:szCs w:val="24"/>
                <w:u w:val="single"/>
              </w:rPr>
              <w:t xml:space="preserve">         </w:t>
            </w:r>
            <w:r>
              <w:rPr>
                <w:rFonts w:hint="eastAsia" w:ascii="楷体_GB2312" w:hAnsi="Times New Roman" w:eastAsia="楷体_GB2312" w:cs="Times New Roman"/>
                <w:bCs/>
                <w:sz w:val="22"/>
                <w:szCs w:val="24"/>
              </w:rPr>
              <w:t>）;</w:t>
            </w:r>
          </w:p>
        </w:tc>
      </w:tr>
      <w:tr w14:paraId="09264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2210" w:type="dxa"/>
            <w:tcBorders>
              <w:top w:val="single" w:color="auto" w:sz="4" w:space="0"/>
              <w:left w:val="single" w:color="auto" w:sz="4" w:space="0"/>
              <w:bottom w:val="single" w:color="auto" w:sz="4" w:space="0"/>
              <w:right w:val="single" w:color="auto" w:sz="4" w:space="0"/>
            </w:tcBorders>
            <w:noWrap w:val="0"/>
            <w:vAlign w:val="center"/>
          </w:tcPr>
          <w:p w14:paraId="7684E790">
            <w:pPr>
              <w:rPr>
                <w:rFonts w:ascii="楷体_GB2312" w:hAnsi="Times New Roman" w:eastAsia="楷体_GB2312" w:cs="Times New Roman"/>
                <w:bCs/>
                <w:sz w:val="22"/>
                <w:szCs w:val="24"/>
              </w:rPr>
            </w:pPr>
            <w:r>
              <w:rPr>
                <w:rFonts w:hint="eastAsia" w:ascii="楷体_GB2312" w:hAnsi="Times New Roman" w:eastAsia="楷体_GB2312" w:cs="Times New Roman"/>
                <w:bCs/>
                <w:sz w:val="22"/>
                <w:szCs w:val="24"/>
              </w:rPr>
              <w:t>□屋面工程</w:t>
            </w:r>
          </w:p>
        </w:tc>
        <w:tc>
          <w:tcPr>
            <w:tcW w:w="2211" w:type="dxa"/>
            <w:tcBorders>
              <w:top w:val="single" w:color="auto" w:sz="4" w:space="0"/>
              <w:left w:val="single" w:color="auto" w:sz="4" w:space="0"/>
              <w:bottom w:val="single" w:color="auto" w:sz="4" w:space="0"/>
              <w:right w:val="single" w:color="auto" w:sz="4" w:space="0"/>
            </w:tcBorders>
            <w:noWrap w:val="0"/>
            <w:vAlign w:val="center"/>
          </w:tcPr>
          <w:p w14:paraId="20212FF1">
            <w:pPr>
              <w:rPr>
                <w:rFonts w:ascii="Times New Roman" w:hAnsi="Times New Roman" w:eastAsia="宋体" w:cs="Times New Roman"/>
                <w:sz w:val="22"/>
                <w:szCs w:val="24"/>
              </w:rPr>
            </w:pPr>
            <w:r>
              <w:rPr>
                <w:rFonts w:hint="eastAsia" w:ascii="楷体_GB2312" w:hAnsi="Times New Roman" w:eastAsia="楷体_GB2312" w:cs="Times New Roman"/>
                <w:bCs/>
                <w:sz w:val="22"/>
                <w:szCs w:val="24"/>
              </w:rPr>
              <w:t xml:space="preserve">□建筑节能    </w:t>
            </w:r>
          </w:p>
        </w:tc>
        <w:tc>
          <w:tcPr>
            <w:tcW w:w="4422" w:type="dxa"/>
            <w:tcBorders>
              <w:top w:val="single" w:color="auto" w:sz="4" w:space="0"/>
              <w:left w:val="single" w:color="auto" w:sz="4" w:space="0"/>
              <w:bottom w:val="single" w:color="auto" w:sz="4" w:space="0"/>
              <w:right w:val="single" w:color="auto" w:sz="4" w:space="0"/>
            </w:tcBorders>
            <w:noWrap w:val="0"/>
            <w:vAlign w:val="center"/>
          </w:tcPr>
          <w:p w14:paraId="5D255520">
            <w:pPr>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□消防工程</w:t>
            </w:r>
          </w:p>
        </w:tc>
      </w:tr>
      <w:tr w14:paraId="010F8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1" w:hRule="atLeast"/>
          <w:jc w:val="center"/>
        </w:trPr>
        <w:tc>
          <w:tcPr>
            <w:tcW w:w="8843" w:type="dxa"/>
            <w:gridSpan w:val="3"/>
            <w:tcBorders>
              <w:top w:val="single" w:color="auto" w:sz="4" w:space="0"/>
              <w:left w:val="single" w:color="auto" w:sz="4" w:space="0"/>
              <w:bottom w:val="single" w:color="auto" w:sz="4" w:space="0"/>
              <w:right w:val="single" w:color="auto" w:sz="4" w:space="0"/>
            </w:tcBorders>
            <w:noWrap w:val="0"/>
            <w:vAlign w:val="center"/>
          </w:tcPr>
          <w:p w14:paraId="50824465">
            <w:pPr>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□室外工程   （ □室外设施</w:t>
            </w:r>
            <w:r>
              <w:rPr>
                <w:rFonts w:hint="eastAsia" w:ascii="楷体_GB2312" w:hAnsi="Times New Roman" w:eastAsia="楷体_GB2312" w:cs="Times New Roman"/>
                <w:sz w:val="22"/>
                <w:szCs w:val="24"/>
                <w:u w:val="single"/>
              </w:rPr>
              <w:t xml:space="preserve">                       </w:t>
            </w:r>
            <w:r>
              <w:rPr>
                <w:rFonts w:hint="eastAsia" w:ascii="楷体_GB2312" w:hAnsi="Times New Roman" w:eastAsia="楷体_GB2312" w:cs="Times New Roman"/>
                <w:bCs/>
                <w:sz w:val="22"/>
                <w:szCs w:val="24"/>
              </w:rPr>
              <w:t xml:space="preserve">  □附属建筑</w:t>
            </w:r>
            <w:r>
              <w:rPr>
                <w:rFonts w:hint="eastAsia" w:ascii="楷体_GB2312" w:hAnsi="Times New Roman" w:eastAsia="楷体_GB2312" w:cs="Times New Roman"/>
                <w:sz w:val="22"/>
                <w:szCs w:val="24"/>
                <w:u w:val="single"/>
              </w:rPr>
              <w:t xml:space="preserve">                   </w:t>
            </w:r>
          </w:p>
          <w:p w14:paraId="423811F9">
            <w:pPr>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 xml:space="preserve">                □室外环境</w:t>
            </w:r>
            <w:r>
              <w:rPr>
                <w:rFonts w:hint="eastAsia" w:ascii="楷体_GB2312" w:hAnsi="Times New Roman" w:eastAsia="楷体_GB2312" w:cs="Times New Roman"/>
                <w:sz w:val="22"/>
                <w:szCs w:val="24"/>
                <w:u w:val="single"/>
              </w:rPr>
              <w:t xml:space="preserve">                                   </w:t>
            </w:r>
            <w:r>
              <w:rPr>
                <w:rFonts w:ascii="楷体_GB2312" w:hAnsi="Times New Roman" w:eastAsia="楷体_GB2312" w:cs="Times New Roman"/>
                <w:sz w:val="22"/>
                <w:szCs w:val="24"/>
                <w:u w:val="single"/>
              </w:rPr>
              <w:t xml:space="preserve">     </w:t>
            </w:r>
            <w:r>
              <w:rPr>
                <w:rFonts w:hint="eastAsia" w:ascii="楷体_GB2312" w:hAnsi="Times New Roman" w:eastAsia="楷体_GB2312" w:cs="Times New Roman"/>
                <w:sz w:val="22"/>
                <w:szCs w:val="24"/>
                <w:u w:val="single"/>
              </w:rPr>
              <w:t xml:space="preserve">    </w:t>
            </w:r>
            <w:r>
              <w:rPr>
                <w:rFonts w:hint="eastAsia" w:ascii="楷体_GB2312" w:hAnsi="Times New Roman" w:eastAsia="楷体_GB2312" w:cs="Times New Roman"/>
                <w:sz w:val="22"/>
                <w:szCs w:val="24"/>
                <w:u w:val="none"/>
              </w:rPr>
              <w:t>）</w:t>
            </w:r>
            <w:r>
              <w:rPr>
                <w:rFonts w:hint="eastAsia" w:ascii="楷体_GB2312" w:hAnsi="Times New Roman" w:eastAsia="楷体_GB2312" w:cs="Times New Roman"/>
                <w:bCs/>
                <w:sz w:val="22"/>
                <w:szCs w:val="24"/>
              </w:rPr>
              <w:t xml:space="preserve"> 。</w:t>
            </w:r>
          </w:p>
        </w:tc>
      </w:tr>
      <w:tr w14:paraId="2063C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8843" w:type="dxa"/>
            <w:gridSpan w:val="3"/>
            <w:tcBorders>
              <w:top w:val="single" w:color="auto" w:sz="4" w:space="0"/>
              <w:left w:val="single" w:color="auto" w:sz="4" w:space="0"/>
              <w:bottom w:val="single" w:color="auto" w:sz="4" w:space="0"/>
              <w:right w:val="single" w:color="auto" w:sz="4" w:space="0"/>
            </w:tcBorders>
            <w:noWrap w:val="0"/>
            <w:vAlign w:val="center"/>
          </w:tcPr>
          <w:p w14:paraId="252F085E">
            <w:pPr>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□燃气工程     （户数：</w:t>
            </w:r>
            <w:r>
              <w:rPr>
                <w:rFonts w:hint="eastAsia" w:ascii="楷体_GB2312" w:hAnsi="Times New Roman" w:eastAsia="楷体_GB2312" w:cs="Times New Roman"/>
                <w:sz w:val="22"/>
                <w:szCs w:val="24"/>
                <w:u w:val="single"/>
              </w:rPr>
              <w:t xml:space="preserve">       </w:t>
            </w:r>
            <w:r>
              <w:rPr>
                <w:rFonts w:hint="eastAsia" w:ascii="楷体_GB2312" w:hAnsi="Times New Roman" w:eastAsia="楷体_GB2312" w:cs="Times New Roman"/>
                <w:sz w:val="22"/>
                <w:szCs w:val="24"/>
              </w:rPr>
              <w:t>户；</w:t>
            </w:r>
            <w:r>
              <w:rPr>
                <w:rFonts w:hint="eastAsia" w:ascii="楷体_GB2312" w:hAnsi="Times New Roman" w:eastAsia="楷体_GB2312" w:cs="Times New Roman"/>
                <w:bCs/>
                <w:sz w:val="22"/>
                <w:szCs w:val="24"/>
              </w:rPr>
              <w:t xml:space="preserve"> 庭院管：</w:t>
            </w:r>
            <w:r>
              <w:rPr>
                <w:rFonts w:hint="eastAsia" w:ascii="楷体_GB2312" w:hAnsi="Times New Roman" w:eastAsia="楷体_GB2312" w:cs="Times New Roman"/>
                <w:sz w:val="22"/>
                <w:szCs w:val="24"/>
                <w:u w:val="single"/>
              </w:rPr>
              <w:t xml:space="preserve">         </w:t>
            </w:r>
            <w:r>
              <w:rPr>
                <w:rFonts w:hint="eastAsia" w:ascii="楷体_GB2312" w:hAnsi="Times New Roman" w:eastAsia="楷体_GB2312" w:cs="Times New Roman"/>
                <w:bCs/>
                <w:sz w:val="22"/>
                <w:szCs w:val="24"/>
              </w:rPr>
              <w:t xml:space="preserve"> 米）</w:t>
            </w:r>
          </w:p>
        </w:tc>
      </w:tr>
      <w:tr w14:paraId="32ED5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8843" w:type="dxa"/>
            <w:gridSpan w:val="3"/>
            <w:tcBorders>
              <w:top w:val="single" w:color="auto" w:sz="4" w:space="0"/>
              <w:left w:val="single" w:color="auto" w:sz="4" w:space="0"/>
              <w:bottom w:val="single" w:color="auto" w:sz="4" w:space="0"/>
              <w:right w:val="single" w:color="auto" w:sz="4" w:space="0"/>
            </w:tcBorders>
            <w:noWrap w:val="0"/>
            <w:vAlign w:val="center"/>
          </w:tcPr>
          <w:p w14:paraId="5D8ABFF9">
            <w:pPr>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□其他：</w:t>
            </w:r>
          </w:p>
        </w:tc>
      </w:tr>
    </w:tbl>
    <w:p w14:paraId="2333FD43">
      <w:pPr>
        <w:spacing w:line="360" w:lineRule="auto"/>
        <w:rPr>
          <w:rFonts w:hint="eastAsia" w:ascii="宋体" w:hAnsi="宋体" w:eastAsia="宋体" w:cs="Times New Roman"/>
          <w:b/>
          <w:sz w:val="24"/>
          <w:szCs w:val="24"/>
        </w:rPr>
      </w:pPr>
      <w:r>
        <w:rPr>
          <w:rFonts w:hint="eastAsia" w:ascii="宋体" w:hAnsi="宋体" w:eastAsia="宋体" w:cs="Times New Roman"/>
          <w:b/>
          <w:sz w:val="24"/>
          <w:szCs w:val="24"/>
        </w:rPr>
        <w:t>3.二次装饰装修工程：</w:t>
      </w:r>
      <w:r>
        <w:rPr>
          <w:rFonts w:hint="eastAsia" w:ascii="宋体" w:hAnsi="宋体" w:eastAsia="宋体" w:cs="Times New Roman"/>
          <w:szCs w:val="21"/>
        </w:rPr>
        <w:t>(在□内打√，并填写相应的工程量)</w:t>
      </w:r>
    </w:p>
    <w:tbl>
      <w:tblPr>
        <w:tblStyle w:val="41"/>
        <w:tblW w:w="88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843"/>
        <w:gridCol w:w="2126"/>
        <w:gridCol w:w="1701"/>
        <w:gridCol w:w="1559"/>
      </w:tblGrid>
      <w:tr w14:paraId="4D3E7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665" w:type="dxa"/>
            <w:tcBorders>
              <w:top w:val="single" w:color="auto" w:sz="4" w:space="0"/>
              <w:left w:val="single" w:color="auto" w:sz="4" w:space="0"/>
              <w:bottom w:val="single" w:color="auto" w:sz="4" w:space="0"/>
              <w:right w:val="single" w:color="auto" w:sz="4" w:space="0"/>
            </w:tcBorders>
            <w:noWrap w:val="0"/>
            <w:vAlign w:val="center"/>
          </w:tcPr>
          <w:p w14:paraId="722B0801">
            <w:pPr>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□消防工程</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48DB7AEE">
            <w:pPr>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□门窗</w:t>
            </w:r>
          </w:p>
        </w:tc>
        <w:tc>
          <w:tcPr>
            <w:tcW w:w="2126" w:type="dxa"/>
            <w:tcBorders>
              <w:top w:val="single" w:color="auto" w:sz="4" w:space="0"/>
              <w:left w:val="single" w:color="auto" w:sz="4" w:space="0"/>
              <w:bottom w:val="single" w:color="auto" w:sz="4" w:space="0"/>
              <w:right w:val="single" w:color="auto" w:sz="4" w:space="0"/>
            </w:tcBorders>
            <w:noWrap w:val="0"/>
            <w:vAlign w:val="center"/>
          </w:tcPr>
          <w:p w14:paraId="7B663750">
            <w:pPr>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□防水工程</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6B60A35">
            <w:pPr>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 xml:space="preserve">□电气照明 </w:t>
            </w:r>
          </w:p>
        </w:tc>
        <w:tc>
          <w:tcPr>
            <w:tcW w:w="1559" w:type="dxa"/>
            <w:tcBorders>
              <w:top w:val="single" w:color="auto" w:sz="4" w:space="0"/>
              <w:left w:val="single" w:color="auto" w:sz="4" w:space="0"/>
              <w:bottom w:val="single" w:color="auto" w:sz="4" w:space="0"/>
              <w:right w:val="single" w:color="auto" w:sz="4" w:space="0"/>
            </w:tcBorders>
            <w:noWrap w:val="0"/>
            <w:vAlign w:val="center"/>
          </w:tcPr>
          <w:p w14:paraId="54DE83DC">
            <w:pPr>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w:t>
            </w:r>
            <w:r>
              <w:rPr>
                <w:rFonts w:hint="eastAsia" w:ascii="楷体_GB2312" w:hAnsi="楷体_GB2312" w:eastAsia="楷体_GB2312" w:cs="楷体_GB2312"/>
                <w:sz w:val="22"/>
                <w:szCs w:val="24"/>
              </w:rPr>
              <w:t>建筑节能</w:t>
            </w:r>
          </w:p>
        </w:tc>
      </w:tr>
      <w:tr w14:paraId="55988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894" w:type="dxa"/>
            <w:gridSpan w:val="5"/>
            <w:tcBorders>
              <w:top w:val="single" w:color="auto" w:sz="4" w:space="0"/>
              <w:left w:val="single" w:color="auto" w:sz="4" w:space="0"/>
              <w:bottom w:val="single" w:color="auto" w:sz="4" w:space="0"/>
              <w:right w:val="single" w:color="auto" w:sz="4" w:space="0"/>
            </w:tcBorders>
            <w:noWrap w:val="0"/>
            <w:vAlign w:val="center"/>
          </w:tcPr>
          <w:p w14:paraId="740CD4BB">
            <w:pPr>
              <w:tabs>
                <w:tab w:val="left" w:pos="600"/>
              </w:tabs>
              <w:rPr>
                <w:rFonts w:ascii="Times New Roman" w:hAnsi="Times New Roman" w:eastAsia="宋体" w:cs="Times New Roman"/>
                <w:sz w:val="22"/>
                <w:szCs w:val="24"/>
              </w:rPr>
            </w:pPr>
            <w:r>
              <w:rPr>
                <w:rFonts w:hint="eastAsia" w:ascii="楷体_GB2312" w:hAnsi="Times New Roman" w:eastAsia="楷体_GB2312" w:cs="Times New Roman"/>
                <w:bCs/>
                <w:sz w:val="22"/>
                <w:szCs w:val="24"/>
              </w:rPr>
              <w:t>□通风与空调 (□通风  □空调       □其他</w:t>
            </w:r>
            <w:r>
              <w:rPr>
                <w:rFonts w:hint="eastAsia" w:ascii="楷体_GB2312" w:hAnsi="Times New Roman" w:eastAsia="楷体_GB2312" w:cs="Times New Roman"/>
                <w:sz w:val="22"/>
                <w:szCs w:val="24"/>
                <w:u w:val="single"/>
              </w:rPr>
              <w:t xml:space="preserve">         </w:t>
            </w:r>
            <w:r>
              <w:rPr>
                <w:rFonts w:hint="eastAsia" w:ascii="楷体_GB2312" w:hAnsi="Times New Roman" w:eastAsia="楷体_GB2312" w:cs="Times New Roman"/>
                <w:bCs/>
                <w:sz w:val="22"/>
                <w:szCs w:val="24"/>
              </w:rPr>
              <w:t xml:space="preserve">  );</w:t>
            </w:r>
          </w:p>
        </w:tc>
      </w:tr>
      <w:tr w14:paraId="2DBCB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894" w:type="dxa"/>
            <w:gridSpan w:val="5"/>
            <w:tcBorders>
              <w:top w:val="single" w:color="auto" w:sz="4" w:space="0"/>
              <w:left w:val="single" w:color="auto" w:sz="4" w:space="0"/>
              <w:bottom w:val="single" w:color="auto" w:sz="4" w:space="0"/>
              <w:right w:val="single" w:color="auto" w:sz="4" w:space="0"/>
            </w:tcBorders>
            <w:noWrap w:val="0"/>
            <w:vAlign w:val="center"/>
          </w:tcPr>
          <w:p w14:paraId="351FB5A6">
            <w:pPr>
              <w:rPr>
                <w:rFonts w:hint="eastAsia" w:ascii="Times New Roman" w:hAnsi="Times New Roman" w:eastAsia="宋体" w:cs="Times New Roman"/>
                <w:sz w:val="22"/>
                <w:szCs w:val="24"/>
              </w:rPr>
            </w:pPr>
            <w:r>
              <w:rPr>
                <w:rFonts w:hint="eastAsia" w:ascii="楷体_GB2312" w:hAnsi="Times New Roman" w:eastAsia="楷体_GB2312" w:cs="Times New Roman"/>
                <w:bCs/>
                <w:sz w:val="22"/>
                <w:szCs w:val="24"/>
              </w:rPr>
              <w:t>□建筑给排水及供暖（□室内给、排水系统   □室外给、排水系统   □其他</w:t>
            </w:r>
            <w:r>
              <w:rPr>
                <w:rFonts w:hint="eastAsia" w:ascii="楷体_GB2312" w:hAnsi="Times New Roman" w:eastAsia="楷体_GB2312" w:cs="Times New Roman"/>
                <w:sz w:val="22"/>
                <w:szCs w:val="24"/>
                <w:u w:val="single"/>
              </w:rPr>
              <w:t xml:space="preserve">         </w:t>
            </w:r>
            <w:r>
              <w:rPr>
                <w:rFonts w:hint="eastAsia" w:ascii="楷体_GB2312" w:hAnsi="Times New Roman" w:eastAsia="楷体_GB2312" w:cs="Times New Roman"/>
                <w:bCs/>
                <w:sz w:val="22"/>
                <w:szCs w:val="24"/>
              </w:rPr>
              <w:t xml:space="preserve">  ）;</w:t>
            </w:r>
          </w:p>
        </w:tc>
      </w:tr>
      <w:tr w14:paraId="2E3E9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894" w:type="dxa"/>
            <w:gridSpan w:val="5"/>
            <w:tcBorders>
              <w:top w:val="single" w:color="auto" w:sz="4" w:space="0"/>
              <w:left w:val="single" w:color="auto" w:sz="4" w:space="0"/>
              <w:bottom w:val="single" w:color="auto" w:sz="4" w:space="0"/>
              <w:right w:val="single" w:color="auto" w:sz="4" w:space="0"/>
            </w:tcBorders>
            <w:noWrap w:val="0"/>
            <w:vAlign w:val="center"/>
          </w:tcPr>
          <w:p w14:paraId="641A9B11">
            <w:pPr>
              <w:tabs>
                <w:tab w:val="left" w:pos="600"/>
              </w:tabs>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□智能建筑  (□综合布线系统    □信息网络系统    □其他</w:t>
            </w:r>
            <w:r>
              <w:rPr>
                <w:rFonts w:hint="eastAsia" w:ascii="楷体_GB2312" w:hAnsi="Times New Roman" w:eastAsia="楷体_GB2312" w:cs="Times New Roman"/>
                <w:sz w:val="22"/>
                <w:szCs w:val="24"/>
                <w:u w:val="single"/>
              </w:rPr>
              <w:t xml:space="preserve">         </w:t>
            </w:r>
            <w:r>
              <w:rPr>
                <w:rFonts w:hint="eastAsia" w:ascii="楷体_GB2312" w:hAnsi="Times New Roman" w:eastAsia="楷体_GB2312" w:cs="Times New Roman"/>
                <w:bCs/>
                <w:sz w:val="22"/>
                <w:szCs w:val="24"/>
              </w:rPr>
              <w:t xml:space="preserve">  ）;</w:t>
            </w:r>
          </w:p>
        </w:tc>
      </w:tr>
      <w:tr w14:paraId="03EF8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894" w:type="dxa"/>
            <w:gridSpan w:val="5"/>
            <w:tcBorders>
              <w:top w:val="single" w:color="auto" w:sz="4" w:space="0"/>
              <w:left w:val="single" w:color="auto" w:sz="4" w:space="0"/>
              <w:bottom w:val="single" w:color="auto" w:sz="4" w:space="0"/>
              <w:right w:val="single" w:color="auto" w:sz="4" w:space="0"/>
            </w:tcBorders>
            <w:noWrap w:val="0"/>
            <w:vAlign w:val="center"/>
          </w:tcPr>
          <w:p w14:paraId="204C6800">
            <w:pPr>
              <w:tabs>
                <w:tab w:val="left" w:pos="600"/>
              </w:tabs>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□装饰装修  (□抹灰   □涂饰   □饰面板（砖）   □吊顶   □其他</w:t>
            </w:r>
            <w:r>
              <w:rPr>
                <w:rFonts w:hint="eastAsia" w:ascii="楷体_GB2312" w:hAnsi="Times New Roman" w:eastAsia="楷体_GB2312" w:cs="Times New Roman"/>
                <w:sz w:val="22"/>
                <w:szCs w:val="24"/>
                <w:u w:val="single"/>
              </w:rPr>
              <w:t xml:space="preserve">         </w:t>
            </w:r>
            <w:r>
              <w:rPr>
                <w:rFonts w:hint="eastAsia" w:ascii="楷体_GB2312" w:hAnsi="Times New Roman" w:eastAsia="楷体_GB2312" w:cs="Times New Roman"/>
                <w:bCs/>
                <w:sz w:val="22"/>
                <w:szCs w:val="24"/>
              </w:rPr>
              <w:t xml:space="preserve">  ）;</w:t>
            </w:r>
          </w:p>
        </w:tc>
      </w:tr>
      <w:tr w14:paraId="5DF91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894" w:type="dxa"/>
            <w:gridSpan w:val="5"/>
            <w:tcBorders>
              <w:top w:val="single" w:color="auto" w:sz="4" w:space="0"/>
              <w:left w:val="single" w:color="auto" w:sz="4" w:space="0"/>
              <w:bottom w:val="single" w:color="auto" w:sz="4" w:space="0"/>
              <w:right w:val="single" w:color="auto" w:sz="4" w:space="0"/>
            </w:tcBorders>
            <w:noWrap w:val="0"/>
            <w:vAlign w:val="center"/>
          </w:tcPr>
          <w:p w14:paraId="580B6282">
            <w:pPr>
              <w:tabs>
                <w:tab w:val="left" w:pos="600"/>
              </w:tabs>
              <w:rPr>
                <w:rFonts w:hint="eastAsia" w:ascii="楷体_GB2312" w:hAnsi="Times New Roman" w:eastAsia="楷体_GB2312" w:cs="Times New Roman"/>
                <w:bCs/>
                <w:sz w:val="22"/>
                <w:szCs w:val="24"/>
              </w:rPr>
            </w:pPr>
            <w:r>
              <w:rPr>
                <w:rFonts w:hint="eastAsia" w:ascii="楷体_GB2312" w:hAnsi="Times New Roman" w:eastAsia="楷体_GB2312" w:cs="Times New Roman"/>
                <w:bCs/>
                <w:sz w:val="22"/>
                <w:szCs w:val="24"/>
              </w:rPr>
              <w:t>□其他：</w:t>
            </w:r>
          </w:p>
        </w:tc>
      </w:tr>
    </w:tbl>
    <w:p w14:paraId="3877C4A7">
      <w:pPr>
        <w:spacing w:line="360" w:lineRule="auto"/>
        <w:rPr>
          <w:rFonts w:hint="eastAsia" w:ascii="宋体" w:hAnsi="宋体" w:eastAsia="宋体" w:cs="Times New Roman"/>
          <w:b/>
          <w:sz w:val="24"/>
          <w:szCs w:val="24"/>
        </w:rPr>
      </w:pPr>
      <w:bookmarkStart w:id="152" w:name="_Toc302635680"/>
      <w:r>
        <w:rPr>
          <w:rFonts w:hint="eastAsia" w:ascii="宋体" w:hAnsi="宋体" w:eastAsia="宋体" w:cs="Times New Roman"/>
          <w:b/>
          <w:sz w:val="24"/>
          <w:szCs w:val="24"/>
        </w:rPr>
        <w:t>4.其他工程</w:t>
      </w:r>
    </w:p>
    <w:p w14:paraId="20FAE2EF">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50677B56">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4CBE8210">
      <w:pPr>
        <w:spacing w:line="360" w:lineRule="auto"/>
        <w:ind w:firstLine="480"/>
        <w:rPr>
          <w:rFonts w:hint="eastAsia" w:ascii="宋体" w:hAnsi="宋体" w:eastAsia="宋体" w:cs="Times New Roman"/>
          <w:sz w:val="24"/>
          <w:szCs w:val="24"/>
          <w:u w:val="single"/>
        </w:rPr>
      </w:pPr>
    </w:p>
    <w:p w14:paraId="0A184C0A">
      <w:pPr>
        <w:keepNext w:val="0"/>
        <w:keepLines w:val="0"/>
        <w:widowControl/>
        <w:numPr>
          <w:ilvl w:val="0"/>
          <w:numId w:val="0"/>
        </w:numPr>
        <w:spacing w:before="80" w:after="0"/>
        <w:jc w:val="left"/>
        <w:outlineLvl w:val="0"/>
        <w:rPr>
          <w:rFonts w:ascii="宋体" w:hAnsi="宋体" w:eastAsia="宋体" w:cs="Times New Roman"/>
          <w:b/>
          <w:bCs/>
          <w:snapToGrid w:val="0"/>
          <w:kern w:val="0"/>
          <w:sz w:val="30"/>
          <w:szCs w:val="44"/>
          <w:lang w:val="en-US" w:eastAsia="zh-CN" w:bidi="ar-SA"/>
        </w:rPr>
      </w:pPr>
      <w:bookmarkStart w:id="153" w:name="_Toc201735221"/>
      <w:bookmarkStart w:id="154" w:name="_Toc714746639"/>
      <w:bookmarkStart w:id="155" w:name="_Toc7563"/>
      <w:bookmarkStart w:id="156" w:name="_Toc29263"/>
      <w:bookmarkStart w:id="157" w:name="_Toc3882"/>
      <w:bookmarkStart w:id="158" w:name="_Toc17286"/>
      <w:bookmarkStart w:id="159" w:name="_Toc11909"/>
      <w:bookmarkStart w:id="160" w:name="_Toc31005"/>
      <w:bookmarkStart w:id="161" w:name="_Toc989"/>
      <w:bookmarkStart w:id="162" w:name="_Toc19064"/>
      <w:bookmarkStart w:id="163" w:name="_Toc25575"/>
      <w:bookmarkStart w:id="164" w:name="_Toc22583"/>
      <w:bookmarkStart w:id="165" w:name="_Toc208587426"/>
      <w:r>
        <w:rPr>
          <w:rFonts w:hint="eastAsia" w:ascii="宋体" w:hAnsi="宋体" w:eastAsia="宋体" w:cs="Times New Roman"/>
          <w:b/>
          <w:bCs/>
          <w:snapToGrid w:val="0"/>
          <w:kern w:val="0"/>
          <w:sz w:val="30"/>
          <w:szCs w:val="44"/>
          <w:lang w:val="en-US" w:eastAsia="zh-CN" w:bidi="ar-SA"/>
        </w:rPr>
        <w:t>三、合同工期</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2A0C299E">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计划开工日期：</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年</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月</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日；</w:t>
      </w:r>
    </w:p>
    <w:p w14:paraId="675B7292">
      <w:pPr>
        <w:spacing w:line="360" w:lineRule="auto"/>
        <w:ind w:firstLine="480" w:firstLineChars="200"/>
        <w:rPr>
          <w:rFonts w:ascii="宋体" w:hAnsi="宋体" w:eastAsia="宋体" w:cs="Times New Roman"/>
          <w:sz w:val="24"/>
          <w:szCs w:val="24"/>
          <w:u w:val="single"/>
        </w:rPr>
      </w:pPr>
      <w:r>
        <w:rPr>
          <w:rFonts w:hint="eastAsia" w:ascii="宋体" w:hAnsi="宋体" w:eastAsia="宋体" w:cs="Times New Roman"/>
          <w:sz w:val="24"/>
          <w:szCs w:val="24"/>
        </w:rPr>
        <w:t>计划竣工日期：</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年</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月</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日；</w:t>
      </w:r>
    </w:p>
    <w:p w14:paraId="6EE78054">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合同工期总日历天数</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天。合同工期总日历天数与根据前述计划开竣工日期计算的工期天数不一致的，以合同工期总日历天数为准。</w:t>
      </w:r>
    </w:p>
    <w:p w14:paraId="203E853F">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招标工期总日历天数</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天。</w:t>
      </w:r>
    </w:p>
    <w:p w14:paraId="5DCBC136">
      <w:pPr>
        <w:spacing w:line="360" w:lineRule="auto"/>
        <w:ind w:firstLine="480" w:firstLineChars="200"/>
        <w:rPr>
          <w:rFonts w:hint="eastAsia" w:ascii="Times New Roman" w:hAnsi="Times New Roman" w:eastAsia="宋体" w:cs="Times New Roman"/>
          <w:szCs w:val="24"/>
        </w:rPr>
      </w:pPr>
      <w:r>
        <w:rPr>
          <w:rFonts w:hint="eastAsia" w:ascii="宋体" w:hAnsi="宋体" w:eastAsia="宋体" w:cs="Times New Roman"/>
          <w:sz w:val="24"/>
          <w:szCs w:val="24"/>
        </w:rPr>
        <w:t>定额工期总日历天数</w:t>
      </w:r>
      <w:r>
        <w:rPr>
          <w:rFonts w:hint="eastAsia" w:ascii="宋体" w:hAnsi="宋体" w:eastAsia="宋体" w:cs="Times New Roman"/>
          <w:bCs/>
          <w:sz w:val="28"/>
          <w:szCs w:val="28"/>
          <w:u w:val="single"/>
        </w:rPr>
        <w:t xml:space="preserve">          </w:t>
      </w:r>
      <w:r>
        <w:rPr>
          <w:rFonts w:hint="eastAsia" w:ascii="宋体" w:hAnsi="宋体" w:eastAsia="宋体" w:cs="Times New Roman"/>
          <w:sz w:val="24"/>
          <w:szCs w:val="24"/>
        </w:rPr>
        <w:t>天。</w:t>
      </w:r>
      <w:bookmarkStart w:id="166" w:name="_Toc2239"/>
      <w:r>
        <w:rPr>
          <w:rFonts w:hint="eastAsia" w:ascii="宋体" w:hAnsi="宋体" w:eastAsia="宋体" w:cs="Times New Roman"/>
          <w:sz w:val="24"/>
          <w:szCs w:val="24"/>
        </w:rPr>
        <w:t>合同工期对比定额工期的压缩比例为</w:t>
      </w:r>
      <w:r>
        <w:rPr>
          <w:rFonts w:hint="eastAsia" w:ascii="宋体" w:hAnsi="宋体" w:eastAsia="宋体" w:cs="Times New Roman"/>
          <w:b/>
          <w:bCs/>
          <w:szCs w:val="28"/>
          <w:u w:val="single"/>
        </w:rPr>
        <w:t xml:space="preserve">    </w:t>
      </w:r>
      <w:r>
        <w:rPr>
          <w:rFonts w:hint="eastAsia" w:ascii="宋体" w:hAnsi="宋体" w:eastAsia="宋体" w:cs="Times New Roman"/>
          <w:bCs/>
          <w:szCs w:val="28"/>
          <w:u w:val="none"/>
        </w:rPr>
        <w:t>%</w:t>
      </w:r>
      <w:r>
        <w:rPr>
          <w:rFonts w:hint="eastAsia" w:ascii="宋体" w:hAnsi="宋体" w:eastAsia="宋体" w:cs="Times New Roman"/>
          <w:b/>
          <w:bCs/>
          <w:szCs w:val="28"/>
          <w:u w:val="single"/>
        </w:rPr>
        <w:t xml:space="preserve"> </w:t>
      </w:r>
      <w:r>
        <w:rPr>
          <w:rFonts w:hint="eastAsia" w:ascii="宋体" w:hAnsi="宋体" w:eastAsia="宋体" w:cs="Times New Roman"/>
          <w:sz w:val="24"/>
          <w:szCs w:val="24"/>
        </w:rPr>
        <w:t xml:space="preserve"> (压缩比例=1-合同工期/定额工期)。</w:t>
      </w:r>
      <w:bookmarkEnd w:id="166"/>
    </w:p>
    <w:p w14:paraId="60267E5F">
      <w:pPr>
        <w:keepNext w:val="0"/>
        <w:keepLines w:val="0"/>
        <w:widowControl w:val="0"/>
        <w:numPr>
          <w:ilvl w:val="0"/>
          <w:numId w:val="0"/>
        </w:numPr>
        <w:spacing w:before="80" w:after="0"/>
        <w:jc w:val="left"/>
        <w:outlineLvl w:val="0"/>
        <w:rPr>
          <w:rFonts w:ascii="宋体" w:hAnsi="宋体" w:eastAsia="宋体" w:cs="Times New Roman"/>
          <w:b/>
          <w:bCs/>
          <w:snapToGrid w:val="0"/>
          <w:kern w:val="0"/>
          <w:sz w:val="30"/>
          <w:szCs w:val="44"/>
          <w:lang w:val="en-US" w:eastAsia="zh-CN" w:bidi="ar-SA"/>
        </w:rPr>
      </w:pPr>
      <w:bookmarkStart w:id="167" w:name="_Toc208587427"/>
      <w:bookmarkStart w:id="168" w:name="_Toc12094"/>
      <w:bookmarkStart w:id="169" w:name="_Toc21163"/>
      <w:bookmarkStart w:id="170" w:name="_Toc29688"/>
      <w:bookmarkStart w:id="171" w:name="_Toc16810"/>
      <w:bookmarkStart w:id="172" w:name="_Toc20841"/>
      <w:bookmarkStart w:id="173" w:name="_Toc201735222"/>
      <w:bookmarkStart w:id="174" w:name="_Toc790"/>
      <w:bookmarkStart w:id="175" w:name="_Toc1589379443"/>
      <w:bookmarkStart w:id="176" w:name="_Toc32425"/>
      <w:bookmarkStart w:id="177" w:name="_Toc915"/>
      <w:bookmarkStart w:id="178" w:name="_Toc302635681"/>
      <w:bookmarkStart w:id="179" w:name="_Toc31852"/>
      <w:r>
        <w:rPr>
          <w:rFonts w:hint="eastAsia" w:ascii="宋体" w:hAnsi="宋体" w:eastAsia="宋体" w:cs="Times New Roman"/>
          <w:b/>
          <w:bCs/>
          <w:snapToGrid w:val="0"/>
          <w:kern w:val="0"/>
          <w:sz w:val="30"/>
          <w:szCs w:val="44"/>
          <w:lang w:val="en-US" w:eastAsia="zh-CN" w:bidi="ar-SA"/>
        </w:rPr>
        <w:t>四、质量标准</w:t>
      </w:r>
      <w:bookmarkEnd w:id="167"/>
      <w:bookmarkEnd w:id="168"/>
      <w:bookmarkEnd w:id="169"/>
      <w:bookmarkEnd w:id="170"/>
      <w:bookmarkEnd w:id="171"/>
      <w:bookmarkEnd w:id="172"/>
      <w:bookmarkEnd w:id="173"/>
      <w:bookmarkEnd w:id="174"/>
      <w:bookmarkEnd w:id="175"/>
      <w:bookmarkEnd w:id="176"/>
      <w:bookmarkEnd w:id="177"/>
      <w:bookmarkEnd w:id="178"/>
      <w:bookmarkEnd w:id="179"/>
    </w:p>
    <w:p w14:paraId="3F87B4C7">
      <w:pPr>
        <w:spacing w:line="360" w:lineRule="auto"/>
        <w:ind w:firstLine="480"/>
        <w:rPr>
          <w:rFonts w:ascii="宋体" w:hAnsi="宋体" w:eastAsia="宋体" w:cs="Times New Roman"/>
          <w:sz w:val="24"/>
          <w:szCs w:val="24"/>
          <w:u w:val="single"/>
        </w:rPr>
      </w:pPr>
      <w:r>
        <w:rPr>
          <w:rFonts w:hint="eastAsia" w:ascii="宋体" w:hAnsi="宋体" w:eastAsia="宋体" w:cs="Times New Roman"/>
          <w:sz w:val="24"/>
          <w:szCs w:val="24"/>
        </w:rPr>
        <w:t>本工程质量标准：</w:t>
      </w:r>
      <w:r>
        <w:rPr>
          <w:rFonts w:hint="eastAsia" w:ascii="宋体" w:hAnsi="宋体" w:eastAsia="宋体" w:cs="Times New Roman"/>
          <w:bCs/>
          <w:sz w:val="24"/>
          <w:szCs w:val="24"/>
          <w:u w:val="single"/>
        </w:rPr>
        <w:t xml:space="preserve">                                                 </w:t>
      </w:r>
    </w:p>
    <w:p w14:paraId="17522A08">
      <w:pPr>
        <w:keepNext w:val="0"/>
        <w:keepLines w:val="0"/>
        <w:widowControl/>
        <w:numPr>
          <w:ilvl w:val="0"/>
          <w:numId w:val="0"/>
        </w:numPr>
        <w:spacing w:before="80" w:after="0"/>
        <w:jc w:val="left"/>
        <w:outlineLvl w:val="0"/>
        <w:rPr>
          <w:rFonts w:ascii="宋体" w:hAnsi="宋体" w:eastAsia="宋体" w:cs="Times New Roman"/>
          <w:b/>
          <w:bCs/>
          <w:snapToGrid w:val="0"/>
          <w:kern w:val="0"/>
          <w:sz w:val="30"/>
          <w:szCs w:val="44"/>
          <w:lang w:val="en-US" w:eastAsia="zh-CN" w:bidi="ar-SA"/>
        </w:rPr>
      </w:pPr>
      <w:bookmarkStart w:id="180" w:name="_Toc302635682"/>
      <w:bookmarkStart w:id="181" w:name="_Toc25115"/>
      <w:bookmarkStart w:id="182" w:name="_Toc3883"/>
      <w:bookmarkStart w:id="183" w:name="_Toc25016"/>
      <w:bookmarkStart w:id="184" w:name="_Toc201735223"/>
      <w:bookmarkStart w:id="185" w:name="_Toc208587428"/>
      <w:bookmarkStart w:id="186" w:name="_Toc31835"/>
      <w:bookmarkStart w:id="187" w:name="_Toc10418"/>
      <w:bookmarkStart w:id="188" w:name="_Toc16903"/>
      <w:bookmarkStart w:id="189" w:name="_Toc17276"/>
      <w:bookmarkStart w:id="190" w:name="_Toc19788"/>
      <w:bookmarkStart w:id="191" w:name="_Toc1748601446"/>
      <w:bookmarkStart w:id="192" w:name="_Toc3777"/>
      <w:bookmarkStart w:id="193" w:name="_Toc607"/>
      <w:r>
        <w:rPr>
          <w:rFonts w:hint="eastAsia" w:ascii="宋体" w:hAnsi="宋体" w:eastAsia="宋体" w:cs="Times New Roman"/>
          <w:b/>
          <w:bCs/>
          <w:snapToGrid w:val="0"/>
          <w:kern w:val="0"/>
          <w:sz w:val="30"/>
          <w:szCs w:val="44"/>
          <w:lang w:val="en-US" w:eastAsia="zh-CN" w:bidi="ar-SA"/>
        </w:rPr>
        <w:t>五、</w:t>
      </w:r>
      <w:bookmarkEnd w:id="180"/>
      <w:r>
        <w:rPr>
          <w:rFonts w:hint="eastAsia" w:ascii="宋体" w:hAnsi="宋体" w:eastAsia="宋体" w:cs="Times New Roman"/>
          <w:b/>
          <w:bCs/>
          <w:snapToGrid w:val="0"/>
          <w:kern w:val="0"/>
          <w:sz w:val="30"/>
          <w:szCs w:val="44"/>
          <w:lang w:val="en-US" w:eastAsia="zh-CN" w:bidi="ar-SA"/>
        </w:rPr>
        <w:t>签约合同价</w:t>
      </w:r>
      <w:bookmarkEnd w:id="181"/>
      <w:bookmarkEnd w:id="182"/>
      <w:bookmarkEnd w:id="183"/>
      <w:bookmarkEnd w:id="184"/>
      <w:bookmarkEnd w:id="185"/>
      <w:bookmarkEnd w:id="186"/>
      <w:bookmarkEnd w:id="187"/>
      <w:bookmarkEnd w:id="188"/>
      <w:bookmarkEnd w:id="189"/>
      <w:bookmarkEnd w:id="190"/>
      <w:bookmarkEnd w:id="191"/>
      <w:bookmarkEnd w:id="192"/>
      <w:bookmarkEnd w:id="193"/>
    </w:p>
    <w:p w14:paraId="5AD65958">
      <w:pPr>
        <w:spacing w:line="360" w:lineRule="auto"/>
        <w:ind w:firstLine="475"/>
        <w:rPr>
          <w:rFonts w:ascii="宋体" w:hAnsi="宋体" w:eastAsia="宋体" w:cs="Times New Roman"/>
          <w:sz w:val="24"/>
          <w:szCs w:val="24"/>
        </w:rPr>
      </w:pPr>
      <w:r>
        <w:rPr>
          <w:rFonts w:hint="eastAsia" w:ascii="宋体" w:hAnsi="宋体" w:eastAsia="宋体" w:cs="Times New Roman"/>
          <w:sz w:val="24"/>
          <w:szCs w:val="24"/>
        </w:rPr>
        <w:t>本合同签约合同价（含税）：</w:t>
      </w:r>
    </w:p>
    <w:p w14:paraId="7C23946E">
      <w:pPr>
        <w:spacing w:line="360" w:lineRule="auto"/>
        <w:ind w:firstLine="475"/>
        <w:rPr>
          <w:rFonts w:ascii="宋体" w:hAnsi="宋体" w:eastAsia="宋体" w:cs="Times New Roman"/>
          <w:sz w:val="24"/>
          <w:szCs w:val="24"/>
        </w:rPr>
      </w:pPr>
      <w:r>
        <w:rPr>
          <w:rFonts w:ascii="宋体" w:hAnsi="宋体" w:eastAsia="宋体" w:cs="Times New Roman"/>
          <w:sz w:val="24"/>
          <w:szCs w:val="24"/>
        </w:rPr>
        <w:t>人民币（大写）</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rPr>
        <w:t>(¥</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ascii="宋体" w:hAnsi="宋体" w:eastAsia="宋体" w:cs="Times New Roman"/>
          <w:sz w:val="24"/>
          <w:szCs w:val="24"/>
        </w:rPr>
        <w:t>元)；</w:t>
      </w:r>
    </w:p>
    <w:p w14:paraId="09138AD1">
      <w:pPr>
        <w:spacing w:line="360" w:lineRule="auto"/>
        <w:ind w:firstLine="475"/>
        <w:rPr>
          <w:rFonts w:hint="eastAsia" w:ascii="宋体" w:hAnsi="宋体" w:eastAsia="宋体" w:cs="Times New Roman"/>
          <w:sz w:val="24"/>
          <w:szCs w:val="24"/>
        </w:rPr>
      </w:pPr>
      <w:r>
        <w:rPr>
          <w:rFonts w:hint="eastAsia" w:ascii="宋体" w:hAnsi="宋体" w:eastAsia="宋体" w:cs="Times New Roman"/>
          <w:sz w:val="24"/>
          <w:szCs w:val="24"/>
        </w:rPr>
        <w:t>本合同签订时约定增值税税率为</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ascii="宋体" w:hAnsi="宋体" w:eastAsia="宋体" w:cs="Times New Roman"/>
          <w:sz w:val="24"/>
          <w:szCs w:val="24"/>
          <w:u w:val="none"/>
        </w:rPr>
        <w:t>%</w:t>
      </w:r>
      <w:r>
        <w:rPr>
          <w:rFonts w:hint="eastAsia" w:ascii="宋体" w:hAnsi="宋体" w:eastAsia="宋体" w:cs="Times New Roman"/>
          <w:sz w:val="24"/>
          <w:szCs w:val="24"/>
        </w:rPr>
        <w:t>。</w:t>
      </w:r>
    </w:p>
    <w:p w14:paraId="1A9E3CC3">
      <w:pPr>
        <w:spacing w:line="360" w:lineRule="auto"/>
        <w:ind w:firstLine="475"/>
        <w:rPr>
          <w:rFonts w:ascii="宋体" w:hAnsi="宋体" w:eastAsia="宋体" w:cs="Times New Roman"/>
          <w:sz w:val="24"/>
          <w:szCs w:val="24"/>
        </w:rPr>
      </w:pPr>
      <w:r>
        <w:rPr>
          <w:rFonts w:ascii="宋体" w:hAnsi="宋体" w:eastAsia="宋体" w:cs="Times New Roman"/>
          <w:sz w:val="24"/>
          <w:szCs w:val="24"/>
        </w:rPr>
        <w:t>其中：</w:t>
      </w:r>
    </w:p>
    <w:p w14:paraId="0AC15790">
      <w:pPr>
        <w:spacing w:line="360" w:lineRule="auto"/>
        <w:ind w:firstLine="475"/>
        <w:rPr>
          <w:rFonts w:ascii="宋体" w:hAnsi="宋体" w:eastAsia="宋体" w:cs="Times New Roman"/>
          <w:sz w:val="24"/>
          <w:szCs w:val="24"/>
        </w:rPr>
      </w:pPr>
      <w:r>
        <w:rPr>
          <w:rFonts w:hint="eastAsia" w:ascii="宋体" w:hAnsi="宋体" w:eastAsia="宋体" w:cs="Times New Roman"/>
          <w:sz w:val="24"/>
          <w:szCs w:val="24"/>
        </w:rPr>
        <w:t>(1)</w:t>
      </w:r>
      <w:r>
        <w:rPr>
          <w:rFonts w:ascii="宋体" w:hAnsi="宋体" w:eastAsia="宋体" w:cs="Times New Roman"/>
          <w:sz w:val="24"/>
          <w:szCs w:val="24"/>
        </w:rPr>
        <w:t>安全文明施工费：</w:t>
      </w:r>
    </w:p>
    <w:p w14:paraId="5692E8FD">
      <w:pPr>
        <w:spacing w:line="360" w:lineRule="auto"/>
        <w:ind w:firstLine="475"/>
        <w:rPr>
          <w:rFonts w:ascii="宋体" w:hAnsi="宋体" w:eastAsia="宋体" w:cs="Times New Roman"/>
          <w:sz w:val="24"/>
          <w:szCs w:val="24"/>
        </w:rPr>
      </w:pPr>
      <w:r>
        <w:rPr>
          <w:rFonts w:ascii="宋体" w:hAnsi="宋体" w:eastAsia="宋体" w:cs="Times New Roman"/>
          <w:sz w:val="24"/>
          <w:szCs w:val="24"/>
        </w:rPr>
        <w:t>人民币（大写）</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ascii="宋体" w:hAnsi="宋体" w:eastAsia="宋体" w:cs="Times New Roman"/>
          <w:sz w:val="24"/>
          <w:szCs w:val="24"/>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rPr>
        <w:t>元)；</w:t>
      </w:r>
    </w:p>
    <w:p w14:paraId="212D28CC">
      <w:pPr>
        <w:spacing w:line="360" w:lineRule="auto"/>
        <w:ind w:firstLine="475"/>
        <w:rPr>
          <w:rFonts w:ascii="宋体" w:hAnsi="宋体" w:eastAsia="宋体" w:cs="Times New Roman"/>
          <w:sz w:val="24"/>
          <w:szCs w:val="24"/>
        </w:rPr>
      </w:pPr>
      <w:r>
        <w:rPr>
          <w:rFonts w:hint="eastAsia" w:ascii="宋体" w:hAnsi="宋体" w:eastAsia="宋体" w:cs="Times New Roman"/>
          <w:sz w:val="24"/>
          <w:szCs w:val="24"/>
        </w:rPr>
        <w:t>(2)</w:t>
      </w:r>
      <w:r>
        <w:rPr>
          <w:rFonts w:ascii="宋体" w:hAnsi="宋体" w:eastAsia="宋体" w:cs="Times New Roman"/>
          <w:sz w:val="24"/>
          <w:szCs w:val="24"/>
        </w:rPr>
        <w:t>材料暂估价金额：</w:t>
      </w:r>
    </w:p>
    <w:p w14:paraId="21A589CC">
      <w:pPr>
        <w:spacing w:line="360" w:lineRule="auto"/>
        <w:ind w:firstLine="475"/>
        <w:rPr>
          <w:rFonts w:ascii="宋体" w:hAnsi="宋体" w:eastAsia="宋体" w:cs="Times New Roman"/>
          <w:sz w:val="24"/>
          <w:szCs w:val="24"/>
        </w:rPr>
      </w:pPr>
      <w:r>
        <w:rPr>
          <w:rFonts w:ascii="宋体" w:hAnsi="宋体" w:eastAsia="宋体" w:cs="Times New Roman"/>
          <w:sz w:val="24"/>
          <w:szCs w:val="24"/>
        </w:rPr>
        <w:t>人民币（大写）</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ascii="宋体" w:hAnsi="宋体" w:eastAsia="宋体" w:cs="Times New Roman"/>
          <w:sz w:val="24"/>
          <w:szCs w:val="24"/>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ascii="宋体" w:hAnsi="宋体" w:eastAsia="宋体" w:cs="Times New Roman"/>
          <w:sz w:val="24"/>
          <w:szCs w:val="24"/>
        </w:rPr>
        <w:t>元)；</w:t>
      </w:r>
    </w:p>
    <w:p w14:paraId="1DA20892">
      <w:pPr>
        <w:spacing w:line="360" w:lineRule="auto"/>
        <w:ind w:firstLine="475"/>
        <w:rPr>
          <w:rFonts w:ascii="宋体" w:hAnsi="宋体" w:eastAsia="宋体" w:cs="Times New Roman"/>
          <w:sz w:val="24"/>
          <w:szCs w:val="24"/>
        </w:rPr>
      </w:pPr>
      <w:r>
        <w:rPr>
          <w:rFonts w:hint="eastAsia" w:ascii="宋体" w:hAnsi="宋体" w:eastAsia="宋体" w:cs="Times New Roman"/>
          <w:sz w:val="24"/>
          <w:szCs w:val="24"/>
        </w:rPr>
        <w:t>(3)</w:t>
      </w:r>
      <w:r>
        <w:rPr>
          <w:rFonts w:ascii="宋体" w:hAnsi="宋体" w:eastAsia="宋体" w:cs="Times New Roman"/>
          <w:sz w:val="24"/>
          <w:szCs w:val="24"/>
        </w:rPr>
        <w:t>专业工程暂估价金额：</w:t>
      </w:r>
    </w:p>
    <w:p w14:paraId="6C32C82E">
      <w:pPr>
        <w:spacing w:line="360" w:lineRule="auto"/>
        <w:ind w:firstLine="475"/>
        <w:rPr>
          <w:rFonts w:ascii="宋体" w:hAnsi="宋体" w:eastAsia="宋体" w:cs="Times New Roman"/>
          <w:sz w:val="24"/>
          <w:szCs w:val="24"/>
        </w:rPr>
      </w:pPr>
      <w:r>
        <w:rPr>
          <w:rFonts w:ascii="宋体" w:hAnsi="宋体" w:eastAsia="宋体" w:cs="Times New Roman"/>
          <w:sz w:val="24"/>
          <w:szCs w:val="24"/>
        </w:rPr>
        <w:t>人民币（大写）</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ascii="宋体" w:hAnsi="宋体" w:eastAsia="宋体" w:cs="Times New Roman"/>
          <w:sz w:val="24"/>
          <w:szCs w:val="24"/>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ascii="宋体" w:hAnsi="宋体" w:eastAsia="宋体" w:cs="Times New Roman"/>
          <w:sz w:val="24"/>
          <w:szCs w:val="24"/>
        </w:rPr>
        <w:t>元)；</w:t>
      </w:r>
    </w:p>
    <w:p w14:paraId="23A9387A">
      <w:pPr>
        <w:spacing w:line="360" w:lineRule="auto"/>
        <w:ind w:firstLine="475"/>
        <w:rPr>
          <w:rFonts w:ascii="宋体" w:hAnsi="宋体" w:eastAsia="宋体" w:cs="Times New Roman"/>
          <w:sz w:val="24"/>
          <w:szCs w:val="24"/>
        </w:rPr>
      </w:pPr>
      <w:r>
        <w:rPr>
          <w:rFonts w:hint="eastAsia" w:ascii="宋体" w:hAnsi="宋体" w:eastAsia="宋体" w:cs="Times New Roman"/>
          <w:sz w:val="24"/>
          <w:szCs w:val="24"/>
        </w:rPr>
        <w:t>(4)</w:t>
      </w:r>
      <w:r>
        <w:rPr>
          <w:rFonts w:ascii="宋体" w:hAnsi="宋体" w:eastAsia="宋体" w:cs="Times New Roman"/>
          <w:sz w:val="24"/>
          <w:szCs w:val="24"/>
        </w:rPr>
        <w:t>暂列金额：</w:t>
      </w:r>
    </w:p>
    <w:p w14:paraId="60519961">
      <w:pPr>
        <w:spacing w:line="360" w:lineRule="auto"/>
        <w:ind w:firstLine="475"/>
        <w:rPr>
          <w:rFonts w:hint="eastAsia" w:ascii="宋体" w:hAnsi="宋体" w:eastAsia="宋体" w:cs="Times New Roman"/>
          <w:sz w:val="24"/>
          <w:szCs w:val="24"/>
        </w:rPr>
      </w:pPr>
      <w:r>
        <w:rPr>
          <w:rFonts w:ascii="宋体" w:hAnsi="宋体" w:eastAsia="宋体" w:cs="Times New Roman"/>
          <w:sz w:val="24"/>
          <w:szCs w:val="24"/>
        </w:rPr>
        <w:t>人民币（大写）</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ascii="宋体" w:hAnsi="宋体" w:eastAsia="宋体" w:cs="Times New Roman"/>
          <w:sz w:val="24"/>
          <w:szCs w:val="24"/>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ascii="宋体" w:hAnsi="宋体" w:eastAsia="宋体" w:cs="Times New Roman"/>
          <w:sz w:val="24"/>
          <w:szCs w:val="24"/>
        </w:rPr>
        <w:t>元)</w:t>
      </w:r>
      <w:r>
        <w:rPr>
          <w:rFonts w:hint="eastAsia" w:ascii="宋体" w:hAnsi="宋体" w:eastAsia="宋体" w:cs="Times New Roman"/>
          <w:sz w:val="24"/>
          <w:szCs w:val="24"/>
        </w:rPr>
        <w:t>；</w:t>
      </w:r>
    </w:p>
    <w:p w14:paraId="17D2840C">
      <w:pPr>
        <w:spacing w:line="360" w:lineRule="auto"/>
        <w:ind w:firstLine="475"/>
        <w:rPr>
          <w:rFonts w:hint="eastAsia" w:ascii="宋体" w:hAnsi="宋体" w:eastAsia="宋体" w:cs="Times New Roman"/>
          <w:sz w:val="24"/>
          <w:szCs w:val="24"/>
        </w:rPr>
      </w:pPr>
      <w:r>
        <w:rPr>
          <w:rFonts w:hint="eastAsia" w:ascii="宋体" w:hAnsi="宋体" w:eastAsia="宋体" w:cs="Times New Roman"/>
          <w:sz w:val="24"/>
          <w:szCs w:val="24"/>
        </w:rPr>
        <w:t>(5)建筑信息模型</w:t>
      </w:r>
      <w:r>
        <w:rPr>
          <w:rFonts w:hint="eastAsia" w:ascii="宋体" w:hAnsi="宋体" w:eastAsia="宋体" w:cs="Times New Roman"/>
          <w:sz w:val="24"/>
          <w:szCs w:val="24"/>
          <w:lang w:eastAsia="zh-CN"/>
        </w:rPr>
        <w:t>（</w:t>
      </w:r>
      <w:r>
        <w:rPr>
          <w:rFonts w:hint="eastAsia" w:ascii="宋体" w:hAnsi="宋体" w:eastAsia="宋体" w:cs="Times New Roman"/>
          <w:sz w:val="24"/>
          <w:szCs w:val="24"/>
        </w:rPr>
        <w:t>BIM</w:t>
      </w:r>
      <w:r>
        <w:rPr>
          <w:rFonts w:hint="eastAsia" w:ascii="宋体" w:hAnsi="宋体" w:eastAsia="宋体" w:cs="Times New Roman"/>
          <w:sz w:val="24"/>
          <w:szCs w:val="24"/>
          <w:lang w:eastAsia="zh-CN"/>
        </w:rPr>
        <w:t>）</w:t>
      </w:r>
      <w:r>
        <w:rPr>
          <w:rFonts w:hint="eastAsia" w:ascii="宋体" w:hAnsi="宋体" w:eastAsia="宋体" w:cs="Times New Roman"/>
          <w:sz w:val="24"/>
          <w:szCs w:val="24"/>
        </w:rPr>
        <w:t>技术应用费用：</w:t>
      </w:r>
    </w:p>
    <w:p w14:paraId="0F8CEB06">
      <w:pPr>
        <w:spacing w:line="360" w:lineRule="auto"/>
        <w:ind w:firstLine="475"/>
        <w:rPr>
          <w:rFonts w:ascii="宋体" w:hAnsi="宋体" w:eastAsia="宋体" w:cs="Times New Roman"/>
          <w:sz w:val="24"/>
          <w:szCs w:val="24"/>
        </w:rPr>
      </w:pPr>
      <w:bookmarkStart w:id="194" w:name="_Toc302635683"/>
      <w:r>
        <w:rPr>
          <w:rFonts w:ascii="宋体" w:hAnsi="宋体" w:eastAsia="宋体" w:cs="Times New Roman"/>
          <w:sz w:val="24"/>
          <w:szCs w:val="24"/>
        </w:rPr>
        <w:t>人民币（大写）</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ascii="宋体" w:hAnsi="宋体" w:eastAsia="宋体" w:cs="Times New Roman"/>
          <w:sz w:val="24"/>
          <w:szCs w:val="24"/>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ascii="宋体" w:hAnsi="宋体" w:eastAsia="宋体" w:cs="Times New Roman"/>
          <w:sz w:val="24"/>
          <w:szCs w:val="24"/>
        </w:rPr>
        <w:t>元)。</w:t>
      </w:r>
    </w:p>
    <w:p w14:paraId="7B2DED1D">
      <w:pPr>
        <w:keepNext w:val="0"/>
        <w:keepLines w:val="0"/>
        <w:widowControl/>
        <w:numPr>
          <w:ilvl w:val="0"/>
          <w:numId w:val="0"/>
        </w:numPr>
        <w:spacing w:before="80" w:after="0"/>
        <w:jc w:val="left"/>
        <w:outlineLvl w:val="0"/>
        <w:rPr>
          <w:rFonts w:hint="eastAsia" w:ascii="宋体" w:hAnsi="宋体" w:eastAsia="宋体" w:cs="Times New Roman"/>
          <w:b/>
          <w:bCs/>
          <w:snapToGrid w:val="0"/>
          <w:kern w:val="0"/>
          <w:sz w:val="30"/>
          <w:szCs w:val="44"/>
          <w:lang w:val="en-US" w:eastAsia="zh-CN" w:bidi="ar-SA"/>
        </w:rPr>
      </w:pPr>
      <w:bookmarkStart w:id="195" w:name="_Toc201735224"/>
      <w:bookmarkStart w:id="196" w:name="_Toc18202"/>
      <w:bookmarkStart w:id="197" w:name="_Toc28930"/>
      <w:bookmarkStart w:id="198" w:name="_Toc2775"/>
      <w:bookmarkStart w:id="199" w:name="_Toc1490488662"/>
      <w:bookmarkStart w:id="200" w:name="_Toc11997"/>
      <w:bookmarkStart w:id="201" w:name="_Toc208587429"/>
      <w:bookmarkStart w:id="202" w:name="_Toc8312"/>
      <w:bookmarkStart w:id="203" w:name="_Toc12480"/>
      <w:bookmarkStart w:id="204" w:name="_Toc858"/>
      <w:bookmarkStart w:id="205" w:name="_Toc22904"/>
      <w:bookmarkStart w:id="206" w:name="_Toc21892"/>
      <w:bookmarkStart w:id="207" w:name="_Toc7065"/>
      <w:r>
        <w:rPr>
          <w:rFonts w:hint="eastAsia" w:ascii="宋体" w:hAnsi="宋体" w:eastAsia="宋体" w:cs="Times New Roman"/>
          <w:b/>
          <w:bCs/>
          <w:snapToGrid w:val="0"/>
          <w:kern w:val="0"/>
          <w:sz w:val="30"/>
          <w:szCs w:val="44"/>
          <w:lang w:val="en-US" w:eastAsia="zh-CN" w:bidi="ar-SA"/>
        </w:rPr>
        <w:t>六、工人工资专用账户信息</w:t>
      </w:r>
      <w:bookmarkEnd w:id="195"/>
      <w:bookmarkEnd w:id="196"/>
      <w:bookmarkEnd w:id="197"/>
      <w:bookmarkEnd w:id="198"/>
      <w:bookmarkEnd w:id="199"/>
      <w:bookmarkEnd w:id="200"/>
      <w:bookmarkEnd w:id="201"/>
      <w:bookmarkEnd w:id="202"/>
      <w:bookmarkEnd w:id="203"/>
      <w:bookmarkEnd w:id="204"/>
      <w:bookmarkEnd w:id="205"/>
      <w:bookmarkEnd w:id="206"/>
      <w:bookmarkEnd w:id="207"/>
    </w:p>
    <w:p w14:paraId="6FD6CC80">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工人工资款支付专用账户名称：</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1B1D6B4C">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工人工资款支付专用账户开户银行：</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1FDE9F05">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工人工资款支付专用账户号：</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04F570B5">
      <w:pPr>
        <w:keepNext w:val="0"/>
        <w:keepLines w:val="0"/>
        <w:widowControl/>
        <w:numPr>
          <w:ilvl w:val="0"/>
          <w:numId w:val="0"/>
        </w:numPr>
        <w:spacing w:before="80" w:after="0"/>
        <w:jc w:val="left"/>
        <w:outlineLvl w:val="0"/>
        <w:rPr>
          <w:rFonts w:ascii="宋体" w:hAnsi="宋体" w:eastAsia="宋体" w:cs="Times New Roman"/>
          <w:b/>
          <w:bCs/>
          <w:snapToGrid w:val="0"/>
          <w:kern w:val="0"/>
          <w:sz w:val="30"/>
          <w:szCs w:val="44"/>
          <w:lang w:val="en-US" w:eastAsia="zh-CN" w:bidi="ar-SA"/>
        </w:rPr>
      </w:pPr>
      <w:bookmarkStart w:id="208" w:name="_Toc15252"/>
      <w:bookmarkStart w:id="209" w:name="_Toc24289971"/>
      <w:bookmarkStart w:id="210" w:name="_Toc208587430"/>
      <w:bookmarkStart w:id="211" w:name="_Toc5088"/>
      <w:bookmarkStart w:id="212" w:name="_Toc9919"/>
      <w:bookmarkStart w:id="213" w:name="_Toc17395"/>
      <w:bookmarkStart w:id="214" w:name="_Toc201735225"/>
      <w:bookmarkStart w:id="215" w:name="_Toc18523"/>
      <w:bookmarkStart w:id="216" w:name="_Toc27947"/>
      <w:bookmarkStart w:id="217" w:name="_Toc3731"/>
      <w:bookmarkStart w:id="218" w:name="_Toc21995"/>
      <w:bookmarkStart w:id="219" w:name="_Toc15967"/>
      <w:bookmarkStart w:id="220" w:name="_Toc27781"/>
      <w:r>
        <w:rPr>
          <w:rFonts w:hint="eastAsia" w:ascii="宋体" w:hAnsi="宋体" w:eastAsia="宋体" w:cs="Times New Roman"/>
          <w:b/>
          <w:bCs/>
          <w:snapToGrid w:val="0"/>
          <w:kern w:val="0"/>
          <w:sz w:val="30"/>
          <w:szCs w:val="44"/>
          <w:lang w:val="en-US" w:eastAsia="zh-CN" w:bidi="ar-SA"/>
        </w:rPr>
        <w:t>七、组成合同的文件</w:t>
      </w:r>
      <w:bookmarkEnd w:id="194"/>
      <w:bookmarkEnd w:id="208"/>
      <w:bookmarkEnd w:id="209"/>
      <w:bookmarkEnd w:id="210"/>
      <w:bookmarkEnd w:id="211"/>
      <w:bookmarkEnd w:id="212"/>
      <w:bookmarkEnd w:id="213"/>
      <w:bookmarkEnd w:id="214"/>
      <w:bookmarkEnd w:id="215"/>
      <w:bookmarkEnd w:id="216"/>
      <w:bookmarkEnd w:id="217"/>
      <w:bookmarkEnd w:id="218"/>
      <w:bookmarkEnd w:id="219"/>
      <w:bookmarkEnd w:id="220"/>
    </w:p>
    <w:p w14:paraId="65D1FECE">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组成本合同的文件及优先解释顺序与本合同通用条款2.1款的规定一致：</w:t>
      </w:r>
    </w:p>
    <w:p w14:paraId="166A2E08">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(1)本合同签订后双方新签订的补充协议；</w:t>
      </w:r>
    </w:p>
    <w:p w14:paraId="51676353">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(2)合同协议书；</w:t>
      </w:r>
    </w:p>
    <w:p w14:paraId="33ACEA6C">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(3)中标通知书；</w:t>
      </w:r>
    </w:p>
    <w:p w14:paraId="052DAFA5">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(4)投标函及其附录（如果有）；</w:t>
      </w:r>
    </w:p>
    <w:p w14:paraId="0CC666ED">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(5)合同补充条款及其附件（如果有）；</w:t>
      </w:r>
    </w:p>
    <w:p w14:paraId="0454DAA3">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(6)合同专用条款及其附件；</w:t>
      </w:r>
    </w:p>
    <w:p w14:paraId="00985AE5">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(7)合同通用条款；</w:t>
      </w:r>
    </w:p>
    <w:p w14:paraId="74CA14D6">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(8)标准、规范和技术要求；</w:t>
      </w:r>
    </w:p>
    <w:p w14:paraId="46B3379F">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(9)图纸；</w:t>
      </w:r>
    </w:p>
    <w:p w14:paraId="5950A5CB">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(10)合同清单；</w:t>
      </w:r>
    </w:p>
    <w:p w14:paraId="56C86710">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(11)其他合同文件。</w:t>
      </w:r>
    </w:p>
    <w:p w14:paraId="6CA64DB8">
      <w:pPr>
        <w:keepNext w:val="0"/>
        <w:keepLines w:val="0"/>
        <w:widowControl/>
        <w:numPr>
          <w:ilvl w:val="0"/>
          <w:numId w:val="0"/>
        </w:numPr>
        <w:spacing w:before="80" w:after="0"/>
        <w:jc w:val="left"/>
        <w:outlineLvl w:val="0"/>
        <w:rPr>
          <w:rFonts w:ascii="宋体" w:hAnsi="宋体" w:eastAsia="宋体" w:cs="Times New Roman"/>
          <w:b/>
          <w:bCs/>
          <w:snapToGrid w:val="0"/>
          <w:kern w:val="0"/>
          <w:sz w:val="30"/>
          <w:szCs w:val="44"/>
          <w:lang w:val="en-US" w:eastAsia="zh-CN" w:bidi="ar-SA"/>
        </w:rPr>
      </w:pPr>
      <w:bookmarkStart w:id="221" w:name="_Toc29254"/>
      <w:bookmarkStart w:id="222" w:name="_Toc22744"/>
      <w:bookmarkStart w:id="223" w:name="_Toc7865"/>
      <w:bookmarkStart w:id="224" w:name="_Toc201735226"/>
      <w:bookmarkStart w:id="225" w:name="_Toc31002"/>
      <w:bookmarkStart w:id="226" w:name="_Toc20454"/>
      <w:bookmarkStart w:id="227" w:name="_Toc14463"/>
      <w:bookmarkStart w:id="228" w:name="_Toc208587431"/>
      <w:bookmarkStart w:id="229" w:name="_Toc6925"/>
      <w:bookmarkStart w:id="230" w:name="_Toc7127"/>
      <w:bookmarkStart w:id="231" w:name="_Toc302635684"/>
      <w:bookmarkStart w:id="232" w:name="_Toc710685410"/>
      <w:bookmarkStart w:id="233" w:name="_Toc26494"/>
      <w:bookmarkStart w:id="234" w:name="_Toc20635"/>
      <w:r>
        <w:rPr>
          <w:rFonts w:hint="eastAsia" w:ascii="宋体" w:hAnsi="宋体" w:eastAsia="宋体" w:cs="Times New Roman"/>
          <w:b/>
          <w:bCs/>
          <w:snapToGrid w:val="0"/>
          <w:kern w:val="0"/>
          <w:sz w:val="30"/>
          <w:szCs w:val="44"/>
          <w:lang w:val="en-US" w:eastAsia="zh-CN" w:bidi="ar-SA"/>
        </w:rPr>
        <w:t>八、词语含义</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3493BEEA">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本协议书中有关词语含义与本合同“通用条款”中赋予它们的定义相同。</w:t>
      </w:r>
    </w:p>
    <w:p w14:paraId="0C59E162">
      <w:pPr>
        <w:keepNext w:val="0"/>
        <w:keepLines w:val="0"/>
        <w:widowControl/>
        <w:numPr>
          <w:ilvl w:val="0"/>
          <w:numId w:val="0"/>
        </w:numPr>
        <w:spacing w:before="80" w:after="0"/>
        <w:jc w:val="left"/>
        <w:outlineLvl w:val="0"/>
        <w:rPr>
          <w:rFonts w:ascii="宋体" w:hAnsi="宋体" w:eastAsia="宋体" w:cs="Times New Roman"/>
          <w:b/>
          <w:bCs/>
          <w:snapToGrid w:val="0"/>
          <w:kern w:val="0"/>
          <w:sz w:val="30"/>
          <w:szCs w:val="44"/>
          <w:lang w:val="en-US" w:eastAsia="zh-CN" w:bidi="ar-SA"/>
        </w:rPr>
      </w:pPr>
      <w:bookmarkStart w:id="235" w:name="_Toc25751"/>
      <w:bookmarkStart w:id="236" w:name="_Toc21381"/>
      <w:bookmarkStart w:id="237" w:name="_Toc201735227"/>
      <w:bookmarkStart w:id="238" w:name="_Toc302635685"/>
      <w:bookmarkStart w:id="239" w:name="_Toc29798"/>
      <w:bookmarkStart w:id="240" w:name="_Toc21962"/>
      <w:bookmarkStart w:id="241" w:name="_Toc28545"/>
      <w:bookmarkStart w:id="242" w:name="_Toc208587432"/>
      <w:bookmarkStart w:id="243" w:name="_Toc17799"/>
      <w:bookmarkStart w:id="244" w:name="_Toc28966"/>
      <w:bookmarkStart w:id="245" w:name="_Toc24021"/>
      <w:bookmarkStart w:id="246" w:name="_Toc618062415"/>
      <w:bookmarkStart w:id="247" w:name="_Toc21137"/>
      <w:bookmarkStart w:id="248" w:name="_Toc1089"/>
      <w:r>
        <w:rPr>
          <w:rFonts w:hint="eastAsia" w:ascii="宋体" w:hAnsi="宋体" w:eastAsia="宋体" w:cs="Times New Roman"/>
          <w:b/>
          <w:bCs/>
          <w:snapToGrid w:val="0"/>
          <w:kern w:val="0"/>
          <w:sz w:val="30"/>
          <w:szCs w:val="44"/>
          <w:lang w:val="en-US" w:eastAsia="zh-CN" w:bidi="ar-SA"/>
        </w:rPr>
        <w:t>九、承诺</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27BA7927">
      <w:pPr>
        <w:spacing w:line="360" w:lineRule="auto"/>
        <w:ind w:firstLine="480"/>
        <w:rPr>
          <w:rFonts w:ascii="宋体" w:hAnsi="宋体" w:eastAsia="宋体" w:cs="Times New Roman"/>
          <w:bCs/>
          <w:sz w:val="24"/>
          <w:szCs w:val="24"/>
        </w:rPr>
      </w:pPr>
      <w:r>
        <w:rPr>
          <w:rFonts w:ascii="宋体" w:hAnsi="宋体" w:eastAsia="宋体" w:cs="Times New Roman"/>
          <w:bCs/>
          <w:sz w:val="24"/>
          <w:szCs w:val="24"/>
        </w:rPr>
        <w:t>1.发包人承诺按照法律规定履行项目审批手续并按照合同约定的期限和方式支付合同价款</w:t>
      </w:r>
      <w:r>
        <w:rPr>
          <w:rFonts w:hint="eastAsia" w:ascii="宋体" w:hAnsi="宋体" w:eastAsia="宋体" w:cs="Times New Roman"/>
          <w:sz w:val="24"/>
          <w:szCs w:val="24"/>
        </w:rPr>
        <w:t>及其他应当支付的款项,并履行本合同所约定的全部义务</w:t>
      </w:r>
      <w:r>
        <w:rPr>
          <w:rFonts w:ascii="宋体" w:hAnsi="宋体" w:eastAsia="宋体" w:cs="Times New Roman"/>
          <w:bCs/>
          <w:sz w:val="24"/>
          <w:szCs w:val="24"/>
        </w:rPr>
        <w:t>。</w:t>
      </w:r>
    </w:p>
    <w:p w14:paraId="6782C4C8">
      <w:pPr>
        <w:spacing w:line="360" w:lineRule="auto"/>
        <w:ind w:firstLine="480"/>
        <w:rPr>
          <w:rFonts w:ascii="宋体" w:hAnsi="宋体" w:eastAsia="宋体" w:cs="Times New Roman"/>
          <w:bCs/>
          <w:sz w:val="24"/>
          <w:szCs w:val="24"/>
        </w:rPr>
      </w:pPr>
      <w:r>
        <w:rPr>
          <w:rFonts w:ascii="宋体" w:hAnsi="宋体" w:eastAsia="宋体" w:cs="Times New Roman"/>
          <w:bCs/>
          <w:sz w:val="24"/>
          <w:szCs w:val="24"/>
        </w:rPr>
        <w:t>2.承包人承诺按照法律规定及合同约定组织完成工程施工，确保工程质量和安全，不进行转包及违法分包，并在</w:t>
      </w:r>
      <w:r>
        <w:rPr>
          <w:rFonts w:hint="eastAsia" w:ascii="宋体" w:hAnsi="宋体" w:eastAsia="宋体" w:cs="Times New Roman"/>
          <w:bCs/>
          <w:sz w:val="24"/>
          <w:szCs w:val="24"/>
        </w:rPr>
        <w:t>质量</w:t>
      </w:r>
      <w:r>
        <w:rPr>
          <w:rFonts w:ascii="宋体" w:hAnsi="宋体" w:eastAsia="宋体" w:cs="Times New Roman"/>
          <w:bCs/>
          <w:sz w:val="24"/>
          <w:szCs w:val="24"/>
        </w:rPr>
        <w:t>缺陷责任期及保修期内承担相应的工程维修责任</w:t>
      </w:r>
      <w:r>
        <w:rPr>
          <w:rFonts w:hint="eastAsia" w:ascii="宋体" w:hAnsi="宋体" w:eastAsia="宋体" w:cs="Times New Roman"/>
          <w:sz w:val="24"/>
          <w:szCs w:val="24"/>
        </w:rPr>
        <w:t>,并履行本合同所约定的全部义务</w:t>
      </w:r>
      <w:r>
        <w:rPr>
          <w:rFonts w:ascii="宋体" w:hAnsi="宋体" w:eastAsia="宋体" w:cs="Times New Roman"/>
          <w:bCs/>
          <w:sz w:val="24"/>
          <w:szCs w:val="24"/>
        </w:rPr>
        <w:t>。</w:t>
      </w:r>
    </w:p>
    <w:p w14:paraId="34E7724A">
      <w:pPr>
        <w:spacing w:line="360" w:lineRule="auto"/>
        <w:ind w:firstLine="480"/>
        <w:rPr>
          <w:rFonts w:ascii="宋体" w:hAnsi="宋体" w:eastAsia="宋体" w:cs="Times New Roman"/>
          <w:bCs/>
          <w:sz w:val="24"/>
          <w:szCs w:val="24"/>
        </w:rPr>
      </w:pPr>
      <w:r>
        <w:rPr>
          <w:rFonts w:ascii="宋体" w:hAnsi="宋体" w:eastAsia="宋体" w:cs="Times New Roman"/>
          <w:bCs/>
          <w:sz w:val="24"/>
          <w:szCs w:val="24"/>
        </w:rPr>
        <w:t>3.发包人和承包人双方理解并</w:t>
      </w:r>
      <w:r>
        <w:rPr>
          <w:rFonts w:hint="eastAsia" w:ascii="宋体" w:hAnsi="宋体" w:eastAsia="宋体" w:cs="Times New Roman"/>
          <w:bCs/>
          <w:sz w:val="24"/>
          <w:szCs w:val="24"/>
        </w:rPr>
        <w:t>承诺</w:t>
      </w:r>
      <w:r>
        <w:rPr>
          <w:rFonts w:ascii="宋体" w:hAnsi="宋体" w:eastAsia="宋体" w:cs="Times New Roman"/>
          <w:bCs/>
          <w:sz w:val="24"/>
          <w:szCs w:val="24"/>
        </w:rPr>
        <w:t>不再就同一工程另行签订与合同实质性内容相背离的协议。</w:t>
      </w:r>
    </w:p>
    <w:p w14:paraId="29FDAD3A">
      <w:pPr>
        <w:spacing w:line="360" w:lineRule="auto"/>
        <w:ind w:firstLine="480"/>
        <w:rPr>
          <w:rFonts w:hint="eastAsia" w:ascii="宋体" w:hAnsi="宋体" w:eastAsia="宋体" w:cs="Times New Roman"/>
          <w:bCs/>
          <w:sz w:val="24"/>
          <w:szCs w:val="24"/>
        </w:rPr>
      </w:pPr>
      <w:r>
        <w:rPr>
          <w:rFonts w:hint="eastAsia" w:ascii="宋体" w:hAnsi="宋体" w:eastAsia="宋体" w:cs="Times New Roman"/>
          <w:bCs/>
          <w:sz w:val="24"/>
          <w:szCs w:val="24"/>
        </w:rPr>
        <w:t>4</w:t>
      </w:r>
      <w:r>
        <w:rPr>
          <w:rFonts w:ascii="宋体" w:hAnsi="宋体" w:eastAsia="宋体" w:cs="Times New Roman"/>
          <w:bCs/>
          <w:sz w:val="24"/>
          <w:szCs w:val="24"/>
        </w:rPr>
        <w:t>.</w:t>
      </w:r>
      <w:r>
        <w:rPr>
          <w:rFonts w:hint="eastAsia" w:ascii="宋体" w:hAnsi="宋体" w:eastAsia="宋体" w:cs="Times New Roman"/>
          <w:bCs/>
          <w:sz w:val="24"/>
          <w:szCs w:val="24"/>
        </w:rPr>
        <w:t>对于机关、事业单位使用财政资金从中小企业采购工程的，发包人和承包人承诺遵守有关法律、行政法规对款项支付的有关规定，承包人承诺在与分包方、供应商等订立相关合同时遵守相应规定。</w:t>
      </w:r>
    </w:p>
    <w:p w14:paraId="0201BC74">
      <w:pPr>
        <w:keepNext w:val="0"/>
        <w:keepLines w:val="0"/>
        <w:widowControl/>
        <w:numPr>
          <w:ilvl w:val="0"/>
          <w:numId w:val="0"/>
        </w:numPr>
        <w:spacing w:before="80" w:after="0"/>
        <w:jc w:val="left"/>
        <w:outlineLvl w:val="0"/>
        <w:rPr>
          <w:rFonts w:ascii="宋体" w:hAnsi="宋体" w:eastAsia="宋体" w:cs="Times New Roman"/>
          <w:b/>
          <w:bCs/>
          <w:snapToGrid w:val="0"/>
          <w:kern w:val="0"/>
          <w:sz w:val="30"/>
          <w:szCs w:val="44"/>
          <w:lang w:val="en-US" w:eastAsia="zh-CN" w:bidi="ar-SA"/>
        </w:rPr>
      </w:pPr>
      <w:bookmarkStart w:id="249" w:name="_Toc6349"/>
      <w:bookmarkStart w:id="250" w:name="_Toc16178"/>
      <w:bookmarkStart w:id="251" w:name="_Toc6207"/>
      <w:bookmarkStart w:id="252" w:name="_Toc8870"/>
      <w:bookmarkStart w:id="253" w:name="_Toc23271"/>
      <w:bookmarkStart w:id="254" w:name="_Toc6863"/>
      <w:bookmarkStart w:id="255" w:name="_Toc1360535788"/>
      <w:bookmarkStart w:id="256" w:name="_Toc208587433"/>
      <w:bookmarkStart w:id="257" w:name="_Toc201735228"/>
      <w:bookmarkStart w:id="258" w:name="_Toc302635686"/>
      <w:bookmarkStart w:id="259" w:name="_Toc19612"/>
      <w:bookmarkStart w:id="260" w:name="_Toc24263"/>
      <w:bookmarkStart w:id="261" w:name="_Toc7973"/>
      <w:bookmarkStart w:id="262" w:name="_Toc31622"/>
      <w:r>
        <w:rPr>
          <w:rFonts w:hint="eastAsia" w:ascii="宋体" w:hAnsi="宋体" w:eastAsia="宋体" w:cs="Times New Roman"/>
          <w:b/>
          <w:bCs/>
          <w:snapToGrid w:val="0"/>
          <w:kern w:val="0"/>
          <w:sz w:val="30"/>
          <w:szCs w:val="44"/>
          <w:lang w:val="en-US" w:eastAsia="zh-CN" w:bidi="ar-SA"/>
        </w:rPr>
        <w:t>十、合同订立与生效</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3FC3C632">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本合同订立时间：</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年</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月</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日；</w:t>
      </w:r>
    </w:p>
    <w:p w14:paraId="1C897880">
      <w:pPr>
        <w:spacing w:line="360" w:lineRule="auto"/>
        <w:ind w:firstLine="1200"/>
        <w:rPr>
          <w:rFonts w:ascii="宋体" w:hAnsi="宋体" w:eastAsia="宋体" w:cs="Times New Roman"/>
          <w:sz w:val="24"/>
          <w:szCs w:val="24"/>
        </w:rPr>
      </w:pPr>
      <w:r>
        <w:rPr>
          <w:rFonts w:hint="eastAsia" w:ascii="宋体" w:hAnsi="宋体" w:eastAsia="宋体" w:cs="Times New Roman"/>
          <w:sz w:val="24"/>
          <w:szCs w:val="24"/>
        </w:rPr>
        <w:t>订立地点：</w:t>
      </w:r>
      <w:r>
        <w:rPr>
          <w:rFonts w:hint="eastAsia" w:ascii="宋体" w:hAnsi="宋体" w:eastAsia="宋体" w:cs="Times New Roman"/>
          <w:sz w:val="24"/>
          <w:szCs w:val="24"/>
          <w:u w:val="single"/>
        </w:rPr>
        <w:t xml:space="preserve">                                            </w:t>
      </w:r>
    </w:p>
    <w:p w14:paraId="15AC97A3">
      <w:pPr>
        <w:spacing w:line="360" w:lineRule="auto"/>
        <w:ind w:firstLine="480"/>
        <w:jc w:val="left"/>
        <w:rPr>
          <w:rFonts w:hint="eastAsia" w:ascii="宋体" w:hAnsi="宋体" w:eastAsia="宋体" w:cs="Times New Roman"/>
          <w:sz w:val="24"/>
          <w:szCs w:val="24"/>
        </w:rPr>
      </w:pPr>
      <w:r>
        <w:rPr>
          <w:rFonts w:hint="eastAsia" w:ascii="宋体" w:hAnsi="宋体" w:eastAsia="宋体" w:cs="Times New Roman"/>
          <w:sz w:val="24"/>
          <w:szCs w:val="24"/>
        </w:rPr>
        <w:t>发包人和承包人约定本合同自</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后生效。</w:t>
      </w:r>
    </w:p>
    <w:p w14:paraId="652A7319">
      <w:pPr>
        <w:spacing w:line="360" w:lineRule="auto"/>
        <w:ind w:firstLine="480"/>
        <w:jc w:val="left"/>
        <w:rPr>
          <w:rFonts w:hint="eastAsia" w:ascii="宋体" w:hAnsi="宋体" w:eastAsia="宋体" w:cs="Times New Roman"/>
          <w:bCs/>
          <w:sz w:val="24"/>
          <w:szCs w:val="24"/>
        </w:rPr>
      </w:pPr>
      <w:r>
        <w:rPr>
          <w:rFonts w:ascii="宋体" w:hAnsi="宋体" w:eastAsia="宋体" w:cs="Times New Roman"/>
          <w:bCs/>
          <w:sz w:val="24"/>
          <w:szCs w:val="24"/>
        </w:rPr>
        <w:t>本合同一式</w:t>
      </w:r>
      <w:r>
        <w:rPr>
          <w:rFonts w:ascii="宋体" w:hAnsi="宋体" w:eastAsia="宋体" w:cs="Times New Roman"/>
          <w:bCs/>
          <w:sz w:val="24"/>
          <w:szCs w:val="24"/>
          <w:u w:val="single"/>
        </w:rPr>
        <w:t xml:space="preserve">  </w:t>
      </w:r>
      <w:r>
        <w:rPr>
          <w:rFonts w:hint="eastAsia" w:ascii="宋体" w:hAnsi="宋体" w:eastAsia="宋体" w:cs="Times New Roman"/>
          <w:bCs/>
          <w:sz w:val="24"/>
          <w:szCs w:val="24"/>
          <w:u w:val="single"/>
        </w:rPr>
        <w:t xml:space="preserve"> </w:t>
      </w:r>
      <w:r>
        <w:rPr>
          <w:rFonts w:ascii="宋体" w:hAnsi="宋体" w:eastAsia="宋体" w:cs="Times New Roman"/>
          <w:bCs/>
          <w:sz w:val="24"/>
          <w:szCs w:val="24"/>
          <w:u w:val="single"/>
        </w:rPr>
        <w:t xml:space="preserve"> </w:t>
      </w:r>
      <w:r>
        <w:rPr>
          <w:rFonts w:ascii="宋体" w:hAnsi="宋体" w:eastAsia="宋体" w:cs="Times New Roman"/>
          <w:bCs/>
          <w:sz w:val="24"/>
          <w:szCs w:val="24"/>
        </w:rPr>
        <w:t>份，均具有同等法律效力，发包人执</w:t>
      </w:r>
      <w:r>
        <w:rPr>
          <w:rFonts w:ascii="宋体" w:hAnsi="宋体" w:eastAsia="宋体" w:cs="Times New Roman"/>
          <w:bCs/>
          <w:sz w:val="24"/>
          <w:szCs w:val="24"/>
          <w:u w:val="single"/>
        </w:rPr>
        <w:t xml:space="preserve">  </w:t>
      </w:r>
      <w:r>
        <w:rPr>
          <w:rFonts w:hint="eastAsia" w:ascii="宋体" w:hAnsi="宋体" w:eastAsia="宋体" w:cs="Times New Roman"/>
          <w:bCs/>
          <w:sz w:val="24"/>
          <w:szCs w:val="24"/>
          <w:u w:val="single"/>
        </w:rPr>
        <w:t xml:space="preserve"> </w:t>
      </w:r>
      <w:r>
        <w:rPr>
          <w:rFonts w:ascii="宋体" w:hAnsi="宋体" w:eastAsia="宋体" w:cs="Times New Roman"/>
          <w:bCs/>
          <w:sz w:val="24"/>
          <w:szCs w:val="24"/>
          <w:u w:val="single"/>
        </w:rPr>
        <w:t xml:space="preserve"> </w:t>
      </w:r>
      <w:r>
        <w:rPr>
          <w:rFonts w:ascii="宋体" w:hAnsi="宋体" w:eastAsia="宋体" w:cs="Times New Roman"/>
          <w:bCs/>
          <w:sz w:val="24"/>
          <w:szCs w:val="24"/>
        </w:rPr>
        <w:t>份，承包人执</w:t>
      </w:r>
      <w:r>
        <w:rPr>
          <w:rFonts w:ascii="宋体" w:hAnsi="宋体" w:eastAsia="宋体" w:cs="Times New Roman"/>
          <w:bCs/>
          <w:sz w:val="24"/>
          <w:szCs w:val="24"/>
          <w:u w:val="single"/>
        </w:rPr>
        <w:t xml:space="preserve">  </w:t>
      </w:r>
      <w:r>
        <w:rPr>
          <w:rFonts w:hint="eastAsia" w:ascii="宋体" w:hAnsi="宋体" w:eastAsia="宋体" w:cs="Times New Roman"/>
          <w:bCs/>
          <w:sz w:val="24"/>
          <w:szCs w:val="24"/>
          <w:u w:val="single"/>
        </w:rPr>
        <w:t xml:space="preserve"> </w:t>
      </w:r>
      <w:r>
        <w:rPr>
          <w:rFonts w:ascii="宋体" w:hAnsi="宋体" w:eastAsia="宋体" w:cs="Times New Roman"/>
          <w:bCs/>
          <w:sz w:val="24"/>
          <w:szCs w:val="24"/>
          <w:u w:val="single"/>
        </w:rPr>
        <w:t xml:space="preserve"> </w:t>
      </w:r>
      <w:r>
        <w:rPr>
          <w:rFonts w:ascii="宋体" w:hAnsi="宋体" w:eastAsia="宋体" w:cs="Times New Roman"/>
          <w:bCs/>
          <w:sz w:val="24"/>
          <w:szCs w:val="24"/>
        </w:rPr>
        <w:t>份。</w:t>
      </w:r>
    </w:p>
    <w:p w14:paraId="337A4A15">
      <w:pPr>
        <w:spacing w:line="360" w:lineRule="auto"/>
        <w:jc w:val="left"/>
        <w:rPr>
          <w:rFonts w:hint="eastAsia" w:ascii="宋体" w:hAnsi="宋体" w:eastAsia="宋体" w:cs="Times New Roman"/>
          <w:bCs/>
          <w:sz w:val="24"/>
          <w:szCs w:val="24"/>
        </w:rPr>
      </w:pPr>
    </w:p>
    <w:p w14:paraId="7E0D1E97">
      <w:pPr>
        <w:spacing w:line="360" w:lineRule="auto"/>
        <w:ind w:firstLine="480"/>
        <w:jc w:val="left"/>
        <w:rPr>
          <w:rFonts w:hint="eastAsia" w:ascii="宋体" w:hAnsi="宋体" w:eastAsia="宋体" w:cs="Times New Roman"/>
          <w:bCs/>
          <w:sz w:val="24"/>
          <w:szCs w:val="24"/>
        </w:rPr>
      </w:pPr>
    </w:p>
    <w:p w14:paraId="4F24AB51">
      <w:pPr>
        <w:spacing w:line="360" w:lineRule="auto"/>
        <w:ind w:firstLine="480"/>
        <w:jc w:val="left"/>
        <w:rPr>
          <w:rFonts w:hint="eastAsia" w:ascii="宋体" w:hAnsi="宋体" w:eastAsia="宋体" w:cs="Times New Roman"/>
          <w:bCs/>
          <w:sz w:val="24"/>
          <w:szCs w:val="24"/>
        </w:rPr>
      </w:pPr>
    </w:p>
    <w:tbl>
      <w:tblPr>
        <w:tblStyle w:val="41"/>
        <w:tblW w:w="0" w:type="auto"/>
        <w:tblInd w:w="0" w:type="dxa"/>
        <w:tblLayout w:type="autofit"/>
        <w:tblCellMar>
          <w:top w:w="0" w:type="dxa"/>
          <w:left w:w="108" w:type="dxa"/>
          <w:bottom w:w="0" w:type="dxa"/>
          <w:right w:w="108" w:type="dxa"/>
        </w:tblCellMar>
      </w:tblPr>
      <w:tblGrid>
        <w:gridCol w:w="4360"/>
        <w:gridCol w:w="4360"/>
      </w:tblGrid>
      <w:tr w14:paraId="2E0A3132">
        <w:tblPrEx>
          <w:tblCellMar>
            <w:top w:w="0" w:type="dxa"/>
            <w:left w:w="108" w:type="dxa"/>
            <w:bottom w:w="0" w:type="dxa"/>
            <w:right w:w="108" w:type="dxa"/>
          </w:tblCellMar>
        </w:tblPrEx>
        <w:tc>
          <w:tcPr>
            <w:tcW w:w="4360" w:type="dxa"/>
            <w:noWrap w:val="0"/>
            <w:vAlign w:val="top"/>
          </w:tcPr>
          <w:p w14:paraId="569C7172">
            <w:pPr>
              <w:spacing w:line="360" w:lineRule="auto"/>
              <w:jc w:val="left"/>
              <w:rPr>
                <w:rFonts w:hint="eastAsia" w:ascii="宋体" w:hAnsi="宋体" w:eastAsia="宋体" w:cs="Times New Roman"/>
                <w:bCs/>
                <w:sz w:val="24"/>
                <w:szCs w:val="24"/>
              </w:rPr>
            </w:pPr>
            <w:r>
              <w:rPr>
                <w:rFonts w:ascii="宋体" w:hAnsi="宋体" w:eastAsia="宋体" w:cs="Times New Roman"/>
                <w:b/>
                <w:sz w:val="24"/>
                <w:szCs w:val="24"/>
              </w:rPr>
              <w:t>发包人</w:t>
            </w:r>
            <w:r>
              <w:rPr>
                <w:rFonts w:hint="eastAsia" w:ascii="宋体" w:hAnsi="宋体" w:eastAsia="宋体" w:cs="Times New Roman"/>
                <w:b/>
                <w:sz w:val="24"/>
                <w:szCs w:val="24"/>
              </w:rPr>
              <w:t>：</w:t>
            </w:r>
            <w:r>
              <w:rPr>
                <w:rFonts w:ascii="宋体" w:hAnsi="宋体" w:eastAsia="宋体" w:cs="Times New Roman"/>
                <w:sz w:val="24"/>
                <w:szCs w:val="24"/>
              </w:rPr>
              <w:t>(公章)</w:t>
            </w:r>
          </w:p>
        </w:tc>
        <w:tc>
          <w:tcPr>
            <w:tcW w:w="4360" w:type="dxa"/>
            <w:noWrap w:val="0"/>
            <w:vAlign w:val="top"/>
          </w:tcPr>
          <w:p w14:paraId="3D3A193F">
            <w:pPr>
              <w:spacing w:line="360" w:lineRule="auto"/>
              <w:jc w:val="left"/>
              <w:rPr>
                <w:rFonts w:hint="eastAsia" w:ascii="宋体" w:hAnsi="宋体" w:eastAsia="宋体" w:cs="Times New Roman"/>
                <w:bCs/>
                <w:sz w:val="24"/>
                <w:szCs w:val="24"/>
              </w:rPr>
            </w:pPr>
            <w:r>
              <w:rPr>
                <w:rFonts w:hint="eastAsia" w:ascii="宋体" w:hAnsi="宋体" w:eastAsia="宋体" w:cs="Times New Roman"/>
                <w:b/>
                <w:sz w:val="24"/>
                <w:szCs w:val="24"/>
              </w:rPr>
              <w:t>承包</w:t>
            </w:r>
            <w:r>
              <w:rPr>
                <w:rFonts w:ascii="宋体" w:hAnsi="宋体" w:eastAsia="宋体" w:cs="Times New Roman"/>
                <w:b/>
                <w:sz w:val="24"/>
                <w:szCs w:val="24"/>
              </w:rPr>
              <w:t>人</w:t>
            </w:r>
            <w:r>
              <w:rPr>
                <w:rFonts w:hint="eastAsia" w:ascii="宋体" w:hAnsi="宋体" w:eastAsia="宋体" w:cs="Times New Roman"/>
                <w:b/>
                <w:sz w:val="24"/>
                <w:szCs w:val="24"/>
              </w:rPr>
              <w:t>：</w:t>
            </w:r>
            <w:r>
              <w:rPr>
                <w:rFonts w:ascii="宋体" w:hAnsi="宋体" w:eastAsia="宋体" w:cs="Times New Roman"/>
                <w:sz w:val="24"/>
                <w:szCs w:val="24"/>
              </w:rPr>
              <w:t>(公章)</w:t>
            </w:r>
          </w:p>
        </w:tc>
      </w:tr>
      <w:tr w14:paraId="5FA17353">
        <w:tblPrEx>
          <w:tblCellMar>
            <w:top w:w="0" w:type="dxa"/>
            <w:left w:w="108" w:type="dxa"/>
            <w:bottom w:w="0" w:type="dxa"/>
            <w:right w:w="108" w:type="dxa"/>
          </w:tblCellMar>
        </w:tblPrEx>
        <w:trPr>
          <w:trHeight w:val="1267" w:hRule="atLeast"/>
        </w:trPr>
        <w:tc>
          <w:tcPr>
            <w:tcW w:w="4360" w:type="dxa"/>
            <w:noWrap w:val="0"/>
            <w:vAlign w:val="top"/>
          </w:tcPr>
          <w:p w14:paraId="41C5A198">
            <w:pPr>
              <w:spacing w:line="360" w:lineRule="auto"/>
              <w:jc w:val="left"/>
              <w:rPr>
                <w:rFonts w:hint="eastAsia" w:ascii="宋体" w:hAnsi="宋体" w:eastAsia="宋体" w:cs="Times New Roman"/>
                <w:b/>
                <w:sz w:val="24"/>
                <w:szCs w:val="24"/>
              </w:rPr>
            </w:pPr>
            <w:r>
              <w:rPr>
                <w:rFonts w:hint="eastAsia" w:ascii="宋体" w:hAnsi="宋体" w:eastAsia="宋体" w:cs="Times New Roman"/>
                <w:b/>
                <w:sz w:val="24"/>
                <w:szCs w:val="24"/>
              </w:rPr>
              <w:t>法定代表人或其委托代理人：</w:t>
            </w:r>
          </w:p>
          <w:p w14:paraId="3A617F73">
            <w:pPr>
              <w:spacing w:line="360" w:lineRule="auto"/>
              <w:jc w:val="left"/>
              <w:rPr>
                <w:rFonts w:hint="eastAsia" w:ascii="宋体" w:hAnsi="宋体" w:eastAsia="宋体" w:cs="Times New Roman"/>
                <w:bCs/>
                <w:sz w:val="24"/>
                <w:szCs w:val="24"/>
              </w:rPr>
            </w:pPr>
            <w:r>
              <w:rPr>
                <w:rFonts w:hint="eastAsia" w:ascii="宋体" w:hAnsi="宋体" w:eastAsia="宋体" w:cs="Times New Roman"/>
                <w:sz w:val="24"/>
                <w:szCs w:val="24"/>
              </w:rPr>
              <w:t>（签字）</w:t>
            </w:r>
          </w:p>
        </w:tc>
        <w:tc>
          <w:tcPr>
            <w:tcW w:w="4360" w:type="dxa"/>
            <w:noWrap w:val="0"/>
            <w:vAlign w:val="top"/>
          </w:tcPr>
          <w:p w14:paraId="32DF72B5">
            <w:pPr>
              <w:spacing w:line="360" w:lineRule="auto"/>
              <w:jc w:val="left"/>
              <w:rPr>
                <w:rFonts w:hint="eastAsia" w:ascii="宋体" w:hAnsi="宋体" w:eastAsia="宋体" w:cs="Times New Roman"/>
                <w:b/>
                <w:sz w:val="24"/>
                <w:szCs w:val="24"/>
              </w:rPr>
            </w:pPr>
            <w:r>
              <w:rPr>
                <w:rFonts w:hint="eastAsia" w:ascii="宋体" w:hAnsi="宋体" w:eastAsia="宋体" w:cs="Times New Roman"/>
                <w:b/>
                <w:sz w:val="24"/>
                <w:szCs w:val="24"/>
              </w:rPr>
              <w:t>法定代表人或其委托代理人：</w:t>
            </w:r>
          </w:p>
          <w:p w14:paraId="735C3135">
            <w:pPr>
              <w:spacing w:line="360" w:lineRule="auto"/>
              <w:jc w:val="left"/>
              <w:rPr>
                <w:rFonts w:hint="eastAsia" w:ascii="宋体" w:hAnsi="宋体" w:eastAsia="宋体" w:cs="Times New Roman"/>
                <w:bCs/>
                <w:sz w:val="24"/>
                <w:szCs w:val="24"/>
              </w:rPr>
            </w:pPr>
            <w:r>
              <w:rPr>
                <w:rFonts w:hint="eastAsia" w:ascii="宋体" w:hAnsi="宋体" w:eastAsia="宋体" w:cs="Times New Roman"/>
                <w:sz w:val="24"/>
                <w:szCs w:val="24"/>
              </w:rPr>
              <w:t>（签字）</w:t>
            </w:r>
          </w:p>
        </w:tc>
      </w:tr>
      <w:tr w14:paraId="75B0BCCB">
        <w:tblPrEx>
          <w:tblCellMar>
            <w:top w:w="0" w:type="dxa"/>
            <w:left w:w="108" w:type="dxa"/>
            <w:bottom w:w="0" w:type="dxa"/>
            <w:right w:w="108" w:type="dxa"/>
          </w:tblCellMar>
        </w:tblPrEx>
        <w:tc>
          <w:tcPr>
            <w:tcW w:w="4360" w:type="dxa"/>
            <w:noWrap w:val="0"/>
            <w:vAlign w:val="top"/>
          </w:tcPr>
          <w:p w14:paraId="15DD01F8">
            <w:pPr>
              <w:spacing w:line="360" w:lineRule="auto"/>
              <w:jc w:val="left"/>
              <w:rPr>
                <w:rFonts w:hint="eastAsia" w:ascii="宋体" w:hAnsi="宋体" w:eastAsia="宋体" w:cs="Times New Roman"/>
                <w:bCs/>
                <w:sz w:val="24"/>
                <w:szCs w:val="24"/>
              </w:rPr>
            </w:pPr>
            <w:r>
              <w:rPr>
                <w:rFonts w:hint="eastAsia" w:ascii="宋体" w:hAnsi="宋体" w:eastAsia="宋体" w:cs="Times New Roman"/>
                <w:b/>
                <w:sz w:val="24"/>
                <w:szCs w:val="24"/>
              </w:rPr>
              <w:t>统一社会信用代码：</w:t>
            </w:r>
            <w:r>
              <w:rPr>
                <w:rFonts w:ascii="宋体" w:hAnsi="宋体" w:eastAsia="宋体" w:cs="Times New Roman"/>
                <w:b/>
                <w:sz w:val="24"/>
                <w:szCs w:val="24"/>
                <w:u w:val="single"/>
              </w:rPr>
              <w:t xml:space="preserve">                 </w:t>
            </w:r>
          </w:p>
        </w:tc>
        <w:tc>
          <w:tcPr>
            <w:tcW w:w="4360" w:type="dxa"/>
            <w:noWrap w:val="0"/>
            <w:vAlign w:val="top"/>
          </w:tcPr>
          <w:p w14:paraId="2EF8C247">
            <w:pPr>
              <w:spacing w:line="360" w:lineRule="auto"/>
              <w:jc w:val="left"/>
              <w:rPr>
                <w:rFonts w:hint="eastAsia" w:ascii="宋体" w:hAnsi="宋体" w:eastAsia="宋体" w:cs="Times New Roman"/>
                <w:bCs/>
                <w:sz w:val="24"/>
                <w:szCs w:val="24"/>
              </w:rPr>
            </w:pPr>
            <w:r>
              <w:rPr>
                <w:rFonts w:hint="eastAsia" w:ascii="宋体" w:hAnsi="宋体" w:eastAsia="宋体" w:cs="Times New Roman"/>
                <w:b/>
                <w:sz w:val="24"/>
                <w:szCs w:val="24"/>
              </w:rPr>
              <w:t>统一社会信用代码：</w:t>
            </w:r>
            <w:r>
              <w:rPr>
                <w:rFonts w:ascii="宋体" w:hAnsi="宋体" w:eastAsia="宋体" w:cs="Times New Roman"/>
                <w:b/>
                <w:sz w:val="24"/>
                <w:szCs w:val="24"/>
                <w:u w:val="single"/>
              </w:rPr>
              <w:t xml:space="preserve">                 </w:t>
            </w:r>
          </w:p>
        </w:tc>
      </w:tr>
      <w:tr w14:paraId="5071B312">
        <w:tblPrEx>
          <w:tblCellMar>
            <w:top w:w="0" w:type="dxa"/>
            <w:left w:w="108" w:type="dxa"/>
            <w:bottom w:w="0" w:type="dxa"/>
            <w:right w:w="108" w:type="dxa"/>
          </w:tblCellMar>
        </w:tblPrEx>
        <w:tc>
          <w:tcPr>
            <w:tcW w:w="4360" w:type="dxa"/>
            <w:noWrap w:val="0"/>
            <w:vAlign w:val="top"/>
          </w:tcPr>
          <w:p w14:paraId="5EF7878D">
            <w:pPr>
              <w:spacing w:line="360" w:lineRule="auto"/>
              <w:jc w:val="left"/>
              <w:rPr>
                <w:rFonts w:hint="eastAsia" w:ascii="宋体" w:hAnsi="宋体" w:eastAsia="宋体" w:cs="Times New Roman"/>
                <w:bCs/>
                <w:sz w:val="24"/>
                <w:szCs w:val="24"/>
              </w:rPr>
            </w:pPr>
            <w:r>
              <w:rPr>
                <w:rFonts w:ascii="宋体" w:hAnsi="宋体" w:eastAsia="宋体" w:cs="Times New Roman"/>
                <w:b/>
                <w:sz w:val="24"/>
                <w:szCs w:val="24"/>
              </w:rPr>
              <w:t>地址：</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p>
        </w:tc>
        <w:tc>
          <w:tcPr>
            <w:tcW w:w="4360" w:type="dxa"/>
            <w:noWrap w:val="0"/>
            <w:vAlign w:val="top"/>
          </w:tcPr>
          <w:p w14:paraId="24B2AE5F">
            <w:pPr>
              <w:spacing w:line="360" w:lineRule="auto"/>
              <w:jc w:val="left"/>
              <w:rPr>
                <w:rFonts w:hint="eastAsia" w:ascii="宋体" w:hAnsi="宋体" w:eastAsia="宋体" w:cs="Times New Roman"/>
                <w:bCs/>
                <w:sz w:val="24"/>
                <w:szCs w:val="24"/>
              </w:rPr>
            </w:pPr>
            <w:r>
              <w:rPr>
                <w:rFonts w:ascii="宋体" w:hAnsi="宋体" w:eastAsia="宋体" w:cs="Times New Roman"/>
                <w:b/>
                <w:sz w:val="24"/>
                <w:szCs w:val="24"/>
              </w:rPr>
              <w:t>地址：</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p>
        </w:tc>
      </w:tr>
      <w:tr w14:paraId="3AF3AFD0">
        <w:tblPrEx>
          <w:tblCellMar>
            <w:top w:w="0" w:type="dxa"/>
            <w:left w:w="108" w:type="dxa"/>
            <w:bottom w:w="0" w:type="dxa"/>
            <w:right w:w="108" w:type="dxa"/>
          </w:tblCellMar>
        </w:tblPrEx>
        <w:tc>
          <w:tcPr>
            <w:tcW w:w="4360" w:type="dxa"/>
            <w:noWrap w:val="0"/>
            <w:vAlign w:val="top"/>
          </w:tcPr>
          <w:p w14:paraId="4532892C">
            <w:pPr>
              <w:spacing w:line="360" w:lineRule="auto"/>
              <w:jc w:val="left"/>
              <w:rPr>
                <w:rFonts w:hint="eastAsia" w:ascii="宋体" w:hAnsi="宋体" w:eastAsia="宋体" w:cs="Times New Roman"/>
                <w:bCs/>
                <w:sz w:val="24"/>
                <w:szCs w:val="24"/>
              </w:rPr>
            </w:pPr>
            <w:r>
              <w:rPr>
                <w:rFonts w:ascii="宋体" w:hAnsi="宋体" w:eastAsia="宋体" w:cs="Times New Roman"/>
                <w:b/>
                <w:sz w:val="24"/>
                <w:szCs w:val="24"/>
              </w:rPr>
              <w:t>邮政编码：</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ascii="宋体" w:hAnsi="宋体" w:eastAsia="宋体" w:cs="Times New Roman"/>
                <w:b/>
                <w:sz w:val="24"/>
                <w:szCs w:val="24"/>
              </w:rPr>
              <w:t xml:space="preserve"> </w:t>
            </w:r>
            <w:r>
              <w:rPr>
                <w:rFonts w:hint="eastAsia" w:ascii="宋体" w:hAnsi="宋体" w:eastAsia="宋体" w:cs="Times New Roman"/>
                <w:b/>
                <w:sz w:val="24"/>
                <w:szCs w:val="24"/>
              </w:rPr>
              <w:t xml:space="preserve">  </w:t>
            </w:r>
          </w:p>
        </w:tc>
        <w:tc>
          <w:tcPr>
            <w:tcW w:w="4360" w:type="dxa"/>
            <w:noWrap w:val="0"/>
            <w:vAlign w:val="top"/>
          </w:tcPr>
          <w:p w14:paraId="09A1D879">
            <w:pPr>
              <w:spacing w:line="360" w:lineRule="auto"/>
              <w:jc w:val="left"/>
              <w:rPr>
                <w:rFonts w:hint="eastAsia" w:ascii="宋体" w:hAnsi="宋体" w:eastAsia="宋体" w:cs="Times New Roman"/>
                <w:bCs/>
                <w:sz w:val="24"/>
                <w:szCs w:val="24"/>
              </w:rPr>
            </w:pPr>
            <w:r>
              <w:rPr>
                <w:rFonts w:ascii="宋体" w:hAnsi="宋体" w:eastAsia="宋体" w:cs="Times New Roman"/>
                <w:b/>
                <w:sz w:val="24"/>
                <w:szCs w:val="24"/>
              </w:rPr>
              <w:t>邮政编码：</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ascii="宋体" w:hAnsi="宋体" w:eastAsia="宋体" w:cs="Times New Roman"/>
                <w:b/>
                <w:sz w:val="24"/>
                <w:szCs w:val="24"/>
              </w:rPr>
              <w:t xml:space="preserve"> </w:t>
            </w:r>
            <w:r>
              <w:rPr>
                <w:rFonts w:hint="eastAsia" w:ascii="宋体" w:hAnsi="宋体" w:eastAsia="宋体" w:cs="Times New Roman"/>
                <w:b/>
                <w:sz w:val="24"/>
                <w:szCs w:val="24"/>
              </w:rPr>
              <w:t xml:space="preserve">  </w:t>
            </w:r>
          </w:p>
        </w:tc>
      </w:tr>
      <w:tr w14:paraId="775AC347">
        <w:tblPrEx>
          <w:tblCellMar>
            <w:top w:w="0" w:type="dxa"/>
            <w:left w:w="108" w:type="dxa"/>
            <w:bottom w:w="0" w:type="dxa"/>
            <w:right w:w="108" w:type="dxa"/>
          </w:tblCellMar>
        </w:tblPrEx>
        <w:tc>
          <w:tcPr>
            <w:tcW w:w="4360" w:type="dxa"/>
            <w:noWrap w:val="0"/>
            <w:vAlign w:val="top"/>
          </w:tcPr>
          <w:p w14:paraId="78B69070">
            <w:pPr>
              <w:spacing w:line="360" w:lineRule="auto"/>
              <w:jc w:val="left"/>
              <w:rPr>
                <w:rFonts w:hint="eastAsia" w:ascii="宋体" w:hAnsi="宋体" w:eastAsia="宋体" w:cs="Times New Roman"/>
                <w:bCs/>
                <w:sz w:val="24"/>
                <w:szCs w:val="24"/>
              </w:rPr>
            </w:pPr>
            <w:r>
              <w:rPr>
                <w:rFonts w:ascii="宋体" w:hAnsi="宋体" w:eastAsia="宋体" w:cs="Times New Roman"/>
                <w:b/>
                <w:sz w:val="24"/>
                <w:szCs w:val="24"/>
              </w:rPr>
              <w:t>法定代表人：</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rPr>
              <w:t xml:space="preserve"> </w:t>
            </w:r>
          </w:p>
        </w:tc>
        <w:tc>
          <w:tcPr>
            <w:tcW w:w="4360" w:type="dxa"/>
            <w:noWrap w:val="0"/>
            <w:vAlign w:val="top"/>
          </w:tcPr>
          <w:p w14:paraId="5568E114">
            <w:pPr>
              <w:spacing w:line="360" w:lineRule="auto"/>
              <w:jc w:val="left"/>
              <w:rPr>
                <w:rFonts w:hint="eastAsia" w:ascii="宋体" w:hAnsi="宋体" w:eastAsia="宋体" w:cs="Times New Roman"/>
                <w:bCs/>
                <w:sz w:val="24"/>
                <w:szCs w:val="24"/>
              </w:rPr>
            </w:pPr>
            <w:r>
              <w:rPr>
                <w:rFonts w:ascii="宋体" w:hAnsi="宋体" w:eastAsia="宋体" w:cs="Times New Roman"/>
                <w:b/>
                <w:sz w:val="24"/>
                <w:szCs w:val="24"/>
              </w:rPr>
              <w:t>法定代表人：</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rPr>
              <w:t xml:space="preserve"> </w:t>
            </w:r>
          </w:p>
        </w:tc>
      </w:tr>
      <w:tr w14:paraId="0476B239">
        <w:tblPrEx>
          <w:tblCellMar>
            <w:top w:w="0" w:type="dxa"/>
            <w:left w:w="108" w:type="dxa"/>
            <w:bottom w:w="0" w:type="dxa"/>
            <w:right w:w="108" w:type="dxa"/>
          </w:tblCellMar>
        </w:tblPrEx>
        <w:tc>
          <w:tcPr>
            <w:tcW w:w="4360" w:type="dxa"/>
            <w:noWrap w:val="0"/>
            <w:vAlign w:val="top"/>
          </w:tcPr>
          <w:p w14:paraId="4AB64988">
            <w:pPr>
              <w:spacing w:line="360" w:lineRule="auto"/>
              <w:jc w:val="left"/>
              <w:rPr>
                <w:rFonts w:hint="eastAsia" w:ascii="宋体" w:hAnsi="宋体" w:eastAsia="宋体" w:cs="Times New Roman"/>
                <w:bCs/>
                <w:sz w:val="24"/>
                <w:szCs w:val="24"/>
              </w:rPr>
            </w:pPr>
            <w:r>
              <w:rPr>
                <w:rFonts w:ascii="宋体" w:hAnsi="宋体" w:eastAsia="宋体" w:cs="Times New Roman"/>
                <w:b/>
                <w:sz w:val="24"/>
                <w:szCs w:val="24"/>
              </w:rPr>
              <w:t>委托代理人：</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rPr>
              <w:t xml:space="preserve"> </w:t>
            </w:r>
            <w:r>
              <w:rPr>
                <w:rFonts w:hint="eastAsia" w:ascii="宋体" w:hAnsi="宋体" w:eastAsia="宋体" w:cs="Times New Roman"/>
                <w:b/>
                <w:sz w:val="24"/>
                <w:szCs w:val="24"/>
              </w:rPr>
              <w:t xml:space="preserve"> </w:t>
            </w:r>
          </w:p>
        </w:tc>
        <w:tc>
          <w:tcPr>
            <w:tcW w:w="4360" w:type="dxa"/>
            <w:noWrap w:val="0"/>
            <w:vAlign w:val="top"/>
          </w:tcPr>
          <w:p w14:paraId="1F7F88CB">
            <w:pPr>
              <w:spacing w:line="360" w:lineRule="auto"/>
              <w:jc w:val="left"/>
              <w:rPr>
                <w:rFonts w:hint="eastAsia" w:ascii="宋体" w:hAnsi="宋体" w:eastAsia="宋体" w:cs="Times New Roman"/>
                <w:bCs/>
                <w:sz w:val="24"/>
                <w:szCs w:val="24"/>
              </w:rPr>
            </w:pPr>
            <w:r>
              <w:rPr>
                <w:rFonts w:ascii="宋体" w:hAnsi="宋体" w:eastAsia="宋体" w:cs="Times New Roman"/>
                <w:b/>
                <w:sz w:val="24"/>
                <w:szCs w:val="24"/>
              </w:rPr>
              <w:t>委托代理人：</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rPr>
              <w:t xml:space="preserve"> </w:t>
            </w:r>
            <w:r>
              <w:rPr>
                <w:rFonts w:hint="eastAsia" w:ascii="宋体" w:hAnsi="宋体" w:eastAsia="宋体" w:cs="Times New Roman"/>
                <w:b/>
                <w:sz w:val="24"/>
                <w:szCs w:val="24"/>
              </w:rPr>
              <w:t xml:space="preserve"> </w:t>
            </w:r>
          </w:p>
        </w:tc>
      </w:tr>
      <w:tr w14:paraId="411D8946">
        <w:tblPrEx>
          <w:tblCellMar>
            <w:top w:w="0" w:type="dxa"/>
            <w:left w:w="108" w:type="dxa"/>
            <w:bottom w:w="0" w:type="dxa"/>
            <w:right w:w="108" w:type="dxa"/>
          </w:tblCellMar>
        </w:tblPrEx>
        <w:tc>
          <w:tcPr>
            <w:tcW w:w="4360" w:type="dxa"/>
            <w:noWrap w:val="0"/>
            <w:vAlign w:val="top"/>
          </w:tcPr>
          <w:p w14:paraId="1330AD20">
            <w:pPr>
              <w:spacing w:line="360" w:lineRule="auto"/>
              <w:jc w:val="left"/>
              <w:rPr>
                <w:rFonts w:hint="eastAsia" w:ascii="宋体" w:hAnsi="宋体" w:eastAsia="宋体" w:cs="Times New Roman"/>
                <w:bCs/>
                <w:sz w:val="24"/>
                <w:szCs w:val="24"/>
              </w:rPr>
            </w:pPr>
            <w:r>
              <w:rPr>
                <w:rFonts w:ascii="宋体" w:hAnsi="宋体" w:eastAsia="宋体" w:cs="Times New Roman"/>
                <w:b/>
                <w:sz w:val="24"/>
                <w:szCs w:val="24"/>
              </w:rPr>
              <w:t>电话：</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rPr>
              <w:t xml:space="preserve"> </w:t>
            </w:r>
            <w:r>
              <w:rPr>
                <w:rFonts w:hint="eastAsia" w:ascii="宋体" w:hAnsi="宋体" w:eastAsia="宋体" w:cs="Times New Roman"/>
                <w:b/>
                <w:sz w:val="24"/>
                <w:szCs w:val="24"/>
              </w:rPr>
              <w:t xml:space="preserve">  </w:t>
            </w:r>
          </w:p>
        </w:tc>
        <w:tc>
          <w:tcPr>
            <w:tcW w:w="4360" w:type="dxa"/>
            <w:noWrap w:val="0"/>
            <w:vAlign w:val="top"/>
          </w:tcPr>
          <w:p w14:paraId="0CD742F4">
            <w:pPr>
              <w:spacing w:line="360" w:lineRule="auto"/>
              <w:jc w:val="left"/>
              <w:rPr>
                <w:rFonts w:hint="eastAsia" w:ascii="宋体" w:hAnsi="宋体" w:eastAsia="宋体" w:cs="Times New Roman"/>
                <w:bCs/>
                <w:sz w:val="24"/>
                <w:szCs w:val="24"/>
              </w:rPr>
            </w:pPr>
            <w:r>
              <w:rPr>
                <w:rFonts w:ascii="宋体" w:hAnsi="宋体" w:eastAsia="宋体" w:cs="Times New Roman"/>
                <w:b/>
                <w:sz w:val="24"/>
                <w:szCs w:val="24"/>
              </w:rPr>
              <w:t>电话：</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rPr>
              <w:t xml:space="preserve"> </w:t>
            </w:r>
            <w:r>
              <w:rPr>
                <w:rFonts w:hint="eastAsia" w:ascii="宋体" w:hAnsi="宋体" w:eastAsia="宋体" w:cs="Times New Roman"/>
                <w:b/>
                <w:sz w:val="24"/>
                <w:szCs w:val="24"/>
              </w:rPr>
              <w:t xml:space="preserve">  </w:t>
            </w:r>
          </w:p>
        </w:tc>
      </w:tr>
      <w:tr w14:paraId="643ECEA4">
        <w:tblPrEx>
          <w:tblCellMar>
            <w:top w:w="0" w:type="dxa"/>
            <w:left w:w="108" w:type="dxa"/>
            <w:bottom w:w="0" w:type="dxa"/>
            <w:right w:w="108" w:type="dxa"/>
          </w:tblCellMar>
        </w:tblPrEx>
        <w:tc>
          <w:tcPr>
            <w:tcW w:w="4360" w:type="dxa"/>
            <w:noWrap w:val="0"/>
            <w:vAlign w:val="top"/>
          </w:tcPr>
          <w:p w14:paraId="45EF2949">
            <w:pPr>
              <w:spacing w:line="360" w:lineRule="auto"/>
              <w:jc w:val="left"/>
              <w:rPr>
                <w:rFonts w:hint="eastAsia" w:ascii="宋体" w:hAnsi="宋体" w:eastAsia="宋体" w:cs="Times New Roman"/>
                <w:bCs/>
                <w:sz w:val="24"/>
                <w:szCs w:val="24"/>
              </w:rPr>
            </w:pPr>
            <w:r>
              <w:rPr>
                <w:rFonts w:ascii="宋体" w:hAnsi="宋体" w:eastAsia="宋体" w:cs="Times New Roman"/>
                <w:b/>
                <w:sz w:val="24"/>
                <w:szCs w:val="24"/>
              </w:rPr>
              <w:t>传真：</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rPr>
              <w:t xml:space="preserve"> </w:t>
            </w:r>
            <w:r>
              <w:rPr>
                <w:rFonts w:hint="eastAsia" w:ascii="宋体" w:hAnsi="宋体" w:eastAsia="宋体" w:cs="Times New Roman"/>
                <w:b/>
                <w:sz w:val="24"/>
                <w:szCs w:val="24"/>
              </w:rPr>
              <w:t xml:space="preserve">  </w:t>
            </w:r>
          </w:p>
        </w:tc>
        <w:tc>
          <w:tcPr>
            <w:tcW w:w="4360" w:type="dxa"/>
            <w:noWrap w:val="0"/>
            <w:vAlign w:val="top"/>
          </w:tcPr>
          <w:p w14:paraId="6B88B49A">
            <w:pPr>
              <w:spacing w:line="360" w:lineRule="auto"/>
              <w:jc w:val="left"/>
              <w:rPr>
                <w:rFonts w:hint="eastAsia" w:ascii="宋体" w:hAnsi="宋体" w:eastAsia="宋体" w:cs="Times New Roman"/>
                <w:bCs/>
                <w:sz w:val="24"/>
                <w:szCs w:val="24"/>
              </w:rPr>
            </w:pPr>
            <w:r>
              <w:rPr>
                <w:rFonts w:ascii="宋体" w:hAnsi="宋体" w:eastAsia="宋体" w:cs="Times New Roman"/>
                <w:b/>
                <w:sz w:val="24"/>
                <w:szCs w:val="24"/>
              </w:rPr>
              <w:t>传真：</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rPr>
              <w:t xml:space="preserve"> </w:t>
            </w:r>
            <w:r>
              <w:rPr>
                <w:rFonts w:hint="eastAsia" w:ascii="宋体" w:hAnsi="宋体" w:eastAsia="宋体" w:cs="Times New Roman"/>
                <w:b/>
                <w:sz w:val="24"/>
                <w:szCs w:val="24"/>
              </w:rPr>
              <w:t xml:space="preserve">  </w:t>
            </w:r>
          </w:p>
        </w:tc>
      </w:tr>
      <w:tr w14:paraId="06E3F0FD">
        <w:tblPrEx>
          <w:tblCellMar>
            <w:top w:w="0" w:type="dxa"/>
            <w:left w:w="108" w:type="dxa"/>
            <w:bottom w:w="0" w:type="dxa"/>
            <w:right w:w="108" w:type="dxa"/>
          </w:tblCellMar>
        </w:tblPrEx>
        <w:tc>
          <w:tcPr>
            <w:tcW w:w="4360" w:type="dxa"/>
            <w:noWrap w:val="0"/>
            <w:vAlign w:val="top"/>
          </w:tcPr>
          <w:p w14:paraId="5CBD8F67">
            <w:pPr>
              <w:spacing w:line="360" w:lineRule="auto"/>
              <w:jc w:val="left"/>
              <w:rPr>
                <w:rFonts w:hint="eastAsia" w:ascii="宋体" w:hAnsi="宋体" w:eastAsia="宋体" w:cs="Times New Roman"/>
                <w:bCs/>
                <w:sz w:val="24"/>
                <w:szCs w:val="24"/>
              </w:rPr>
            </w:pPr>
            <w:r>
              <w:rPr>
                <w:rFonts w:ascii="宋体" w:hAnsi="宋体" w:eastAsia="宋体" w:cs="Times New Roman"/>
                <w:b/>
                <w:sz w:val="24"/>
                <w:szCs w:val="24"/>
              </w:rPr>
              <w:t>电子信箱：</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p>
        </w:tc>
        <w:tc>
          <w:tcPr>
            <w:tcW w:w="4360" w:type="dxa"/>
            <w:noWrap w:val="0"/>
            <w:vAlign w:val="top"/>
          </w:tcPr>
          <w:p w14:paraId="5C1E2CCA">
            <w:pPr>
              <w:spacing w:line="360" w:lineRule="auto"/>
              <w:jc w:val="left"/>
              <w:rPr>
                <w:rFonts w:hint="eastAsia" w:ascii="宋体" w:hAnsi="宋体" w:eastAsia="宋体" w:cs="Times New Roman"/>
                <w:bCs/>
                <w:sz w:val="24"/>
                <w:szCs w:val="24"/>
              </w:rPr>
            </w:pPr>
            <w:r>
              <w:rPr>
                <w:rFonts w:ascii="宋体" w:hAnsi="宋体" w:eastAsia="宋体" w:cs="Times New Roman"/>
                <w:b/>
                <w:sz w:val="24"/>
                <w:szCs w:val="24"/>
              </w:rPr>
              <w:t>电子信箱：</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p>
        </w:tc>
      </w:tr>
      <w:tr w14:paraId="533CB039">
        <w:tblPrEx>
          <w:tblCellMar>
            <w:top w:w="0" w:type="dxa"/>
            <w:left w:w="108" w:type="dxa"/>
            <w:bottom w:w="0" w:type="dxa"/>
            <w:right w:w="108" w:type="dxa"/>
          </w:tblCellMar>
        </w:tblPrEx>
        <w:tc>
          <w:tcPr>
            <w:tcW w:w="4360" w:type="dxa"/>
            <w:noWrap w:val="0"/>
            <w:vAlign w:val="top"/>
          </w:tcPr>
          <w:p w14:paraId="632E607C">
            <w:pPr>
              <w:spacing w:line="360" w:lineRule="auto"/>
              <w:jc w:val="left"/>
              <w:rPr>
                <w:rFonts w:hint="eastAsia" w:ascii="宋体" w:hAnsi="宋体" w:eastAsia="宋体" w:cs="Times New Roman"/>
                <w:bCs/>
                <w:sz w:val="24"/>
                <w:szCs w:val="24"/>
              </w:rPr>
            </w:pPr>
            <w:r>
              <w:rPr>
                <w:rFonts w:ascii="宋体" w:hAnsi="宋体" w:eastAsia="宋体" w:cs="Times New Roman"/>
                <w:b/>
                <w:sz w:val="24"/>
                <w:szCs w:val="24"/>
              </w:rPr>
              <w:t>开户银行：</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rPr>
              <w:t xml:space="preserve"> </w:t>
            </w:r>
          </w:p>
        </w:tc>
        <w:tc>
          <w:tcPr>
            <w:tcW w:w="4360" w:type="dxa"/>
            <w:noWrap w:val="0"/>
            <w:vAlign w:val="top"/>
          </w:tcPr>
          <w:p w14:paraId="111ABAD9">
            <w:pPr>
              <w:spacing w:line="360" w:lineRule="auto"/>
              <w:jc w:val="left"/>
              <w:rPr>
                <w:rFonts w:hint="eastAsia" w:ascii="宋体" w:hAnsi="宋体" w:eastAsia="宋体" w:cs="Times New Roman"/>
                <w:bCs/>
                <w:sz w:val="24"/>
                <w:szCs w:val="24"/>
              </w:rPr>
            </w:pPr>
            <w:r>
              <w:rPr>
                <w:rFonts w:ascii="宋体" w:hAnsi="宋体" w:eastAsia="宋体" w:cs="Times New Roman"/>
                <w:b/>
                <w:sz w:val="24"/>
                <w:szCs w:val="24"/>
              </w:rPr>
              <w:t>开户银行：</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rPr>
              <w:t xml:space="preserve"> </w:t>
            </w:r>
          </w:p>
        </w:tc>
      </w:tr>
      <w:tr w14:paraId="121CF732">
        <w:tblPrEx>
          <w:tblCellMar>
            <w:top w:w="0" w:type="dxa"/>
            <w:left w:w="108" w:type="dxa"/>
            <w:bottom w:w="0" w:type="dxa"/>
            <w:right w:w="108" w:type="dxa"/>
          </w:tblCellMar>
        </w:tblPrEx>
        <w:tc>
          <w:tcPr>
            <w:tcW w:w="4360" w:type="dxa"/>
            <w:noWrap w:val="0"/>
            <w:vAlign w:val="top"/>
          </w:tcPr>
          <w:p w14:paraId="1D9C3A87">
            <w:pPr>
              <w:spacing w:line="360" w:lineRule="auto"/>
              <w:jc w:val="left"/>
              <w:rPr>
                <w:rFonts w:hint="eastAsia" w:ascii="宋体" w:hAnsi="宋体" w:eastAsia="宋体" w:cs="Times New Roman"/>
                <w:bCs/>
                <w:sz w:val="24"/>
                <w:szCs w:val="24"/>
              </w:rPr>
            </w:pPr>
            <w:r>
              <w:rPr>
                <w:rFonts w:ascii="宋体" w:hAnsi="宋体" w:eastAsia="宋体" w:cs="Times New Roman"/>
                <w:b/>
                <w:sz w:val="24"/>
                <w:szCs w:val="24"/>
              </w:rPr>
              <w:t>账号：</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p>
        </w:tc>
        <w:tc>
          <w:tcPr>
            <w:tcW w:w="4360" w:type="dxa"/>
            <w:noWrap w:val="0"/>
            <w:vAlign w:val="top"/>
          </w:tcPr>
          <w:p w14:paraId="514C3B7A">
            <w:pPr>
              <w:spacing w:line="360" w:lineRule="auto"/>
              <w:jc w:val="left"/>
              <w:rPr>
                <w:rFonts w:hint="eastAsia" w:ascii="宋体" w:hAnsi="宋体" w:eastAsia="宋体" w:cs="Times New Roman"/>
                <w:bCs/>
                <w:sz w:val="24"/>
                <w:szCs w:val="24"/>
              </w:rPr>
            </w:pPr>
            <w:r>
              <w:rPr>
                <w:rFonts w:ascii="宋体" w:hAnsi="宋体" w:eastAsia="宋体" w:cs="Times New Roman"/>
                <w:b/>
                <w:sz w:val="24"/>
                <w:szCs w:val="24"/>
              </w:rPr>
              <w:t>账号：</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p>
        </w:tc>
      </w:tr>
    </w:tbl>
    <w:p w14:paraId="1B96FA12">
      <w:pPr>
        <w:spacing w:line="360" w:lineRule="auto"/>
        <w:rPr>
          <w:rFonts w:hint="eastAsia" w:ascii="宋体" w:hAnsi="宋体" w:eastAsia="宋体" w:cs="Times New Roman"/>
          <w:b/>
          <w:sz w:val="24"/>
          <w:szCs w:val="24"/>
          <w:u w:val="single"/>
        </w:rPr>
      </w:pPr>
      <w:r>
        <w:rPr>
          <w:rFonts w:hint="eastAsia" w:ascii="宋体" w:hAnsi="宋体" w:eastAsia="宋体" w:cs="Times New Roman"/>
          <w:b/>
          <w:sz w:val="24"/>
          <w:szCs w:val="24"/>
        </w:rPr>
        <w:t xml:space="preserve">                        </w:t>
      </w:r>
    </w:p>
    <w:p w14:paraId="286588BA">
      <w:pPr>
        <w:keepNext w:val="0"/>
        <w:keepLines w:val="0"/>
        <w:widowControl w:val="0"/>
        <w:numPr>
          <w:ilvl w:val="0"/>
          <w:numId w:val="0"/>
        </w:numPr>
        <w:spacing w:before="340" w:after="330"/>
        <w:jc w:val="center"/>
        <w:outlineLvl w:val="0"/>
        <w:rPr>
          <w:rFonts w:ascii="宋体" w:hAnsi="宋体" w:eastAsia="宋体" w:cs="Times New Roman"/>
          <w:b/>
          <w:bCs/>
          <w:snapToGrid w:val="0"/>
          <w:kern w:val="0"/>
          <w:sz w:val="32"/>
          <w:szCs w:val="44"/>
          <w:lang w:val="en-US" w:eastAsia="zh-CN" w:bidi="ar-SA"/>
        </w:rPr>
      </w:pPr>
      <w:bookmarkStart w:id="263" w:name="_Toc32698"/>
      <w:bookmarkStart w:id="264" w:name="_Toc1847971087"/>
      <w:bookmarkStart w:id="265" w:name="_Toc208587434"/>
      <w:bookmarkStart w:id="266" w:name="_Toc35656954"/>
      <w:bookmarkStart w:id="267" w:name="_Toc35656454"/>
      <w:bookmarkStart w:id="268" w:name="_Toc17190"/>
      <w:bookmarkStart w:id="269" w:name="_Toc9023"/>
      <w:bookmarkStart w:id="270" w:name="_Toc7008"/>
      <w:bookmarkStart w:id="271" w:name="_Toc14765"/>
      <w:bookmarkStart w:id="272" w:name="_Toc25928"/>
      <w:bookmarkStart w:id="273" w:name="_Toc302635687"/>
      <w:bookmarkStart w:id="274" w:name="_Toc34908886"/>
      <w:bookmarkStart w:id="275" w:name="_Toc201735229"/>
      <w:bookmarkStart w:id="276" w:name="_Toc17442"/>
      <w:bookmarkStart w:id="277" w:name="_Toc305331221"/>
      <w:bookmarkStart w:id="278" w:name="_Toc4725"/>
      <w:bookmarkStart w:id="279" w:name="_Toc22471"/>
      <w:bookmarkStart w:id="280" w:name="_Toc20961"/>
      <w:bookmarkStart w:id="281" w:name="_Toc84303950"/>
      <w:bookmarkStart w:id="282" w:name="_Toc47425624"/>
      <w:bookmarkStart w:id="283" w:name="_Toc42392984"/>
      <w:r>
        <w:rPr>
          <w:rFonts w:hint="eastAsia" w:ascii="宋体" w:hAnsi="宋体" w:eastAsia="宋体" w:cs="Times New Roman"/>
          <w:b/>
          <w:bCs/>
          <w:snapToGrid w:val="0"/>
          <w:kern w:val="0"/>
          <w:sz w:val="32"/>
          <w:szCs w:val="44"/>
          <w:lang w:val="en-US" w:eastAsia="zh-CN" w:bidi="ar-SA"/>
        </w:rPr>
        <w:t>第二部分  通用条款</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14:paraId="1BDAF002">
      <w:pPr>
        <w:keepNext w:val="0"/>
        <w:keepLines w:val="0"/>
        <w:widowControl w:val="0"/>
        <w:numPr>
          <w:ilvl w:val="0"/>
          <w:numId w:val="1"/>
        </w:numPr>
        <w:tabs>
          <w:tab w:val="left" w:pos="540"/>
          <w:tab w:val="left" w:pos="1620"/>
          <w:tab w:val="left" w:pos="2340"/>
          <w:tab w:val="clear"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284" w:name="_Toc302635688"/>
      <w:bookmarkStart w:id="285" w:name="_Toc35656456"/>
      <w:bookmarkStart w:id="286" w:name="_Toc208587435"/>
      <w:bookmarkStart w:id="287" w:name="_Toc18613"/>
      <w:bookmarkStart w:id="288" w:name="_Toc17681"/>
      <w:bookmarkStart w:id="289" w:name="_Toc1821927732"/>
      <w:bookmarkStart w:id="290" w:name="_Toc35656956"/>
      <w:bookmarkStart w:id="291" w:name="_Toc11475"/>
      <w:bookmarkStart w:id="292" w:name="_Toc1489"/>
      <w:bookmarkStart w:id="293" w:name="_Toc305331222"/>
      <w:bookmarkStart w:id="294" w:name="_Toc29635"/>
      <w:bookmarkStart w:id="295" w:name="_Toc14725"/>
      <w:bookmarkStart w:id="296" w:name="_Toc24804"/>
      <w:bookmarkStart w:id="297" w:name="_Toc34908888"/>
      <w:bookmarkStart w:id="298" w:name="_Toc2934"/>
      <w:bookmarkStart w:id="299" w:name="_Toc27360"/>
      <w:bookmarkStart w:id="300" w:name="_Toc201735230"/>
      <w:bookmarkStart w:id="301" w:name="_Toc12135"/>
      <w:r>
        <w:rPr>
          <w:rFonts w:hint="eastAsia" w:ascii="华文细黑" w:hAnsi="宋体" w:eastAsia="宋体" w:cs="Times New Roman"/>
          <w:b/>
          <w:bCs/>
          <w:snapToGrid w:val="0"/>
          <w:kern w:val="0"/>
          <w:sz w:val="28"/>
          <w:szCs w:val="44"/>
          <w:lang w:val="en-US" w:eastAsia="zh-CN" w:bidi="ar-SA"/>
        </w:rPr>
        <w:t>词语定义</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545E5062">
      <w:pPr>
        <w:tabs>
          <w:tab w:val="left" w:pos="1620"/>
          <w:tab w:val="left" w:pos="2340"/>
        </w:tabs>
        <w:ind w:firstLine="420"/>
        <w:jc w:val="left"/>
        <w:rPr>
          <w:rFonts w:ascii="宋体" w:hAnsi="宋体" w:eastAsia="宋体" w:cs="Times New Roman"/>
          <w:kern w:val="0"/>
          <w:szCs w:val="24"/>
        </w:rPr>
      </w:pPr>
      <w:bookmarkStart w:id="302" w:name="_Toc34908889"/>
      <w:r>
        <w:rPr>
          <w:rFonts w:hint="eastAsia" w:ascii="宋体" w:hAnsi="宋体" w:eastAsia="宋体" w:cs="Times New Roman"/>
          <w:kern w:val="0"/>
          <w:szCs w:val="24"/>
        </w:rPr>
        <w:t>下列词语除</w:t>
      </w:r>
      <w:r>
        <w:rPr>
          <w:rFonts w:hint="eastAsia" w:ascii="宋体" w:hAnsi="宋体" w:eastAsia="宋体" w:cs="Times New Roman"/>
          <w:b/>
          <w:i/>
          <w:kern w:val="0"/>
          <w:szCs w:val="24"/>
        </w:rPr>
        <w:t>专用条款</w:t>
      </w:r>
      <w:r>
        <w:rPr>
          <w:rFonts w:hint="eastAsia" w:ascii="宋体" w:hAnsi="宋体" w:eastAsia="宋体" w:cs="Times New Roman"/>
          <w:kern w:val="0"/>
          <w:szCs w:val="24"/>
        </w:rPr>
        <w:t>另有约定外，应具有本条所赋予的定义：</w:t>
      </w:r>
      <w:bookmarkEnd w:id="302"/>
    </w:p>
    <w:p w14:paraId="0BE565FE">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03" w:name="_Toc6782"/>
      <w:bookmarkStart w:id="304" w:name="_Toc1364656911"/>
      <w:bookmarkStart w:id="305" w:name="_Toc7868"/>
      <w:bookmarkStart w:id="306" w:name="_Toc9183"/>
      <w:bookmarkStart w:id="307" w:name="_Toc305331223"/>
      <w:bookmarkStart w:id="308" w:name="_Toc6336"/>
      <w:bookmarkStart w:id="309" w:name="_Toc17982"/>
      <w:bookmarkStart w:id="310" w:name="_Toc26491"/>
      <w:bookmarkStart w:id="311" w:name="_Toc30660"/>
      <w:bookmarkStart w:id="312" w:name="_Toc302635689"/>
      <w:bookmarkStart w:id="313" w:name="_Toc23348"/>
      <w:bookmarkStart w:id="314" w:name="_Toc201735231"/>
      <w:bookmarkStart w:id="315" w:name="_Toc208587436"/>
      <w:bookmarkStart w:id="316" w:name="_Toc16436"/>
      <w:bookmarkStart w:id="317" w:name="_Toc12556"/>
      <w:bookmarkStart w:id="318" w:name="_Toc34908892"/>
      <w:r>
        <w:rPr>
          <w:rFonts w:hint="eastAsia" w:ascii="宋体" w:hAnsi="宋体" w:eastAsia="宋体" w:cs="Times New Roman"/>
          <w:b/>
          <w:bCs/>
          <w:kern w:val="0"/>
          <w:sz w:val="24"/>
          <w:szCs w:val="24"/>
          <w:lang w:val="en-US" w:eastAsia="zh-CN" w:bidi="ar-SA"/>
        </w:rPr>
        <w:t>合同主体与参与各方</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15AD5CE8">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(1)发包人：指</w:t>
      </w:r>
      <w:r>
        <w:rPr>
          <w:rFonts w:hint="eastAsia" w:ascii="Times New Roman" w:hAnsi="Times New Roman" w:eastAsia="宋体" w:cs="Times New Roman"/>
          <w:szCs w:val="24"/>
          <w:lang w:eastAsia="zh-TW"/>
        </w:rPr>
        <w:t>与承包人签订合同的当事人及取得该当事人资格的合法权利继受人</w:t>
      </w:r>
      <w:r>
        <w:rPr>
          <w:rFonts w:hint="eastAsia" w:ascii="宋体" w:hAnsi="宋体" w:eastAsia="宋体" w:cs="Times New Roman"/>
          <w:kern w:val="0"/>
          <w:szCs w:val="24"/>
        </w:rPr>
        <w:t>。</w:t>
      </w:r>
      <w:bookmarkEnd w:id="318"/>
      <w:r>
        <w:rPr>
          <w:rFonts w:hint="eastAsia" w:ascii="宋体" w:hAnsi="宋体" w:eastAsia="宋体" w:cs="Times New Roman"/>
          <w:kern w:val="0"/>
          <w:szCs w:val="24"/>
        </w:rPr>
        <w:t xml:space="preserve"> </w:t>
      </w:r>
    </w:p>
    <w:p w14:paraId="76589F25">
      <w:pPr>
        <w:tabs>
          <w:tab w:val="left" w:pos="1620"/>
          <w:tab w:val="left" w:pos="2340"/>
        </w:tabs>
        <w:spacing w:after="156"/>
        <w:ind w:left="899"/>
        <w:jc w:val="left"/>
        <w:rPr>
          <w:rFonts w:ascii="宋体" w:hAnsi="宋体" w:eastAsia="宋体" w:cs="Times New Roman"/>
          <w:kern w:val="0"/>
          <w:szCs w:val="24"/>
        </w:rPr>
      </w:pPr>
      <w:bookmarkStart w:id="319" w:name="_Toc34908893"/>
      <w:r>
        <w:rPr>
          <w:rFonts w:hint="eastAsia" w:ascii="宋体" w:hAnsi="宋体" w:eastAsia="宋体" w:cs="Times New Roman"/>
          <w:kern w:val="0"/>
          <w:szCs w:val="24"/>
        </w:rPr>
        <w:t>(2)发包人代表：指</w:t>
      </w:r>
      <w:r>
        <w:rPr>
          <w:rFonts w:hint="eastAsia" w:ascii="Times New Roman" w:hAnsi="Times New Roman" w:eastAsia="宋体" w:cs="Times New Roman"/>
          <w:szCs w:val="24"/>
          <w:lang w:eastAsia="zh-TW"/>
        </w:rPr>
        <w:t>由发包人任命并派驻施工现场，在发包人授权范围内负责合同履行的人</w:t>
      </w:r>
      <w:r>
        <w:rPr>
          <w:rFonts w:hint="eastAsia" w:ascii="宋体" w:hAnsi="宋体" w:eastAsia="宋体" w:cs="Times New Roman"/>
          <w:kern w:val="0"/>
          <w:szCs w:val="24"/>
        </w:rPr>
        <w:t>。</w:t>
      </w:r>
    </w:p>
    <w:p w14:paraId="72334403">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(3)承包人：指</w:t>
      </w:r>
      <w:r>
        <w:rPr>
          <w:rFonts w:hint="eastAsia" w:ascii="Times New Roman" w:hAnsi="Times New Roman" w:eastAsia="宋体" w:cs="Times New Roman"/>
          <w:szCs w:val="24"/>
          <w:lang w:eastAsia="zh-TW"/>
        </w:rPr>
        <w:t>与发包人签订合同，具有相应工程施工资质的当事人及取得该当事人资格的合法权利继受人</w:t>
      </w:r>
      <w:bookmarkEnd w:id="319"/>
      <w:r>
        <w:rPr>
          <w:rFonts w:hint="eastAsia" w:ascii="宋体" w:hAnsi="宋体" w:eastAsia="宋体" w:cs="Times New Roman"/>
          <w:kern w:val="0"/>
          <w:szCs w:val="24"/>
        </w:rPr>
        <w:t>。</w:t>
      </w:r>
    </w:p>
    <w:p w14:paraId="195B8F35">
      <w:pPr>
        <w:tabs>
          <w:tab w:val="left" w:pos="1620"/>
          <w:tab w:val="left" w:pos="2340"/>
        </w:tabs>
        <w:spacing w:after="156"/>
        <w:ind w:left="899"/>
        <w:jc w:val="left"/>
        <w:rPr>
          <w:rFonts w:ascii="宋体" w:hAnsi="宋体" w:eastAsia="宋体" w:cs="Times New Roman"/>
          <w:kern w:val="0"/>
          <w:szCs w:val="24"/>
        </w:rPr>
      </w:pPr>
      <w:bookmarkStart w:id="320" w:name="_Toc34908895"/>
      <w:r>
        <w:rPr>
          <w:rFonts w:hint="eastAsia" w:ascii="宋体" w:hAnsi="宋体" w:eastAsia="宋体" w:cs="Times New Roman"/>
          <w:kern w:val="0"/>
          <w:szCs w:val="24"/>
        </w:rPr>
        <w:t>(4)项目经理：指</w:t>
      </w:r>
      <w:r>
        <w:rPr>
          <w:rFonts w:hint="eastAsia" w:ascii="Times New Roman" w:hAnsi="Times New Roman" w:eastAsia="宋体" w:cs="Times New Roman"/>
          <w:szCs w:val="24"/>
          <w:lang w:eastAsia="zh-TW"/>
        </w:rPr>
        <w:t>由承包人任命并派驻施工现场，在承包人授权范围内负责合同履行，且按照法律规定具有相应资格的项目负责人</w:t>
      </w:r>
      <w:r>
        <w:rPr>
          <w:rFonts w:hint="eastAsia" w:ascii="宋体" w:hAnsi="宋体" w:eastAsia="宋体" w:cs="Times New Roman"/>
          <w:kern w:val="0"/>
          <w:szCs w:val="24"/>
        </w:rPr>
        <w:t>。</w:t>
      </w:r>
      <w:bookmarkEnd w:id="320"/>
    </w:p>
    <w:p w14:paraId="5B2D4AD5">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(5)专业工程承包人：指与发包人签订专业工程施工合同并承建该合同指定专业工程的、具有相应工程施工资质的当事人，以及取得该当事人资格的合法权利继受人。</w:t>
      </w:r>
    </w:p>
    <w:p w14:paraId="32FDEB25">
      <w:pPr>
        <w:tabs>
          <w:tab w:val="left" w:pos="1620"/>
          <w:tab w:val="left" w:pos="2340"/>
        </w:tabs>
        <w:spacing w:after="156"/>
        <w:ind w:left="899"/>
        <w:jc w:val="left"/>
        <w:rPr>
          <w:rFonts w:ascii="宋体" w:hAnsi="宋体" w:eastAsia="宋体" w:cs="Times New Roman"/>
          <w:kern w:val="0"/>
          <w:szCs w:val="24"/>
        </w:rPr>
      </w:pPr>
      <w:bookmarkStart w:id="321" w:name="_Toc34908894"/>
      <w:r>
        <w:rPr>
          <w:rFonts w:hint="eastAsia" w:ascii="宋体" w:hAnsi="宋体" w:eastAsia="宋体" w:cs="Times New Roman"/>
          <w:kern w:val="0"/>
          <w:szCs w:val="24"/>
        </w:rPr>
        <w:t>(6)分包人：指经发包人认可并与承包人签订了分包合同承建本工程部分工程的、具有相应工程施工资质的当事人，以及取得该当事人资格的合法权利继受人。</w:t>
      </w:r>
    </w:p>
    <w:p w14:paraId="1FED3CEF">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(7)</w:t>
      </w:r>
      <w:r>
        <w:rPr>
          <w:rFonts w:ascii="宋体" w:hAnsi="宋体" w:eastAsia="宋体" w:cs="Times New Roman"/>
          <w:kern w:val="0"/>
          <w:szCs w:val="24"/>
        </w:rPr>
        <w:t>监理人</w:t>
      </w:r>
      <w:r>
        <w:rPr>
          <w:rFonts w:hint="eastAsia" w:ascii="宋体" w:hAnsi="宋体" w:eastAsia="宋体" w:cs="Times New Roman"/>
          <w:kern w:val="0"/>
          <w:szCs w:val="24"/>
        </w:rPr>
        <w:t>：指由发包人委托的负责本工程监理工作并取得相应工程监理资质的当事人以及取得该当事人资格的合法权利继受人。</w:t>
      </w:r>
      <w:bookmarkEnd w:id="321"/>
    </w:p>
    <w:p w14:paraId="0CB6E4DE">
      <w:pPr>
        <w:tabs>
          <w:tab w:val="left" w:pos="1620"/>
          <w:tab w:val="left" w:pos="2340"/>
        </w:tabs>
        <w:spacing w:after="156"/>
        <w:ind w:left="899"/>
        <w:jc w:val="left"/>
        <w:rPr>
          <w:rFonts w:hint="eastAsia" w:ascii="宋体" w:hAnsi="宋体" w:eastAsia="宋体" w:cs="Times New Roman"/>
          <w:kern w:val="0"/>
          <w:szCs w:val="24"/>
        </w:rPr>
      </w:pPr>
      <w:bookmarkStart w:id="322" w:name="_Toc34908897"/>
      <w:r>
        <w:rPr>
          <w:rFonts w:hint="eastAsia" w:ascii="宋体" w:hAnsi="宋体" w:eastAsia="宋体" w:cs="Times New Roman"/>
          <w:kern w:val="0"/>
          <w:szCs w:val="24"/>
        </w:rPr>
        <w:t>(8)总监理工程师：指由监理人任命并派驻施工现场，在监理人授权范围内负责工程监理工作，且按照法律规定具有相应资格的工程监理总负责人。</w:t>
      </w:r>
    </w:p>
    <w:p w14:paraId="6B4CCD7D">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(9)</w:t>
      </w:r>
      <w:r>
        <w:rPr>
          <w:rFonts w:ascii="宋体" w:hAnsi="宋体" w:eastAsia="宋体" w:cs="Times New Roman"/>
          <w:kern w:val="0"/>
          <w:szCs w:val="24"/>
        </w:rPr>
        <w:t>设计人</w:t>
      </w:r>
      <w:r>
        <w:rPr>
          <w:rFonts w:hint="eastAsia" w:ascii="宋体" w:hAnsi="宋体" w:eastAsia="宋体" w:cs="Times New Roman"/>
          <w:kern w:val="0"/>
          <w:szCs w:val="24"/>
        </w:rPr>
        <w:t>：指发包人委托的负责本工程设计并具有相应工程设计资质的当事人以及取得该当事人资格的合法权利继受人。</w:t>
      </w:r>
      <w:bookmarkEnd w:id="322"/>
    </w:p>
    <w:p w14:paraId="16C91CDB">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23" w:name="_Toc28967"/>
      <w:bookmarkStart w:id="324" w:name="_Toc305331224"/>
      <w:bookmarkStart w:id="325" w:name="_Toc9638"/>
      <w:bookmarkStart w:id="326" w:name="_Toc17337348"/>
      <w:bookmarkStart w:id="327" w:name="_Toc302635690"/>
      <w:bookmarkStart w:id="328" w:name="_Toc29607"/>
      <w:bookmarkStart w:id="329" w:name="_Toc25691"/>
      <w:bookmarkStart w:id="330" w:name="_Toc11655"/>
      <w:bookmarkStart w:id="331" w:name="_Toc208587437"/>
      <w:bookmarkStart w:id="332" w:name="_Toc201735232"/>
      <w:bookmarkStart w:id="333" w:name="_Toc20229"/>
      <w:bookmarkStart w:id="334" w:name="_Toc13446"/>
      <w:bookmarkStart w:id="335" w:name="_Toc26155"/>
      <w:bookmarkStart w:id="336" w:name="_Toc8423"/>
      <w:bookmarkStart w:id="337" w:name="_Toc1341"/>
      <w:bookmarkStart w:id="338" w:name="_Toc34908898"/>
      <w:r>
        <w:rPr>
          <w:rFonts w:hint="eastAsia" w:ascii="宋体" w:hAnsi="宋体" w:eastAsia="宋体" w:cs="Times New Roman"/>
          <w:b/>
          <w:bCs/>
          <w:kern w:val="0"/>
          <w:sz w:val="24"/>
          <w:szCs w:val="24"/>
          <w:lang w:val="en-US" w:eastAsia="zh-CN" w:bidi="ar-SA"/>
        </w:rPr>
        <w:t>合同文件</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14:paraId="14570283">
      <w:pPr>
        <w:tabs>
          <w:tab w:val="left" w:pos="1620"/>
          <w:tab w:val="left" w:pos="2340"/>
        </w:tabs>
        <w:spacing w:after="156"/>
        <w:ind w:left="899"/>
        <w:jc w:val="left"/>
        <w:rPr>
          <w:rFonts w:ascii="宋体" w:hAnsi="宋体" w:eastAsia="宋体" w:cs="Times New Roman"/>
          <w:kern w:val="0"/>
          <w:szCs w:val="24"/>
        </w:rPr>
      </w:pPr>
      <w:bookmarkStart w:id="339" w:name="_Toc34908916"/>
      <w:r>
        <w:rPr>
          <w:rFonts w:hint="eastAsia" w:ascii="宋体" w:hAnsi="宋体" w:eastAsia="宋体" w:cs="Times New Roman"/>
          <w:kern w:val="0"/>
          <w:szCs w:val="24"/>
        </w:rPr>
        <w:t>(1)合同：是指由承包人进行本工程施工并提供工程保修服务，发包人支付价款，约定双方权利义务的协议。合同由通用条款第</w:t>
      </w:r>
      <w:r>
        <w:rPr>
          <w:rFonts w:ascii="宋体" w:hAnsi="宋体" w:eastAsia="宋体" w:cs="Times New Roman"/>
          <w:kern w:val="0"/>
          <w:szCs w:val="24"/>
        </w:rPr>
        <w:t>2.</w:t>
      </w:r>
      <w:r>
        <w:rPr>
          <w:rFonts w:hint="eastAsia" w:ascii="宋体" w:hAnsi="宋体" w:eastAsia="宋体" w:cs="Times New Roman"/>
          <w:kern w:val="0"/>
          <w:szCs w:val="24"/>
        </w:rPr>
        <w:t>1款所列的文件组成。</w:t>
      </w:r>
    </w:p>
    <w:p w14:paraId="7CA9FC6A">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(2)图纸：指由发包人按本合同约定向承包人提供的全部设计图纸、计算书和性质类似的技术资料，或由承包人提交并经</w:t>
      </w:r>
      <w:r>
        <w:rPr>
          <w:rFonts w:ascii="宋体" w:hAnsi="宋体" w:eastAsia="宋体" w:cs="Times New Roman"/>
          <w:kern w:val="0"/>
          <w:szCs w:val="24"/>
        </w:rPr>
        <w:t>监理人</w:t>
      </w:r>
      <w:r>
        <w:rPr>
          <w:rFonts w:hint="eastAsia" w:ascii="宋体" w:hAnsi="宋体" w:eastAsia="宋体" w:cs="Times New Roman"/>
          <w:kern w:val="0"/>
          <w:szCs w:val="24"/>
        </w:rPr>
        <w:t>批准的所有图纸、计算书和其他性质类似的技术资料，包括合同图纸以及在合同履行过程中形成的图纸文件。</w:t>
      </w:r>
    </w:p>
    <w:p w14:paraId="7364B876">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3)</w:t>
      </w:r>
      <w:r>
        <w:rPr>
          <w:rFonts w:hint="eastAsia" w:ascii="宋体" w:hAnsi="宋体" w:eastAsia="宋体" w:cs="Times New Roman"/>
          <w:kern w:val="0"/>
          <w:szCs w:val="24"/>
        </w:rPr>
        <w:t>合同图纸</w:t>
      </w:r>
      <w:r>
        <w:rPr>
          <w:rFonts w:ascii="宋体" w:hAnsi="宋体" w:eastAsia="宋体" w:cs="Times New Roman"/>
          <w:kern w:val="0"/>
          <w:szCs w:val="24"/>
        </w:rPr>
        <w:t xml:space="preserve">: </w:t>
      </w:r>
      <w:r>
        <w:rPr>
          <w:rFonts w:hint="eastAsia" w:ascii="宋体" w:hAnsi="宋体" w:eastAsia="宋体" w:cs="Times New Roman"/>
          <w:kern w:val="0"/>
          <w:szCs w:val="24"/>
        </w:rPr>
        <w:t>表达签约合同价的工程范围及品质要求所依据的设计文件。招标工程的合同图纸包括招标文件提供的设计文件和招标人在招标过程中发出的有关设计文件的补充、澄清或修改文件。</w:t>
      </w:r>
    </w:p>
    <w:p w14:paraId="474359D3">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4</w:t>
      </w:r>
      <w:r>
        <w:rPr>
          <w:rFonts w:hint="eastAsia" w:ascii="宋体" w:hAnsi="宋体" w:eastAsia="宋体" w:cs="Times New Roman"/>
          <w:kern w:val="0"/>
          <w:szCs w:val="24"/>
        </w:rPr>
        <w:t>)标准、规范</w:t>
      </w:r>
      <w:r>
        <w:rPr>
          <w:rFonts w:hint="eastAsia" w:ascii="Times New Roman" w:hAnsi="Times New Roman" w:eastAsia="宋体" w:cs="Times New Roman"/>
          <w:szCs w:val="24"/>
        </w:rPr>
        <w:t>和技术要求</w:t>
      </w:r>
      <w:r>
        <w:rPr>
          <w:rFonts w:hint="eastAsia" w:ascii="宋体" w:hAnsi="宋体" w:eastAsia="宋体" w:cs="Times New Roman"/>
          <w:kern w:val="0"/>
          <w:szCs w:val="24"/>
        </w:rPr>
        <w:t>：指适用于本工程的国家、行业、地方颁布的标准、规范、规程等，以及发包人的技术要求及其修改或补充。</w:t>
      </w:r>
    </w:p>
    <w:bookmarkEnd w:id="339"/>
    <w:p w14:paraId="20081EFF">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5</w:t>
      </w:r>
      <w:r>
        <w:rPr>
          <w:rFonts w:hint="eastAsia" w:ascii="宋体" w:hAnsi="宋体" w:eastAsia="宋体" w:cs="Times New Roman"/>
          <w:kern w:val="0"/>
          <w:szCs w:val="24"/>
        </w:rPr>
        <w:t>)合同清单：指</w:t>
      </w:r>
      <w:r>
        <w:rPr>
          <w:rFonts w:hint="eastAsia" w:ascii="Times New Roman" w:hAnsi="Times New Roman" w:eastAsia="宋体" w:cs="Times New Roman"/>
          <w:szCs w:val="24"/>
          <w:lang w:eastAsia="zh-TW"/>
        </w:rPr>
        <w:t>由承包人按照规定的格式和要求填写并获得发包人接纳的标明价格的工程量清单，包括说明和表格</w:t>
      </w:r>
      <w:r>
        <w:rPr>
          <w:rFonts w:hint="eastAsia" w:ascii="宋体" w:hAnsi="宋体" w:eastAsia="宋体" w:cs="Times New Roman"/>
          <w:kern w:val="0"/>
          <w:szCs w:val="24"/>
        </w:rPr>
        <w:t>。</w:t>
      </w:r>
    </w:p>
    <w:p w14:paraId="0746F683">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6</w:t>
      </w:r>
      <w:r>
        <w:rPr>
          <w:rFonts w:hint="eastAsia" w:ascii="宋体" w:hAnsi="宋体" w:eastAsia="宋体" w:cs="Times New Roman"/>
          <w:kern w:val="0"/>
          <w:szCs w:val="24"/>
        </w:rPr>
        <w:t>)</w:t>
      </w:r>
      <w:r>
        <w:rPr>
          <w:rFonts w:hint="eastAsia" w:ascii="宋体" w:hAnsi="宋体" w:eastAsia="宋体" w:cs="Times New Roman"/>
          <w:kern w:val="0"/>
          <w:szCs w:val="24"/>
          <w:lang w:eastAsia="zh-CN"/>
        </w:rPr>
        <w:t>合同单价：指承包人在已标价工程量清单内所报的综合单价。</w:t>
      </w:r>
    </w:p>
    <w:p w14:paraId="2E82DAE3">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w:t>
      </w:r>
      <w:r>
        <w:rPr>
          <w:rFonts w:hint="eastAsia" w:ascii="宋体" w:hAnsi="宋体" w:eastAsia="宋体" w:cs="Times New Roman"/>
          <w:kern w:val="0"/>
          <w:szCs w:val="24"/>
          <w:lang w:eastAsia="zh-CN"/>
        </w:rPr>
        <w:t>7</w:t>
      </w:r>
      <w:r>
        <w:rPr>
          <w:rFonts w:hint="eastAsia" w:ascii="宋体" w:hAnsi="宋体" w:eastAsia="宋体" w:cs="Times New Roman"/>
          <w:kern w:val="0"/>
          <w:szCs w:val="24"/>
        </w:rPr>
        <w:t>)书面形式：指</w:t>
      </w:r>
      <w:r>
        <w:rPr>
          <w:rFonts w:hint="eastAsia" w:ascii="Times New Roman" w:hAnsi="Times New Roman" w:eastAsia="宋体" w:cs="Times New Roman"/>
          <w:szCs w:val="24"/>
        </w:rPr>
        <w:t>合同文件、信件、电报、电传、传真等可以有形地表现所载内容的形式。以电子数据交换、电子邮件等方式能够有形地表现所载内容，并可以随时调取查用的数据电文，视为书面形式。</w:t>
      </w:r>
    </w:p>
    <w:p w14:paraId="2642D979">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w:t>
      </w:r>
      <w:r>
        <w:rPr>
          <w:rFonts w:hint="eastAsia" w:ascii="宋体" w:hAnsi="宋体" w:eastAsia="宋体" w:cs="Times New Roman"/>
          <w:kern w:val="0"/>
          <w:szCs w:val="24"/>
          <w:lang w:eastAsia="zh-CN"/>
        </w:rPr>
        <w:t>8</w:t>
      </w:r>
      <w:r>
        <w:rPr>
          <w:rFonts w:hint="eastAsia" w:ascii="宋体" w:hAnsi="宋体" w:eastAsia="宋体" w:cs="Times New Roman"/>
          <w:kern w:val="0"/>
          <w:szCs w:val="24"/>
        </w:rPr>
        <w:t>)其他合同文件：是指经发承包双方约定的与工程施工有关的具有合同约束力的文件或书面协议。发承包双方可以在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中进行约定。</w:t>
      </w:r>
    </w:p>
    <w:p w14:paraId="5850469B">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40" w:name="_Toc22829"/>
      <w:bookmarkStart w:id="341" w:name="_Toc28970"/>
      <w:bookmarkStart w:id="342" w:name="_Toc302635691"/>
      <w:bookmarkStart w:id="343" w:name="_Toc12608"/>
      <w:bookmarkStart w:id="344" w:name="_Toc32224"/>
      <w:bookmarkStart w:id="345" w:name="_Toc208587438"/>
      <w:bookmarkStart w:id="346" w:name="_Toc25197"/>
      <w:bookmarkStart w:id="347" w:name="_Toc16541"/>
      <w:bookmarkStart w:id="348" w:name="_Toc201735233"/>
      <w:bookmarkStart w:id="349" w:name="_Toc26879"/>
      <w:bookmarkStart w:id="350" w:name="_Toc760"/>
      <w:bookmarkStart w:id="351" w:name="_Toc31909"/>
      <w:bookmarkStart w:id="352" w:name="_Toc21216"/>
      <w:bookmarkStart w:id="353" w:name="_Toc204933324"/>
      <w:bookmarkStart w:id="354" w:name="_Toc305331225"/>
      <w:r>
        <w:rPr>
          <w:rFonts w:hint="eastAsia" w:ascii="宋体" w:hAnsi="宋体" w:eastAsia="宋体" w:cs="Times New Roman"/>
          <w:b/>
          <w:bCs/>
          <w:kern w:val="0"/>
          <w:sz w:val="24"/>
          <w:szCs w:val="24"/>
          <w:lang w:val="en-US" w:eastAsia="zh-CN" w:bidi="ar-SA"/>
        </w:rPr>
        <w:t>工程、现场与装备</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p w14:paraId="18E1EDE7">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(1)永久工程：指根据本合同约定应实施的永久性工程，包括本款第(</w:t>
      </w:r>
      <w:r>
        <w:rPr>
          <w:rFonts w:ascii="宋体" w:hAnsi="宋体" w:eastAsia="宋体" w:cs="Times New Roman"/>
          <w:kern w:val="0"/>
          <w:szCs w:val="24"/>
        </w:rPr>
        <w:t>8)</w:t>
      </w:r>
      <w:r>
        <w:rPr>
          <w:rFonts w:hint="eastAsia" w:ascii="宋体" w:hAnsi="宋体" w:eastAsia="宋体" w:cs="Times New Roman"/>
          <w:kern w:val="0"/>
          <w:szCs w:val="24"/>
        </w:rPr>
        <w:t>项所指的工程设备。</w:t>
      </w:r>
      <w:bookmarkEnd w:id="338"/>
    </w:p>
    <w:p w14:paraId="235F57C7">
      <w:pPr>
        <w:tabs>
          <w:tab w:val="left" w:pos="1620"/>
          <w:tab w:val="left" w:pos="2340"/>
        </w:tabs>
        <w:spacing w:after="156"/>
        <w:ind w:left="899"/>
        <w:jc w:val="left"/>
        <w:rPr>
          <w:rFonts w:ascii="宋体" w:hAnsi="宋体" w:eastAsia="宋体" w:cs="Times New Roman"/>
          <w:kern w:val="0"/>
          <w:szCs w:val="24"/>
        </w:rPr>
      </w:pPr>
      <w:bookmarkStart w:id="355" w:name="_Toc34908899"/>
      <w:r>
        <w:rPr>
          <w:rFonts w:hint="eastAsia" w:ascii="宋体" w:hAnsi="宋体" w:eastAsia="宋体" w:cs="Times New Roman"/>
          <w:kern w:val="0"/>
          <w:szCs w:val="24"/>
        </w:rPr>
        <w:t>(2)临时工程：指实施和完成本工程及其缺陷的修复过程中所需的各种临时性工程，但不包括本款第(</w:t>
      </w:r>
      <w:r>
        <w:rPr>
          <w:rFonts w:ascii="宋体" w:hAnsi="宋体" w:eastAsia="宋体" w:cs="Times New Roman"/>
          <w:kern w:val="0"/>
          <w:szCs w:val="24"/>
        </w:rPr>
        <w:t>9)</w:t>
      </w:r>
      <w:r>
        <w:rPr>
          <w:rFonts w:hint="eastAsia" w:ascii="宋体" w:hAnsi="宋体" w:eastAsia="宋体" w:cs="Times New Roman"/>
          <w:kern w:val="0"/>
          <w:szCs w:val="24"/>
        </w:rPr>
        <w:t>项所指的承包人装备。</w:t>
      </w:r>
      <w:bookmarkEnd w:id="355"/>
    </w:p>
    <w:p w14:paraId="3E1CBBED">
      <w:pPr>
        <w:tabs>
          <w:tab w:val="left" w:pos="1620"/>
          <w:tab w:val="left" w:pos="2340"/>
        </w:tabs>
        <w:spacing w:after="156"/>
        <w:ind w:left="899"/>
        <w:jc w:val="left"/>
        <w:rPr>
          <w:rFonts w:ascii="宋体" w:hAnsi="宋体" w:eastAsia="宋体" w:cs="Times New Roman"/>
          <w:kern w:val="0"/>
          <w:szCs w:val="24"/>
        </w:rPr>
      </w:pPr>
      <w:bookmarkStart w:id="356" w:name="_Toc34908900"/>
      <w:r>
        <w:rPr>
          <w:rFonts w:hint="eastAsia" w:ascii="宋体" w:hAnsi="宋体" w:eastAsia="宋体" w:cs="Times New Roman"/>
          <w:kern w:val="0"/>
          <w:szCs w:val="24"/>
        </w:rPr>
        <w:t>(3)工程：指永久工程和临时工程，或视具体情况指两者中的任何一个。</w:t>
      </w:r>
      <w:bookmarkEnd w:id="356"/>
    </w:p>
    <w:p w14:paraId="385EB455">
      <w:pPr>
        <w:tabs>
          <w:tab w:val="left" w:pos="1620"/>
          <w:tab w:val="left" w:pos="2340"/>
        </w:tabs>
        <w:spacing w:after="156"/>
        <w:ind w:left="899"/>
        <w:jc w:val="left"/>
        <w:rPr>
          <w:rFonts w:ascii="宋体" w:hAnsi="宋体" w:eastAsia="宋体" w:cs="Times New Roman"/>
          <w:kern w:val="0"/>
          <w:szCs w:val="24"/>
        </w:rPr>
      </w:pPr>
      <w:bookmarkStart w:id="357" w:name="_Toc34908901"/>
      <w:r>
        <w:rPr>
          <w:rFonts w:hint="eastAsia" w:ascii="宋体" w:hAnsi="宋体" w:eastAsia="宋体" w:cs="Times New Roman"/>
          <w:kern w:val="0"/>
          <w:szCs w:val="24"/>
        </w:rPr>
        <w:t>(4)单位工程：指本工程范围内、合同约定或能单独发挥效益的某一独立工程。</w:t>
      </w:r>
      <w:bookmarkEnd w:id="357"/>
    </w:p>
    <w:p w14:paraId="620F352F">
      <w:pPr>
        <w:tabs>
          <w:tab w:val="left" w:pos="1620"/>
          <w:tab w:val="left" w:pos="2340"/>
        </w:tabs>
        <w:spacing w:after="156"/>
        <w:ind w:left="899"/>
        <w:jc w:val="left"/>
        <w:rPr>
          <w:rFonts w:ascii="宋体" w:hAnsi="宋体" w:eastAsia="宋体" w:cs="Times New Roman"/>
          <w:kern w:val="0"/>
          <w:szCs w:val="24"/>
        </w:rPr>
      </w:pPr>
      <w:bookmarkStart w:id="358" w:name="_Toc34908905"/>
      <w:bookmarkStart w:id="359" w:name="_Toc34908902"/>
      <w:r>
        <w:rPr>
          <w:rFonts w:hint="eastAsia" w:ascii="宋体" w:hAnsi="宋体" w:eastAsia="宋体" w:cs="Times New Roman"/>
          <w:kern w:val="0"/>
          <w:szCs w:val="24"/>
        </w:rPr>
        <w:t>(5)现场：指由发包人提供的用于本工程施工的场地以及发包人在本合同中具体指定构成现场一部分的其他场所。</w:t>
      </w:r>
      <w:bookmarkEnd w:id="358"/>
    </w:p>
    <w:p w14:paraId="08E356E2">
      <w:pPr>
        <w:tabs>
          <w:tab w:val="left" w:pos="1620"/>
          <w:tab w:val="left" w:pos="2340"/>
        </w:tabs>
        <w:spacing w:after="156"/>
        <w:ind w:left="899"/>
        <w:jc w:val="left"/>
        <w:rPr>
          <w:rFonts w:ascii="宋体" w:hAnsi="宋体" w:eastAsia="宋体" w:cs="Times New Roman"/>
          <w:kern w:val="0"/>
          <w:szCs w:val="24"/>
        </w:rPr>
      </w:pPr>
      <w:bookmarkStart w:id="360" w:name="_Toc34908906"/>
      <w:r>
        <w:rPr>
          <w:rFonts w:hint="eastAsia" w:ascii="宋体" w:hAnsi="宋体" w:eastAsia="宋体" w:cs="Times New Roman"/>
          <w:kern w:val="0"/>
          <w:szCs w:val="24"/>
        </w:rPr>
        <w:t>(6)永久占地：</w:t>
      </w:r>
      <w:bookmarkEnd w:id="360"/>
      <w:r>
        <w:rPr>
          <w:rFonts w:hint="eastAsia" w:ascii="宋体" w:hAnsi="宋体" w:eastAsia="宋体" w:cs="Times New Roman"/>
          <w:kern w:val="0"/>
          <w:szCs w:val="24"/>
        </w:rPr>
        <w:t>指为实施本工程而需要的长期占用的土地，具体期限以政府批准的土地使用年限为准。</w:t>
      </w:r>
    </w:p>
    <w:p w14:paraId="14D967CD">
      <w:pPr>
        <w:tabs>
          <w:tab w:val="left" w:pos="1620"/>
          <w:tab w:val="left" w:pos="2340"/>
        </w:tabs>
        <w:spacing w:after="156"/>
        <w:ind w:left="899"/>
        <w:jc w:val="left"/>
        <w:rPr>
          <w:rFonts w:ascii="宋体" w:hAnsi="宋体" w:eastAsia="宋体" w:cs="Times New Roman"/>
          <w:kern w:val="0"/>
          <w:szCs w:val="24"/>
        </w:rPr>
      </w:pPr>
      <w:bookmarkStart w:id="361" w:name="_Toc34908907"/>
      <w:r>
        <w:rPr>
          <w:rFonts w:hint="eastAsia" w:ascii="宋体" w:hAnsi="宋体" w:eastAsia="宋体" w:cs="Times New Roman"/>
          <w:kern w:val="0"/>
          <w:szCs w:val="24"/>
        </w:rPr>
        <w:t>(7)临时占地：指为实施本工程而需要的一切临时占用土地，包括施工所用的临时支线、便道、便桥和现场的临时出入通道，以及生产、生活等临时设施用地等。</w:t>
      </w:r>
      <w:bookmarkEnd w:id="361"/>
    </w:p>
    <w:p w14:paraId="47536C5F">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(8)工程设备：指预定构成或构成永久工程一部分的机械、仪器、装置。</w:t>
      </w:r>
      <w:bookmarkEnd w:id="359"/>
    </w:p>
    <w:p w14:paraId="65013BD6">
      <w:pPr>
        <w:tabs>
          <w:tab w:val="left" w:pos="1620"/>
          <w:tab w:val="left" w:pos="2340"/>
        </w:tabs>
        <w:spacing w:after="156"/>
        <w:ind w:left="899"/>
        <w:jc w:val="left"/>
        <w:rPr>
          <w:rFonts w:ascii="宋体" w:hAnsi="宋体" w:eastAsia="宋体" w:cs="Times New Roman"/>
          <w:kern w:val="0"/>
          <w:szCs w:val="24"/>
        </w:rPr>
      </w:pPr>
      <w:bookmarkStart w:id="362" w:name="_Toc34908903"/>
      <w:r>
        <w:rPr>
          <w:rFonts w:hint="eastAsia" w:ascii="宋体" w:hAnsi="宋体" w:eastAsia="宋体" w:cs="Times New Roman"/>
          <w:kern w:val="0"/>
          <w:szCs w:val="24"/>
        </w:rPr>
        <w:t>(9)承包人装备：指属承包人所有(或租赁)的，为实施和完成本工程及其缺陷修复所需的机械、器具或物品。</w:t>
      </w:r>
      <w:bookmarkEnd w:id="362"/>
    </w:p>
    <w:p w14:paraId="15FC077C">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63" w:name="_Toc6602"/>
      <w:bookmarkStart w:id="364" w:name="_Toc26998"/>
      <w:bookmarkStart w:id="365" w:name="_Toc5518"/>
      <w:bookmarkStart w:id="366" w:name="_Toc707"/>
      <w:bookmarkStart w:id="367" w:name="_Toc208587439"/>
      <w:bookmarkStart w:id="368" w:name="_Toc20917"/>
      <w:bookmarkStart w:id="369" w:name="_Toc1310561742"/>
      <w:bookmarkStart w:id="370" w:name="_Toc305331226"/>
      <w:bookmarkStart w:id="371" w:name="_Toc22665"/>
      <w:bookmarkStart w:id="372" w:name="_Toc302635692"/>
      <w:bookmarkStart w:id="373" w:name="_Toc30868"/>
      <w:bookmarkStart w:id="374" w:name="_Toc20283"/>
      <w:bookmarkStart w:id="375" w:name="_Toc25323"/>
      <w:bookmarkStart w:id="376" w:name="_Toc201735234"/>
      <w:bookmarkStart w:id="377" w:name="_Toc6952"/>
      <w:bookmarkStart w:id="378" w:name="_Toc34908908"/>
      <w:r>
        <w:rPr>
          <w:rFonts w:hint="eastAsia" w:ascii="宋体" w:hAnsi="宋体" w:eastAsia="宋体" w:cs="Times New Roman"/>
          <w:b/>
          <w:bCs/>
          <w:kern w:val="0"/>
          <w:sz w:val="24"/>
          <w:szCs w:val="24"/>
          <w:lang w:val="en-US" w:eastAsia="zh-CN" w:bidi="ar-SA"/>
        </w:rPr>
        <w:t>合同价格与费用</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14:paraId="2CA67E00">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(1)签约合同价：指在中标通知书和合同协议书中写明的，承包人按合同约定实施和完成本工程及其缺陷的修复应得到的价款。</w:t>
      </w:r>
      <w:bookmarkEnd w:id="378"/>
    </w:p>
    <w:p w14:paraId="34B6DA95">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(2)合同价格：指发包人用于支付承包人按照合同约定完成承包范围内全部工作的金额，包括合同履行过程中按合同约定发生的价格变化。</w:t>
      </w:r>
    </w:p>
    <w:p w14:paraId="381EDAD7">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(3)费用：指为履行合同所发生的或将要发生的所有必需的开支，包括管理费和应分摊的其他费用，但不包括利润。</w:t>
      </w:r>
    </w:p>
    <w:p w14:paraId="594D9107">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(4)计日工：承包人完成发包人提出的零星项目或工作，并依据经发包人确认的实际消耗人工工日、材料数量、施工机具台班等，按合同约定的单价计价的一种方式。</w:t>
      </w:r>
    </w:p>
    <w:p w14:paraId="031836D7">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5</w:t>
      </w:r>
      <w:r>
        <w:rPr>
          <w:rFonts w:hint="eastAsia" w:ascii="宋体" w:hAnsi="宋体" w:eastAsia="宋体" w:cs="Times New Roman"/>
          <w:kern w:val="0"/>
          <w:szCs w:val="24"/>
        </w:rPr>
        <w:t>)质量保证金：指承包人用于保证其在缺陷责任期内履行缺陷修补义务的担保。</w:t>
      </w:r>
    </w:p>
    <w:p w14:paraId="3B328015">
      <w:pPr>
        <w:tabs>
          <w:tab w:val="left" w:pos="1620"/>
          <w:tab w:val="left" w:pos="2340"/>
        </w:tabs>
        <w:spacing w:after="156"/>
        <w:ind w:left="899"/>
        <w:jc w:val="left"/>
        <w:rPr>
          <w:rFonts w:hint="eastAsia" w:ascii="宋体" w:hAnsi="宋体" w:eastAsia="宋体" w:cs="Times New Roman"/>
          <w:kern w:val="0"/>
          <w:szCs w:val="24"/>
        </w:rPr>
      </w:pPr>
      <w:bookmarkStart w:id="379" w:name="_Toc305331227"/>
      <w:bookmarkStart w:id="380" w:name="_Toc302635693"/>
      <w:bookmarkStart w:id="381" w:name="_Toc617"/>
      <w:bookmarkStart w:id="382" w:name="_Toc34908910"/>
      <w:r>
        <w:rPr>
          <w:rFonts w:hint="eastAsia" w:ascii="宋体" w:hAnsi="宋体" w:eastAsia="宋体" w:cs="Times New Roman"/>
          <w:kern w:val="0"/>
          <w:szCs w:val="24"/>
        </w:rPr>
        <w:t>(</w:t>
      </w:r>
      <w:r>
        <w:rPr>
          <w:rFonts w:ascii="宋体" w:hAnsi="宋体" w:eastAsia="宋体" w:cs="Times New Roman"/>
          <w:kern w:val="0"/>
          <w:szCs w:val="24"/>
        </w:rPr>
        <w:t>6</w:t>
      </w:r>
      <w:r>
        <w:rPr>
          <w:rFonts w:hint="eastAsia" w:ascii="宋体" w:hAnsi="宋体" w:eastAsia="宋体" w:cs="Times New Roman"/>
          <w:kern w:val="0"/>
          <w:szCs w:val="24"/>
        </w:rPr>
        <w:t>)过程结算：指项目实施过程中，发承包双方依据本合同，对结算周期内完成的工程内容开展工程价款计算、调整、确认及支付等的活动。</w:t>
      </w:r>
    </w:p>
    <w:p w14:paraId="09B4CE55">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83" w:name="_Toc2685"/>
      <w:bookmarkStart w:id="384" w:name="_Toc9858"/>
      <w:bookmarkStart w:id="385" w:name="_Toc23408"/>
      <w:bookmarkStart w:id="386" w:name="_Toc140536630"/>
      <w:bookmarkStart w:id="387" w:name="_Toc26726"/>
      <w:bookmarkStart w:id="388" w:name="_Toc28629"/>
      <w:bookmarkStart w:id="389" w:name="_Toc22654"/>
      <w:bookmarkStart w:id="390" w:name="_Toc30246"/>
      <w:bookmarkStart w:id="391" w:name="_Toc29703"/>
      <w:bookmarkStart w:id="392" w:name="_Toc208587440"/>
      <w:bookmarkStart w:id="393" w:name="_Toc201735235"/>
      <w:bookmarkStart w:id="394" w:name="_Toc15148"/>
      <w:r>
        <w:rPr>
          <w:rFonts w:hint="eastAsia" w:ascii="宋体" w:hAnsi="宋体" w:eastAsia="宋体" w:cs="Times New Roman"/>
          <w:b/>
          <w:bCs/>
          <w:kern w:val="0"/>
          <w:sz w:val="24"/>
          <w:szCs w:val="24"/>
          <w:lang w:val="en-US" w:eastAsia="zh-CN" w:bidi="ar-SA"/>
        </w:rPr>
        <w:t>施工工期</w:t>
      </w:r>
      <w:bookmarkEnd w:id="379"/>
      <w:bookmarkEnd w:id="380"/>
      <w:bookmarkEnd w:id="381"/>
      <w:bookmarkEnd w:id="383"/>
      <w:bookmarkEnd w:id="384"/>
      <w:bookmarkEnd w:id="385"/>
      <w:bookmarkEnd w:id="386"/>
      <w:bookmarkEnd w:id="387"/>
      <w:bookmarkEnd w:id="388"/>
      <w:bookmarkEnd w:id="389"/>
      <w:bookmarkEnd w:id="390"/>
      <w:bookmarkEnd w:id="391"/>
      <w:bookmarkEnd w:id="392"/>
      <w:bookmarkEnd w:id="393"/>
      <w:bookmarkEnd w:id="394"/>
    </w:p>
    <w:bookmarkEnd w:id="382"/>
    <w:p w14:paraId="71F6D593">
      <w:pPr>
        <w:tabs>
          <w:tab w:val="left" w:pos="1620"/>
          <w:tab w:val="left" w:pos="2340"/>
        </w:tabs>
        <w:spacing w:after="156"/>
        <w:ind w:left="899"/>
        <w:jc w:val="left"/>
        <w:rPr>
          <w:rFonts w:hint="eastAsia" w:ascii="宋体" w:hAnsi="宋体" w:eastAsia="宋体" w:cs="Times New Roman"/>
          <w:kern w:val="0"/>
          <w:szCs w:val="24"/>
        </w:rPr>
      </w:pPr>
      <w:bookmarkStart w:id="395" w:name="_Toc34908911"/>
      <w:r>
        <w:rPr>
          <w:rFonts w:hint="eastAsia" w:ascii="宋体" w:hAnsi="宋体" w:eastAsia="宋体" w:cs="Times New Roman"/>
          <w:kern w:val="0"/>
          <w:szCs w:val="24"/>
        </w:rPr>
        <w:t>(1)计划开工日期：指发包人和承包人在本合同协议书中约定，承包人开始本工程施工的绝对或相对的日期。</w:t>
      </w:r>
      <w:bookmarkEnd w:id="395"/>
    </w:p>
    <w:p w14:paraId="7E68E11C">
      <w:pPr>
        <w:tabs>
          <w:tab w:val="left" w:pos="1620"/>
          <w:tab w:val="left" w:pos="2340"/>
        </w:tabs>
        <w:spacing w:after="156"/>
        <w:ind w:left="899"/>
        <w:jc w:val="left"/>
        <w:rPr>
          <w:rFonts w:ascii="宋体" w:hAnsi="宋体" w:eastAsia="宋体" w:cs="Times New Roman"/>
          <w:kern w:val="0"/>
          <w:szCs w:val="24"/>
        </w:rPr>
      </w:pPr>
      <w:bookmarkStart w:id="396" w:name="_Toc34908912"/>
      <w:r>
        <w:rPr>
          <w:rFonts w:hint="eastAsia" w:ascii="宋体" w:hAnsi="宋体" w:eastAsia="宋体" w:cs="Times New Roman"/>
          <w:kern w:val="0"/>
          <w:szCs w:val="24"/>
        </w:rPr>
        <w:t>(2)计划竣工日期：指发包人和承包人在本合同协议书中约定，承包人完成本工程施工的绝对或相对的日期。</w:t>
      </w:r>
      <w:bookmarkEnd w:id="396"/>
    </w:p>
    <w:p w14:paraId="09749FA0">
      <w:pPr>
        <w:tabs>
          <w:tab w:val="left" w:pos="1620"/>
          <w:tab w:val="left" w:pos="2340"/>
        </w:tabs>
        <w:spacing w:after="156"/>
        <w:ind w:left="899"/>
        <w:jc w:val="left"/>
        <w:rPr>
          <w:rFonts w:ascii="宋体" w:hAnsi="宋体" w:eastAsia="宋体" w:cs="Times New Roman"/>
          <w:kern w:val="0"/>
          <w:szCs w:val="24"/>
        </w:rPr>
      </w:pPr>
      <w:bookmarkStart w:id="397" w:name="_Toc34908914"/>
      <w:r>
        <w:rPr>
          <w:rFonts w:hint="eastAsia" w:ascii="宋体" w:hAnsi="宋体" w:eastAsia="宋体" w:cs="Times New Roman"/>
          <w:kern w:val="0"/>
          <w:szCs w:val="24"/>
        </w:rPr>
        <w:t>(3)合同工期：指发包人和承包人在本合同协议书中约定的，按总日历天数(包括法定节假日)计算的从计划开工日期至计划竣工日期的天数。</w:t>
      </w:r>
      <w:bookmarkEnd w:id="397"/>
    </w:p>
    <w:p w14:paraId="708E8C6E">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(4)工期：指承包人完成全部工程所需的日历天数(包括法定节假日)，包括合同履行过程中按照合同约定所作的工期调整。</w:t>
      </w:r>
    </w:p>
    <w:p w14:paraId="05149756">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5</w:t>
      </w:r>
      <w:r>
        <w:rPr>
          <w:rFonts w:hint="eastAsia" w:ascii="宋体" w:hAnsi="宋体" w:eastAsia="宋体" w:cs="Times New Roman"/>
          <w:kern w:val="0"/>
          <w:szCs w:val="24"/>
        </w:rPr>
        <w:t>)定额工期：指按《深圳市建设工程施工工期定额》计算的本工程工期。《深圳市建设工程施工工期定额》缺项的专业工程，其定额工期由发包人组织专家论证评审确定。</w:t>
      </w:r>
    </w:p>
    <w:p w14:paraId="2512F1F9">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6</w:t>
      </w:r>
      <w:r>
        <w:rPr>
          <w:rFonts w:hint="eastAsia" w:ascii="宋体" w:hAnsi="宋体" w:eastAsia="宋体" w:cs="Times New Roman"/>
          <w:kern w:val="0"/>
          <w:szCs w:val="24"/>
        </w:rPr>
        <w:t>)实际开工日期：指工程具备开工条件，</w:t>
      </w:r>
      <w:r>
        <w:rPr>
          <w:rFonts w:ascii="宋体" w:hAnsi="宋体" w:eastAsia="宋体" w:cs="Times New Roman"/>
          <w:kern w:val="0"/>
          <w:szCs w:val="24"/>
        </w:rPr>
        <w:t>监理人</w:t>
      </w:r>
      <w:r>
        <w:rPr>
          <w:rFonts w:hint="eastAsia" w:ascii="宋体" w:hAnsi="宋体" w:eastAsia="宋体" w:cs="Times New Roman"/>
          <w:kern w:val="0"/>
          <w:szCs w:val="24"/>
        </w:rPr>
        <w:t>向承包人发出开工通知书中指令的开始本工程施工的日期。</w:t>
      </w:r>
    </w:p>
    <w:p w14:paraId="45EE46A2">
      <w:pPr>
        <w:tabs>
          <w:tab w:val="left" w:pos="1620"/>
          <w:tab w:val="left" w:pos="2340"/>
        </w:tabs>
        <w:spacing w:after="156"/>
        <w:ind w:left="899"/>
        <w:jc w:val="left"/>
        <w:rPr>
          <w:rFonts w:ascii="宋体" w:hAnsi="宋体" w:eastAsia="宋体" w:cs="Times New Roman"/>
          <w:kern w:val="0"/>
          <w:szCs w:val="24"/>
        </w:rPr>
      </w:pPr>
      <w:bookmarkStart w:id="398" w:name="_Toc34908913"/>
      <w:r>
        <w:rPr>
          <w:rFonts w:hint="eastAsia" w:ascii="宋体" w:hAnsi="宋体" w:eastAsia="宋体" w:cs="Times New Roman"/>
          <w:kern w:val="0"/>
          <w:szCs w:val="24"/>
        </w:rPr>
        <w:t>(</w:t>
      </w:r>
      <w:r>
        <w:rPr>
          <w:rFonts w:ascii="宋体" w:hAnsi="宋体" w:eastAsia="宋体" w:cs="Times New Roman"/>
          <w:kern w:val="0"/>
          <w:szCs w:val="24"/>
        </w:rPr>
        <w:t>7</w:t>
      </w:r>
      <w:r>
        <w:rPr>
          <w:rFonts w:hint="eastAsia" w:ascii="宋体" w:hAnsi="宋体" w:eastAsia="宋体" w:cs="Times New Roman"/>
          <w:kern w:val="0"/>
          <w:szCs w:val="24"/>
        </w:rPr>
        <w:t>)实际竣工日期：指承包人按本合同约定承包范围和质量要求完成本工程施工并通过竣工验收的日期。</w:t>
      </w:r>
      <w:bookmarkEnd w:id="398"/>
    </w:p>
    <w:p w14:paraId="0376DEA6">
      <w:pPr>
        <w:tabs>
          <w:tab w:val="left" w:pos="1620"/>
          <w:tab w:val="left" w:pos="2340"/>
        </w:tabs>
        <w:spacing w:after="156"/>
        <w:ind w:left="899"/>
        <w:jc w:val="left"/>
        <w:rPr>
          <w:rFonts w:hint="eastAsia" w:ascii="宋体" w:hAnsi="宋体" w:eastAsia="宋体" w:cs="Times New Roman"/>
          <w:kern w:val="0"/>
          <w:szCs w:val="24"/>
        </w:rPr>
      </w:pPr>
      <w:bookmarkStart w:id="399" w:name="_Toc34908915"/>
      <w:r>
        <w:rPr>
          <w:rFonts w:hint="eastAsia" w:ascii="宋体" w:hAnsi="宋体" w:eastAsia="宋体" w:cs="Times New Roman"/>
          <w:kern w:val="0"/>
          <w:szCs w:val="24"/>
        </w:rPr>
        <w:t>(</w:t>
      </w:r>
      <w:r>
        <w:rPr>
          <w:rFonts w:ascii="宋体" w:hAnsi="宋体" w:eastAsia="宋体" w:cs="Times New Roman"/>
          <w:kern w:val="0"/>
          <w:szCs w:val="24"/>
        </w:rPr>
        <w:t>8</w:t>
      </w:r>
      <w:r>
        <w:rPr>
          <w:rFonts w:hint="eastAsia" w:ascii="宋体" w:hAnsi="宋体" w:eastAsia="宋体" w:cs="Times New Roman"/>
          <w:kern w:val="0"/>
          <w:szCs w:val="24"/>
        </w:rPr>
        <w:t>)实际工期：指按总日历天数(包括法定节假日)计算的从实际开工日期至实际竣工日期的天数。</w:t>
      </w:r>
      <w:bookmarkEnd w:id="399"/>
    </w:p>
    <w:p w14:paraId="1F33A9C8">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9</w:t>
      </w:r>
      <w:r>
        <w:rPr>
          <w:rFonts w:hint="eastAsia" w:ascii="宋体" w:hAnsi="宋体" w:eastAsia="宋体" w:cs="Times New Roman"/>
          <w:kern w:val="0"/>
          <w:szCs w:val="24"/>
        </w:rPr>
        <w:t>)接收证书：指本工程或本合同中约定有单独工期的单位工程竣工后，发包人和承包人进行本工程移交所签发的证书。</w:t>
      </w:r>
    </w:p>
    <w:p w14:paraId="13732BEB">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10</w:t>
      </w:r>
      <w:r>
        <w:rPr>
          <w:rFonts w:hint="eastAsia" w:ascii="宋体" w:hAnsi="宋体" w:eastAsia="宋体" w:cs="Times New Roman"/>
          <w:kern w:val="0"/>
          <w:szCs w:val="24"/>
        </w:rPr>
        <w:t>)缺陷责任期：是指承包人按照合同约定承担缺陷修复义务，且发包人预留质量保证金的期限，自工程</w:t>
      </w:r>
      <w:r>
        <w:rPr>
          <w:rFonts w:hint="eastAsia" w:ascii="Times New Roman" w:hAnsi="Times New Roman" w:eastAsia="宋体" w:cs="Times New Roman"/>
          <w:color w:val="auto"/>
          <w:szCs w:val="24"/>
          <w:shd w:val="clear" w:color="auto" w:fill="FFFFFF"/>
        </w:rPr>
        <w:t>通过竣工验收之日</w:t>
      </w:r>
      <w:r>
        <w:rPr>
          <w:rFonts w:hint="eastAsia" w:ascii="宋体" w:hAnsi="宋体" w:eastAsia="宋体" w:cs="Times New Roman"/>
          <w:kern w:val="0"/>
          <w:szCs w:val="24"/>
        </w:rPr>
        <w:t>起计算。</w:t>
      </w:r>
    </w:p>
    <w:p w14:paraId="72B8F78B">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1</w:t>
      </w:r>
      <w:r>
        <w:rPr>
          <w:rFonts w:hint="eastAsia" w:ascii="宋体" w:hAnsi="宋体" w:eastAsia="宋体" w:cs="Times New Roman"/>
          <w:kern w:val="0"/>
          <w:szCs w:val="24"/>
        </w:rPr>
        <w:t>)保修期：是指承包人按照合同约定对工程承担保修责任的期限，从工程竣工验收合格之日起计算。</w:t>
      </w:r>
    </w:p>
    <w:p w14:paraId="1E70EA75">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2</w:t>
      </w:r>
      <w:r>
        <w:rPr>
          <w:rFonts w:hint="eastAsia" w:ascii="宋体" w:hAnsi="宋体" w:eastAsia="宋体" w:cs="Times New Roman"/>
          <w:kern w:val="0"/>
          <w:szCs w:val="24"/>
        </w:rPr>
        <w:t>)基准日期：</w:t>
      </w:r>
      <w:r>
        <w:rPr>
          <w:rFonts w:ascii="宋体" w:hAnsi="宋体" w:eastAsia="宋体" w:cs="Times New Roman"/>
          <w:kern w:val="0"/>
          <w:szCs w:val="24"/>
        </w:rPr>
        <w:t>以投标截止日前28天的日期为基准日</w:t>
      </w:r>
      <w:r>
        <w:rPr>
          <w:rFonts w:hint="eastAsia" w:ascii="宋体" w:hAnsi="宋体" w:eastAsia="宋体" w:cs="Times New Roman"/>
          <w:kern w:val="0"/>
          <w:szCs w:val="24"/>
        </w:rPr>
        <w:t>期</w:t>
      </w:r>
      <w:r>
        <w:rPr>
          <w:rFonts w:ascii="宋体" w:hAnsi="宋体" w:eastAsia="宋体" w:cs="Times New Roman"/>
          <w:kern w:val="0"/>
          <w:szCs w:val="24"/>
        </w:rPr>
        <w:t>。</w:t>
      </w:r>
    </w:p>
    <w:p w14:paraId="1A8E42A9">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400" w:name="_Toc14880"/>
      <w:bookmarkStart w:id="401" w:name="_Toc1968988321"/>
      <w:bookmarkStart w:id="402" w:name="_Toc208587441"/>
      <w:bookmarkStart w:id="403" w:name="_Toc343"/>
      <w:bookmarkStart w:id="404" w:name="_Toc29352"/>
      <w:bookmarkStart w:id="405" w:name="_Toc34908921"/>
      <w:r>
        <w:rPr>
          <w:rFonts w:hint="eastAsia" w:ascii="宋体" w:hAnsi="宋体" w:eastAsia="宋体" w:cs="Times New Roman"/>
          <w:b/>
          <w:bCs/>
          <w:kern w:val="0"/>
          <w:sz w:val="24"/>
          <w:szCs w:val="24"/>
          <w:lang w:val="en-US" w:eastAsia="zh-CN" w:bidi="ar-SA"/>
        </w:rPr>
        <w:t>其他</w:t>
      </w:r>
      <w:bookmarkEnd w:id="400"/>
      <w:bookmarkEnd w:id="401"/>
      <w:bookmarkEnd w:id="402"/>
      <w:bookmarkEnd w:id="403"/>
      <w:bookmarkEnd w:id="404"/>
    </w:p>
    <w:p w14:paraId="4F51D806">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(1)违约责任：指合同一方不履行合同义务或履行合同义务不符合约定所应承担的责任。</w:t>
      </w:r>
      <w:bookmarkEnd w:id="405"/>
    </w:p>
    <w:p w14:paraId="7E61E351">
      <w:pPr>
        <w:tabs>
          <w:tab w:val="left" w:pos="1620"/>
          <w:tab w:val="left" w:pos="2340"/>
        </w:tabs>
        <w:spacing w:after="156"/>
        <w:ind w:left="899"/>
        <w:jc w:val="left"/>
        <w:rPr>
          <w:rFonts w:hint="eastAsia" w:ascii="宋体" w:hAnsi="宋体" w:eastAsia="宋体" w:cs="Times New Roman"/>
          <w:kern w:val="0"/>
          <w:szCs w:val="24"/>
        </w:rPr>
      </w:pPr>
      <w:bookmarkStart w:id="406" w:name="_Toc34908922"/>
      <w:r>
        <w:rPr>
          <w:rFonts w:hint="eastAsia" w:ascii="宋体" w:hAnsi="宋体" w:eastAsia="宋体" w:cs="Times New Roman"/>
          <w:kern w:val="0"/>
          <w:szCs w:val="24"/>
        </w:rPr>
        <w:t>(2)索赔：指在合同履行过程中，对于并非自己的过错，而应由对方承担责任的情况造成的损失，向对方提出经济补偿和</w:t>
      </w:r>
      <w:r>
        <w:rPr>
          <w:rFonts w:ascii="宋体" w:hAnsi="宋体" w:eastAsia="宋体" w:cs="Times New Roman"/>
          <w:kern w:val="0"/>
          <w:szCs w:val="24"/>
        </w:rPr>
        <w:t>(</w:t>
      </w:r>
      <w:r>
        <w:rPr>
          <w:rFonts w:hint="eastAsia" w:ascii="宋体" w:hAnsi="宋体" w:eastAsia="宋体" w:cs="Times New Roman"/>
          <w:kern w:val="0"/>
          <w:szCs w:val="24"/>
        </w:rPr>
        <w:t>或</w:t>
      </w:r>
      <w:r>
        <w:rPr>
          <w:rFonts w:ascii="宋体" w:hAnsi="宋体" w:eastAsia="宋体" w:cs="Times New Roman"/>
          <w:kern w:val="0"/>
          <w:szCs w:val="24"/>
        </w:rPr>
        <w:t>)</w:t>
      </w:r>
      <w:r>
        <w:rPr>
          <w:rFonts w:hint="eastAsia" w:ascii="宋体" w:hAnsi="宋体" w:eastAsia="宋体" w:cs="Times New Roman"/>
          <w:kern w:val="0"/>
          <w:szCs w:val="24"/>
        </w:rPr>
        <w:t>工期调整</w:t>
      </w:r>
      <w:r>
        <w:rPr>
          <w:rFonts w:hint="eastAsia" w:ascii="宋体" w:hAnsi="宋体" w:eastAsia="宋体" w:cs="Times New Roman"/>
          <w:color w:val="auto"/>
          <w:kern w:val="0"/>
          <w:szCs w:val="24"/>
        </w:rPr>
        <w:t>及其他</w:t>
      </w:r>
      <w:r>
        <w:rPr>
          <w:rFonts w:hint="eastAsia" w:ascii="宋体" w:hAnsi="宋体" w:eastAsia="宋体" w:cs="Times New Roman"/>
          <w:kern w:val="0"/>
          <w:szCs w:val="24"/>
        </w:rPr>
        <w:t>的要求。</w:t>
      </w:r>
      <w:bookmarkEnd w:id="406"/>
    </w:p>
    <w:p w14:paraId="2898D20C">
      <w:pPr>
        <w:tabs>
          <w:tab w:val="left" w:pos="1620"/>
          <w:tab w:val="left" w:pos="2340"/>
        </w:tabs>
        <w:spacing w:after="156"/>
        <w:ind w:left="899"/>
        <w:jc w:val="left"/>
        <w:rPr>
          <w:rFonts w:ascii="宋体" w:hAnsi="宋体" w:eastAsia="宋体" w:cs="Times New Roman"/>
          <w:kern w:val="0"/>
          <w:szCs w:val="24"/>
        </w:rPr>
      </w:pPr>
      <w:bookmarkStart w:id="407" w:name="_Toc34908924"/>
      <w:r>
        <w:rPr>
          <w:rFonts w:hint="eastAsia" w:ascii="宋体" w:hAnsi="宋体" w:eastAsia="宋体" w:cs="Times New Roman"/>
          <w:kern w:val="0"/>
          <w:szCs w:val="24"/>
        </w:rPr>
        <w:t>(</w:t>
      </w:r>
      <w:r>
        <w:rPr>
          <w:rFonts w:ascii="宋体" w:hAnsi="宋体" w:eastAsia="宋体" w:cs="Times New Roman"/>
          <w:kern w:val="0"/>
          <w:szCs w:val="24"/>
        </w:rPr>
        <w:t>3</w:t>
      </w:r>
      <w:r>
        <w:rPr>
          <w:rFonts w:hint="eastAsia" w:ascii="宋体" w:hAnsi="宋体" w:eastAsia="宋体" w:cs="Times New Roman"/>
          <w:kern w:val="0"/>
          <w:szCs w:val="24"/>
        </w:rPr>
        <w:t>)小时或天：合同中约定按小时计算时间的，从事件有效开始时计算(不扣除休息时间)；约定按天计算时间的，开始当天不计入，从次日开始计算。时限的最后一天是法定节假日的，以节假日次日为时限的最后一天，但竣工日期除外。时限的最后一天的截止时间为当日24时。</w:t>
      </w:r>
      <w:bookmarkEnd w:id="407"/>
    </w:p>
    <w:p w14:paraId="114EA334">
      <w:pPr>
        <w:tabs>
          <w:tab w:val="left" w:pos="1620"/>
          <w:tab w:val="left" w:pos="2340"/>
        </w:tabs>
        <w:spacing w:after="156"/>
        <w:ind w:left="899"/>
        <w:jc w:val="left"/>
        <w:rPr>
          <w:rFonts w:ascii="宋体" w:hAnsi="宋体" w:eastAsia="宋体" w:cs="Times New Roman"/>
          <w:kern w:val="0"/>
          <w:szCs w:val="24"/>
        </w:rPr>
      </w:pPr>
      <w:bookmarkStart w:id="408" w:name="_Toc34908925"/>
      <w:r>
        <w:rPr>
          <w:rFonts w:hint="eastAsia" w:ascii="宋体" w:hAnsi="宋体" w:eastAsia="宋体" w:cs="Times New Roman"/>
          <w:kern w:val="0"/>
          <w:szCs w:val="24"/>
        </w:rPr>
        <w:t>(</w:t>
      </w:r>
      <w:r>
        <w:rPr>
          <w:rFonts w:ascii="宋体" w:hAnsi="宋体" w:eastAsia="宋体" w:cs="Times New Roman"/>
          <w:kern w:val="0"/>
          <w:szCs w:val="24"/>
        </w:rPr>
        <w:t>4</w:t>
      </w:r>
      <w:r>
        <w:rPr>
          <w:rFonts w:hint="eastAsia" w:ascii="宋体" w:hAnsi="宋体" w:eastAsia="宋体" w:cs="Times New Roman"/>
          <w:kern w:val="0"/>
          <w:szCs w:val="24"/>
        </w:rPr>
        <w:t>)法定节假日：指星期六、星期天及国家法定的其他节假日。</w:t>
      </w:r>
      <w:bookmarkEnd w:id="408"/>
    </w:p>
    <w:p w14:paraId="6C472D0D">
      <w:pPr>
        <w:widowControl w:val="0"/>
        <w:numPr>
          <w:ilvl w:val="1"/>
          <w:numId w:val="1"/>
        </w:numPr>
        <w:tabs>
          <w:tab w:val="left" w:pos="540"/>
          <w:tab w:val="left" w:pos="900"/>
          <w:tab w:val="left" w:pos="234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409" w:name="_Toc3711"/>
      <w:bookmarkStart w:id="410" w:name="_Toc19802"/>
      <w:bookmarkStart w:id="411" w:name="_Toc27138"/>
      <w:bookmarkStart w:id="412" w:name="_Toc208587442"/>
      <w:bookmarkStart w:id="413" w:name="_Toc17860"/>
      <w:bookmarkStart w:id="414" w:name="_Toc27199"/>
      <w:bookmarkStart w:id="415" w:name="_Toc2014668635"/>
      <w:bookmarkStart w:id="416" w:name="_Toc302635695"/>
      <w:bookmarkStart w:id="417" w:name="_Toc29609"/>
      <w:bookmarkStart w:id="418" w:name="_Toc305331229"/>
      <w:bookmarkStart w:id="419" w:name="_Toc19611"/>
      <w:bookmarkStart w:id="420" w:name="_Toc16573"/>
      <w:bookmarkStart w:id="421" w:name="_Toc594"/>
      <w:bookmarkStart w:id="422" w:name="_Toc201735237"/>
      <w:bookmarkStart w:id="423" w:name="_Toc15073"/>
      <w:bookmarkStart w:id="424" w:name="_Toc34908927"/>
      <w:r>
        <w:rPr>
          <w:rFonts w:hint="eastAsia" w:ascii="宋体" w:hAnsi="宋体" w:eastAsia="宋体" w:cs="Times New Roman"/>
          <w:b/>
          <w:bCs/>
          <w:kern w:val="0"/>
          <w:sz w:val="24"/>
          <w:szCs w:val="24"/>
          <w:lang w:val="en-US" w:eastAsia="zh-CN" w:bidi="ar-SA"/>
        </w:rPr>
        <w:t>标题</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4780B42F">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本合同条款的标题不视为合同条款或合同本身的一部分，在解释及推定合同条款时，不列入考虑。</w:t>
      </w:r>
      <w:bookmarkEnd w:id="424"/>
    </w:p>
    <w:p w14:paraId="4905503E">
      <w:pPr>
        <w:widowControl w:val="0"/>
        <w:numPr>
          <w:ilvl w:val="1"/>
          <w:numId w:val="1"/>
        </w:numPr>
        <w:tabs>
          <w:tab w:val="left" w:pos="540"/>
          <w:tab w:val="left" w:pos="900"/>
          <w:tab w:val="left" w:pos="234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425" w:name="_Toc26422"/>
      <w:bookmarkStart w:id="426" w:name="_Toc35656458"/>
      <w:bookmarkStart w:id="427" w:name="_Toc302635696"/>
      <w:bookmarkStart w:id="428" w:name="_Toc32326"/>
      <w:bookmarkStart w:id="429" w:name="_Toc34908928"/>
      <w:bookmarkStart w:id="430" w:name="_Toc305331230"/>
      <w:bookmarkStart w:id="431" w:name="_Toc30513"/>
      <w:bookmarkStart w:id="432" w:name="_Toc35656958"/>
      <w:bookmarkStart w:id="433" w:name="_Toc6928"/>
      <w:bookmarkStart w:id="434" w:name="_Toc208587443"/>
      <w:bookmarkStart w:id="435" w:name="_Toc201735238"/>
      <w:bookmarkStart w:id="436" w:name="_Toc12308"/>
      <w:bookmarkStart w:id="437" w:name="_Toc6064"/>
      <w:bookmarkStart w:id="438" w:name="_Toc9784"/>
      <w:bookmarkStart w:id="439" w:name="_Toc31569"/>
      <w:bookmarkStart w:id="440" w:name="_Toc10220"/>
      <w:bookmarkStart w:id="441" w:name="_Toc15570"/>
      <w:bookmarkStart w:id="442" w:name="_Toc569853451"/>
      <w:r>
        <w:rPr>
          <w:rFonts w:hint="eastAsia" w:ascii="宋体" w:hAnsi="宋体" w:eastAsia="宋体" w:cs="Times New Roman"/>
          <w:b/>
          <w:bCs/>
          <w:kern w:val="0"/>
          <w:sz w:val="24"/>
          <w:szCs w:val="24"/>
          <w:lang w:val="en-US" w:eastAsia="zh-CN" w:bidi="ar-SA"/>
        </w:rPr>
        <w:t>书面形式</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14:paraId="55E62924">
      <w:pPr>
        <w:tabs>
          <w:tab w:val="left" w:pos="1620"/>
          <w:tab w:val="left" w:pos="2340"/>
        </w:tabs>
        <w:spacing w:after="156"/>
        <w:ind w:left="899"/>
        <w:jc w:val="left"/>
        <w:rPr>
          <w:rFonts w:hint="eastAsia" w:ascii="宋体" w:hAnsi="宋体" w:eastAsia="宋体" w:cs="Times New Roman"/>
          <w:kern w:val="0"/>
          <w:szCs w:val="24"/>
        </w:rPr>
      </w:pPr>
      <w:bookmarkStart w:id="443" w:name="_Toc34908929"/>
      <w:r>
        <w:rPr>
          <w:rFonts w:hint="eastAsia" w:ascii="宋体" w:hAnsi="宋体" w:eastAsia="宋体" w:cs="Times New Roman"/>
          <w:kern w:val="0"/>
          <w:szCs w:val="24"/>
        </w:rPr>
        <w:t>(1)在合同履行过程中发承包双方发出或发布的任何通知、指令等，均应是书面的，收件方应在回执上签署姓名和收到时间</w:t>
      </w:r>
      <w:bookmarkEnd w:id="443"/>
      <w:r>
        <w:rPr>
          <w:rFonts w:hint="eastAsia" w:ascii="宋体" w:hAnsi="宋体" w:eastAsia="宋体" w:cs="Times New Roman"/>
          <w:kern w:val="0"/>
          <w:szCs w:val="24"/>
        </w:rPr>
        <w:t>，不应无理扣压或拖延。</w:t>
      </w:r>
    </w:p>
    <w:p w14:paraId="78577135">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(2)除发承包双方的法定代表人或授权代表签名外，本合同在签订过程中应由打印形成。</w:t>
      </w:r>
    </w:p>
    <w:p w14:paraId="6060266F">
      <w:pPr>
        <w:keepNext w:val="0"/>
        <w:keepLines w:val="0"/>
        <w:widowControl w:val="0"/>
        <w:numPr>
          <w:ilvl w:val="0"/>
          <w:numId w:val="1"/>
        </w:numPr>
        <w:tabs>
          <w:tab w:val="left" w:pos="540"/>
          <w:tab w:val="left" w:pos="1620"/>
          <w:tab w:val="left" w:pos="2340"/>
          <w:tab w:val="clear"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444" w:name="_Toc25516"/>
      <w:bookmarkStart w:id="445" w:name="_Toc22878"/>
      <w:bookmarkStart w:id="446" w:name="_Toc315824252"/>
      <w:bookmarkStart w:id="447" w:name="_Toc302635697"/>
      <w:bookmarkStart w:id="448" w:name="_Toc4271"/>
      <w:bookmarkStart w:id="449" w:name="_Toc19240"/>
      <w:bookmarkStart w:id="450" w:name="_Toc30135"/>
      <w:bookmarkStart w:id="451" w:name="_Toc208587444"/>
      <w:bookmarkStart w:id="452" w:name="_Toc22493"/>
      <w:bookmarkStart w:id="453" w:name="_Toc3240"/>
      <w:bookmarkStart w:id="454" w:name="_Toc12905"/>
      <w:bookmarkStart w:id="455" w:name="_Toc2558"/>
      <w:bookmarkStart w:id="456" w:name="_Toc201735239"/>
      <w:bookmarkStart w:id="457" w:name="_Toc410"/>
      <w:r>
        <w:rPr>
          <w:rFonts w:hint="eastAsia" w:ascii="华文细黑" w:hAnsi="宋体" w:eastAsia="宋体" w:cs="Times New Roman"/>
          <w:b/>
          <w:bCs/>
          <w:snapToGrid w:val="0"/>
          <w:kern w:val="0"/>
          <w:sz w:val="28"/>
          <w:szCs w:val="44"/>
          <w:lang w:val="en-US" w:eastAsia="zh-CN" w:bidi="ar-SA"/>
        </w:rPr>
        <w:t>一般约定</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14:paraId="48B069FD">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458" w:name="_Toc22149"/>
      <w:bookmarkStart w:id="459" w:name="_Toc29759"/>
      <w:bookmarkStart w:id="460" w:name="_Toc201735240"/>
      <w:bookmarkStart w:id="461" w:name="_Toc28738"/>
      <w:bookmarkStart w:id="462" w:name="_Toc14805"/>
      <w:bookmarkStart w:id="463" w:name="_Toc29594"/>
      <w:bookmarkStart w:id="464" w:name="_Toc614510395"/>
      <w:bookmarkStart w:id="465" w:name="_Toc35656960"/>
      <w:bookmarkStart w:id="466" w:name="_Toc23135"/>
      <w:bookmarkStart w:id="467" w:name="_Toc302635698"/>
      <w:bookmarkStart w:id="468" w:name="_Toc21547"/>
      <w:bookmarkStart w:id="469" w:name="_Toc27725"/>
      <w:bookmarkStart w:id="470" w:name="_Toc31135"/>
      <w:bookmarkStart w:id="471" w:name="_Toc208587445"/>
      <w:bookmarkStart w:id="472" w:name="_Toc34908931"/>
      <w:bookmarkStart w:id="473" w:name="_Toc305331232"/>
      <w:bookmarkStart w:id="474" w:name="_Toc14287"/>
      <w:bookmarkStart w:id="475" w:name="_Toc35656460"/>
      <w:r>
        <w:rPr>
          <w:rFonts w:hint="eastAsia" w:ascii="宋体" w:hAnsi="宋体" w:eastAsia="宋体" w:cs="Times New Roman"/>
          <w:b/>
          <w:bCs/>
          <w:kern w:val="0"/>
          <w:sz w:val="24"/>
          <w:szCs w:val="24"/>
          <w:lang w:val="en-US" w:eastAsia="zh-CN" w:bidi="ar-SA"/>
        </w:rPr>
        <w:t>合同文件组成及解释顺序</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14:paraId="410C1D92">
      <w:pPr>
        <w:tabs>
          <w:tab w:val="left" w:pos="1620"/>
          <w:tab w:val="left" w:pos="2340"/>
        </w:tabs>
        <w:ind w:left="899"/>
        <w:jc w:val="left"/>
        <w:rPr>
          <w:rFonts w:ascii="宋体" w:hAnsi="宋体" w:eastAsia="宋体" w:cs="Times New Roman"/>
          <w:kern w:val="0"/>
          <w:szCs w:val="24"/>
        </w:rPr>
      </w:pPr>
      <w:bookmarkStart w:id="476" w:name="_Toc34908932"/>
      <w:r>
        <w:rPr>
          <w:rFonts w:hint="eastAsia" w:ascii="宋体" w:hAnsi="宋体" w:eastAsia="宋体" w:cs="Times New Roman"/>
          <w:kern w:val="0"/>
          <w:szCs w:val="24"/>
        </w:rPr>
        <w:t>组成合同的各个文件应该是一个整体，彼此相互解释，互为说明。本合同组成文件及优先解释顺序如下：</w:t>
      </w:r>
      <w:bookmarkEnd w:id="476"/>
    </w:p>
    <w:p w14:paraId="1D545ED5">
      <w:pPr>
        <w:tabs>
          <w:tab w:val="left" w:pos="1620"/>
          <w:tab w:val="left" w:pos="2340"/>
        </w:tabs>
        <w:ind w:left="899"/>
        <w:jc w:val="left"/>
        <w:rPr>
          <w:rFonts w:ascii="宋体" w:hAnsi="宋体" w:eastAsia="宋体" w:cs="Times New Roman"/>
          <w:kern w:val="0"/>
          <w:szCs w:val="24"/>
        </w:rPr>
      </w:pPr>
      <w:bookmarkStart w:id="477" w:name="_Toc34908933"/>
      <w:r>
        <w:rPr>
          <w:rFonts w:ascii="宋体" w:hAnsi="宋体" w:eastAsia="宋体" w:cs="Times New Roman"/>
          <w:kern w:val="0"/>
          <w:szCs w:val="24"/>
        </w:rPr>
        <w:t>(1)</w:t>
      </w:r>
      <w:r>
        <w:rPr>
          <w:rFonts w:hint="eastAsia" w:ascii="宋体" w:hAnsi="宋体" w:eastAsia="宋体" w:cs="Times New Roman"/>
          <w:kern w:val="0"/>
          <w:szCs w:val="24"/>
        </w:rPr>
        <w:t>本合同签订后双方新签订的补充协议；</w:t>
      </w:r>
    </w:p>
    <w:p w14:paraId="24526AB1">
      <w:pPr>
        <w:tabs>
          <w:tab w:val="left" w:pos="1620"/>
          <w:tab w:val="left" w:pos="2340"/>
        </w:tabs>
        <w:ind w:left="899"/>
        <w:jc w:val="left"/>
        <w:rPr>
          <w:rFonts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合同协议书；</w:t>
      </w:r>
    </w:p>
    <w:p w14:paraId="447C1CAC">
      <w:pPr>
        <w:tabs>
          <w:tab w:val="left" w:pos="1620"/>
          <w:tab w:val="left" w:pos="2340"/>
        </w:tabs>
        <w:ind w:left="899"/>
        <w:jc w:val="left"/>
        <w:rPr>
          <w:rFonts w:ascii="宋体" w:hAnsi="宋体" w:eastAsia="宋体" w:cs="Times New Roman"/>
          <w:kern w:val="0"/>
          <w:szCs w:val="24"/>
        </w:rPr>
      </w:pPr>
      <w:r>
        <w:rPr>
          <w:rFonts w:ascii="宋体" w:hAnsi="宋体" w:eastAsia="宋体" w:cs="Times New Roman"/>
          <w:kern w:val="0"/>
          <w:szCs w:val="24"/>
        </w:rPr>
        <w:t>(3)中标通知书；</w:t>
      </w:r>
    </w:p>
    <w:p w14:paraId="2B89644D">
      <w:pPr>
        <w:tabs>
          <w:tab w:val="left" w:pos="1620"/>
          <w:tab w:val="left" w:pos="2340"/>
        </w:tabs>
        <w:ind w:left="899"/>
        <w:jc w:val="left"/>
        <w:rPr>
          <w:rFonts w:ascii="宋体" w:hAnsi="宋体" w:eastAsia="宋体" w:cs="Times New Roman"/>
          <w:kern w:val="0"/>
          <w:szCs w:val="24"/>
        </w:rPr>
      </w:pPr>
      <w:r>
        <w:rPr>
          <w:rFonts w:ascii="宋体" w:hAnsi="宋体" w:eastAsia="宋体" w:cs="Times New Roman"/>
          <w:kern w:val="0"/>
          <w:szCs w:val="24"/>
        </w:rPr>
        <w:t>(4)投标函及其附录（如果有）；</w:t>
      </w:r>
    </w:p>
    <w:p w14:paraId="672C1767">
      <w:pPr>
        <w:tabs>
          <w:tab w:val="left" w:pos="1620"/>
          <w:tab w:val="left" w:pos="2340"/>
        </w:tabs>
        <w:ind w:left="899"/>
        <w:jc w:val="left"/>
        <w:rPr>
          <w:rFonts w:hint="eastAsia" w:ascii="宋体" w:hAnsi="宋体" w:eastAsia="宋体" w:cs="Times New Roman"/>
          <w:kern w:val="0"/>
          <w:szCs w:val="24"/>
        </w:rPr>
      </w:pPr>
      <w:r>
        <w:rPr>
          <w:rFonts w:ascii="宋体" w:hAnsi="宋体" w:eastAsia="宋体" w:cs="Times New Roman"/>
          <w:kern w:val="0"/>
          <w:szCs w:val="24"/>
        </w:rPr>
        <w:t>(5)</w:t>
      </w:r>
      <w:r>
        <w:rPr>
          <w:rFonts w:hint="eastAsia" w:ascii="宋体" w:hAnsi="宋体" w:eastAsia="宋体" w:cs="Times New Roman"/>
          <w:kern w:val="0"/>
          <w:szCs w:val="24"/>
        </w:rPr>
        <w:t>合同补充条款及其附件（如果有）；</w:t>
      </w:r>
    </w:p>
    <w:p w14:paraId="293B8F85">
      <w:pPr>
        <w:tabs>
          <w:tab w:val="left" w:pos="1620"/>
          <w:tab w:val="left" w:pos="2340"/>
        </w:tabs>
        <w:ind w:left="899"/>
        <w:jc w:val="left"/>
        <w:rPr>
          <w:rFonts w:ascii="宋体" w:hAnsi="宋体" w:eastAsia="宋体" w:cs="Times New Roman"/>
          <w:kern w:val="0"/>
          <w:szCs w:val="24"/>
        </w:rPr>
      </w:pPr>
      <w:r>
        <w:rPr>
          <w:rFonts w:ascii="宋体" w:hAnsi="宋体" w:eastAsia="宋体" w:cs="Times New Roman"/>
          <w:kern w:val="0"/>
          <w:szCs w:val="24"/>
        </w:rPr>
        <w:t>(6)</w:t>
      </w:r>
      <w:r>
        <w:rPr>
          <w:rFonts w:hint="eastAsia" w:ascii="宋体" w:hAnsi="宋体" w:eastAsia="宋体" w:cs="Times New Roman"/>
          <w:kern w:val="0"/>
          <w:szCs w:val="24"/>
        </w:rPr>
        <w:t>合同</w:t>
      </w:r>
      <w:r>
        <w:rPr>
          <w:rFonts w:ascii="宋体" w:hAnsi="宋体" w:eastAsia="宋体" w:cs="Times New Roman"/>
          <w:kern w:val="0"/>
          <w:szCs w:val="24"/>
        </w:rPr>
        <w:t>专用条款及其附件；</w:t>
      </w:r>
    </w:p>
    <w:p w14:paraId="29D2F685">
      <w:pPr>
        <w:tabs>
          <w:tab w:val="left" w:pos="1620"/>
          <w:tab w:val="left" w:pos="2340"/>
        </w:tabs>
        <w:ind w:left="899"/>
        <w:jc w:val="left"/>
        <w:rPr>
          <w:rFonts w:ascii="宋体" w:hAnsi="宋体" w:eastAsia="宋体" w:cs="Times New Roman"/>
          <w:kern w:val="0"/>
          <w:szCs w:val="24"/>
        </w:rPr>
      </w:pPr>
      <w:r>
        <w:rPr>
          <w:rFonts w:ascii="宋体" w:hAnsi="宋体" w:eastAsia="宋体" w:cs="Times New Roman"/>
          <w:kern w:val="0"/>
          <w:szCs w:val="24"/>
        </w:rPr>
        <w:t>(7)</w:t>
      </w:r>
      <w:r>
        <w:rPr>
          <w:rFonts w:hint="eastAsia" w:ascii="宋体" w:hAnsi="宋体" w:eastAsia="宋体" w:cs="Times New Roman"/>
          <w:kern w:val="0"/>
          <w:szCs w:val="24"/>
        </w:rPr>
        <w:t>合同</w:t>
      </w:r>
      <w:r>
        <w:rPr>
          <w:rFonts w:ascii="宋体" w:hAnsi="宋体" w:eastAsia="宋体" w:cs="Times New Roman"/>
          <w:kern w:val="0"/>
          <w:szCs w:val="24"/>
        </w:rPr>
        <w:t>通用条款；</w:t>
      </w:r>
    </w:p>
    <w:p w14:paraId="72F875D1">
      <w:pPr>
        <w:tabs>
          <w:tab w:val="left" w:pos="1620"/>
          <w:tab w:val="left" w:pos="2340"/>
        </w:tabs>
        <w:ind w:left="899"/>
        <w:jc w:val="left"/>
        <w:rPr>
          <w:rFonts w:ascii="宋体" w:hAnsi="宋体" w:eastAsia="宋体" w:cs="Times New Roman"/>
          <w:kern w:val="0"/>
          <w:szCs w:val="24"/>
        </w:rPr>
      </w:pPr>
      <w:r>
        <w:rPr>
          <w:rFonts w:ascii="宋体" w:hAnsi="宋体" w:eastAsia="宋体" w:cs="Times New Roman"/>
          <w:kern w:val="0"/>
          <w:szCs w:val="24"/>
        </w:rPr>
        <w:t>(8)</w:t>
      </w:r>
      <w:r>
        <w:rPr>
          <w:rFonts w:hint="eastAsia" w:ascii="宋体" w:hAnsi="宋体" w:eastAsia="宋体" w:cs="Times New Roman"/>
          <w:kern w:val="0"/>
          <w:szCs w:val="24"/>
        </w:rPr>
        <w:t>标准、规范和技术要求</w:t>
      </w:r>
      <w:r>
        <w:rPr>
          <w:rFonts w:ascii="宋体" w:hAnsi="宋体" w:eastAsia="宋体" w:cs="Times New Roman"/>
          <w:kern w:val="0"/>
          <w:szCs w:val="24"/>
        </w:rPr>
        <w:t>；</w:t>
      </w:r>
    </w:p>
    <w:p w14:paraId="080A7E0F">
      <w:pPr>
        <w:tabs>
          <w:tab w:val="left" w:pos="1620"/>
          <w:tab w:val="left" w:pos="2340"/>
        </w:tabs>
        <w:ind w:left="899"/>
        <w:jc w:val="left"/>
        <w:rPr>
          <w:rFonts w:ascii="宋体" w:hAnsi="宋体" w:eastAsia="宋体" w:cs="Times New Roman"/>
          <w:kern w:val="0"/>
          <w:szCs w:val="24"/>
        </w:rPr>
      </w:pPr>
      <w:r>
        <w:rPr>
          <w:rFonts w:ascii="宋体" w:hAnsi="宋体" w:eastAsia="宋体" w:cs="Times New Roman"/>
          <w:kern w:val="0"/>
          <w:szCs w:val="24"/>
        </w:rPr>
        <w:t>(9)图纸；</w:t>
      </w:r>
    </w:p>
    <w:p w14:paraId="4C343EF6">
      <w:pPr>
        <w:tabs>
          <w:tab w:val="left" w:pos="1620"/>
          <w:tab w:val="left" w:pos="2340"/>
        </w:tabs>
        <w:ind w:left="899"/>
        <w:jc w:val="left"/>
        <w:rPr>
          <w:rFonts w:ascii="宋体" w:hAnsi="宋体" w:eastAsia="宋体" w:cs="Times New Roman"/>
          <w:kern w:val="0"/>
          <w:szCs w:val="24"/>
        </w:rPr>
      </w:pPr>
      <w:r>
        <w:rPr>
          <w:rFonts w:ascii="宋体" w:hAnsi="宋体" w:eastAsia="宋体" w:cs="Times New Roman"/>
          <w:kern w:val="0"/>
          <w:szCs w:val="24"/>
        </w:rPr>
        <w:t>(10)合同清单；</w:t>
      </w:r>
    </w:p>
    <w:p w14:paraId="79BAD8B8">
      <w:pPr>
        <w:tabs>
          <w:tab w:val="left" w:pos="1620"/>
          <w:tab w:val="left" w:pos="2340"/>
        </w:tabs>
        <w:ind w:left="899"/>
        <w:jc w:val="left"/>
        <w:rPr>
          <w:rFonts w:ascii="宋体" w:hAnsi="宋体" w:eastAsia="宋体" w:cs="Times New Roman"/>
          <w:kern w:val="0"/>
          <w:szCs w:val="24"/>
        </w:rPr>
      </w:pPr>
      <w:r>
        <w:rPr>
          <w:rFonts w:ascii="宋体" w:hAnsi="宋体" w:eastAsia="宋体" w:cs="Times New Roman"/>
          <w:kern w:val="0"/>
          <w:szCs w:val="24"/>
        </w:rPr>
        <w:t>(11)其他合同文件。</w:t>
      </w:r>
    </w:p>
    <w:p w14:paraId="1726B4D6">
      <w:pPr>
        <w:tabs>
          <w:tab w:val="left" w:pos="1620"/>
          <w:tab w:val="left" w:pos="2340"/>
        </w:tabs>
        <w:ind w:left="899"/>
        <w:jc w:val="left"/>
        <w:rPr>
          <w:rFonts w:ascii="宋体" w:hAnsi="宋体" w:eastAsia="宋体" w:cs="Times New Roman"/>
          <w:kern w:val="0"/>
          <w:szCs w:val="24"/>
        </w:rPr>
      </w:pPr>
      <w:r>
        <w:rPr>
          <w:rFonts w:ascii="宋体" w:hAnsi="宋体" w:eastAsia="宋体" w:cs="Times New Roman"/>
          <w:kern w:val="0"/>
          <w:szCs w:val="24"/>
        </w:rPr>
        <w:t>上述各项合同文件包括发承包双方就该项合同文件所作出的补充和修改，属于同一类内容的文件，应以最新签署的为准。</w:t>
      </w:r>
    </w:p>
    <w:p w14:paraId="31944791">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478" w:name="_Toc13827"/>
      <w:bookmarkStart w:id="479" w:name="_Toc30379"/>
      <w:bookmarkStart w:id="480" w:name="_Toc28180"/>
      <w:bookmarkStart w:id="481" w:name="_Toc13917"/>
      <w:bookmarkStart w:id="482" w:name="_Toc32028"/>
      <w:bookmarkStart w:id="483" w:name="_Toc302635699"/>
      <w:bookmarkStart w:id="484" w:name="_Toc208587446"/>
      <w:bookmarkStart w:id="485" w:name="_Toc30316"/>
      <w:bookmarkStart w:id="486" w:name="_Toc17826"/>
      <w:bookmarkStart w:id="487" w:name="_Toc13513"/>
      <w:bookmarkStart w:id="488" w:name="_Toc72779708"/>
      <w:bookmarkStart w:id="489" w:name="_Toc22996"/>
      <w:bookmarkStart w:id="490" w:name="_Toc201735241"/>
      <w:bookmarkStart w:id="491" w:name="_Toc1038"/>
      <w:r>
        <w:rPr>
          <w:rFonts w:hint="eastAsia" w:ascii="宋体" w:hAnsi="宋体" w:eastAsia="宋体" w:cs="Times New Roman"/>
          <w:b/>
          <w:bCs/>
          <w:kern w:val="0"/>
          <w:sz w:val="24"/>
          <w:szCs w:val="24"/>
          <w:lang w:val="en-US" w:eastAsia="zh-CN" w:bidi="ar-SA"/>
        </w:rPr>
        <w:t>合同文件内容争议</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14:paraId="35B86F09">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当合同文件内容含糊不清或相互矛盾时，由发包人与承包人在不影响本工程正常实施的情况下协商解决，并达成补充协议予以明确约定。双方协商不成的，按通用条款第31条【争议解决】的约定处理。</w:t>
      </w:r>
      <w:bookmarkEnd w:id="477"/>
    </w:p>
    <w:p w14:paraId="583DFE9E">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492" w:name="_Toc5962"/>
      <w:bookmarkStart w:id="493" w:name="_Toc15164"/>
      <w:bookmarkStart w:id="494" w:name="_Toc26037"/>
      <w:bookmarkStart w:id="495" w:name="_Toc302635700"/>
      <w:bookmarkStart w:id="496" w:name="_Toc9499"/>
      <w:bookmarkStart w:id="497" w:name="_Toc28274"/>
      <w:bookmarkStart w:id="498" w:name="_Toc13327"/>
      <w:bookmarkStart w:id="499" w:name="_Toc201735242"/>
      <w:bookmarkStart w:id="500" w:name="_Toc208587447"/>
      <w:bookmarkStart w:id="501" w:name="_Toc928330236"/>
      <w:bookmarkStart w:id="502" w:name="_Toc9971"/>
      <w:bookmarkStart w:id="503" w:name="_Toc29974"/>
      <w:bookmarkStart w:id="504" w:name="_Toc4795"/>
      <w:bookmarkStart w:id="505" w:name="_Toc305331234"/>
      <w:bookmarkStart w:id="506" w:name="_Toc4357"/>
      <w:bookmarkStart w:id="507" w:name="_Toc35656461"/>
      <w:bookmarkStart w:id="508" w:name="_Toc34908934"/>
      <w:bookmarkStart w:id="509" w:name="_Toc35656961"/>
      <w:r>
        <w:rPr>
          <w:rFonts w:hint="eastAsia" w:ascii="宋体" w:hAnsi="宋体" w:eastAsia="宋体" w:cs="Times New Roman"/>
          <w:b/>
          <w:bCs/>
          <w:kern w:val="0"/>
          <w:sz w:val="24"/>
          <w:szCs w:val="24"/>
          <w:lang w:val="en-US" w:eastAsia="zh-CN" w:bidi="ar-SA"/>
        </w:rPr>
        <w:t>语言文字</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14:paraId="29ECEA87">
      <w:pPr>
        <w:tabs>
          <w:tab w:val="left" w:pos="1620"/>
          <w:tab w:val="left" w:pos="2340"/>
        </w:tabs>
        <w:spacing w:after="156"/>
        <w:ind w:left="899"/>
        <w:jc w:val="left"/>
        <w:rPr>
          <w:rFonts w:ascii="宋体" w:hAnsi="宋体" w:eastAsia="宋体" w:cs="Times New Roman"/>
          <w:kern w:val="0"/>
          <w:szCs w:val="24"/>
        </w:rPr>
      </w:pPr>
      <w:bookmarkStart w:id="510" w:name="_Toc34908935"/>
      <w:r>
        <w:rPr>
          <w:rFonts w:hint="eastAsia" w:ascii="宋体" w:hAnsi="宋体" w:eastAsia="宋体" w:cs="Times New Roman"/>
          <w:kern w:val="0"/>
          <w:szCs w:val="24"/>
        </w:rPr>
        <w:t>本合同文件使用汉语语言文字书写、解释和说明。</w:t>
      </w:r>
      <w:bookmarkEnd w:id="510"/>
    </w:p>
    <w:p w14:paraId="1398C41C">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511" w:name="_Toc20104"/>
      <w:bookmarkStart w:id="512" w:name="_Toc208587448"/>
      <w:bookmarkStart w:id="513" w:name="_Toc16132"/>
      <w:bookmarkStart w:id="514" w:name="_Toc17346"/>
      <w:bookmarkStart w:id="515" w:name="_Toc7154"/>
      <w:bookmarkStart w:id="516" w:name="_Toc28382"/>
      <w:bookmarkStart w:id="517" w:name="_Toc27395"/>
      <w:bookmarkStart w:id="518" w:name="_Toc305331235"/>
      <w:bookmarkStart w:id="519" w:name="_Toc8366"/>
      <w:bookmarkStart w:id="520" w:name="_Toc16716"/>
      <w:bookmarkStart w:id="521" w:name="_Toc302635701"/>
      <w:bookmarkStart w:id="522" w:name="_Toc335375573"/>
      <w:bookmarkStart w:id="523" w:name="_Toc201735243"/>
      <w:bookmarkStart w:id="524" w:name="_Toc10633"/>
      <w:bookmarkStart w:id="525" w:name="_Toc2981"/>
      <w:r>
        <w:rPr>
          <w:rFonts w:hint="eastAsia" w:ascii="宋体" w:hAnsi="宋体" w:eastAsia="宋体" w:cs="Times New Roman"/>
          <w:b/>
          <w:bCs/>
          <w:kern w:val="0"/>
          <w:sz w:val="24"/>
          <w:szCs w:val="24"/>
          <w:lang w:val="en-US" w:eastAsia="zh-CN" w:bidi="ar-SA"/>
        </w:rPr>
        <w:t>法律、法规</w:t>
      </w:r>
      <w:bookmarkEnd w:id="507"/>
      <w:bookmarkEnd w:id="508"/>
      <w:bookmarkEnd w:id="509"/>
      <w:r>
        <w:rPr>
          <w:rFonts w:hint="eastAsia" w:ascii="宋体" w:hAnsi="宋体" w:eastAsia="宋体" w:cs="Times New Roman"/>
          <w:b/>
          <w:bCs/>
          <w:kern w:val="0"/>
          <w:sz w:val="24"/>
          <w:szCs w:val="24"/>
          <w:lang w:val="en-US" w:eastAsia="zh-CN" w:bidi="ar-SA"/>
        </w:rPr>
        <w:t>和规章</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14:paraId="2990BCCA">
      <w:pPr>
        <w:tabs>
          <w:tab w:val="left" w:pos="1620"/>
          <w:tab w:val="left" w:pos="2340"/>
        </w:tabs>
        <w:spacing w:after="156"/>
        <w:ind w:left="899"/>
        <w:jc w:val="left"/>
        <w:rPr>
          <w:rFonts w:hint="eastAsia" w:ascii="宋体" w:hAnsi="宋体" w:eastAsia="宋体" w:cs="Times New Roman"/>
          <w:kern w:val="0"/>
          <w:szCs w:val="24"/>
        </w:rPr>
      </w:pPr>
      <w:bookmarkStart w:id="526" w:name="_Toc34908936"/>
      <w:r>
        <w:rPr>
          <w:rFonts w:hint="eastAsia" w:ascii="宋体" w:hAnsi="宋体" w:eastAsia="宋体" w:cs="Times New Roman"/>
          <w:kern w:val="0"/>
          <w:szCs w:val="24"/>
        </w:rPr>
        <w:t>本合同适用中华人民共和国法律、法规和规章，以及本</w:t>
      </w:r>
      <w:r>
        <w:rPr>
          <w:rFonts w:hint="eastAsia" w:ascii="Times New Roman" w:hAnsi="宋体" w:eastAsia="宋体" w:cs="Times New Roman"/>
          <w:sz w:val="20"/>
          <w:szCs w:val="24"/>
        </w:rPr>
        <w:t>工程所在地的地方性法规和规章</w:t>
      </w:r>
      <w:r>
        <w:rPr>
          <w:rFonts w:hint="eastAsia" w:ascii="宋体" w:hAnsi="宋体" w:eastAsia="宋体" w:cs="Times New Roman"/>
          <w:kern w:val="0"/>
          <w:szCs w:val="24"/>
        </w:rPr>
        <w:t>。需要明示的法律、法规和规章，由发包人和承包人在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w:t>
      </w:r>
      <w:bookmarkEnd w:id="526"/>
    </w:p>
    <w:p w14:paraId="48BEC8E1">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527" w:name="_Toc35656462"/>
      <w:bookmarkStart w:id="528" w:name="_Toc29279"/>
      <w:bookmarkStart w:id="529" w:name="_Toc302635702"/>
      <w:bookmarkStart w:id="530" w:name="_Toc26500"/>
      <w:bookmarkStart w:id="531" w:name="_Toc201735244"/>
      <w:bookmarkStart w:id="532" w:name="_Toc305331236"/>
      <w:bookmarkStart w:id="533" w:name="_Toc31291"/>
      <w:bookmarkStart w:id="534" w:name="_Toc6484"/>
      <w:bookmarkStart w:id="535" w:name="_Toc34908937"/>
      <w:bookmarkStart w:id="536" w:name="_Toc24048"/>
      <w:bookmarkStart w:id="537" w:name="_Toc17870"/>
      <w:bookmarkStart w:id="538" w:name="_Toc35656962"/>
      <w:bookmarkStart w:id="539" w:name="_Toc208587449"/>
      <w:bookmarkStart w:id="540" w:name="_Toc22896"/>
      <w:bookmarkStart w:id="541" w:name="_Toc1499490752"/>
      <w:bookmarkStart w:id="542" w:name="_Toc6209"/>
      <w:bookmarkStart w:id="543" w:name="_Toc28087"/>
      <w:bookmarkStart w:id="544" w:name="_Toc22972"/>
      <w:r>
        <w:rPr>
          <w:rFonts w:hint="eastAsia" w:ascii="宋体" w:hAnsi="宋体" w:eastAsia="宋体" w:cs="Times New Roman"/>
          <w:b/>
          <w:bCs/>
          <w:kern w:val="0"/>
          <w:sz w:val="24"/>
          <w:szCs w:val="24"/>
          <w:lang w:val="en-US" w:eastAsia="zh-CN" w:bidi="ar-SA"/>
        </w:rPr>
        <w:t>标准、规范</w:t>
      </w:r>
      <w:bookmarkEnd w:id="527"/>
      <w:bookmarkEnd w:id="528"/>
      <w:bookmarkEnd w:id="529"/>
      <w:bookmarkEnd w:id="530"/>
      <w:bookmarkEnd w:id="531"/>
      <w:bookmarkEnd w:id="532"/>
      <w:bookmarkEnd w:id="533"/>
      <w:bookmarkEnd w:id="534"/>
      <w:bookmarkEnd w:id="535"/>
      <w:bookmarkEnd w:id="536"/>
      <w:bookmarkEnd w:id="537"/>
      <w:bookmarkEnd w:id="538"/>
      <w:r>
        <w:rPr>
          <w:rFonts w:hint="eastAsia" w:ascii="宋体" w:hAnsi="宋体" w:eastAsia="宋体" w:cs="Times New Roman"/>
          <w:b/>
          <w:bCs/>
          <w:kern w:val="0"/>
          <w:sz w:val="24"/>
          <w:szCs w:val="24"/>
          <w:lang w:val="en-US" w:eastAsia="zh-CN" w:bidi="ar-SA"/>
        </w:rPr>
        <w:t>和技术要求</w:t>
      </w:r>
      <w:bookmarkEnd w:id="539"/>
      <w:bookmarkEnd w:id="540"/>
      <w:bookmarkEnd w:id="541"/>
      <w:bookmarkEnd w:id="542"/>
      <w:bookmarkEnd w:id="543"/>
      <w:bookmarkEnd w:id="544"/>
    </w:p>
    <w:p w14:paraId="32997912">
      <w:pPr>
        <w:tabs>
          <w:tab w:val="left" w:pos="1620"/>
          <w:tab w:val="left" w:pos="2340"/>
        </w:tabs>
        <w:spacing w:after="156"/>
        <w:ind w:left="899"/>
        <w:jc w:val="left"/>
        <w:rPr>
          <w:rFonts w:ascii="宋体" w:hAnsi="宋体" w:eastAsia="宋体" w:cs="Times New Roman"/>
          <w:kern w:val="0"/>
          <w:szCs w:val="24"/>
        </w:rPr>
      </w:pPr>
      <w:bookmarkStart w:id="545" w:name="_Toc34908938"/>
      <w:r>
        <w:rPr>
          <w:rFonts w:hint="eastAsia" w:ascii="宋体" w:hAnsi="宋体" w:eastAsia="宋体" w:cs="Times New Roman"/>
          <w:kern w:val="0"/>
          <w:szCs w:val="24"/>
        </w:rPr>
        <w:t>(1)本工程的材料、设备、施工必须符合现行国家、行业及住房和城乡建设部、广东省、深圳市颁布的相关标准、规范、规程和验收标准的要求。当国家、行业及深圳市地方标准、规范存在不一致时，以要求更严格者为准，设计文件另有规定除外。</w:t>
      </w:r>
    </w:p>
    <w:bookmarkEnd w:id="545"/>
    <w:p w14:paraId="191E6214">
      <w:pPr>
        <w:tabs>
          <w:tab w:val="left" w:pos="1620"/>
          <w:tab w:val="left" w:pos="2340"/>
        </w:tabs>
        <w:spacing w:after="156"/>
        <w:ind w:left="899"/>
        <w:jc w:val="left"/>
        <w:rPr>
          <w:rFonts w:hint="eastAsia" w:ascii="宋体" w:hAnsi="宋体" w:eastAsia="宋体" w:cs="Times New Roman"/>
          <w:kern w:val="0"/>
          <w:szCs w:val="24"/>
        </w:rPr>
      </w:pPr>
      <w:bookmarkStart w:id="546" w:name="_Toc34908939"/>
      <w:r>
        <w:rPr>
          <w:rFonts w:hint="eastAsia" w:ascii="宋体" w:hAnsi="宋体" w:eastAsia="宋体" w:cs="Times New Roman"/>
          <w:kern w:val="0"/>
          <w:szCs w:val="24"/>
        </w:rPr>
        <w:t>(2)发包人对工程的技术标准、功能要求高于或严于现行国家、行业或地方标准的，应当在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中予以明确。除</w:t>
      </w:r>
      <w:r>
        <w:rPr>
          <w:rFonts w:ascii="宋体" w:hAnsi="宋体" w:eastAsia="宋体" w:cs="Times New Roman"/>
          <w:b/>
          <w:i/>
          <w:kern w:val="0"/>
          <w:szCs w:val="24"/>
        </w:rPr>
        <w:t>专用条款</w:t>
      </w:r>
      <w:r>
        <w:rPr>
          <w:rFonts w:hint="eastAsia" w:ascii="宋体" w:hAnsi="宋体" w:eastAsia="宋体" w:cs="Times New Roman"/>
          <w:kern w:val="0"/>
          <w:szCs w:val="24"/>
        </w:rPr>
        <w:t>中另有约定外，应视为承包人在签订合同前已充分预见前述技术标准和功能要求的复杂程度，签约合同价中已包含由此产生的费用。</w:t>
      </w:r>
    </w:p>
    <w:p w14:paraId="44D2084A">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(3)国内没有相应标准、规范的，以设计文件、产品说明书或承包人提交的且由发包人和</w:t>
      </w:r>
      <w:r>
        <w:rPr>
          <w:rFonts w:ascii="宋体" w:hAnsi="宋体" w:eastAsia="宋体" w:cs="Times New Roman"/>
          <w:kern w:val="0"/>
          <w:szCs w:val="24"/>
        </w:rPr>
        <w:t>监理人</w:t>
      </w:r>
      <w:r>
        <w:rPr>
          <w:rFonts w:hint="eastAsia" w:ascii="宋体" w:hAnsi="宋体" w:eastAsia="宋体" w:cs="Times New Roman"/>
          <w:kern w:val="0"/>
          <w:szCs w:val="24"/>
        </w:rPr>
        <w:t>批准的技术方案为准。发包人要求使用国外标准、规范的，发包人负责提供原文版本和中文译本。</w:t>
      </w:r>
    </w:p>
    <w:bookmarkEnd w:id="546"/>
    <w:p w14:paraId="661F404F">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(4)用于本工程的标准、规范按</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中约定的方式提供。</w:t>
      </w:r>
    </w:p>
    <w:p w14:paraId="256D791E">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547" w:name="_Toc35656963"/>
      <w:bookmarkStart w:id="548" w:name="_Toc35656463"/>
      <w:bookmarkStart w:id="549" w:name="_Toc34908940"/>
      <w:bookmarkStart w:id="550" w:name="_Toc6523"/>
      <w:bookmarkStart w:id="551" w:name="_Toc13079"/>
      <w:bookmarkStart w:id="552" w:name="_Toc17323"/>
      <w:bookmarkStart w:id="553" w:name="_Toc305331237"/>
      <w:bookmarkStart w:id="554" w:name="_Toc30920"/>
      <w:bookmarkStart w:id="555" w:name="_Toc302635703"/>
      <w:bookmarkStart w:id="556" w:name="_Toc10845"/>
      <w:bookmarkStart w:id="557" w:name="_Toc7744"/>
      <w:bookmarkStart w:id="558" w:name="_Toc23553"/>
      <w:bookmarkStart w:id="559" w:name="_Toc201735245"/>
      <w:bookmarkStart w:id="560" w:name="_Toc1599720473"/>
      <w:bookmarkStart w:id="561" w:name="_Toc10022"/>
      <w:bookmarkStart w:id="562" w:name="_Toc15870"/>
      <w:bookmarkStart w:id="563" w:name="_Toc208587450"/>
      <w:bookmarkStart w:id="564" w:name="_Toc4323"/>
      <w:r>
        <w:rPr>
          <w:rFonts w:hint="eastAsia" w:ascii="宋体" w:hAnsi="宋体" w:eastAsia="宋体" w:cs="Times New Roman"/>
          <w:b/>
          <w:bCs/>
          <w:kern w:val="0"/>
          <w:sz w:val="24"/>
          <w:szCs w:val="24"/>
          <w:lang w:val="en-US" w:eastAsia="zh-CN" w:bidi="ar-SA"/>
        </w:rPr>
        <w:t>图纸</w:t>
      </w:r>
      <w:bookmarkEnd w:id="547"/>
      <w:bookmarkEnd w:id="548"/>
      <w:bookmarkEnd w:id="549"/>
      <w:r>
        <w:rPr>
          <w:rFonts w:hint="eastAsia" w:ascii="宋体" w:hAnsi="宋体" w:eastAsia="宋体" w:cs="Times New Roman"/>
          <w:b/>
          <w:bCs/>
          <w:kern w:val="0"/>
          <w:sz w:val="24"/>
          <w:szCs w:val="24"/>
          <w:lang w:val="en-US" w:eastAsia="zh-CN" w:bidi="ar-SA"/>
        </w:rPr>
        <w:t>和技术资料的提供</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14:paraId="2F748647">
      <w:pPr>
        <w:tabs>
          <w:tab w:val="left" w:pos="1620"/>
          <w:tab w:val="left" w:pos="2340"/>
        </w:tabs>
        <w:spacing w:after="156"/>
        <w:ind w:left="899"/>
        <w:jc w:val="left"/>
        <w:rPr>
          <w:rFonts w:hint="eastAsia" w:ascii="宋体" w:hAnsi="宋体" w:eastAsia="宋体" w:cs="Times New Roman"/>
          <w:kern w:val="0"/>
          <w:szCs w:val="24"/>
        </w:rPr>
      </w:pPr>
      <w:bookmarkStart w:id="565" w:name="_Toc34908941"/>
      <w:r>
        <w:rPr>
          <w:rFonts w:hint="eastAsia" w:ascii="宋体" w:hAnsi="宋体" w:eastAsia="宋体" w:cs="Times New Roman"/>
          <w:kern w:val="0"/>
          <w:szCs w:val="24"/>
        </w:rPr>
        <w:t>(1)发包人应按</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约定的时间和数量向承包人提供由发包人委托的</w:t>
      </w:r>
      <w:r>
        <w:rPr>
          <w:rFonts w:ascii="宋体" w:hAnsi="宋体" w:eastAsia="宋体" w:cs="Times New Roman"/>
          <w:kern w:val="0"/>
          <w:szCs w:val="24"/>
        </w:rPr>
        <w:t>设计人</w:t>
      </w:r>
      <w:r>
        <w:rPr>
          <w:rFonts w:hint="eastAsia" w:ascii="宋体" w:hAnsi="宋体" w:eastAsia="宋体" w:cs="Times New Roman"/>
          <w:kern w:val="0"/>
          <w:szCs w:val="24"/>
        </w:rPr>
        <w:t>设计的全部施工图纸和其他技术资料，并组织向承包人进行技术交底。承包人需要增加图纸和资料套数的，应自费复制。发包人至迟不得晚于第11.1款【开工】中开工通知书载明的开工日期前14天向承包人提供图纸。</w:t>
      </w:r>
    </w:p>
    <w:p w14:paraId="54BEBD23">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(2)承包人应在施工现场保留一套完整的图纸，供</w:t>
      </w:r>
      <w:r>
        <w:rPr>
          <w:rFonts w:ascii="宋体" w:hAnsi="宋体" w:eastAsia="宋体" w:cs="Times New Roman"/>
          <w:kern w:val="0"/>
          <w:szCs w:val="24"/>
        </w:rPr>
        <w:t>监理人</w:t>
      </w:r>
      <w:r>
        <w:rPr>
          <w:rFonts w:hint="eastAsia" w:ascii="宋体" w:hAnsi="宋体" w:eastAsia="宋体" w:cs="Times New Roman"/>
          <w:kern w:val="0"/>
          <w:szCs w:val="24"/>
        </w:rPr>
        <w:t>及有关人员进行工程检查时使用。</w:t>
      </w:r>
    </w:p>
    <w:p w14:paraId="6C9394FD">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如发包人提供的图纸</w:t>
      </w:r>
      <w:r>
        <w:rPr>
          <w:rFonts w:hint="eastAsia" w:ascii="宋体" w:hAnsi="宋体" w:eastAsia="宋体" w:cs="Times New Roman"/>
          <w:kern w:val="0"/>
          <w:szCs w:val="24"/>
        </w:rPr>
        <w:t>和</w:t>
      </w:r>
      <w:r>
        <w:rPr>
          <w:rFonts w:ascii="宋体" w:hAnsi="宋体" w:eastAsia="宋体" w:cs="Times New Roman"/>
          <w:kern w:val="0"/>
          <w:szCs w:val="24"/>
        </w:rPr>
        <w:t>资料不完整，承包人应在</w:t>
      </w:r>
      <w:r>
        <w:rPr>
          <w:rFonts w:hint="eastAsia" w:ascii="宋体" w:hAnsi="宋体" w:eastAsia="宋体" w:cs="Times New Roman"/>
          <w:kern w:val="0"/>
          <w:szCs w:val="24"/>
        </w:rPr>
        <w:t>本</w:t>
      </w:r>
      <w:r>
        <w:rPr>
          <w:rFonts w:ascii="宋体" w:hAnsi="宋体" w:eastAsia="宋体" w:cs="Times New Roman"/>
          <w:kern w:val="0"/>
          <w:szCs w:val="24"/>
        </w:rPr>
        <w:t>工程开工</w:t>
      </w:r>
      <w:r>
        <w:rPr>
          <w:rFonts w:hint="eastAsia" w:ascii="宋体" w:hAnsi="宋体" w:eastAsia="宋体" w:cs="Times New Roman"/>
          <w:kern w:val="0"/>
          <w:szCs w:val="24"/>
        </w:rPr>
        <w:t>前</w:t>
      </w:r>
      <w:r>
        <w:rPr>
          <w:rFonts w:ascii="宋体" w:hAnsi="宋体" w:eastAsia="宋体" w:cs="Times New Roman"/>
          <w:kern w:val="0"/>
          <w:szCs w:val="24"/>
        </w:rPr>
        <w:t>7日向发包人提交</w:t>
      </w:r>
      <w:r>
        <w:rPr>
          <w:rFonts w:hint="eastAsia" w:ascii="宋体" w:hAnsi="宋体" w:eastAsia="宋体" w:cs="Times New Roman"/>
          <w:kern w:val="0"/>
          <w:szCs w:val="24"/>
        </w:rPr>
        <w:t>书面报告</w:t>
      </w:r>
      <w:r>
        <w:rPr>
          <w:rFonts w:ascii="宋体" w:hAnsi="宋体" w:eastAsia="宋体" w:cs="Times New Roman"/>
          <w:kern w:val="0"/>
          <w:szCs w:val="24"/>
        </w:rPr>
        <w:t>，列明在不影响进度的条件下，发包人在整个</w:t>
      </w:r>
      <w:r>
        <w:rPr>
          <w:rFonts w:hint="eastAsia" w:ascii="宋体" w:hAnsi="宋体" w:eastAsia="宋体" w:cs="Times New Roman"/>
          <w:kern w:val="0"/>
          <w:szCs w:val="24"/>
        </w:rPr>
        <w:t>施</w:t>
      </w:r>
      <w:r>
        <w:rPr>
          <w:rFonts w:ascii="宋体" w:hAnsi="宋体" w:eastAsia="宋体" w:cs="Times New Roman"/>
          <w:kern w:val="0"/>
          <w:szCs w:val="24"/>
        </w:rPr>
        <w:t>工期内应向承包人提供补充的图纸及资料的种类及最后期限。</w:t>
      </w:r>
      <w:r>
        <w:rPr>
          <w:rFonts w:hint="eastAsia" w:ascii="宋体" w:hAnsi="宋体" w:eastAsia="宋体" w:cs="Times New Roman"/>
          <w:kern w:val="0"/>
          <w:szCs w:val="24"/>
        </w:rPr>
        <w:t>发包人收到书面报告后应及时通知</w:t>
      </w:r>
      <w:r>
        <w:rPr>
          <w:rFonts w:ascii="宋体" w:hAnsi="宋体" w:eastAsia="宋体" w:cs="Times New Roman"/>
          <w:kern w:val="0"/>
          <w:szCs w:val="24"/>
        </w:rPr>
        <w:t>设计人</w:t>
      </w:r>
      <w:r>
        <w:rPr>
          <w:rFonts w:hint="eastAsia" w:ascii="宋体" w:hAnsi="宋体" w:eastAsia="宋体" w:cs="Times New Roman"/>
          <w:kern w:val="0"/>
          <w:szCs w:val="24"/>
        </w:rPr>
        <w:t>予以补充，并按照本款第(1)项约定的时间和数量提供给承包人。</w:t>
      </w:r>
    </w:p>
    <w:p w14:paraId="00230C2D">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(4)承包人在收到发包人提供的图纸后，发现图纸存在差错、遗漏或缺陷的，应在</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约定的时限内通知</w:t>
      </w:r>
      <w:r>
        <w:rPr>
          <w:rFonts w:ascii="宋体" w:hAnsi="宋体" w:eastAsia="宋体" w:cs="Times New Roman"/>
          <w:kern w:val="0"/>
          <w:szCs w:val="24"/>
        </w:rPr>
        <w:t>监理人</w:t>
      </w:r>
      <w:r>
        <w:rPr>
          <w:rFonts w:hint="eastAsia" w:ascii="宋体" w:hAnsi="宋体" w:eastAsia="宋体" w:cs="Times New Roman"/>
          <w:kern w:val="0"/>
          <w:szCs w:val="24"/>
        </w:rPr>
        <w:t>。</w:t>
      </w:r>
      <w:r>
        <w:rPr>
          <w:rFonts w:ascii="宋体" w:hAnsi="宋体" w:eastAsia="宋体" w:cs="Times New Roman"/>
          <w:kern w:val="0"/>
          <w:szCs w:val="24"/>
        </w:rPr>
        <w:t>监理人</w:t>
      </w:r>
      <w:r>
        <w:rPr>
          <w:rFonts w:hint="eastAsia" w:ascii="宋体" w:hAnsi="宋体" w:eastAsia="宋体" w:cs="Times New Roman"/>
          <w:kern w:val="0"/>
          <w:szCs w:val="24"/>
        </w:rPr>
        <w:t>接到该通知后，应附具相关意见并在</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约定的时限内报送发包人，发包人应在收到</w:t>
      </w:r>
      <w:r>
        <w:rPr>
          <w:rFonts w:ascii="宋体" w:hAnsi="宋体" w:eastAsia="宋体" w:cs="Times New Roman"/>
          <w:kern w:val="0"/>
          <w:szCs w:val="24"/>
        </w:rPr>
        <w:t>监理人</w:t>
      </w:r>
      <w:r>
        <w:rPr>
          <w:rFonts w:hint="eastAsia" w:ascii="宋体" w:hAnsi="宋体" w:eastAsia="宋体" w:cs="Times New Roman"/>
          <w:kern w:val="0"/>
          <w:szCs w:val="24"/>
        </w:rPr>
        <w:t>报送的通知后在</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约定的时限内作出决定。</w:t>
      </w:r>
    </w:p>
    <w:bookmarkEnd w:id="565"/>
    <w:p w14:paraId="5C470217">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566" w:name="_Toc1003"/>
      <w:bookmarkStart w:id="567" w:name="_Toc26334"/>
      <w:bookmarkStart w:id="568" w:name="_Toc1949901452"/>
      <w:bookmarkStart w:id="569" w:name="_Toc7203"/>
      <w:bookmarkStart w:id="570" w:name="_Toc8578"/>
      <w:bookmarkStart w:id="571" w:name="_Toc434"/>
      <w:bookmarkStart w:id="572" w:name="_Toc12532"/>
      <w:bookmarkStart w:id="573" w:name="_Toc305331238"/>
      <w:bookmarkStart w:id="574" w:name="_Toc208587451"/>
      <w:bookmarkStart w:id="575" w:name="_Toc201735246"/>
      <w:bookmarkStart w:id="576" w:name="_Toc3966"/>
      <w:bookmarkStart w:id="577" w:name="_Toc302635704"/>
      <w:bookmarkStart w:id="578" w:name="_Toc10431"/>
      <w:bookmarkStart w:id="579" w:name="_Toc4878"/>
      <w:bookmarkStart w:id="580" w:name="_Toc4578"/>
      <w:bookmarkStart w:id="581" w:name="_Toc34908942"/>
      <w:r>
        <w:rPr>
          <w:rFonts w:hint="eastAsia" w:ascii="宋体" w:hAnsi="宋体" w:eastAsia="宋体" w:cs="Times New Roman"/>
          <w:b/>
          <w:bCs/>
          <w:kern w:val="0"/>
          <w:sz w:val="24"/>
          <w:szCs w:val="24"/>
          <w:lang w:val="en-US" w:eastAsia="zh-CN" w:bidi="ar-SA"/>
        </w:rPr>
        <w:t>图纸和资料提供的延误</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14:paraId="56A78EFF">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(1)因发包人未能按约定提供图纸和资料，影响工程施工进度计划，导致承包人费用增加和（或）工期延误的，按照第</w:t>
      </w:r>
      <w:r>
        <w:rPr>
          <w:rFonts w:ascii="宋体" w:hAnsi="宋体" w:eastAsia="宋体" w:cs="Times New Roman"/>
          <w:kern w:val="0"/>
          <w:szCs w:val="24"/>
        </w:rPr>
        <w:t>13</w:t>
      </w:r>
      <w:r>
        <w:rPr>
          <w:rFonts w:hint="eastAsia" w:ascii="宋体" w:hAnsi="宋体" w:eastAsia="宋体" w:cs="Times New Roman"/>
          <w:kern w:val="0"/>
          <w:szCs w:val="24"/>
        </w:rPr>
        <w:t>.</w:t>
      </w:r>
      <w:r>
        <w:rPr>
          <w:rFonts w:ascii="宋体" w:hAnsi="宋体" w:eastAsia="宋体" w:cs="Times New Roman"/>
          <w:kern w:val="0"/>
          <w:szCs w:val="24"/>
        </w:rPr>
        <w:t>2</w:t>
      </w:r>
      <w:r>
        <w:rPr>
          <w:rFonts w:hint="eastAsia" w:ascii="宋体" w:hAnsi="宋体" w:eastAsia="宋体" w:cs="Times New Roman"/>
          <w:kern w:val="0"/>
          <w:szCs w:val="24"/>
        </w:rPr>
        <w:t>项【因发包人原因导致工期延误】约定执行。</w:t>
      </w:r>
      <w:bookmarkEnd w:id="581"/>
    </w:p>
    <w:p w14:paraId="1BADB4CE">
      <w:pPr>
        <w:tabs>
          <w:tab w:val="left" w:pos="1620"/>
          <w:tab w:val="left" w:pos="2340"/>
        </w:tabs>
        <w:spacing w:after="156"/>
        <w:ind w:left="899"/>
        <w:jc w:val="left"/>
        <w:rPr>
          <w:rFonts w:ascii="宋体" w:hAnsi="宋体" w:eastAsia="宋体" w:cs="Times New Roman"/>
          <w:kern w:val="0"/>
          <w:szCs w:val="24"/>
        </w:rPr>
      </w:pPr>
      <w:bookmarkStart w:id="582" w:name="_Toc34908943"/>
      <w:r>
        <w:rPr>
          <w:rFonts w:hint="eastAsia" w:ascii="宋体" w:hAnsi="宋体" w:eastAsia="宋体" w:cs="Times New Roman"/>
          <w:kern w:val="0"/>
          <w:szCs w:val="24"/>
        </w:rPr>
        <w:t>(2)发包人未能按约定提供图纸和资料，是因为承包人未能提交本合同约定应由其提交的资料或提交的资料有误所致的，由承包人承担由此增加的费用和（或）延误的工期。</w:t>
      </w:r>
      <w:bookmarkEnd w:id="582"/>
    </w:p>
    <w:p w14:paraId="640223B1">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583" w:name="_Toc27111"/>
      <w:bookmarkStart w:id="584" w:name="_Toc305331239"/>
      <w:bookmarkStart w:id="585" w:name="_Toc31587"/>
      <w:bookmarkStart w:id="586" w:name="_Toc302635705"/>
      <w:bookmarkStart w:id="587" w:name="_Toc25103"/>
      <w:bookmarkStart w:id="588" w:name="_Toc31457"/>
      <w:bookmarkStart w:id="589" w:name="_Toc25394"/>
      <w:bookmarkStart w:id="590" w:name="_Toc10340"/>
      <w:bookmarkStart w:id="591" w:name="_Toc208587452"/>
      <w:bookmarkStart w:id="592" w:name="_Toc27313"/>
      <w:bookmarkStart w:id="593" w:name="_Toc201735247"/>
      <w:bookmarkStart w:id="594" w:name="_Toc14183"/>
      <w:bookmarkStart w:id="595" w:name="_Toc647102498"/>
      <w:bookmarkStart w:id="596" w:name="_Toc28637"/>
      <w:bookmarkStart w:id="597" w:name="_Toc5309"/>
      <w:bookmarkStart w:id="598" w:name="_Toc34908945"/>
      <w:r>
        <w:rPr>
          <w:rFonts w:hint="eastAsia" w:ascii="宋体" w:hAnsi="宋体" w:eastAsia="宋体" w:cs="Times New Roman"/>
          <w:b/>
          <w:bCs/>
          <w:kern w:val="0"/>
          <w:sz w:val="24"/>
          <w:szCs w:val="24"/>
          <w:lang w:val="en-US" w:eastAsia="zh-CN" w:bidi="ar-SA"/>
        </w:rPr>
        <w:t>补充图纸和资料</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26BF6C47">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发包人为满足本工程的正确实施和完成及其缺陷修复所需，可委托</w:t>
      </w:r>
      <w:r>
        <w:rPr>
          <w:rFonts w:ascii="宋体" w:hAnsi="宋体" w:eastAsia="宋体" w:cs="Times New Roman"/>
          <w:kern w:val="0"/>
          <w:szCs w:val="24"/>
        </w:rPr>
        <w:t>设计人</w:t>
      </w:r>
      <w:r>
        <w:rPr>
          <w:rFonts w:hint="eastAsia" w:ascii="宋体" w:hAnsi="宋体" w:eastAsia="宋体" w:cs="Times New Roman"/>
          <w:kern w:val="0"/>
          <w:szCs w:val="24"/>
        </w:rPr>
        <w:t>设计补充图纸(含深化设计图纸)和技术资料，并按</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约定的时间和数量向承包人发出，承包人应予执行。</w:t>
      </w:r>
      <w:bookmarkEnd w:id="598"/>
    </w:p>
    <w:p w14:paraId="57E0D8D7">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599" w:name="_Toc305331240"/>
      <w:bookmarkStart w:id="600" w:name="_Toc302635706"/>
      <w:bookmarkStart w:id="601" w:name="_Toc21281"/>
      <w:bookmarkStart w:id="602" w:name="_Toc25258"/>
      <w:bookmarkStart w:id="603" w:name="_Toc31045"/>
      <w:bookmarkStart w:id="604" w:name="_Toc208587453"/>
      <w:bookmarkStart w:id="605" w:name="_Toc23765"/>
      <w:bookmarkStart w:id="606" w:name="_Toc31589"/>
      <w:bookmarkStart w:id="607" w:name="_Toc56466549"/>
      <w:bookmarkStart w:id="608" w:name="_Toc657"/>
      <w:bookmarkStart w:id="609" w:name="_Toc30351"/>
      <w:bookmarkStart w:id="610" w:name="_Toc21785"/>
      <w:bookmarkStart w:id="611" w:name="_Toc2296"/>
      <w:bookmarkStart w:id="612" w:name="_Toc201735248"/>
      <w:bookmarkStart w:id="613" w:name="_Toc14552"/>
      <w:bookmarkStart w:id="614" w:name="_Toc34908944"/>
      <w:bookmarkStart w:id="615" w:name="_Toc34908946"/>
      <w:bookmarkStart w:id="616" w:name="_Toc35656464"/>
      <w:bookmarkStart w:id="617" w:name="_Toc35656964"/>
      <w:r>
        <w:rPr>
          <w:rFonts w:hint="eastAsia" w:ascii="宋体" w:hAnsi="宋体" w:eastAsia="宋体" w:cs="Times New Roman"/>
          <w:b/>
          <w:bCs/>
          <w:kern w:val="0"/>
          <w:sz w:val="24"/>
          <w:szCs w:val="24"/>
          <w:lang w:val="en-US" w:eastAsia="zh-CN" w:bidi="ar-SA"/>
        </w:rPr>
        <w:t>临时工程图纸</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14:paraId="3B903084">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当</w:t>
      </w:r>
      <w:r>
        <w:rPr>
          <w:rFonts w:ascii="宋体" w:hAnsi="宋体" w:eastAsia="宋体" w:cs="Times New Roman"/>
          <w:kern w:val="0"/>
          <w:szCs w:val="24"/>
        </w:rPr>
        <w:t>监理人</w:t>
      </w:r>
      <w:r>
        <w:rPr>
          <w:rFonts w:hint="eastAsia" w:ascii="宋体" w:hAnsi="宋体" w:eastAsia="宋体" w:cs="Times New Roman"/>
          <w:kern w:val="0"/>
          <w:szCs w:val="24"/>
        </w:rPr>
        <w:t>认为需要时，承包人应提交本工程临时工程的设计图纸一式3份，供</w:t>
      </w:r>
      <w:r>
        <w:rPr>
          <w:rFonts w:ascii="宋体" w:hAnsi="宋体" w:eastAsia="宋体" w:cs="Times New Roman"/>
          <w:kern w:val="0"/>
          <w:szCs w:val="24"/>
        </w:rPr>
        <w:t>监理人</w:t>
      </w:r>
      <w:r>
        <w:rPr>
          <w:rFonts w:hint="eastAsia" w:ascii="宋体" w:hAnsi="宋体" w:eastAsia="宋体" w:cs="Times New Roman"/>
          <w:kern w:val="0"/>
          <w:szCs w:val="24"/>
        </w:rPr>
        <w:t>批准或备查。</w:t>
      </w:r>
      <w:bookmarkEnd w:id="614"/>
    </w:p>
    <w:p w14:paraId="576047CD">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618" w:name="_Toc201735249"/>
      <w:bookmarkStart w:id="619" w:name="_Toc305331241"/>
      <w:bookmarkStart w:id="620" w:name="_Toc20176"/>
      <w:bookmarkStart w:id="621" w:name="_Toc6624"/>
      <w:bookmarkStart w:id="622" w:name="_Toc208587454"/>
      <w:bookmarkStart w:id="623" w:name="_Toc1705"/>
      <w:bookmarkStart w:id="624" w:name="_Toc10404"/>
      <w:bookmarkStart w:id="625" w:name="_Toc145"/>
      <w:bookmarkStart w:id="626" w:name="_Toc8722"/>
      <w:bookmarkStart w:id="627" w:name="_Toc25286"/>
      <w:bookmarkStart w:id="628" w:name="_Toc27261"/>
      <w:bookmarkStart w:id="629" w:name="_Toc302635707"/>
      <w:bookmarkStart w:id="630" w:name="_Toc1141903848"/>
      <w:bookmarkStart w:id="631" w:name="_Toc25083"/>
      <w:bookmarkStart w:id="632" w:name="_Toc226"/>
      <w:r>
        <w:rPr>
          <w:rFonts w:hint="eastAsia" w:ascii="宋体" w:hAnsi="宋体" w:eastAsia="宋体" w:cs="Times New Roman"/>
          <w:b/>
          <w:bCs/>
          <w:kern w:val="0"/>
          <w:sz w:val="24"/>
          <w:szCs w:val="24"/>
          <w:lang w:val="en-US" w:eastAsia="zh-CN" w:bidi="ar-SA"/>
        </w:rPr>
        <w:t>竣工图</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14:paraId="1733B4B4">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(1)除</w:t>
      </w:r>
      <w:r>
        <w:rPr>
          <w:rFonts w:hint="eastAsia" w:ascii="宋体" w:hAnsi="宋体" w:eastAsia="宋体" w:cs="Times New Roman"/>
          <w:b/>
          <w:i/>
          <w:kern w:val="0"/>
          <w:szCs w:val="24"/>
        </w:rPr>
        <w:t>专用条款</w:t>
      </w:r>
      <w:r>
        <w:rPr>
          <w:rFonts w:hint="eastAsia" w:ascii="宋体" w:hAnsi="宋体" w:eastAsia="宋体" w:cs="Times New Roman"/>
          <w:kern w:val="0"/>
          <w:szCs w:val="24"/>
        </w:rPr>
        <w:t>另有约定外，</w:t>
      </w:r>
      <w:r>
        <w:rPr>
          <w:rFonts w:ascii="宋体" w:hAnsi="宋体" w:eastAsia="宋体" w:cs="Times New Roman"/>
          <w:kern w:val="0"/>
          <w:szCs w:val="24"/>
        </w:rPr>
        <w:t>在本工程</w:t>
      </w:r>
      <w:r>
        <w:rPr>
          <w:rFonts w:hint="eastAsia" w:ascii="宋体" w:hAnsi="宋体" w:eastAsia="宋体" w:cs="Times New Roman"/>
          <w:kern w:val="0"/>
          <w:szCs w:val="24"/>
        </w:rPr>
        <w:t>竣工</w:t>
      </w:r>
      <w:r>
        <w:rPr>
          <w:rFonts w:ascii="宋体" w:hAnsi="宋体" w:eastAsia="宋体" w:cs="Times New Roman"/>
          <w:kern w:val="0"/>
          <w:szCs w:val="24"/>
        </w:rPr>
        <w:t>验收之前，承包人须按</w:t>
      </w:r>
      <w:r>
        <w:rPr>
          <w:rFonts w:hint="eastAsia" w:ascii="宋体" w:hAnsi="宋体" w:eastAsia="宋体" w:cs="Times New Roman"/>
          <w:kern w:val="0"/>
          <w:szCs w:val="24"/>
        </w:rPr>
        <w:t>政府</w:t>
      </w:r>
      <w:r>
        <w:rPr>
          <w:rFonts w:ascii="宋体" w:hAnsi="宋体" w:eastAsia="宋体" w:cs="Times New Roman"/>
          <w:kern w:val="0"/>
          <w:szCs w:val="24"/>
        </w:rPr>
        <w:t>建设行政</w:t>
      </w:r>
      <w:r>
        <w:rPr>
          <w:rFonts w:hint="eastAsia" w:ascii="宋体" w:hAnsi="宋体" w:eastAsia="宋体" w:cs="Times New Roman"/>
          <w:kern w:val="0"/>
          <w:szCs w:val="24"/>
        </w:rPr>
        <w:t>主管</w:t>
      </w:r>
      <w:r>
        <w:rPr>
          <w:rFonts w:ascii="宋体" w:hAnsi="宋体" w:eastAsia="宋体" w:cs="Times New Roman"/>
          <w:kern w:val="0"/>
          <w:szCs w:val="24"/>
        </w:rPr>
        <w:t>部门</w:t>
      </w:r>
      <w:r>
        <w:rPr>
          <w:rFonts w:hint="eastAsia" w:ascii="宋体" w:hAnsi="宋体" w:eastAsia="宋体" w:cs="Times New Roman"/>
          <w:kern w:val="0"/>
          <w:szCs w:val="24"/>
        </w:rPr>
        <w:t>及政府</w:t>
      </w:r>
      <w:r>
        <w:rPr>
          <w:rFonts w:ascii="宋体" w:hAnsi="宋体" w:eastAsia="宋体" w:cs="Times New Roman"/>
          <w:kern w:val="0"/>
          <w:szCs w:val="24"/>
        </w:rPr>
        <w:t>档案</w:t>
      </w:r>
      <w:r>
        <w:rPr>
          <w:rFonts w:hint="eastAsia" w:ascii="宋体" w:hAnsi="宋体" w:eastAsia="宋体" w:cs="Times New Roman"/>
          <w:kern w:val="0"/>
          <w:szCs w:val="24"/>
        </w:rPr>
        <w:t>主管部门有关</w:t>
      </w:r>
      <w:r>
        <w:rPr>
          <w:rFonts w:ascii="宋体" w:hAnsi="宋体" w:eastAsia="宋体" w:cs="Times New Roman"/>
          <w:kern w:val="0"/>
          <w:szCs w:val="24"/>
        </w:rPr>
        <w:t>技术档案管理</w:t>
      </w:r>
      <w:r>
        <w:rPr>
          <w:rFonts w:hint="eastAsia" w:ascii="宋体" w:hAnsi="宋体" w:eastAsia="宋体" w:cs="Times New Roman"/>
          <w:kern w:val="0"/>
          <w:szCs w:val="24"/>
        </w:rPr>
        <w:t>要求</w:t>
      </w:r>
      <w:r>
        <w:rPr>
          <w:rFonts w:ascii="宋体" w:hAnsi="宋体" w:eastAsia="宋体" w:cs="Times New Roman"/>
          <w:kern w:val="0"/>
          <w:szCs w:val="24"/>
        </w:rPr>
        <w:t>编制整理竣工图</w:t>
      </w:r>
      <w:r>
        <w:rPr>
          <w:rFonts w:hint="eastAsia" w:ascii="宋体" w:hAnsi="宋体" w:eastAsia="宋体" w:cs="Times New Roman"/>
          <w:kern w:val="0"/>
          <w:szCs w:val="24"/>
        </w:rPr>
        <w:t>，报</w:t>
      </w:r>
      <w:r>
        <w:rPr>
          <w:rFonts w:ascii="宋体" w:hAnsi="宋体" w:eastAsia="宋体" w:cs="Times New Roman"/>
          <w:kern w:val="0"/>
          <w:szCs w:val="24"/>
        </w:rPr>
        <w:t>监理人</w:t>
      </w:r>
      <w:r>
        <w:rPr>
          <w:rFonts w:hint="eastAsia" w:ascii="宋体" w:hAnsi="宋体" w:eastAsia="宋体" w:cs="Times New Roman"/>
          <w:kern w:val="0"/>
          <w:szCs w:val="24"/>
        </w:rPr>
        <w:t>审核</w:t>
      </w:r>
      <w:r>
        <w:rPr>
          <w:rFonts w:ascii="宋体" w:hAnsi="宋体" w:eastAsia="宋体" w:cs="Times New Roman"/>
          <w:kern w:val="0"/>
          <w:szCs w:val="24"/>
        </w:rPr>
        <w:t>后移交给发包人</w:t>
      </w:r>
      <w:r>
        <w:rPr>
          <w:rFonts w:hint="eastAsia" w:ascii="宋体" w:hAnsi="宋体" w:eastAsia="宋体" w:cs="Times New Roman"/>
          <w:kern w:val="0"/>
          <w:szCs w:val="24"/>
        </w:rPr>
        <w:t>。</w:t>
      </w:r>
    </w:p>
    <w:p w14:paraId="0F13F17D">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竣工图</w:t>
      </w:r>
      <w:r>
        <w:rPr>
          <w:rFonts w:hint="eastAsia" w:ascii="宋体" w:hAnsi="宋体" w:eastAsia="宋体" w:cs="Times New Roman"/>
          <w:kern w:val="0"/>
          <w:szCs w:val="24"/>
        </w:rPr>
        <w:t>内容应</w:t>
      </w:r>
      <w:r>
        <w:rPr>
          <w:rFonts w:ascii="宋体" w:hAnsi="宋体" w:eastAsia="宋体" w:cs="Times New Roman"/>
          <w:kern w:val="0"/>
          <w:szCs w:val="24"/>
        </w:rPr>
        <w:t>与工程实物相符，加盖竣工图章，</w:t>
      </w:r>
      <w:r>
        <w:rPr>
          <w:rFonts w:hint="eastAsia" w:ascii="宋体" w:hAnsi="宋体" w:eastAsia="宋体" w:cs="Times New Roman"/>
          <w:kern w:val="0"/>
          <w:szCs w:val="24"/>
        </w:rPr>
        <w:t>由承包人</w:t>
      </w:r>
      <w:r>
        <w:rPr>
          <w:rFonts w:ascii="宋体" w:hAnsi="宋体" w:eastAsia="宋体" w:cs="Times New Roman"/>
          <w:kern w:val="0"/>
          <w:szCs w:val="24"/>
        </w:rPr>
        <w:t>本工程技术负责人签名</w:t>
      </w:r>
      <w:r>
        <w:rPr>
          <w:rFonts w:hint="eastAsia" w:ascii="宋体" w:hAnsi="宋体" w:eastAsia="宋体" w:cs="Times New Roman"/>
          <w:kern w:val="0"/>
          <w:szCs w:val="24"/>
        </w:rPr>
        <w:t>，并</w:t>
      </w:r>
      <w:r>
        <w:rPr>
          <w:rFonts w:ascii="宋体" w:hAnsi="宋体" w:eastAsia="宋体" w:cs="Times New Roman"/>
          <w:kern w:val="0"/>
          <w:szCs w:val="24"/>
        </w:rPr>
        <w:t>按规定要求叠折、装订和组卷。承包人</w:t>
      </w:r>
      <w:r>
        <w:rPr>
          <w:rFonts w:hint="eastAsia" w:ascii="宋体" w:hAnsi="宋体" w:eastAsia="宋体" w:cs="Times New Roman"/>
          <w:kern w:val="0"/>
          <w:szCs w:val="24"/>
        </w:rPr>
        <w:t>应向政府</w:t>
      </w:r>
      <w:r>
        <w:rPr>
          <w:rFonts w:ascii="宋体" w:hAnsi="宋体" w:eastAsia="宋体" w:cs="Times New Roman"/>
          <w:kern w:val="0"/>
          <w:szCs w:val="24"/>
        </w:rPr>
        <w:t>档案</w:t>
      </w:r>
      <w:r>
        <w:rPr>
          <w:rFonts w:hint="eastAsia" w:ascii="宋体" w:hAnsi="宋体" w:eastAsia="宋体" w:cs="Times New Roman"/>
          <w:kern w:val="0"/>
          <w:szCs w:val="24"/>
        </w:rPr>
        <w:t>主管部门</w:t>
      </w:r>
      <w:r>
        <w:rPr>
          <w:rFonts w:ascii="宋体" w:hAnsi="宋体" w:eastAsia="宋体" w:cs="Times New Roman"/>
          <w:kern w:val="0"/>
          <w:szCs w:val="24"/>
        </w:rPr>
        <w:t>和发包人各</w:t>
      </w:r>
      <w:r>
        <w:rPr>
          <w:rFonts w:hint="eastAsia" w:ascii="宋体" w:hAnsi="宋体" w:eastAsia="宋体" w:cs="Times New Roman"/>
          <w:kern w:val="0"/>
          <w:szCs w:val="24"/>
        </w:rPr>
        <w:t>提交</w:t>
      </w:r>
      <w:r>
        <w:rPr>
          <w:rFonts w:ascii="宋体" w:hAnsi="宋体" w:eastAsia="宋体" w:cs="Times New Roman"/>
          <w:kern w:val="0"/>
          <w:szCs w:val="24"/>
        </w:rPr>
        <w:t>一份竣工图</w:t>
      </w:r>
      <w:r>
        <w:rPr>
          <w:rFonts w:hint="eastAsia" w:ascii="宋体" w:hAnsi="宋体" w:eastAsia="宋体" w:cs="Times New Roman"/>
          <w:kern w:val="0"/>
          <w:szCs w:val="24"/>
        </w:rPr>
        <w:t>及</w:t>
      </w:r>
      <w:r>
        <w:rPr>
          <w:rFonts w:ascii="宋体" w:hAnsi="宋体" w:eastAsia="宋体" w:cs="Times New Roman"/>
          <w:kern w:val="0"/>
          <w:szCs w:val="24"/>
        </w:rPr>
        <w:t>电子</w:t>
      </w:r>
      <w:r>
        <w:rPr>
          <w:rFonts w:hint="eastAsia" w:ascii="宋体" w:hAnsi="宋体" w:eastAsia="宋体" w:cs="Times New Roman"/>
          <w:kern w:val="0"/>
          <w:szCs w:val="24"/>
        </w:rPr>
        <w:t>文档，</w:t>
      </w:r>
      <w:r>
        <w:rPr>
          <w:rFonts w:ascii="宋体" w:hAnsi="宋体" w:eastAsia="宋体" w:cs="Times New Roman"/>
          <w:kern w:val="0"/>
          <w:szCs w:val="24"/>
        </w:rPr>
        <w:t>交</w:t>
      </w:r>
      <w:r>
        <w:rPr>
          <w:rFonts w:hint="eastAsia" w:ascii="宋体" w:hAnsi="宋体" w:eastAsia="宋体" w:cs="Times New Roman"/>
          <w:kern w:val="0"/>
          <w:szCs w:val="24"/>
        </w:rPr>
        <w:t>政府</w:t>
      </w:r>
      <w:r>
        <w:rPr>
          <w:rFonts w:ascii="宋体" w:hAnsi="宋体" w:eastAsia="宋体" w:cs="Times New Roman"/>
          <w:kern w:val="0"/>
          <w:szCs w:val="24"/>
        </w:rPr>
        <w:t>档案</w:t>
      </w:r>
      <w:r>
        <w:rPr>
          <w:rFonts w:hint="eastAsia" w:ascii="宋体" w:hAnsi="宋体" w:eastAsia="宋体" w:cs="Times New Roman"/>
          <w:kern w:val="0"/>
          <w:szCs w:val="24"/>
        </w:rPr>
        <w:t>主管部门</w:t>
      </w:r>
      <w:r>
        <w:rPr>
          <w:rFonts w:ascii="宋体" w:hAnsi="宋体" w:eastAsia="宋体" w:cs="Times New Roman"/>
          <w:kern w:val="0"/>
          <w:szCs w:val="24"/>
        </w:rPr>
        <w:t>的竣工图需要由设计人</w:t>
      </w:r>
      <w:r>
        <w:rPr>
          <w:rFonts w:hint="eastAsia" w:ascii="宋体" w:hAnsi="宋体" w:eastAsia="宋体" w:cs="Times New Roman"/>
          <w:kern w:val="0"/>
          <w:szCs w:val="24"/>
        </w:rPr>
        <w:t>签章</w:t>
      </w:r>
      <w:r>
        <w:rPr>
          <w:rFonts w:ascii="宋体" w:hAnsi="宋体" w:eastAsia="宋体" w:cs="Times New Roman"/>
          <w:kern w:val="0"/>
          <w:szCs w:val="24"/>
        </w:rPr>
        <w:t>。</w:t>
      </w:r>
    </w:p>
    <w:p w14:paraId="2A4EE3C8">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633" w:name="_Toc201735250"/>
      <w:bookmarkStart w:id="634" w:name="_Toc302635708"/>
      <w:bookmarkStart w:id="635" w:name="_Toc27932"/>
      <w:bookmarkStart w:id="636" w:name="_Toc29233"/>
      <w:bookmarkStart w:id="637" w:name="_Toc27598"/>
      <w:bookmarkStart w:id="638" w:name="_Toc6258"/>
      <w:bookmarkStart w:id="639" w:name="_Toc23525"/>
      <w:bookmarkStart w:id="640" w:name="_Toc208587455"/>
      <w:bookmarkStart w:id="641" w:name="_Toc15868"/>
      <w:bookmarkStart w:id="642" w:name="_Toc1802185272"/>
      <w:bookmarkStart w:id="643" w:name="_Toc27564"/>
      <w:bookmarkStart w:id="644" w:name="_Toc8891"/>
      <w:bookmarkStart w:id="645" w:name="_Toc840"/>
      <w:bookmarkStart w:id="646" w:name="_Toc305331242"/>
      <w:bookmarkStart w:id="647" w:name="_Toc13243"/>
      <w:r>
        <w:rPr>
          <w:rFonts w:hint="eastAsia" w:ascii="宋体" w:hAnsi="宋体" w:eastAsia="宋体" w:cs="Times New Roman"/>
          <w:b/>
          <w:bCs/>
          <w:kern w:val="0"/>
          <w:sz w:val="24"/>
          <w:szCs w:val="24"/>
          <w:lang w:val="en-US" w:eastAsia="zh-CN" w:bidi="ar-SA"/>
        </w:rPr>
        <w:t>通知</w:t>
      </w:r>
      <w:bookmarkEnd w:id="615"/>
      <w:bookmarkEnd w:id="616"/>
      <w:bookmarkEnd w:id="617"/>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p>
    <w:p w14:paraId="133708B3">
      <w:pPr>
        <w:tabs>
          <w:tab w:val="left" w:pos="1620"/>
          <w:tab w:val="left" w:pos="2340"/>
        </w:tabs>
        <w:spacing w:after="156"/>
        <w:ind w:left="899"/>
        <w:jc w:val="left"/>
        <w:rPr>
          <w:rFonts w:ascii="宋体" w:hAnsi="宋体" w:eastAsia="宋体" w:cs="Times New Roman"/>
          <w:kern w:val="0"/>
          <w:szCs w:val="24"/>
        </w:rPr>
      </w:pPr>
      <w:bookmarkStart w:id="648" w:name="_Toc34908947"/>
      <w:r>
        <w:rPr>
          <w:rFonts w:hint="eastAsia" w:ascii="宋体" w:hAnsi="宋体" w:eastAsia="宋体" w:cs="Times New Roman"/>
          <w:kern w:val="0"/>
          <w:szCs w:val="24"/>
        </w:rPr>
        <w:t>(1)根据本合同条款由发包人或</w:t>
      </w:r>
      <w:r>
        <w:rPr>
          <w:rFonts w:ascii="宋体" w:hAnsi="宋体" w:eastAsia="宋体" w:cs="Times New Roman"/>
          <w:kern w:val="0"/>
          <w:szCs w:val="24"/>
        </w:rPr>
        <w:t>监理人</w:t>
      </w:r>
      <w:r>
        <w:rPr>
          <w:rFonts w:hint="eastAsia" w:ascii="宋体" w:hAnsi="宋体" w:eastAsia="宋体" w:cs="Times New Roman"/>
          <w:kern w:val="0"/>
          <w:szCs w:val="24"/>
        </w:rPr>
        <w:t>发给承包人的一切证书、通知或指令均应发送或派专人送达承包人在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中指定的地址。</w:t>
      </w:r>
      <w:bookmarkEnd w:id="648"/>
    </w:p>
    <w:p w14:paraId="77016EA7">
      <w:pPr>
        <w:tabs>
          <w:tab w:val="left" w:pos="1620"/>
          <w:tab w:val="left" w:pos="2340"/>
        </w:tabs>
        <w:spacing w:after="156"/>
        <w:ind w:left="899"/>
        <w:jc w:val="left"/>
        <w:rPr>
          <w:rFonts w:ascii="宋体" w:hAnsi="宋体" w:eastAsia="宋体" w:cs="Times New Roman"/>
          <w:kern w:val="0"/>
          <w:szCs w:val="24"/>
        </w:rPr>
      </w:pPr>
      <w:bookmarkStart w:id="649" w:name="_Toc34908948"/>
      <w:r>
        <w:rPr>
          <w:rFonts w:hint="eastAsia" w:ascii="宋体" w:hAnsi="宋体" w:eastAsia="宋体" w:cs="Times New Roman"/>
          <w:kern w:val="0"/>
          <w:szCs w:val="24"/>
        </w:rPr>
        <w:t>(2)根据本合同条款由承包人发给发包人或</w:t>
      </w:r>
      <w:r>
        <w:rPr>
          <w:rFonts w:ascii="宋体" w:hAnsi="宋体" w:eastAsia="宋体" w:cs="Times New Roman"/>
          <w:kern w:val="0"/>
          <w:szCs w:val="24"/>
        </w:rPr>
        <w:t>监理人</w:t>
      </w:r>
      <w:r>
        <w:rPr>
          <w:rFonts w:hint="eastAsia" w:ascii="宋体" w:hAnsi="宋体" w:eastAsia="宋体" w:cs="Times New Roman"/>
          <w:kern w:val="0"/>
          <w:szCs w:val="24"/>
        </w:rPr>
        <w:t>的一切通知均应发送或派专人送达发包人或</w:t>
      </w:r>
      <w:r>
        <w:rPr>
          <w:rFonts w:ascii="宋体" w:hAnsi="宋体" w:eastAsia="宋体" w:cs="Times New Roman"/>
          <w:kern w:val="0"/>
          <w:szCs w:val="24"/>
        </w:rPr>
        <w:t>监理人</w:t>
      </w:r>
      <w:r>
        <w:rPr>
          <w:rFonts w:hint="eastAsia" w:ascii="宋体" w:hAnsi="宋体" w:eastAsia="宋体" w:cs="Times New Roman"/>
          <w:kern w:val="0"/>
          <w:szCs w:val="24"/>
        </w:rPr>
        <w:t>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中指定的地址。</w:t>
      </w:r>
      <w:bookmarkEnd w:id="649"/>
    </w:p>
    <w:p w14:paraId="7F544351">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(3)若一方的通信地址发生改变，应提前3天书面通知另一方</w:t>
      </w:r>
      <w:r>
        <w:rPr>
          <w:rFonts w:hint="eastAsia" w:ascii="宋体" w:hAnsi="宋体" w:eastAsia="宋体" w:cs="Times New Roman"/>
          <w:kern w:val="0"/>
          <w:szCs w:val="24"/>
          <w:lang w:eastAsia="zh-CN"/>
        </w:rPr>
        <w:t>。</w:t>
      </w:r>
    </w:p>
    <w:p w14:paraId="63659EEB">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(4)如一方拒绝签收另一方通知，另一方以特快专递方式将通知送至本款(1)、(2)项指定的地址，视为送达。</w:t>
      </w:r>
    </w:p>
    <w:p w14:paraId="5AEB04AD">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650" w:name="_Toc28366"/>
      <w:bookmarkStart w:id="651" w:name="_Toc27724"/>
      <w:bookmarkStart w:id="652" w:name="_Toc20632"/>
      <w:bookmarkStart w:id="653" w:name="_Toc8098"/>
      <w:bookmarkStart w:id="654" w:name="_Toc208587456"/>
      <w:bookmarkStart w:id="655" w:name="_Toc18842"/>
      <w:bookmarkStart w:id="656" w:name="_Toc1726453434"/>
      <w:bookmarkStart w:id="657" w:name="_Toc16124"/>
      <w:bookmarkStart w:id="658" w:name="_Toc201735251"/>
      <w:bookmarkStart w:id="659" w:name="_Toc337"/>
      <w:bookmarkStart w:id="660" w:name="_Toc18115"/>
      <w:bookmarkStart w:id="661" w:name="_Toc302635709"/>
      <w:bookmarkStart w:id="662" w:name="_Toc4308"/>
      <w:bookmarkStart w:id="663" w:name="_Toc17937"/>
      <w:r>
        <w:rPr>
          <w:rFonts w:hint="eastAsia" w:ascii="宋体" w:hAnsi="宋体" w:eastAsia="宋体" w:cs="Times New Roman"/>
          <w:b/>
          <w:bCs/>
          <w:kern w:val="0"/>
          <w:sz w:val="24"/>
          <w:szCs w:val="24"/>
          <w:lang w:val="en-US" w:eastAsia="zh-CN" w:bidi="ar-SA"/>
        </w:rPr>
        <w:t>严禁贿赂</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14:paraId="38B88EAA">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(1)发承包双方不得以贿赂或变相贿赂的方式，谋取非法利益或损害对方权益。因一方的贿赂造成对方损失的，应赔偿损失，并承担相应的法律责任。</w:t>
      </w:r>
    </w:p>
    <w:p w14:paraId="370646AF">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(2)承包人不得与</w:t>
      </w:r>
      <w:r>
        <w:rPr>
          <w:rFonts w:ascii="宋体" w:hAnsi="宋体" w:eastAsia="宋体" w:cs="Times New Roman"/>
          <w:kern w:val="0"/>
          <w:szCs w:val="24"/>
        </w:rPr>
        <w:t>监理人</w:t>
      </w:r>
      <w:r>
        <w:rPr>
          <w:rFonts w:hint="eastAsia" w:ascii="宋体" w:hAnsi="宋体" w:eastAsia="宋体" w:cs="Times New Roman"/>
          <w:kern w:val="0"/>
          <w:szCs w:val="24"/>
        </w:rPr>
        <w:t>或发包人聘请的第三方串通损害发包人利益。未经发包人书面同意，承包人不得为</w:t>
      </w:r>
      <w:r>
        <w:rPr>
          <w:rFonts w:ascii="宋体" w:hAnsi="宋体" w:eastAsia="宋体" w:cs="Times New Roman"/>
          <w:kern w:val="0"/>
          <w:szCs w:val="24"/>
        </w:rPr>
        <w:t>监理人</w:t>
      </w:r>
      <w:r>
        <w:rPr>
          <w:rFonts w:hint="eastAsia" w:ascii="宋体" w:hAnsi="宋体" w:eastAsia="宋体" w:cs="Times New Roman"/>
          <w:kern w:val="0"/>
          <w:szCs w:val="24"/>
        </w:rPr>
        <w:t>提供合同约定以外的通讯设备、交通工具及其他任何形式的利益，不得向</w:t>
      </w:r>
      <w:r>
        <w:rPr>
          <w:rFonts w:ascii="宋体" w:hAnsi="宋体" w:eastAsia="宋体" w:cs="Times New Roman"/>
          <w:kern w:val="0"/>
          <w:szCs w:val="24"/>
        </w:rPr>
        <w:t>监理人</w:t>
      </w:r>
      <w:r>
        <w:rPr>
          <w:rFonts w:hint="eastAsia" w:ascii="宋体" w:hAnsi="宋体" w:eastAsia="宋体" w:cs="Times New Roman"/>
          <w:kern w:val="0"/>
          <w:szCs w:val="24"/>
        </w:rPr>
        <w:t>支付报酬。</w:t>
      </w:r>
    </w:p>
    <w:p w14:paraId="1FA39AD5">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664" w:name="_Toc208587457"/>
      <w:bookmarkStart w:id="665" w:name="_Toc26179"/>
      <w:bookmarkStart w:id="666" w:name="_Toc24223"/>
      <w:bookmarkStart w:id="667" w:name="_Toc28113"/>
      <w:bookmarkStart w:id="668" w:name="_Toc302635710"/>
      <w:bookmarkStart w:id="669" w:name="_Toc26184"/>
      <w:bookmarkStart w:id="670" w:name="_Toc21452"/>
      <w:bookmarkStart w:id="671" w:name="_Toc245"/>
      <w:bookmarkStart w:id="672" w:name="_Toc5429"/>
      <w:bookmarkStart w:id="673" w:name="_Toc201735252"/>
      <w:bookmarkStart w:id="674" w:name="_Toc3435"/>
      <w:bookmarkStart w:id="675" w:name="_Toc26277"/>
      <w:bookmarkStart w:id="676" w:name="_Toc27442"/>
      <w:bookmarkStart w:id="677" w:name="_Toc1856650488"/>
      <w:r>
        <w:rPr>
          <w:rFonts w:hint="eastAsia" w:ascii="宋体" w:hAnsi="宋体" w:eastAsia="宋体" w:cs="Times New Roman"/>
          <w:b/>
          <w:bCs/>
          <w:kern w:val="0"/>
          <w:sz w:val="24"/>
          <w:szCs w:val="24"/>
          <w:lang w:val="en-US" w:eastAsia="zh-CN" w:bidi="ar-SA"/>
        </w:rPr>
        <w:t>交通运输</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14:paraId="07B5B1F2">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(1)出入现场的权利</w:t>
      </w:r>
    </w:p>
    <w:p w14:paraId="1A2C29A4">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除</w:t>
      </w:r>
      <w:r>
        <w:rPr>
          <w:rFonts w:hint="eastAsia" w:ascii="宋体" w:hAnsi="宋体" w:eastAsia="宋体" w:cs="Times New Roman"/>
          <w:b/>
          <w:i/>
          <w:kern w:val="0"/>
          <w:szCs w:val="24"/>
        </w:rPr>
        <w:t>专用条款</w:t>
      </w:r>
      <w:r>
        <w:rPr>
          <w:rFonts w:hint="eastAsia" w:ascii="宋体" w:hAnsi="宋体" w:eastAsia="宋体" w:cs="Times New Roman"/>
          <w:kern w:val="0"/>
          <w:szCs w:val="24"/>
        </w:rPr>
        <w:t>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549329DE">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承包人应在订立合同前查勘施工现场，并根据工程规模及技术参数合理预见工程施工所需的进出施工现场的方式、手段、路径等。因承包人未合理预见所增加的费用和（或）延误的工期由承包人承担。</w:t>
      </w:r>
    </w:p>
    <w:p w14:paraId="1F9CC0DE">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(2)场外交通</w:t>
      </w:r>
    </w:p>
    <w:p w14:paraId="732837E0">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5DEDE4C4">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(3)场内交通</w:t>
      </w:r>
    </w:p>
    <w:p w14:paraId="30BFABAC">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发包人应提供场内交通设施的技术参数和具体条件，并应按照</w:t>
      </w:r>
      <w:r>
        <w:rPr>
          <w:rFonts w:ascii="宋体" w:hAnsi="宋体" w:eastAsia="宋体" w:cs="Times New Roman"/>
          <w:b/>
          <w:i/>
          <w:kern w:val="0"/>
          <w:szCs w:val="24"/>
        </w:rPr>
        <w:t>专用条款</w:t>
      </w:r>
      <w:r>
        <w:rPr>
          <w:rFonts w:ascii="宋体" w:hAnsi="宋体" w:eastAsia="宋体" w:cs="Times New Roman"/>
          <w:kern w:val="0"/>
          <w:szCs w:val="24"/>
        </w:rPr>
        <w:t>的约定向承包人免费提供满足工程施工所需的场内道路和交通设施。因承包人原因造成上述道路或交通设施损坏的，承包人负责修复并承担由此增加的费用。</w:t>
      </w:r>
    </w:p>
    <w:p w14:paraId="1DC849A4">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除</w:t>
      </w:r>
      <w:r>
        <w:rPr>
          <w:rFonts w:hint="eastAsia" w:ascii="宋体" w:hAnsi="宋体" w:eastAsia="宋体" w:cs="Times New Roman"/>
          <w:b/>
          <w:i/>
          <w:kern w:val="0"/>
          <w:szCs w:val="24"/>
        </w:rPr>
        <w:t>专用条款</w:t>
      </w:r>
      <w:r>
        <w:rPr>
          <w:rFonts w:hint="eastAsia" w:ascii="宋体" w:hAnsi="宋体" w:eastAsia="宋体" w:cs="Times New Roman"/>
          <w:kern w:val="0"/>
          <w:szCs w:val="24"/>
        </w:rPr>
        <w:t>另有约定外，为保证正常的公共交通秩序而修建的社会便道或便桥及交通疏解费用由发包人承担。</w:t>
      </w:r>
    </w:p>
    <w:p w14:paraId="7E45B6BC">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除发包人按照合同约定提供的场内道路和交通设施外，承包人负责修建、维修、养护和管理施工所需的其他场内临时道路和交通设施。</w:t>
      </w:r>
    </w:p>
    <w:p w14:paraId="665FC695">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(4)超大件和超重件的运输</w:t>
      </w:r>
    </w:p>
    <w:p w14:paraId="0A10BB69">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由承包人负责运输的超大件或超重件，应由承包人负责向交通管理部门办理申请手续，发包人给予协助。运输超大件或超重件所需的道路和桥梁临时加固改造费用和其他有关费用，由承包人承担，但</w:t>
      </w:r>
      <w:r>
        <w:rPr>
          <w:rFonts w:ascii="宋体" w:hAnsi="宋体" w:eastAsia="宋体" w:cs="Times New Roman"/>
          <w:b/>
          <w:i/>
          <w:kern w:val="0"/>
          <w:szCs w:val="24"/>
        </w:rPr>
        <w:t>专用条款</w:t>
      </w:r>
      <w:r>
        <w:rPr>
          <w:rFonts w:ascii="宋体" w:hAnsi="宋体" w:eastAsia="宋体" w:cs="Times New Roman"/>
          <w:kern w:val="0"/>
          <w:szCs w:val="24"/>
        </w:rPr>
        <w:t>另有约定除外</w:t>
      </w:r>
      <w:r>
        <w:rPr>
          <w:rFonts w:hint="eastAsia" w:ascii="宋体" w:hAnsi="宋体" w:eastAsia="宋体" w:cs="Times New Roman"/>
          <w:kern w:val="0"/>
          <w:szCs w:val="24"/>
        </w:rPr>
        <w:t>。</w:t>
      </w:r>
    </w:p>
    <w:p w14:paraId="7953CED4">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(5)道路和桥梁的损坏责任</w:t>
      </w:r>
    </w:p>
    <w:p w14:paraId="45D9DDAF">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因承包人运输造成施工场地内外公共道路和桥梁损坏的，由承包人承担修复损坏的全部费用和可能引起的赔偿。</w:t>
      </w:r>
    </w:p>
    <w:p w14:paraId="017CCF96">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(6)水路和航空运输</w:t>
      </w:r>
    </w:p>
    <w:p w14:paraId="7FCE5C07">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本款前述各项的内容适用于水路运输和航空运输，其中“道路”一词的</w:t>
      </w:r>
      <w:r>
        <w:rPr>
          <w:rFonts w:hint="eastAsia" w:ascii="宋体" w:hAnsi="宋体" w:eastAsia="宋体" w:cs="Times New Roman"/>
          <w:kern w:val="0"/>
          <w:szCs w:val="24"/>
        </w:rPr>
        <w:t>含义</w:t>
      </w:r>
      <w:r>
        <w:rPr>
          <w:rFonts w:ascii="宋体" w:hAnsi="宋体" w:eastAsia="宋体" w:cs="Times New Roman"/>
          <w:kern w:val="0"/>
          <w:szCs w:val="24"/>
        </w:rPr>
        <w:t>包括河道、航线、船闸、机场、码头、堤防以及水路或航空运输中其他相似结构物；“车辆”一词的</w:t>
      </w:r>
      <w:r>
        <w:rPr>
          <w:rFonts w:hint="eastAsia" w:ascii="宋体" w:hAnsi="宋体" w:eastAsia="宋体" w:cs="Times New Roman"/>
          <w:kern w:val="0"/>
          <w:szCs w:val="24"/>
        </w:rPr>
        <w:t>含义</w:t>
      </w:r>
      <w:r>
        <w:rPr>
          <w:rFonts w:ascii="宋体" w:hAnsi="宋体" w:eastAsia="宋体" w:cs="Times New Roman"/>
          <w:kern w:val="0"/>
          <w:szCs w:val="24"/>
        </w:rPr>
        <w:t>包括船舶和</w:t>
      </w:r>
      <w:r>
        <w:rPr>
          <w:rFonts w:hint="eastAsia" w:ascii="宋体" w:hAnsi="宋体" w:eastAsia="宋体" w:cs="Times New Roman"/>
          <w:kern w:val="0"/>
          <w:szCs w:val="24"/>
        </w:rPr>
        <w:t>飞机等。</w:t>
      </w:r>
    </w:p>
    <w:p w14:paraId="4C0ED462">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678" w:name="_Toc15620"/>
      <w:bookmarkStart w:id="679" w:name="_Toc26953"/>
      <w:bookmarkStart w:id="680" w:name="_Toc19376"/>
      <w:bookmarkStart w:id="681" w:name="_Toc25538"/>
      <w:bookmarkStart w:id="682" w:name="_Toc1244081067"/>
      <w:bookmarkStart w:id="683" w:name="_Toc17556"/>
      <w:bookmarkStart w:id="684" w:name="_Toc19538"/>
      <w:bookmarkStart w:id="685" w:name="_Toc1410"/>
      <w:bookmarkStart w:id="686" w:name="_Toc201735253"/>
      <w:bookmarkStart w:id="687" w:name="_Toc208587458"/>
      <w:bookmarkStart w:id="688" w:name="_Toc13155"/>
      <w:bookmarkStart w:id="689" w:name="_Toc17884"/>
      <w:bookmarkStart w:id="690" w:name="_Toc11990"/>
      <w:bookmarkStart w:id="691" w:name="_Toc302635711"/>
      <w:r>
        <w:rPr>
          <w:rFonts w:hint="eastAsia" w:ascii="宋体" w:hAnsi="宋体" w:eastAsia="宋体" w:cs="Times New Roman"/>
          <w:b/>
          <w:bCs/>
          <w:kern w:val="0"/>
          <w:sz w:val="24"/>
          <w:szCs w:val="24"/>
          <w:lang w:val="en-US" w:eastAsia="zh-CN" w:bidi="ar-SA"/>
        </w:rPr>
        <w:t>水土保持</w:t>
      </w:r>
      <w:bookmarkEnd w:id="678"/>
      <w:bookmarkEnd w:id="679"/>
      <w:bookmarkEnd w:id="680"/>
      <w:bookmarkEnd w:id="681"/>
      <w:bookmarkEnd w:id="682"/>
      <w:bookmarkEnd w:id="683"/>
      <w:bookmarkEnd w:id="684"/>
      <w:bookmarkEnd w:id="685"/>
      <w:bookmarkEnd w:id="686"/>
      <w:bookmarkEnd w:id="687"/>
      <w:bookmarkEnd w:id="688"/>
      <w:bookmarkEnd w:id="689"/>
      <w:bookmarkEnd w:id="690"/>
    </w:p>
    <w:p w14:paraId="6CB2A173">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(1)发包人应及时向承包人提供本工程已通过市区水务行政主管部门审批（备案）的水土保持方案（报告书或报告表）及准予行政许可决定书。</w:t>
      </w:r>
    </w:p>
    <w:p w14:paraId="33E39B38">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承包人在施工期间，应严格执行《中华人民共和国水土保持法》、《广东省水土保持条例》、《深圳经济特区水土保持条例》等有关法律法规的规定，做好施工区和生活区的水土保持工作，减少对项目周边水土资源和生态环境的影响和破坏。</w:t>
      </w:r>
    </w:p>
    <w:p w14:paraId="4683344F">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承包人应按合同约定和监理人指令，接受国家和省、市、县、流域等地方水务行政主管部门的监督和检查。承包人应对其违反水土保持相关法律法规规定以及合同约定所造成的水土流失灾害、人身伤害和财产损失负责。</w:t>
      </w:r>
    </w:p>
    <w:p w14:paraId="36FE5336">
      <w:pPr>
        <w:tabs>
          <w:tab w:val="left" w:pos="1620"/>
          <w:tab w:val="left" w:pos="2340"/>
        </w:tabs>
        <w:spacing w:after="156"/>
        <w:ind w:left="899"/>
        <w:jc w:val="left"/>
        <w:rPr>
          <w:rFonts w:hint="eastAsia" w:ascii="宋体" w:hAnsi="宋体" w:eastAsia="宋体" w:cs="Times New Roman"/>
          <w:sz w:val="24"/>
          <w:szCs w:val="24"/>
        </w:rPr>
      </w:pPr>
      <w:r>
        <w:rPr>
          <w:rFonts w:hint="eastAsia" w:ascii="宋体" w:hAnsi="宋体" w:eastAsia="宋体" w:cs="Times New Roman"/>
          <w:kern w:val="0"/>
          <w:szCs w:val="24"/>
        </w:rPr>
        <w:t>(4)承包人的施工组织设计应满足《生产建设项目水土保持技术标准》、《生产建设项目水土流失防治标准》、《深圳市生产建设项目水土保持技术规范》等技术标准和要求。</w:t>
      </w:r>
    </w:p>
    <w:p w14:paraId="213D3514">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692" w:name="_Toc18753"/>
      <w:bookmarkStart w:id="693" w:name="_Toc17921"/>
      <w:bookmarkStart w:id="694" w:name="_Toc208587459"/>
      <w:bookmarkStart w:id="695" w:name="_Toc1327571233"/>
      <w:bookmarkStart w:id="696" w:name="_Toc28890"/>
      <w:bookmarkStart w:id="697" w:name="_Toc14401"/>
      <w:bookmarkStart w:id="698" w:name="_Toc22144"/>
      <w:bookmarkStart w:id="699" w:name="_Toc20673"/>
      <w:bookmarkStart w:id="700" w:name="_Toc9475"/>
      <w:bookmarkStart w:id="701" w:name="_Toc201735254"/>
      <w:bookmarkStart w:id="702" w:name="_Toc23145"/>
      <w:bookmarkStart w:id="703" w:name="_Toc17458"/>
      <w:bookmarkStart w:id="704" w:name="_Toc4239"/>
      <w:r>
        <w:rPr>
          <w:rFonts w:hint="eastAsia" w:ascii="宋体" w:hAnsi="宋体" w:eastAsia="宋体" w:cs="Times New Roman"/>
          <w:b/>
          <w:bCs/>
          <w:kern w:val="0"/>
          <w:sz w:val="24"/>
          <w:szCs w:val="24"/>
          <w:lang w:val="en-US" w:eastAsia="zh-CN" w:bidi="ar-SA"/>
        </w:rPr>
        <w:t>建筑信息模型（BIM）技术实施应用</w:t>
      </w:r>
      <w:bookmarkEnd w:id="692"/>
      <w:bookmarkEnd w:id="693"/>
      <w:bookmarkEnd w:id="694"/>
      <w:bookmarkEnd w:id="695"/>
      <w:bookmarkEnd w:id="696"/>
      <w:bookmarkEnd w:id="697"/>
      <w:bookmarkEnd w:id="698"/>
      <w:bookmarkEnd w:id="699"/>
      <w:bookmarkEnd w:id="700"/>
      <w:bookmarkEnd w:id="701"/>
      <w:bookmarkEnd w:id="702"/>
      <w:bookmarkEnd w:id="703"/>
      <w:bookmarkEnd w:id="704"/>
    </w:p>
    <w:p w14:paraId="76F4B0A8">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(1)BIM实施范围</w:t>
      </w:r>
    </w:p>
    <w:p w14:paraId="6FC7C4FA">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本工程需实施BIM技术应用的，BIM实施内容应包含“施工BIM实施准备”、“设计BIM成果接收”、“施工BIM应用内容和要求”、“施工BIM成果归档和移交”、“竣工数字化资产验收和运维移交”、“施工BIM考核评价”及</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约定的内容。</w:t>
      </w:r>
    </w:p>
    <w:p w14:paraId="2D5FBD9A">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BIM实施应继承和延用设计阶段BIM成果，并考虑运维阶段的BIM技术应用需求。</w:t>
      </w:r>
    </w:p>
    <w:p w14:paraId="01C46EF6">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(2)BIM实施内容和要求</w:t>
      </w:r>
    </w:p>
    <w:p w14:paraId="7B7C33B5">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承包人应在BIM实施前编制施工BIM实施方案，经发包人确认后，作为承包人BIM实施以及发包人BIM审查验收的依据。</w:t>
      </w:r>
    </w:p>
    <w:p w14:paraId="6B8AD5DD">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本工程BIM模型的创建和管理应分为深化设计、施工过程和竣工验收3个阶段，承包人应用BIM技术进行深化设计、施工过程可视化模拟、施工方案优化、施工进度和成本的管控等。各阶段的BIM技术和管理应用应满足</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中约定的要求。</w:t>
      </w:r>
    </w:p>
    <w:p w14:paraId="65074BDB">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承包人创建的BIM模型应保证信息要素全面完备，模型精细度应符合</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中的标准要求。</w:t>
      </w:r>
    </w:p>
    <w:p w14:paraId="68D218AF">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发包人应在办理规划许可、施工许可、竣工验收审批报建环节提交BIM模型。</w:t>
      </w:r>
    </w:p>
    <w:p w14:paraId="13D3DC67">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(3)BIM成果的归档和移交</w:t>
      </w:r>
    </w:p>
    <w:p w14:paraId="10AAD8F3">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发包人应在工程竣工后，组织对本工程BIM实施成果进行归档和移交。</w:t>
      </w:r>
    </w:p>
    <w:p w14:paraId="632CDEB5">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本工程BIM成果包括BIM模型和与之对应的图纸、文档、统计表格，以及综合协调、模拟分析、统计计算等形成的数字化成果文件。BIM模型必须与竣工图纸一致。</w:t>
      </w:r>
    </w:p>
    <w:p w14:paraId="2F77CB54">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承包人应按</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约定的交付标准移交BIM成果。发包人审核后，按照政府有关部门的要求进行归档，并在工程交付使用时，应将BIM模型提交给运维单位。</w:t>
      </w:r>
    </w:p>
    <w:p w14:paraId="68D6301A">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(4)BIM信息安全责任</w:t>
      </w:r>
    </w:p>
    <w:p w14:paraId="743CF44F">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发承包双方应按照《深圳经济特区数据条例》的有关规定，加强对BIM数据的安全管理，建立健全数据管理制度，及时排查BIM数据在存储、使用、加工、传递、交付过程中可能出现的信息安全隐患，做好安全防护和处理。</w:t>
      </w:r>
    </w:p>
    <w:p w14:paraId="3183C3A8">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705" w:name="_Toc31090"/>
      <w:bookmarkStart w:id="706" w:name="_Toc3692"/>
      <w:bookmarkStart w:id="707" w:name="_Toc13424"/>
      <w:bookmarkStart w:id="708" w:name="_Toc10748"/>
      <w:bookmarkStart w:id="709" w:name="_Toc1206"/>
      <w:bookmarkStart w:id="710" w:name="_Toc18199"/>
      <w:bookmarkStart w:id="711" w:name="_Toc1199655502"/>
      <w:bookmarkStart w:id="712" w:name="_Toc201735255"/>
      <w:bookmarkStart w:id="713" w:name="_Toc16834"/>
      <w:bookmarkStart w:id="714" w:name="_Toc25824"/>
      <w:bookmarkStart w:id="715" w:name="_Toc208587460"/>
      <w:bookmarkStart w:id="716" w:name="_Toc12242"/>
      <w:bookmarkStart w:id="717" w:name="_Toc8060"/>
      <w:r>
        <w:rPr>
          <w:rFonts w:hint="eastAsia" w:ascii="宋体" w:hAnsi="宋体" w:eastAsia="宋体" w:cs="Times New Roman"/>
          <w:b/>
          <w:bCs/>
          <w:kern w:val="0"/>
          <w:sz w:val="24"/>
          <w:szCs w:val="24"/>
          <w:lang w:val="en-US" w:eastAsia="zh-CN" w:bidi="ar-SA"/>
        </w:rPr>
        <w:t>知识产权</w:t>
      </w:r>
      <w:bookmarkEnd w:id="691"/>
      <w:bookmarkEnd w:id="705"/>
      <w:bookmarkEnd w:id="706"/>
      <w:bookmarkEnd w:id="707"/>
      <w:bookmarkEnd w:id="708"/>
      <w:bookmarkEnd w:id="709"/>
      <w:bookmarkEnd w:id="710"/>
      <w:bookmarkEnd w:id="711"/>
      <w:bookmarkEnd w:id="712"/>
      <w:bookmarkEnd w:id="713"/>
      <w:bookmarkEnd w:id="714"/>
      <w:bookmarkEnd w:id="715"/>
      <w:bookmarkEnd w:id="716"/>
      <w:bookmarkEnd w:id="717"/>
    </w:p>
    <w:p w14:paraId="6881DE75">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(1)除</w:t>
      </w:r>
      <w:r>
        <w:rPr>
          <w:rFonts w:ascii="宋体" w:hAnsi="宋体" w:eastAsia="宋体" w:cs="Times New Roman"/>
          <w:b/>
          <w:i/>
          <w:kern w:val="0"/>
          <w:szCs w:val="24"/>
        </w:rPr>
        <w:t>专用条款</w:t>
      </w:r>
      <w:r>
        <w:rPr>
          <w:rFonts w:hint="eastAsia" w:ascii="宋体" w:hAnsi="宋体" w:eastAsia="宋体" w:cs="Times New Roman"/>
          <w:kern w:val="0"/>
          <w:szCs w:val="24"/>
        </w:rPr>
        <w:t>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0C51ECBA">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(2)除</w:t>
      </w:r>
      <w:r>
        <w:rPr>
          <w:rFonts w:ascii="宋体" w:hAnsi="宋体" w:eastAsia="宋体" w:cs="Times New Roman"/>
          <w:b/>
          <w:i/>
          <w:kern w:val="0"/>
          <w:szCs w:val="24"/>
        </w:rPr>
        <w:t>专用条款</w:t>
      </w:r>
      <w:r>
        <w:rPr>
          <w:rFonts w:hint="eastAsia" w:ascii="宋体" w:hAnsi="宋体" w:eastAsia="宋体" w:cs="Times New Roman"/>
          <w:kern w:val="0"/>
          <w:szCs w:val="24"/>
        </w:rPr>
        <w:t>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62C2E71D">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发承包双方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0E473CC4">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(4)除</w:t>
      </w:r>
      <w:r>
        <w:rPr>
          <w:rFonts w:ascii="宋体" w:hAnsi="宋体" w:eastAsia="宋体" w:cs="Times New Roman"/>
          <w:b/>
          <w:i/>
          <w:kern w:val="0"/>
          <w:szCs w:val="24"/>
        </w:rPr>
        <w:t>专用条款</w:t>
      </w:r>
      <w:r>
        <w:rPr>
          <w:rFonts w:hint="eastAsia" w:ascii="宋体" w:hAnsi="宋体" w:eastAsia="宋体" w:cs="Times New Roman"/>
          <w:kern w:val="0"/>
          <w:szCs w:val="24"/>
        </w:rPr>
        <w:t>另有约定外，承包人在合同签订前和签订时已确定采用的专利、专有技术、技术秘密、商业软件的使用费已包含在签约合同价中。</w:t>
      </w:r>
    </w:p>
    <w:p w14:paraId="49143021">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718" w:name="_Toc27646"/>
      <w:bookmarkStart w:id="719" w:name="_Toc302635712"/>
      <w:bookmarkStart w:id="720" w:name="_Toc1268371038"/>
      <w:bookmarkStart w:id="721" w:name="_Toc17398"/>
      <w:bookmarkStart w:id="722" w:name="_Toc30395"/>
      <w:bookmarkStart w:id="723" w:name="_Toc20424"/>
      <w:bookmarkStart w:id="724" w:name="_Toc30776"/>
      <w:bookmarkStart w:id="725" w:name="_Toc208587461"/>
      <w:bookmarkStart w:id="726" w:name="_Toc2809"/>
      <w:bookmarkStart w:id="727" w:name="_Toc24502"/>
      <w:bookmarkStart w:id="728" w:name="_Toc14358"/>
      <w:bookmarkStart w:id="729" w:name="_Toc201735256"/>
      <w:bookmarkStart w:id="730" w:name="_Toc2916"/>
      <w:bookmarkStart w:id="731" w:name="_Toc17887"/>
      <w:r>
        <w:rPr>
          <w:rFonts w:hint="eastAsia" w:ascii="宋体" w:hAnsi="宋体" w:eastAsia="宋体" w:cs="Times New Roman"/>
          <w:b/>
          <w:bCs/>
          <w:kern w:val="0"/>
          <w:sz w:val="24"/>
          <w:szCs w:val="24"/>
          <w:lang w:val="en-US" w:eastAsia="zh-CN" w:bidi="ar-SA"/>
        </w:rPr>
        <w:t>保密</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14:paraId="1E2DE551">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除法律规定或合同另有约定外，未经发包人同意，承包人不得将发包人提供的图纸、文件以及声明需要保密的资料信息等商业秘密泄露给第三方。</w:t>
      </w:r>
    </w:p>
    <w:p w14:paraId="2C4760AF">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除法律规定或合同另有约定外，未经承包人同意，发包人不得将承包人提供的技术秘密及声明需要保密的资料信息等商业秘密泄露给第三方。</w:t>
      </w:r>
    </w:p>
    <w:p w14:paraId="0D20B37A">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732" w:name="_Toc14178"/>
      <w:bookmarkStart w:id="733" w:name="_Toc4378"/>
      <w:bookmarkStart w:id="734" w:name="_Toc6643"/>
      <w:bookmarkStart w:id="735" w:name="_Toc2038256643"/>
      <w:bookmarkStart w:id="736" w:name="_Toc201735257"/>
      <w:bookmarkStart w:id="737" w:name="_Toc5118"/>
      <w:bookmarkStart w:id="738" w:name="_Toc305331332"/>
      <w:bookmarkStart w:id="739" w:name="_Toc19433"/>
      <w:bookmarkStart w:id="740" w:name="_Toc31138"/>
      <w:bookmarkStart w:id="741" w:name="_Toc19178"/>
      <w:bookmarkStart w:id="742" w:name="_Toc13510"/>
      <w:bookmarkStart w:id="743" w:name="_Toc208587462"/>
      <w:bookmarkStart w:id="744" w:name="_Toc13049"/>
      <w:bookmarkStart w:id="745" w:name="_Toc1524"/>
      <w:bookmarkStart w:id="746" w:name="_Toc302635819"/>
      <w:bookmarkStart w:id="747" w:name="_Toc34909069"/>
      <w:r>
        <w:rPr>
          <w:rFonts w:hint="eastAsia" w:ascii="宋体" w:hAnsi="宋体" w:eastAsia="宋体" w:cs="Times New Roman"/>
          <w:b/>
          <w:bCs/>
          <w:kern w:val="0"/>
          <w:sz w:val="24"/>
          <w:szCs w:val="24"/>
          <w:lang w:val="en-US" w:eastAsia="zh-CN" w:bidi="ar-SA"/>
        </w:rPr>
        <w:t>化石、文物的保护</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14:paraId="5E955B76">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在现场发现的所有化石、文物，以及有地质或考古意义的结构物和其他遗迹或物品时，承包人应立即保护好现场并于4小时内通知</w:t>
      </w:r>
      <w:r>
        <w:rPr>
          <w:rFonts w:ascii="宋体" w:hAnsi="宋体" w:eastAsia="宋体" w:cs="Times New Roman"/>
          <w:kern w:val="0"/>
          <w:szCs w:val="24"/>
        </w:rPr>
        <w:t>监理人</w:t>
      </w:r>
      <w:r>
        <w:rPr>
          <w:rFonts w:hint="eastAsia" w:ascii="宋体" w:hAnsi="宋体" w:eastAsia="宋体" w:cs="Times New Roman"/>
          <w:kern w:val="0"/>
          <w:szCs w:val="24"/>
        </w:rPr>
        <w:t>，</w:t>
      </w:r>
      <w:r>
        <w:rPr>
          <w:rFonts w:ascii="宋体" w:hAnsi="宋体" w:eastAsia="宋体" w:cs="Times New Roman"/>
          <w:kern w:val="0"/>
          <w:szCs w:val="24"/>
        </w:rPr>
        <w:t>监理人</w:t>
      </w:r>
      <w:r>
        <w:rPr>
          <w:rFonts w:hint="eastAsia" w:ascii="宋体" w:hAnsi="宋体" w:eastAsia="宋体" w:cs="Times New Roman"/>
          <w:kern w:val="0"/>
          <w:szCs w:val="24"/>
        </w:rPr>
        <w:t>应于收到通知后24小时内报告当地文物管理部门，发包人和承包人应按文物管理部门的要求采取妥善保护措施。</w:t>
      </w:r>
      <w:bookmarkEnd w:id="747"/>
      <w:r>
        <w:rPr>
          <w:rFonts w:hint="eastAsia" w:ascii="宋体" w:hAnsi="宋体" w:eastAsia="宋体" w:cs="Times New Roman"/>
          <w:kern w:val="0"/>
          <w:szCs w:val="24"/>
        </w:rPr>
        <w:t>发包人承担由此发生的费用，顺延延误的工期。如发现后隐瞒不报或报告不及时，致使上述化石、文物遭受破坏，责任人依法承担相应责任。</w:t>
      </w:r>
    </w:p>
    <w:p w14:paraId="761B6151">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748" w:name="_Toc208587463"/>
      <w:bookmarkStart w:id="749" w:name="_Toc1817717918"/>
      <w:bookmarkStart w:id="750" w:name="_Toc201735258"/>
      <w:bookmarkStart w:id="751" w:name="_Toc12400"/>
      <w:bookmarkStart w:id="752" w:name="_Toc9194"/>
      <w:bookmarkStart w:id="753" w:name="_Toc11316"/>
      <w:bookmarkStart w:id="754" w:name="_Toc20981"/>
      <w:r>
        <w:rPr>
          <w:rFonts w:hint="eastAsia" w:ascii="宋体" w:hAnsi="宋体" w:eastAsia="宋体" w:cs="Times New Roman"/>
          <w:b/>
          <w:bCs/>
          <w:kern w:val="0"/>
          <w:sz w:val="24"/>
          <w:szCs w:val="24"/>
          <w:lang w:val="en-US" w:eastAsia="zh-CN" w:bidi="ar-SA"/>
        </w:rPr>
        <w:t>绿色建筑</w:t>
      </w:r>
      <w:bookmarkEnd w:id="748"/>
      <w:bookmarkEnd w:id="749"/>
      <w:bookmarkEnd w:id="750"/>
      <w:bookmarkEnd w:id="751"/>
      <w:bookmarkEnd w:id="752"/>
      <w:bookmarkEnd w:id="753"/>
      <w:bookmarkEnd w:id="754"/>
    </w:p>
    <w:p w14:paraId="639EDC24">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本工程适用绿色建筑评价标准进行建设的，发包人和承包人应当在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中对绿色建筑等级、绿色建筑标准要求进行约定，未达到合同约定的绿色建筑标准和要求的，发承包双方应按照</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约定承担相应责任。</w:t>
      </w:r>
    </w:p>
    <w:p w14:paraId="66FBA20A">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755" w:name="_Toc208587464"/>
      <w:bookmarkStart w:id="756" w:name="_Toc24696"/>
      <w:bookmarkStart w:id="757" w:name="_Toc26865"/>
      <w:bookmarkStart w:id="758" w:name="_Toc481423179"/>
      <w:bookmarkStart w:id="759" w:name="_Toc201735259"/>
      <w:bookmarkStart w:id="760" w:name="_Toc26085"/>
      <w:bookmarkStart w:id="761" w:name="_Toc1797"/>
      <w:r>
        <w:rPr>
          <w:rFonts w:hint="eastAsia" w:ascii="宋体" w:hAnsi="宋体" w:eastAsia="宋体" w:cs="Times New Roman"/>
          <w:b/>
          <w:bCs/>
          <w:kern w:val="0"/>
          <w:sz w:val="24"/>
          <w:szCs w:val="24"/>
          <w:lang w:val="en-US" w:eastAsia="zh-CN" w:bidi="ar-SA"/>
        </w:rPr>
        <w:t>拆除工程</w:t>
      </w:r>
      <w:bookmarkEnd w:id="755"/>
      <w:bookmarkEnd w:id="756"/>
      <w:bookmarkEnd w:id="757"/>
      <w:bookmarkEnd w:id="758"/>
      <w:bookmarkEnd w:id="759"/>
      <w:bookmarkEnd w:id="760"/>
      <w:bookmarkEnd w:id="761"/>
    </w:p>
    <w:p w14:paraId="0452AFC1">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本合同承包范围涉及拆除工程的，发包人应</w:t>
      </w:r>
      <w:r>
        <w:rPr>
          <w:rFonts w:hint="eastAsia" w:ascii="宋体" w:hAnsi="宋体" w:eastAsia="宋体" w:cs="Times New Roman"/>
          <w:kern w:val="0"/>
          <w:szCs w:val="24"/>
          <w:lang w:eastAsia="zh-CN"/>
        </w:rPr>
        <w:t>按照</w:t>
      </w:r>
      <w:r>
        <w:rPr>
          <w:rFonts w:hint="eastAsia" w:ascii="宋体" w:hAnsi="宋体" w:eastAsia="宋体" w:cs="Times New Roman"/>
          <w:b/>
          <w:bCs/>
          <w:i/>
          <w:iCs/>
          <w:kern w:val="0"/>
          <w:szCs w:val="24"/>
          <w:lang w:eastAsia="zh-CN"/>
        </w:rPr>
        <w:t>专用条款</w:t>
      </w:r>
      <w:r>
        <w:rPr>
          <w:rFonts w:hint="eastAsia" w:ascii="宋体" w:hAnsi="宋体" w:eastAsia="宋体" w:cs="Times New Roman"/>
          <w:kern w:val="0"/>
          <w:szCs w:val="24"/>
          <w:lang w:eastAsia="zh-CN"/>
        </w:rPr>
        <w:t>明确的评估方法和流程</w:t>
      </w:r>
      <w:r>
        <w:rPr>
          <w:rFonts w:hint="eastAsia" w:ascii="宋体" w:hAnsi="宋体" w:eastAsia="宋体" w:cs="Times New Roman"/>
          <w:kern w:val="0"/>
          <w:szCs w:val="24"/>
        </w:rPr>
        <w:t>对拆除工程中可回收材料种类及残值进行充分评估，</w:t>
      </w:r>
      <w:r>
        <w:rPr>
          <w:rFonts w:hint="eastAsia" w:ascii="宋体" w:hAnsi="宋体" w:eastAsia="宋体" w:cs="Times New Roman"/>
          <w:kern w:val="0"/>
          <w:szCs w:val="24"/>
          <w:lang w:eastAsia="zh-CN"/>
        </w:rPr>
        <w:t>并按照评估情况</w:t>
      </w:r>
      <w:r>
        <w:rPr>
          <w:rFonts w:hint="eastAsia" w:ascii="宋体" w:hAnsi="宋体" w:eastAsia="宋体" w:cs="Times New Roman"/>
          <w:kern w:val="0"/>
          <w:szCs w:val="24"/>
        </w:rPr>
        <w:t>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中明确拆除工程可回收材料的种类、残值计算方法及处置方式。</w:t>
      </w:r>
    </w:p>
    <w:p w14:paraId="52978231">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762" w:name="_Toc305331243"/>
      <w:bookmarkStart w:id="763" w:name="_Toc29965"/>
      <w:bookmarkStart w:id="764" w:name="_Toc30291"/>
      <w:bookmarkStart w:id="765" w:name="_Toc201735260"/>
      <w:bookmarkStart w:id="766" w:name="_Toc28730"/>
      <w:bookmarkStart w:id="767" w:name="_Toc13445"/>
      <w:bookmarkStart w:id="768" w:name="_Toc31304"/>
      <w:bookmarkStart w:id="769" w:name="_Toc7045"/>
      <w:bookmarkStart w:id="770" w:name="_Toc302635714"/>
      <w:bookmarkStart w:id="771" w:name="_Toc24220"/>
      <w:bookmarkStart w:id="772" w:name="_Toc35656466"/>
      <w:bookmarkStart w:id="773" w:name="_Toc30366"/>
      <w:bookmarkStart w:id="774" w:name="_Toc34908950"/>
      <w:bookmarkStart w:id="775" w:name="_Toc1738744082"/>
      <w:bookmarkStart w:id="776" w:name="_Toc35656966"/>
      <w:bookmarkStart w:id="777" w:name="_Toc208587465"/>
      <w:bookmarkStart w:id="778" w:name="_Toc6066"/>
      <w:bookmarkStart w:id="779" w:name="_Toc14970"/>
      <w:r>
        <w:rPr>
          <w:rFonts w:hint="eastAsia" w:ascii="华文细黑" w:hAnsi="宋体" w:eastAsia="宋体" w:cs="Times New Roman"/>
          <w:b/>
          <w:bCs/>
          <w:snapToGrid w:val="0"/>
          <w:kern w:val="0"/>
          <w:sz w:val="28"/>
          <w:szCs w:val="44"/>
          <w:lang w:val="en-US" w:eastAsia="zh-CN" w:bidi="ar-SA"/>
        </w:rPr>
        <w:t>发包人</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14:paraId="6708ACF9">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780" w:name="_Toc201735261"/>
      <w:bookmarkStart w:id="781" w:name="_Toc8296"/>
      <w:bookmarkStart w:id="782" w:name="_Toc23237"/>
      <w:bookmarkStart w:id="783" w:name="_Toc305331244"/>
      <w:bookmarkStart w:id="784" w:name="_Toc1492162002"/>
      <w:bookmarkStart w:id="785" w:name="_Toc208587466"/>
      <w:bookmarkStart w:id="786" w:name="_Toc3567"/>
      <w:bookmarkStart w:id="787" w:name="_Toc32433"/>
      <w:bookmarkStart w:id="788" w:name="_Toc32562"/>
      <w:bookmarkStart w:id="789" w:name="_Toc21905"/>
      <w:bookmarkStart w:id="790" w:name="_Toc30674"/>
      <w:bookmarkStart w:id="791" w:name="_Toc20077"/>
      <w:bookmarkStart w:id="792" w:name="_Toc27057"/>
      <w:bookmarkStart w:id="793" w:name="_Toc31217"/>
      <w:bookmarkStart w:id="794" w:name="_Toc302635715"/>
      <w:bookmarkStart w:id="795" w:name="_Toc34908951"/>
      <w:r>
        <w:rPr>
          <w:rFonts w:hint="eastAsia" w:ascii="宋体" w:hAnsi="宋体" w:eastAsia="宋体" w:cs="Times New Roman"/>
          <w:b/>
          <w:bCs/>
          <w:kern w:val="0"/>
          <w:sz w:val="24"/>
          <w:szCs w:val="24"/>
          <w:lang w:val="en-US" w:eastAsia="zh-CN" w:bidi="ar-SA"/>
        </w:rPr>
        <w:t>发包人代表</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14:paraId="2A418611">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发包人应任命发包人代表，发包人代表的姓名、联系方式、授权范围在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明确。发包人代表在发包人的授权范围内，负责处理合同履行过程中与发包人有关的具体事宜。发包人代表在授权范围内的行为由发包人承担法律责任。本合同中约定由发包人确认、批准、同意、审批等事项均应以发包人盖章和（或）发包人代表签字为准。发包人如需更换发包人代表，应至少提前7天以书面形式通知</w:t>
      </w:r>
      <w:r>
        <w:rPr>
          <w:rFonts w:ascii="宋体" w:hAnsi="宋体" w:eastAsia="宋体" w:cs="Times New Roman"/>
          <w:kern w:val="0"/>
          <w:szCs w:val="24"/>
        </w:rPr>
        <w:t>监理人</w:t>
      </w:r>
      <w:r>
        <w:rPr>
          <w:rFonts w:hint="eastAsia" w:ascii="宋体" w:hAnsi="宋体" w:eastAsia="宋体" w:cs="Times New Roman"/>
          <w:kern w:val="0"/>
          <w:szCs w:val="24"/>
        </w:rPr>
        <w:t>和承包人。</w:t>
      </w:r>
    </w:p>
    <w:p w14:paraId="101FA14E">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发包人代表不能按照合同约定履行其职责及义务，并导致合同无法继续正常履行的，承包人可以要求发包人撤换发包人代表。</w:t>
      </w:r>
    </w:p>
    <w:p w14:paraId="06C5974D">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796" w:name="_Toc22257"/>
      <w:bookmarkStart w:id="797" w:name="_Toc31530"/>
      <w:bookmarkStart w:id="798" w:name="_Toc201735262"/>
      <w:bookmarkStart w:id="799" w:name="_Toc16152"/>
      <w:bookmarkStart w:id="800" w:name="_Toc19572"/>
      <w:bookmarkStart w:id="801" w:name="_Toc3307"/>
      <w:bookmarkStart w:id="802" w:name="_Toc27384"/>
      <w:bookmarkStart w:id="803" w:name="_Toc24242"/>
      <w:bookmarkStart w:id="804" w:name="_Toc2299"/>
      <w:bookmarkStart w:id="805" w:name="_Toc18874"/>
      <w:bookmarkStart w:id="806" w:name="_Toc302635716"/>
      <w:bookmarkStart w:id="807" w:name="_Toc31575"/>
      <w:bookmarkStart w:id="808" w:name="_Toc305331245"/>
      <w:bookmarkStart w:id="809" w:name="_Toc1846080090"/>
      <w:bookmarkStart w:id="810" w:name="_Toc208587467"/>
      <w:r>
        <w:rPr>
          <w:rFonts w:hint="eastAsia" w:ascii="宋体" w:hAnsi="宋体" w:eastAsia="宋体" w:cs="Times New Roman"/>
          <w:b/>
          <w:bCs/>
          <w:kern w:val="0"/>
          <w:sz w:val="24"/>
          <w:szCs w:val="24"/>
          <w:lang w:val="en-US" w:eastAsia="zh-CN" w:bidi="ar-SA"/>
        </w:rPr>
        <w:t>发包人的义务</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14:paraId="045812A6">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发包人应履行本合同所约定的全部义务。发包人应按本合同约定的期限和方式向承包人支付合同价款及其他应支付的款项，办理法律规定由其办理的许可、批准或备案，按合同约定向承包人提供基础资料和施工条件，并按合同约定及时组织竣工验收。</w:t>
      </w:r>
      <w:bookmarkEnd w:id="795"/>
    </w:p>
    <w:p w14:paraId="2C1F189B">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811" w:name="_Toc201735263"/>
      <w:bookmarkStart w:id="812" w:name="_Toc28940"/>
      <w:bookmarkStart w:id="813" w:name="_Toc17151"/>
      <w:bookmarkStart w:id="814" w:name="_Toc11530"/>
      <w:bookmarkStart w:id="815" w:name="_Toc24035"/>
      <w:bookmarkStart w:id="816" w:name="_Toc208587468"/>
      <w:bookmarkStart w:id="817" w:name="_Toc18245"/>
      <w:bookmarkStart w:id="818" w:name="_Toc1756081430"/>
      <w:bookmarkStart w:id="819" w:name="_Toc302635717"/>
      <w:bookmarkStart w:id="820" w:name="_Toc9706"/>
      <w:bookmarkStart w:id="821" w:name="_Toc9933"/>
      <w:bookmarkStart w:id="822" w:name="_Toc18851"/>
      <w:bookmarkStart w:id="823" w:name="_Toc32303"/>
      <w:bookmarkStart w:id="824" w:name="_Toc5662"/>
      <w:r>
        <w:rPr>
          <w:rFonts w:hint="eastAsia" w:ascii="宋体" w:hAnsi="宋体" w:eastAsia="宋体" w:cs="Times New Roman"/>
          <w:b/>
          <w:bCs/>
          <w:kern w:val="0"/>
          <w:sz w:val="24"/>
          <w:szCs w:val="24"/>
          <w:lang w:val="en-US" w:eastAsia="zh-CN" w:bidi="ar-SA"/>
        </w:rPr>
        <w:t>发包人人员</w:t>
      </w:r>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14:paraId="4B746E50">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发包人人员包括发包人代表及其他由发包人派驻施工现场的人员。</w:t>
      </w:r>
      <w:r>
        <w:rPr>
          <w:rFonts w:hint="eastAsia" w:ascii="宋体" w:hAnsi="宋体" w:eastAsia="宋体" w:cs="Times New Roman"/>
          <w:kern w:val="0"/>
          <w:szCs w:val="24"/>
        </w:rPr>
        <w:t>发包人应要求在施工现场的发包人人员配合承包人的工作并遵守关于工程安全、质量、环境保护与文明施工的规定，并保障承包人免于承受因发包人人员未遵守上述要求给承包人造成的损失和责任。</w:t>
      </w:r>
    </w:p>
    <w:p w14:paraId="7C1FCFE5">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825" w:name="_Toc414"/>
      <w:bookmarkStart w:id="826" w:name="_Toc1584"/>
      <w:bookmarkStart w:id="827" w:name="_Toc201735264"/>
      <w:bookmarkStart w:id="828" w:name="_Toc208587469"/>
      <w:bookmarkStart w:id="829" w:name="_Toc302635718"/>
      <w:bookmarkStart w:id="830" w:name="_Toc20656"/>
      <w:bookmarkStart w:id="831" w:name="_Toc15000"/>
      <w:bookmarkStart w:id="832" w:name="_Toc2413"/>
      <w:bookmarkStart w:id="833" w:name="_Toc14751"/>
      <w:bookmarkStart w:id="834" w:name="_Toc1697095326"/>
      <w:bookmarkStart w:id="835" w:name="_Toc10728"/>
      <w:bookmarkStart w:id="836" w:name="_Toc1703"/>
      <w:bookmarkStart w:id="837" w:name="_Toc2119"/>
      <w:bookmarkStart w:id="838" w:name="_Toc19609"/>
      <w:bookmarkStart w:id="839" w:name="_Toc305331246"/>
      <w:bookmarkStart w:id="840" w:name="_Toc34908952"/>
      <w:r>
        <w:rPr>
          <w:rFonts w:hint="eastAsia" w:ascii="宋体" w:hAnsi="宋体" w:eastAsia="宋体" w:cs="Times New Roman"/>
          <w:b/>
          <w:bCs/>
          <w:kern w:val="0"/>
          <w:sz w:val="24"/>
          <w:szCs w:val="24"/>
          <w:lang w:val="en-US" w:eastAsia="zh-CN" w:bidi="ar-SA"/>
        </w:rPr>
        <w:t>发包人的工作</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14:paraId="188B7B34">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(1)发包人应按照</w:t>
      </w:r>
      <w:r>
        <w:rPr>
          <w:rFonts w:hint="eastAsia" w:ascii="宋体" w:hAnsi="宋体" w:eastAsia="宋体" w:cs="Times New Roman"/>
          <w:b/>
          <w:i/>
          <w:kern w:val="0"/>
          <w:szCs w:val="24"/>
        </w:rPr>
        <w:t>专用条款</w:t>
      </w:r>
      <w:r>
        <w:rPr>
          <w:rFonts w:hint="eastAsia" w:ascii="宋体" w:hAnsi="宋体" w:eastAsia="宋体" w:cs="Times New Roman"/>
          <w:kern w:val="0"/>
          <w:szCs w:val="24"/>
        </w:rPr>
        <w:t>的约定在本工程开工前完成以下工作，并承担相关费用</w:t>
      </w:r>
      <w:bookmarkEnd w:id="840"/>
      <w:r>
        <w:rPr>
          <w:rFonts w:hint="eastAsia" w:ascii="宋体" w:hAnsi="宋体" w:eastAsia="宋体" w:cs="Times New Roman"/>
          <w:kern w:val="0"/>
          <w:szCs w:val="24"/>
        </w:rPr>
        <w:t>：</w:t>
      </w:r>
    </w:p>
    <w:p w14:paraId="43EF7DA0">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①办理土地征用、搬迁补偿、平整施工场地等工作，使施工场地具备施工条件，并在开工后继续负责解决上述工作遗留的问题；</w:t>
      </w:r>
    </w:p>
    <w:p w14:paraId="3811EFE5">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②根据</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约定的接驳地点，将施工所需水、电、通讯线路从施工场地外部接驳到施工场地内，保证施工期间的需要；</w:t>
      </w:r>
    </w:p>
    <w:p w14:paraId="3B753CD8">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③开通施工场地与城乡公共道路间的通道，满足施工运输的需要；</w:t>
      </w:r>
    </w:p>
    <w:p w14:paraId="2E622954">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④向承包人提供施工场地的工程地质和地下管线资料，对资料的真实性、准确性负责；</w:t>
      </w:r>
    </w:p>
    <w:p w14:paraId="77AC62AC">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⑤办理规划、施工许可证以及停水、停电、中断道路交通、爆破作业等的批件；</w:t>
      </w:r>
    </w:p>
    <w:p w14:paraId="49692244">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⑥确定水准点与坐标控制点，组织现场交验并移交给承包人；</w:t>
      </w:r>
    </w:p>
    <w:p w14:paraId="02F0F082">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⑦根据</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约定的时间，组织承包人和</w:t>
      </w:r>
      <w:r>
        <w:rPr>
          <w:rFonts w:ascii="宋体" w:hAnsi="宋体" w:eastAsia="宋体" w:cs="Times New Roman"/>
          <w:kern w:val="0"/>
          <w:szCs w:val="24"/>
        </w:rPr>
        <w:t>设计人</w:t>
      </w:r>
      <w:r>
        <w:rPr>
          <w:rFonts w:hint="eastAsia" w:ascii="宋体" w:hAnsi="宋体" w:eastAsia="宋体" w:cs="Times New Roman"/>
          <w:kern w:val="0"/>
          <w:szCs w:val="24"/>
        </w:rPr>
        <w:t>进行图纸会审和设计交底；</w:t>
      </w:r>
    </w:p>
    <w:p w14:paraId="763F2A7F">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⑧协调处理施工场地周围地下管线和邻近建筑物、构筑物(包括文物保护建筑)、古树名木等的保护工作；</w:t>
      </w:r>
    </w:p>
    <w:p w14:paraId="156791B3">
      <w:pPr>
        <w:tabs>
          <w:tab w:val="left" w:pos="1620"/>
          <w:tab w:val="left" w:pos="2340"/>
        </w:tabs>
        <w:ind w:left="1079"/>
        <w:jc w:val="left"/>
        <w:rPr>
          <w:rFonts w:hint="eastAsia" w:ascii="宋体" w:hAnsi="宋体" w:eastAsia="宋体" w:cs="Times New Roman"/>
          <w:kern w:val="0"/>
          <w:szCs w:val="24"/>
        </w:rPr>
      </w:pPr>
      <w:r>
        <w:rPr>
          <w:rFonts w:hint="eastAsia" w:ascii="宋体" w:hAnsi="宋体" w:eastAsia="宋体" w:cs="Times New Roman"/>
          <w:kern w:val="0"/>
          <w:szCs w:val="24"/>
        </w:rPr>
        <w:t>⑨在</w:t>
      </w:r>
      <w:r>
        <w:rPr>
          <w:rFonts w:hint="eastAsia" w:ascii="宋体" w:hAnsi="宋体" w:eastAsia="宋体" w:cs="Times New Roman"/>
          <w:b/>
          <w:i/>
          <w:kern w:val="0"/>
          <w:szCs w:val="24"/>
        </w:rPr>
        <w:t>专用条款</w:t>
      </w:r>
      <w:r>
        <w:rPr>
          <w:rFonts w:hint="eastAsia" w:ascii="宋体" w:hAnsi="宋体" w:eastAsia="宋体" w:cs="Times New Roman"/>
          <w:kern w:val="0"/>
          <w:szCs w:val="24"/>
        </w:rPr>
        <w:t>内约定发包人应做的其他工作。</w:t>
      </w:r>
      <w:bookmarkStart w:id="841" w:name="_Toc34908954"/>
    </w:p>
    <w:p w14:paraId="6CE80E15">
      <w:pPr>
        <w:tabs>
          <w:tab w:val="left" w:pos="1620"/>
          <w:tab w:val="left" w:pos="2340"/>
        </w:tabs>
        <w:spacing w:before="156"/>
        <w:ind w:left="899"/>
        <w:jc w:val="left"/>
        <w:rPr>
          <w:rFonts w:ascii="宋体" w:hAnsi="宋体" w:eastAsia="宋体" w:cs="Times New Roman"/>
          <w:kern w:val="0"/>
          <w:szCs w:val="24"/>
        </w:rPr>
      </w:pPr>
      <w:r>
        <w:rPr>
          <w:rFonts w:hint="eastAsia" w:ascii="宋体" w:hAnsi="宋体" w:eastAsia="宋体" w:cs="Times New Roman"/>
          <w:kern w:val="0"/>
          <w:szCs w:val="24"/>
        </w:rPr>
        <w:t>(2)发包人未完成前款约定的各项工作，且未委托承包人办理，发包人应承担由此增加的费用和（或）延误的工期</w:t>
      </w:r>
      <w:r>
        <w:rPr>
          <w:rFonts w:hint="eastAsia" w:ascii="Times New Roman" w:hAnsi="Times New Roman" w:eastAsia="宋体" w:cs="Times New Roman"/>
          <w:szCs w:val="24"/>
        </w:rPr>
        <w:t>，并支付承包人合理的利润</w:t>
      </w:r>
      <w:r>
        <w:rPr>
          <w:rFonts w:hint="eastAsia" w:ascii="宋体" w:hAnsi="宋体" w:eastAsia="宋体" w:cs="Times New Roman"/>
          <w:kern w:val="0"/>
          <w:szCs w:val="24"/>
        </w:rPr>
        <w:t>。</w:t>
      </w:r>
      <w:bookmarkEnd w:id="841"/>
    </w:p>
    <w:p w14:paraId="5AF9E763">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842" w:name="_Toc208587470"/>
      <w:bookmarkStart w:id="843" w:name="_Toc85"/>
      <w:bookmarkStart w:id="844" w:name="_Toc18190"/>
      <w:bookmarkStart w:id="845" w:name="_Toc201735265"/>
      <w:bookmarkStart w:id="846" w:name="_Toc27474"/>
      <w:bookmarkStart w:id="847" w:name="_Toc305331247"/>
      <w:bookmarkStart w:id="848" w:name="_Toc30220"/>
      <w:bookmarkStart w:id="849" w:name="_Toc29514"/>
      <w:bookmarkStart w:id="850" w:name="_Toc302635719"/>
      <w:bookmarkStart w:id="851" w:name="_Toc20809"/>
      <w:bookmarkStart w:id="852" w:name="_Toc1009158185"/>
      <w:bookmarkStart w:id="853" w:name="_Toc3283"/>
      <w:bookmarkStart w:id="854" w:name="_Toc20382"/>
      <w:bookmarkStart w:id="855" w:name="_Toc12367"/>
      <w:bookmarkStart w:id="856" w:name="_Toc26467"/>
      <w:bookmarkStart w:id="857" w:name="_Toc34908953"/>
      <w:r>
        <w:rPr>
          <w:rFonts w:hint="eastAsia" w:ascii="宋体" w:hAnsi="宋体" w:eastAsia="宋体" w:cs="Times New Roman"/>
          <w:b/>
          <w:bCs/>
          <w:kern w:val="0"/>
          <w:sz w:val="24"/>
          <w:szCs w:val="24"/>
          <w:lang w:val="en-US" w:eastAsia="zh-CN" w:bidi="ar-SA"/>
        </w:rPr>
        <w:t>发包人委托</w:t>
      </w:r>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14:paraId="66DE2430">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发包人可将3.4款部分工作委托承包人办理，具体委托内容由双方在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中约定，费用由发包人承担。</w:t>
      </w:r>
      <w:bookmarkEnd w:id="857"/>
    </w:p>
    <w:p w14:paraId="112F403F">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858" w:name="_Toc742"/>
      <w:bookmarkStart w:id="859" w:name="_Toc208587471"/>
      <w:bookmarkStart w:id="860" w:name="_Toc16917"/>
      <w:bookmarkStart w:id="861" w:name="_Toc26745"/>
      <w:bookmarkStart w:id="862" w:name="_Toc1896618060"/>
      <w:bookmarkStart w:id="863" w:name="_Toc31001"/>
      <w:bookmarkStart w:id="864" w:name="_Toc5603"/>
      <w:bookmarkStart w:id="865" w:name="_Toc35656967"/>
      <w:bookmarkStart w:id="866" w:name="_Toc34908955"/>
      <w:bookmarkStart w:id="867" w:name="_Toc305331248"/>
      <w:bookmarkStart w:id="868" w:name="_Toc16492"/>
      <w:bookmarkStart w:id="869" w:name="_Toc302635720"/>
      <w:bookmarkStart w:id="870" w:name="_Toc201735266"/>
      <w:bookmarkStart w:id="871" w:name="_Toc28376"/>
      <w:bookmarkStart w:id="872" w:name="_Toc14361"/>
      <w:bookmarkStart w:id="873" w:name="_Toc18441"/>
      <w:bookmarkStart w:id="874" w:name="_Toc35656467"/>
      <w:bookmarkStart w:id="875" w:name="_Toc29877"/>
      <w:r>
        <w:rPr>
          <w:rFonts w:hint="eastAsia" w:ascii="华文细黑" w:hAnsi="宋体" w:eastAsia="宋体" w:cs="Times New Roman"/>
          <w:b/>
          <w:bCs/>
          <w:snapToGrid w:val="0"/>
          <w:kern w:val="0"/>
          <w:sz w:val="28"/>
          <w:szCs w:val="44"/>
          <w:lang w:val="en-US" w:eastAsia="zh-CN" w:bidi="ar-SA"/>
        </w:rPr>
        <w:t>承包人</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14:paraId="5D5904A9">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876" w:name="_Toc23000"/>
      <w:bookmarkStart w:id="877" w:name="_Toc25890"/>
      <w:bookmarkStart w:id="878" w:name="_Toc201735267"/>
      <w:bookmarkStart w:id="879" w:name="_Toc17988"/>
      <w:bookmarkStart w:id="880" w:name="_Toc15093"/>
      <w:bookmarkStart w:id="881" w:name="_Toc208587472"/>
      <w:bookmarkStart w:id="882" w:name="_Toc30689"/>
      <w:bookmarkStart w:id="883" w:name="_Toc302635721"/>
      <w:bookmarkStart w:id="884" w:name="_Toc26003"/>
      <w:bookmarkStart w:id="885" w:name="_Toc9862"/>
      <w:bookmarkStart w:id="886" w:name="_Toc1518600000"/>
      <w:bookmarkStart w:id="887" w:name="_Toc334"/>
      <w:bookmarkStart w:id="888" w:name="_Toc305331249"/>
      <w:bookmarkStart w:id="889" w:name="_Toc27484"/>
      <w:bookmarkStart w:id="890" w:name="_Toc23096"/>
      <w:bookmarkStart w:id="891" w:name="_Toc34908956"/>
      <w:r>
        <w:rPr>
          <w:rFonts w:hint="eastAsia" w:ascii="宋体" w:hAnsi="宋体" w:eastAsia="宋体" w:cs="Times New Roman"/>
          <w:b/>
          <w:bCs/>
          <w:kern w:val="0"/>
          <w:sz w:val="24"/>
          <w:szCs w:val="24"/>
          <w:lang w:val="en-US" w:eastAsia="zh-CN" w:bidi="ar-SA"/>
        </w:rPr>
        <w:t>承包人的义务</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14:paraId="3124494B">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承包人应履行本合同所约定的全部义务。承包人应精心组织施工，按时完成本工程及其在保修期内对缺陷的修复。为此，承包人应提供所需的全部监督管理、人工、材料、工程设备、施工设备、往返工地的交通以及合同约定或合理地推断为进行本工程而需要的各种资源。</w:t>
      </w:r>
      <w:bookmarkEnd w:id="891"/>
    </w:p>
    <w:p w14:paraId="004C4F9F">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892" w:name="_Toc16944"/>
      <w:bookmarkStart w:id="893" w:name="_Toc18690"/>
      <w:bookmarkStart w:id="894" w:name="_Toc12258"/>
      <w:bookmarkStart w:id="895" w:name="_Toc876343172"/>
      <w:bookmarkStart w:id="896" w:name="_Toc11071"/>
      <w:bookmarkStart w:id="897" w:name="_Toc5587"/>
      <w:bookmarkStart w:id="898" w:name="_Toc31105"/>
      <w:bookmarkStart w:id="899" w:name="_Toc1059"/>
      <w:bookmarkStart w:id="900" w:name="_Toc208587473"/>
      <w:bookmarkStart w:id="901" w:name="_Toc1369"/>
      <w:bookmarkStart w:id="902" w:name="_Toc302635722"/>
      <w:bookmarkStart w:id="903" w:name="_Toc305331250"/>
      <w:bookmarkStart w:id="904" w:name="_Toc201735268"/>
      <w:bookmarkStart w:id="905" w:name="_Toc26062"/>
      <w:bookmarkStart w:id="906" w:name="_Toc8168"/>
      <w:r>
        <w:rPr>
          <w:rFonts w:hint="eastAsia" w:ascii="宋体" w:hAnsi="宋体" w:eastAsia="宋体" w:cs="Times New Roman"/>
          <w:b/>
          <w:bCs/>
          <w:kern w:val="0"/>
          <w:sz w:val="24"/>
          <w:szCs w:val="24"/>
          <w:lang w:val="en-US" w:eastAsia="zh-CN" w:bidi="ar-SA"/>
        </w:rPr>
        <w:t>承包人的工作</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14:paraId="32D1D087">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(1)承包人应按照</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约定完成以下工作：</w:t>
      </w:r>
    </w:p>
    <w:p w14:paraId="0F9D3B72">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①办理法律规定应由承包人办理的许可和批准，并将办理结果书面报送发包人留存；</w:t>
      </w:r>
    </w:p>
    <w:p w14:paraId="67FA1D9E">
      <w:pPr>
        <w:tabs>
          <w:tab w:val="left" w:pos="1620"/>
          <w:tab w:val="left" w:pos="2340"/>
        </w:tabs>
        <w:ind w:left="1079"/>
        <w:jc w:val="left"/>
        <w:rPr>
          <w:rFonts w:hint="eastAsia" w:ascii="宋体" w:hAnsi="宋体" w:eastAsia="宋体" w:cs="Times New Roman"/>
          <w:kern w:val="0"/>
          <w:szCs w:val="24"/>
        </w:rPr>
      </w:pPr>
      <w:r>
        <w:rPr>
          <w:rFonts w:hint="eastAsia" w:ascii="宋体" w:hAnsi="宋体" w:eastAsia="宋体" w:cs="Times New Roman"/>
          <w:kern w:val="0"/>
          <w:szCs w:val="24"/>
        </w:rPr>
        <w:t>②按法律规定和合同约定完成工程，并在保修期内承担保修义务；在本工程或本工程中某单位工程已竣工但未交付发包人以前，负责已完工程的保护工作，保护期间发生损坏，应予以修复并承担费用。如发包人要求承包人采取特殊保护措施，发包人应承担相应费用；</w:t>
      </w:r>
    </w:p>
    <w:p w14:paraId="5FC112DB">
      <w:pPr>
        <w:tabs>
          <w:tab w:val="left" w:pos="1620"/>
          <w:tab w:val="left" w:pos="2340"/>
        </w:tabs>
        <w:ind w:left="1079"/>
        <w:jc w:val="left"/>
        <w:rPr>
          <w:rFonts w:hint="eastAsia" w:ascii="宋体" w:hAnsi="宋体" w:eastAsia="宋体" w:cs="Times New Roman"/>
          <w:kern w:val="0"/>
          <w:szCs w:val="24"/>
        </w:rPr>
      </w:pPr>
      <w:r>
        <w:rPr>
          <w:rFonts w:hint="eastAsia" w:ascii="宋体" w:hAnsi="宋体" w:eastAsia="宋体" w:cs="Times New Roman"/>
          <w:kern w:val="0"/>
          <w:szCs w:val="24"/>
        </w:rPr>
        <w:t>③除</w:t>
      </w:r>
      <w:r>
        <w:rPr>
          <w:rFonts w:hint="eastAsia" w:ascii="宋体" w:hAnsi="宋体" w:eastAsia="宋体" w:cs="Times New Roman"/>
          <w:b/>
          <w:i/>
          <w:kern w:val="0"/>
          <w:szCs w:val="24"/>
        </w:rPr>
        <w:t>专用条款</w:t>
      </w:r>
      <w:r>
        <w:rPr>
          <w:rFonts w:hint="eastAsia" w:ascii="宋体" w:hAnsi="宋体" w:eastAsia="宋体" w:cs="Times New Roman"/>
          <w:kern w:val="0"/>
          <w:szCs w:val="24"/>
        </w:rPr>
        <w:t xml:space="preserve">另有约定外，向发包人提供施工场地办公和生活的房屋及设施，发包人承担由此发生的费用； </w:t>
      </w:r>
    </w:p>
    <w:p w14:paraId="55ED7937">
      <w:pPr>
        <w:tabs>
          <w:tab w:val="left" w:pos="1620"/>
          <w:tab w:val="left" w:pos="2340"/>
        </w:tabs>
        <w:ind w:left="1079"/>
        <w:jc w:val="left"/>
        <w:rPr>
          <w:rFonts w:hint="eastAsia" w:ascii="宋体" w:hAnsi="宋体" w:eastAsia="宋体" w:cs="Times New Roman"/>
          <w:kern w:val="0"/>
          <w:szCs w:val="24"/>
        </w:rPr>
      </w:pPr>
      <w:r>
        <w:rPr>
          <w:rFonts w:hint="eastAsia" w:ascii="宋体" w:hAnsi="宋体" w:eastAsia="宋体" w:cs="Times New Roman"/>
          <w:kern w:val="0"/>
          <w:szCs w:val="24"/>
        </w:rPr>
        <w:t>④</w:t>
      </w:r>
      <w:r>
        <w:rPr>
          <w:rFonts w:ascii="宋体" w:hAnsi="宋体" w:eastAsia="宋体" w:cs="Times New Roman"/>
          <w:kern w:val="0"/>
          <w:szCs w:val="24"/>
        </w:rPr>
        <w:t>按法律规定和合同约定采取施工安全措施，确保工程及其人员、材料、设备和设施的安全，防止因工程施工造成的人身伤害和财产损失；采取环境保护措施，负责施工场地及其周边环境与生态的保护工作；</w:t>
      </w:r>
    </w:p>
    <w:p w14:paraId="2F5FAF7D">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⑤</w:t>
      </w:r>
      <w:r>
        <w:rPr>
          <w:rFonts w:ascii="宋体" w:hAnsi="宋体" w:eastAsia="宋体" w:cs="Times New Roman"/>
          <w:kern w:val="0"/>
          <w:szCs w:val="24"/>
        </w:rPr>
        <w:t>按合同约定的工作内容和施工进度要求，编制施工组织设计和施工措施计划，并对所有施工作业和施工方法的完备性和安全可靠性负责；</w:t>
      </w:r>
    </w:p>
    <w:p w14:paraId="1E9B4EA6">
      <w:pPr>
        <w:tabs>
          <w:tab w:val="left" w:pos="1620"/>
          <w:tab w:val="left" w:pos="2340"/>
        </w:tabs>
        <w:ind w:left="1079"/>
        <w:jc w:val="left"/>
        <w:rPr>
          <w:rFonts w:hint="eastAsia" w:ascii="宋体" w:hAnsi="宋体" w:eastAsia="宋体" w:cs="Times New Roman"/>
          <w:kern w:val="0"/>
          <w:szCs w:val="24"/>
        </w:rPr>
      </w:pPr>
      <w:r>
        <w:rPr>
          <w:rFonts w:hint="eastAsia" w:ascii="宋体" w:hAnsi="宋体" w:eastAsia="宋体" w:cs="Times New Roman"/>
          <w:kern w:val="0"/>
          <w:szCs w:val="24"/>
        </w:rPr>
        <w:t>⑥</w:t>
      </w:r>
      <w:r>
        <w:rPr>
          <w:rFonts w:ascii="宋体" w:hAnsi="宋体" w:eastAsia="宋体" w:cs="Times New Roman"/>
          <w:kern w:val="0"/>
          <w:szCs w:val="24"/>
        </w:rPr>
        <w:t>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79FC19EC">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⑦将</w:t>
      </w:r>
      <w:r>
        <w:rPr>
          <w:rFonts w:ascii="宋体" w:hAnsi="宋体" w:eastAsia="宋体" w:cs="Times New Roman"/>
          <w:kern w:val="0"/>
          <w:szCs w:val="24"/>
        </w:rPr>
        <w:t>发包人按合同约定支付的各项价款专用于</w:t>
      </w:r>
      <w:r>
        <w:rPr>
          <w:rFonts w:hint="eastAsia" w:ascii="宋体" w:hAnsi="宋体" w:eastAsia="宋体" w:cs="Times New Roman"/>
          <w:kern w:val="0"/>
          <w:szCs w:val="24"/>
        </w:rPr>
        <w:t>本</w:t>
      </w:r>
      <w:r>
        <w:rPr>
          <w:rFonts w:ascii="宋体" w:hAnsi="宋体" w:eastAsia="宋体" w:cs="Times New Roman"/>
          <w:kern w:val="0"/>
          <w:szCs w:val="24"/>
        </w:rPr>
        <w:t>工程，且应及时支付其雇用人员工资，并及时向分包人支付合同价款；</w:t>
      </w:r>
    </w:p>
    <w:p w14:paraId="6B5F2DC6">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⑧</w:t>
      </w:r>
      <w:r>
        <w:rPr>
          <w:rFonts w:ascii="宋体" w:hAnsi="宋体" w:eastAsia="宋体" w:cs="Times New Roman"/>
          <w:kern w:val="0"/>
          <w:szCs w:val="24"/>
        </w:rPr>
        <w:t>按照法律规定和合同约定编制竣工资料，完成竣工资料立卷及归档，并按</w:t>
      </w:r>
      <w:r>
        <w:rPr>
          <w:rFonts w:ascii="宋体" w:hAnsi="宋体" w:eastAsia="宋体" w:cs="Times New Roman"/>
          <w:b/>
          <w:i/>
          <w:kern w:val="0"/>
          <w:szCs w:val="24"/>
        </w:rPr>
        <w:t>专用条款</w:t>
      </w:r>
      <w:r>
        <w:rPr>
          <w:rFonts w:ascii="宋体" w:hAnsi="宋体" w:eastAsia="宋体" w:cs="Times New Roman"/>
          <w:kern w:val="0"/>
          <w:szCs w:val="24"/>
        </w:rPr>
        <w:t>约定的竣工资料的套数、时间等要求移交发包人；</w:t>
      </w:r>
    </w:p>
    <w:p w14:paraId="2277C6C0">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⑨在</w:t>
      </w:r>
      <w:r>
        <w:rPr>
          <w:rFonts w:hint="eastAsia" w:ascii="宋体" w:hAnsi="宋体" w:eastAsia="宋体" w:cs="Times New Roman"/>
          <w:b/>
          <w:i/>
          <w:kern w:val="0"/>
          <w:szCs w:val="24"/>
        </w:rPr>
        <w:t>专用条款</w:t>
      </w:r>
      <w:r>
        <w:rPr>
          <w:rFonts w:hint="eastAsia" w:ascii="宋体" w:hAnsi="宋体" w:eastAsia="宋体" w:cs="Times New Roman"/>
          <w:kern w:val="0"/>
          <w:szCs w:val="24"/>
        </w:rPr>
        <w:t>内约定承包人应做的其他工作。</w:t>
      </w:r>
    </w:p>
    <w:p w14:paraId="0FD4AC4B">
      <w:pPr>
        <w:tabs>
          <w:tab w:val="left" w:pos="1620"/>
          <w:tab w:val="left" w:pos="2340"/>
        </w:tabs>
        <w:spacing w:before="156"/>
        <w:ind w:left="899"/>
        <w:jc w:val="left"/>
        <w:rPr>
          <w:rFonts w:hint="eastAsia" w:ascii="宋体" w:hAnsi="宋体" w:eastAsia="宋体" w:cs="Times New Roman"/>
          <w:kern w:val="0"/>
          <w:szCs w:val="24"/>
        </w:rPr>
      </w:pPr>
      <w:bookmarkStart w:id="907" w:name="_Toc34908958"/>
      <w:r>
        <w:rPr>
          <w:rFonts w:hint="eastAsia" w:ascii="宋体" w:hAnsi="宋体" w:eastAsia="宋体" w:cs="Times New Roman"/>
          <w:kern w:val="0"/>
          <w:szCs w:val="24"/>
        </w:rPr>
        <w:t>(2)承包人未完成3.5款及4.2款约定的各项工作，承包人应承担由此增加的费用和（或）延误的工期。</w:t>
      </w:r>
      <w:bookmarkEnd w:id="907"/>
    </w:p>
    <w:p w14:paraId="7EF9DB29">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908" w:name="_Toc35656469"/>
      <w:bookmarkStart w:id="909" w:name="_Toc34908971"/>
      <w:bookmarkStart w:id="910" w:name="_Toc35656970"/>
      <w:bookmarkStart w:id="911" w:name="_Toc305331251"/>
      <w:bookmarkStart w:id="912" w:name="_Toc14416"/>
      <w:bookmarkStart w:id="913" w:name="_Toc201735269"/>
      <w:bookmarkStart w:id="914" w:name="_Toc12662"/>
      <w:bookmarkStart w:id="915" w:name="_Toc18776"/>
      <w:bookmarkStart w:id="916" w:name="_Toc9722"/>
      <w:bookmarkStart w:id="917" w:name="_Toc26697"/>
      <w:bookmarkStart w:id="918" w:name="_Toc1965"/>
      <w:bookmarkStart w:id="919" w:name="_Toc208587474"/>
      <w:bookmarkStart w:id="920" w:name="_Toc30388"/>
      <w:bookmarkStart w:id="921" w:name="_Toc32446"/>
      <w:bookmarkStart w:id="922" w:name="_Toc318987863"/>
      <w:bookmarkStart w:id="923" w:name="_Toc17727"/>
      <w:bookmarkStart w:id="924" w:name="_Toc302635723"/>
      <w:bookmarkStart w:id="925" w:name="_Toc3776"/>
      <w:r>
        <w:rPr>
          <w:rFonts w:hint="eastAsia" w:ascii="宋体" w:hAnsi="宋体" w:eastAsia="宋体" w:cs="Times New Roman"/>
          <w:b/>
          <w:bCs/>
          <w:kern w:val="0"/>
          <w:sz w:val="24"/>
          <w:szCs w:val="24"/>
          <w:lang w:val="en-US" w:eastAsia="zh-CN" w:bidi="ar-SA"/>
        </w:rPr>
        <w:t>项目经理</w:t>
      </w:r>
      <w:bookmarkEnd w:id="908"/>
      <w:bookmarkEnd w:id="909"/>
      <w:bookmarkEnd w:id="910"/>
      <w:r>
        <w:rPr>
          <w:rFonts w:hint="eastAsia" w:ascii="宋体" w:hAnsi="宋体" w:eastAsia="宋体" w:cs="Times New Roman"/>
          <w:b/>
          <w:bCs/>
          <w:kern w:val="0"/>
          <w:sz w:val="24"/>
          <w:szCs w:val="24"/>
          <w:lang w:val="en-US" w:eastAsia="zh-CN" w:bidi="ar-SA"/>
        </w:rPr>
        <w:t>的任命</w:t>
      </w:r>
      <w:bookmarkEnd w:id="911"/>
      <w:r>
        <w:rPr>
          <w:rFonts w:hint="eastAsia" w:ascii="宋体" w:hAnsi="宋体" w:eastAsia="宋体" w:cs="Times New Roman"/>
          <w:b/>
          <w:bCs/>
          <w:kern w:val="0"/>
          <w:sz w:val="24"/>
          <w:szCs w:val="24"/>
          <w:lang w:val="en-US" w:eastAsia="zh-CN" w:bidi="ar-SA"/>
        </w:rPr>
        <w:t>和职责</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14:paraId="10B8F2D3">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(1)承包人应任命项目经理，授权其代表承包人履行本合同约定的权利和义务，</w:t>
      </w:r>
      <w:bookmarkStart w:id="926" w:name="_Toc34908973"/>
      <w:r>
        <w:rPr>
          <w:rFonts w:hint="eastAsia" w:ascii="宋体" w:hAnsi="宋体" w:eastAsia="宋体" w:cs="Times New Roman"/>
          <w:kern w:val="0"/>
          <w:szCs w:val="24"/>
        </w:rPr>
        <w:t>承包人根据合同发出的一切文件(包括致发包人或</w:t>
      </w:r>
      <w:r>
        <w:rPr>
          <w:rFonts w:ascii="宋体" w:hAnsi="宋体" w:eastAsia="宋体" w:cs="Times New Roman"/>
          <w:kern w:val="0"/>
          <w:szCs w:val="24"/>
        </w:rPr>
        <w:t>监理人</w:t>
      </w:r>
      <w:r>
        <w:rPr>
          <w:rFonts w:hint="eastAsia" w:ascii="宋体" w:hAnsi="宋体" w:eastAsia="宋体" w:cs="Times New Roman"/>
          <w:kern w:val="0"/>
          <w:szCs w:val="24"/>
        </w:rPr>
        <w:t>的通知)，均应以书面形式由承包人盖章和（或）项目经理签字后发出。</w:t>
      </w:r>
      <w:bookmarkEnd w:id="926"/>
    </w:p>
    <w:p w14:paraId="3B7E1847">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承包人任命的项目经理，应是承包人正式聘用的员工，承包人应向发包人提交项目经理与承包人之间的劳动合同，以及承包人为项目经理缴纳社会保险的有效证明。项目经理应取得符合本工程要求的建造师资格，应在承包人单位注册，应与投标文件所载明的人选一致，并经发包人确认后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中明确。</w:t>
      </w:r>
    </w:p>
    <w:p w14:paraId="1147C562">
      <w:pPr>
        <w:tabs>
          <w:tab w:val="left" w:pos="1620"/>
          <w:tab w:val="left" w:pos="2340"/>
        </w:tabs>
        <w:spacing w:after="156"/>
        <w:ind w:left="899"/>
        <w:jc w:val="left"/>
        <w:rPr>
          <w:rFonts w:hint="eastAsia" w:ascii="宋体" w:hAnsi="宋体" w:eastAsia="宋体" w:cs="Times New Roman"/>
          <w:kern w:val="0"/>
          <w:szCs w:val="24"/>
        </w:rPr>
      </w:pPr>
      <w:bookmarkStart w:id="927" w:name="_Toc34908974"/>
      <w:r>
        <w:rPr>
          <w:rFonts w:hint="eastAsia" w:ascii="宋体" w:hAnsi="宋体" w:eastAsia="宋体" w:cs="Times New Roman"/>
          <w:kern w:val="0"/>
          <w:szCs w:val="24"/>
        </w:rPr>
        <w:t>(3)若承包人派驻现场的项目经理与投标文件的承诺不一致，或项目经理未及时到位、未常驻现场、每月在施工现场时间少于</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约定的天数，或同时兼任</w:t>
      </w:r>
      <w:r>
        <w:rPr>
          <w:rFonts w:ascii="宋体" w:hAnsi="宋体" w:eastAsia="宋体" w:cs="Times New Roman"/>
          <w:kern w:val="0"/>
          <w:szCs w:val="24"/>
        </w:rPr>
        <w:t>其他</w:t>
      </w:r>
      <w:r>
        <w:rPr>
          <w:rFonts w:hint="eastAsia" w:ascii="宋体" w:hAnsi="宋体" w:eastAsia="宋体" w:cs="Times New Roman"/>
          <w:kern w:val="0"/>
          <w:szCs w:val="24"/>
        </w:rPr>
        <w:t>工程</w:t>
      </w:r>
      <w:r>
        <w:rPr>
          <w:rFonts w:ascii="宋体" w:hAnsi="宋体" w:eastAsia="宋体" w:cs="Times New Roman"/>
          <w:kern w:val="0"/>
          <w:szCs w:val="24"/>
        </w:rPr>
        <w:t>的</w:t>
      </w:r>
      <w:r>
        <w:rPr>
          <w:rFonts w:hint="eastAsia" w:ascii="宋体" w:hAnsi="宋体" w:eastAsia="宋体" w:cs="Times New Roman"/>
          <w:kern w:val="0"/>
          <w:szCs w:val="24"/>
        </w:rPr>
        <w:t>项目经理，承包人应按照</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中的约定向发包人承担违约责任。</w:t>
      </w:r>
    </w:p>
    <w:p w14:paraId="093D15D5">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w:t>
      </w:r>
      <w:r>
        <w:rPr>
          <w:rFonts w:ascii="宋体" w:hAnsi="宋体" w:eastAsia="宋体" w:cs="Times New Roman"/>
          <w:kern w:val="0"/>
          <w:szCs w:val="24"/>
        </w:rPr>
        <w:t>项目经理</w:t>
      </w:r>
      <w:r>
        <w:rPr>
          <w:rFonts w:hint="eastAsia" w:ascii="宋体" w:hAnsi="宋体" w:eastAsia="宋体" w:cs="Times New Roman"/>
          <w:kern w:val="0"/>
          <w:szCs w:val="24"/>
        </w:rPr>
        <w:t>应</w:t>
      </w:r>
      <w:r>
        <w:rPr>
          <w:rFonts w:ascii="宋体" w:hAnsi="宋体" w:eastAsia="宋体" w:cs="Times New Roman"/>
          <w:kern w:val="0"/>
          <w:szCs w:val="24"/>
        </w:rPr>
        <w:t>按合同约定组织工程实施。在紧急情况下</w:t>
      </w:r>
      <w:r>
        <w:rPr>
          <w:rFonts w:hint="eastAsia" w:ascii="宋体" w:hAnsi="宋体" w:eastAsia="宋体" w:cs="Times New Roman"/>
          <w:kern w:val="0"/>
          <w:szCs w:val="24"/>
        </w:rPr>
        <w:t>为确保施工安全和人员安全</w:t>
      </w:r>
      <w:r>
        <w:rPr>
          <w:rFonts w:ascii="宋体" w:hAnsi="宋体" w:eastAsia="宋体" w:cs="Times New Roman"/>
          <w:kern w:val="0"/>
          <w:szCs w:val="24"/>
        </w:rPr>
        <w:t>，</w:t>
      </w:r>
      <w:r>
        <w:rPr>
          <w:rFonts w:hint="eastAsia" w:ascii="宋体" w:hAnsi="宋体" w:eastAsia="宋体" w:cs="Times New Roman"/>
          <w:kern w:val="0"/>
          <w:szCs w:val="24"/>
        </w:rPr>
        <w:t>在</w:t>
      </w:r>
      <w:r>
        <w:rPr>
          <w:rFonts w:ascii="宋体" w:hAnsi="宋体" w:eastAsia="宋体" w:cs="Times New Roman"/>
          <w:kern w:val="0"/>
          <w:szCs w:val="24"/>
        </w:rPr>
        <w:t>无法与发包人代表</w:t>
      </w:r>
      <w:r>
        <w:rPr>
          <w:rFonts w:hint="eastAsia" w:ascii="宋体" w:hAnsi="宋体" w:eastAsia="宋体" w:cs="Times New Roman"/>
          <w:kern w:val="0"/>
          <w:szCs w:val="24"/>
        </w:rPr>
        <w:t>或</w:t>
      </w:r>
      <w:r>
        <w:rPr>
          <w:rFonts w:ascii="宋体" w:hAnsi="宋体" w:eastAsia="宋体" w:cs="Times New Roman"/>
          <w:kern w:val="0"/>
          <w:szCs w:val="24"/>
        </w:rPr>
        <w:t>总监理工程师</w:t>
      </w:r>
      <w:r>
        <w:rPr>
          <w:rFonts w:hint="eastAsia" w:ascii="宋体" w:hAnsi="宋体" w:eastAsia="宋体" w:cs="Times New Roman"/>
          <w:kern w:val="0"/>
          <w:szCs w:val="24"/>
        </w:rPr>
        <w:t>及时</w:t>
      </w:r>
      <w:r>
        <w:rPr>
          <w:rFonts w:ascii="宋体" w:hAnsi="宋体" w:eastAsia="宋体" w:cs="Times New Roman"/>
          <w:kern w:val="0"/>
          <w:szCs w:val="24"/>
        </w:rPr>
        <w:t>取得联系时，项目经理有权采取必要的措施保证与工程有关的人身、财产和工程的安全，但应在48小时内向发包人代表和总监理工程师提交书面报告。</w:t>
      </w:r>
    </w:p>
    <w:p w14:paraId="032BC4F2">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928" w:name="_Toc8998"/>
      <w:bookmarkStart w:id="929" w:name="_Toc28611"/>
      <w:bookmarkStart w:id="930" w:name="_Toc21370"/>
      <w:bookmarkStart w:id="931" w:name="_Toc1834424252"/>
      <w:bookmarkStart w:id="932" w:name="_Toc302635724"/>
      <w:bookmarkStart w:id="933" w:name="_Toc208587475"/>
      <w:bookmarkStart w:id="934" w:name="_Toc29013"/>
      <w:bookmarkStart w:id="935" w:name="_Toc305331252"/>
      <w:bookmarkStart w:id="936" w:name="_Toc4994"/>
      <w:bookmarkStart w:id="937" w:name="_Toc17405"/>
      <w:bookmarkStart w:id="938" w:name="_Toc7082"/>
      <w:bookmarkStart w:id="939" w:name="_Toc14355"/>
      <w:bookmarkStart w:id="940" w:name="_Toc17814"/>
      <w:bookmarkStart w:id="941" w:name="_Toc201735270"/>
      <w:bookmarkStart w:id="942" w:name="_Toc29783"/>
      <w:r>
        <w:rPr>
          <w:rFonts w:hint="eastAsia" w:ascii="宋体" w:hAnsi="宋体" w:eastAsia="宋体" w:cs="Times New Roman"/>
          <w:b/>
          <w:bCs/>
          <w:kern w:val="0"/>
          <w:sz w:val="24"/>
          <w:szCs w:val="24"/>
          <w:lang w:val="en-US" w:eastAsia="zh-CN" w:bidi="ar-SA"/>
        </w:rPr>
        <w:t>项目经理的更换</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14:paraId="44DC74E6">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(1)承包人的项目经理除以下情形之一外，不得更换：</w:t>
      </w:r>
    </w:p>
    <w:p w14:paraId="78190D12">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①因重病或重伤(持有县、区以上医院证明)两个月以上不能履行职责的；</w:t>
      </w:r>
    </w:p>
    <w:p w14:paraId="77823BEA">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②主动辞职或调离原工作单位的；</w:t>
      </w:r>
    </w:p>
    <w:p w14:paraId="324A4C85">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③因管理原因发生重大工程质量、安全事故，承包人认为该项目经理不称职需要更换的；</w:t>
      </w:r>
    </w:p>
    <w:p w14:paraId="15D3FF31">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④无能力履行合同的责任和义务，造成严重后果，发包人要求更换的；</w:t>
      </w:r>
    </w:p>
    <w:p w14:paraId="07D86E1A">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⑤因违法被责令停止执业的；</w:t>
      </w:r>
    </w:p>
    <w:p w14:paraId="2E85076D">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⑥因</w:t>
      </w:r>
      <w:r>
        <w:rPr>
          <w:rFonts w:ascii="宋体" w:hAnsi="宋体" w:eastAsia="宋体" w:cs="Times New Roman"/>
          <w:kern w:val="0"/>
          <w:szCs w:val="24"/>
        </w:rPr>
        <w:t>涉嫌</w:t>
      </w:r>
      <w:r>
        <w:rPr>
          <w:rFonts w:hint="eastAsia" w:ascii="宋体" w:hAnsi="宋体" w:eastAsia="宋体" w:cs="Times New Roman"/>
          <w:kern w:val="0"/>
          <w:szCs w:val="24"/>
        </w:rPr>
        <w:t>犯罪被羁押或判刑的；</w:t>
      </w:r>
    </w:p>
    <w:p w14:paraId="1042E8BF">
      <w:pPr>
        <w:tabs>
          <w:tab w:val="left" w:pos="1620"/>
          <w:tab w:val="left" w:pos="2340"/>
        </w:tabs>
        <w:spacing w:after="156"/>
        <w:ind w:left="1079"/>
        <w:jc w:val="left"/>
        <w:rPr>
          <w:rFonts w:hint="eastAsia" w:ascii="宋体" w:hAnsi="宋体" w:eastAsia="宋体" w:cs="Times New Roman"/>
          <w:kern w:val="0"/>
          <w:szCs w:val="24"/>
        </w:rPr>
      </w:pPr>
      <w:r>
        <w:rPr>
          <w:rFonts w:hint="eastAsia" w:ascii="宋体" w:hAnsi="宋体" w:eastAsia="宋体" w:cs="Times New Roman"/>
          <w:kern w:val="0"/>
          <w:szCs w:val="24"/>
        </w:rPr>
        <w:t>⑦死亡。</w:t>
      </w:r>
    </w:p>
    <w:p w14:paraId="6C28ADD9">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(2)承包人如确需更换项目经理，应至少提前7天以书面形式通知</w:t>
      </w:r>
      <w:r>
        <w:rPr>
          <w:rFonts w:ascii="宋体" w:hAnsi="宋体" w:eastAsia="宋体" w:cs="Times New Roman"/>
          <w:kern w:val="0"/>
          <w:szCs w:val="24"/>
        </w:rPr>
        <w:t>监理人</w:t>
      </w:r>
      <w:r>
        <w:rPr>
          <w:rFonts w:hint="eastAsia" w:ascii="宋体" w:hAnsi="宋体" w:eastAsia="宋体" w:cs="Times New Roman"/>
          <w:kern w:val="0"/>
          <w:szCs w:val="24"/>
        </w:rPr>
        <w:t>，并报发包人同意，并按市</w:t>
      </w:r>
      <w:r>
        <w:rPr>
          <w:rFonts w:hint="eastAsia" w:ascii="Times New Roman" w:hAnsi="Times New Roman" w:eastAsia="宋体" w:cs="Times New Roman"/>
          <w:szCs w:val="24"/>
        </w:rPr>
        <w:t>建设行政主管部门的规定办理变更手续，否则更换无效</w:t>
      </w:r>
      <w:r>
        <w:rPr>
          <w:rFonts w:hint="eastAsia" w:ascii="宋体" w:hAnsi="宋体" w:eastAsia="宋体" w:cs="Times New Roman"/>
          <w:kern w:val="0"/>
          <w:szCs w:val="24"/>
        </w:rPr>
        <w:t>。</w:t>
      </w:r>
      <w:r>
        <w:rPr>
          <w:rFonts w:hint="eastAsia" w:ascii="Times New Roman" w:hAnsi="Times New Roman" w:eastAsia="宋体" w:cs="Times New Roman"/>
          <w:szCs w:val="24"/>
        </w:rPr>
        <w:t>发包人应在收到通知后7天内予以答复，否则视为同意。续任项目经理应继续行使合同约定的项目经理的职权和履行相应的义务。</w:t>
      </w:r>
      <w:bookmarkEnd w:id="927"/>
      <w:r>
        <w:rPr>
          <w:rFonts w:hint="eastAsia" w:ascii="Times New Roman" w:hAnsi="Times New Roman" w:eastAsia="宋体" w:cs="Times New Roman"/>
          <w:szCs w:val="24"/>
        </w:rPr>
        <w:t>承包人</w:t>
      </w:r>
      <w:r>
        <w:rPr>
          <w:rFonts w:hint="eastAsia" w:ascii="宋体" w:hAnsi="宋体" w:eastAsia="宋体" w:cs="Times New Roman"/>
          <w:kern w:val="0"/>
          <w:szCs w:val="24"/>
        </w:rPr>
        <w:t>未经</w:t>
      </w:r>
      <w:r>
        <w:rPr>
          <w:rFonts w:ascii="宋体" w:hAnsi="宋体" w:eastAsia="宋体" w:cs="Times New Roman"/>
          <w:kern w:val="0"/>
          <w:szCs w:val="24"/>
        </w:rPr>
        <w:t>监理人</w:t>
      </w:r>
      <w:r>
        <w:rPr>
          <w:rFonts w:hint="eastAsia" w:ascii="宋体" w:hAnsi="宋体" w:eastAsia="宋体" w:cs="Times New Roman"/>
          <w:kern w:val="0"/>
          <w:szCs w:val="24"/>
        </w:rPr>
        <w:t>及发包人同意更换项目经理的，承包人应按照</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中的约定向发包人支付违约金。</w:t>
      </w:r>
    </w:p>
    <w:p w14:paraId="5ECBE97C">
      <w:pPr>
        <w:tabs>
          <w:tab w:val="left" w:pos="1620"/>
          <w:tab w:val="left" w:pos="2340"/>
        </w:tabs>
        <w:spacing w:after="156"/>
        <w:ind w:left="899"/>
        <w:jc w:val="left"/>
        <w:rPr>
          <w:rFonts w:hint="eastAsia" w:ascii="Times New Roman" w:hAnsi="Times New Roman" w:eastAsia="宋体" w:cs="Times New Roman"/>
          <w:szCs w:val="24"/>
        </w:rPr>
      </w:pPr>
      <w:r>
        <w:rPr>
          <w:rFonts w:hint="eastAsia" w:ascii="宋体" w:hAnsi="宋体" w:eastAsia="宋体" w:cs="Times New Roman"/>
          <w:kern w:val="0"/>
          <w:szCs w:val="24"/>
        </w:rPr>
        <w:t>(3)</w:t>
      </w:r>
      <w:r>
        <w:rPr>
          <w:rFonts w:ascii="Times New Roman" w:hAnsi="Times New Roman" w:eastAsia="宋体" w:cs="Times New Roman"/>
          <w:szCs w:val="24"/>
        </w:rPr>
        <w:t>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承包人无正当理由拒绝更换项目经理的，应按照</w:t>
      </w:r>
      <w:r>
        <w:rPr>
          <w:rFonts w:ascii="Times New Roman" w:hAnsi="Times New Roman" w:eastAsia="宋体" w:cs="Times New Roman"/>
          <w:b/>
          <w:i/>
          <w:szCs w:val="24"/>
        </w:rPr>
        <w:t>专用条款</w:t>
      </w:r>
      <w:r>
        <w:rPr>
          <w:rFonts w:ascii="Times New Roman" w:hAnsi="Times New Roman" w:eastAsia="宋体" w:cs="Times New Roman"/>
          <w:szCs w:val="24"/>
        </w:rPr>
        <w:t>的约定承担违约责任。</w:t>
      </w:r>
    </w:p>
    <w:p w14:paraId="59FC3BDC">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943" w:name="_Toc13397"/>
      <w:bookmarkStart w:id="944" w:name="_Toc27828"/>
      <w:bookmarkStart w:id="945" w:name="_Toc201735271"/>
      <w:bookmarkStart w:id="946" w:name="_Toc32565"/>
      <w:bookmarkStart w:id="947" w:name="_Toc11168"/>
      <w:bookmarkStart w:id="948" w:name="_Toc208587476"/>
      <w:bookmarkStart w:id="949" w:name="_Toc30091"/>
      <w:bookmarkStart w:id="950" w:name="_Toc6467"/>
      <w:bookmarkStart w:id="951" w:name="_Toc32471"/>
      <w:bookmarkStart w:id="952" w:name="_Toc302635725"/>
      <w:bookmarkStart w:id="953" w:name="_Toc1490853567"/>
      <w:bookmarkStart w:id="954" w:name="_Toc24413"/>
      <w:bookmarkStart w:id="955" w:name="_Toc9849"/>
      <w:bookmarkStart w:id="956" w:name="_Toc29094"/>
      <w:r>
        <w:rPr>
          <w:rFonts w:hint="eastAsia" w:ascii="宋体" w:hAnsi="宋体" w:eastAsia="宋体" w:cs="Times New Roman"/>
          <w:b/>
          <w:bCs/>
          <w:kern w:val="0"/>
          <w:sz w:val="24"/>
          <w:szCs w:val="24"/>
          <w:lang w:val="en-US" w:eastAsia="zh-CN" w:bidi="ar-SA"/>
        </w:rPr>
        <w:t>项目经理的临时授权</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14:paraId="1B724417">
      <w:pPr>
        <w:tabs>
          <w:tab w:val="left" w:pos="1620"/>
          <w:tab w:val="left" w:pos="2340"/>
        </w:tabs>
        <w:spacing w:after="156"/>
        <w:ind w:left="899"/>
        <w:jc w:val="left"/>
        <w:rPr>
          <w:rFonts w:hint="eastAsia" w:ascii="Times New Roman" w:hAnsi="Times New Roman" w:eastAsia="宋体" w:cs="Times New Roman"/>
          <w:szCs w:val="24"/>
        </w:rPr>
      </w:pPr>
      <w:r>
        <w:rPr>
          <w:rFonts w:hint="eastAsia" w:ascii="宋体" w:hAnsi="宋体" w:eastAsia="宋体" w:cs="Times New Roman"/>
          <w:kern w:val="0"/>
          <w:szCs w:val="24"/>
        </w:rPr>
        <w:t>(1)</w:t>
      </w:r>
      <w:r>
        <w:rPr>
          <w:rFonts w:ascii="Times New Roman" w:hAnsi="Times New Roman" w:eastAsia="宋体" w:cs="Times New Roman"/>
          <w:szCs w:val="24"/>
        </w:rPr>
        <w:t>项目经理因特殊情况授权其下属人员履行其某项工作职责的，该下属人员应具备履行相应职责的能力，并应提前7天将上述人员的姓名和授权范围书面通知监理人，并征得发包人书面同意。</w:t>
      </w:r>
      <w:r>
        <w:rPr>
          <w:rFonts w:hint="eastAsia" w:ascii="Times New Roman" w:hAnsi="Times New Roman" w:eastAsia="宋体" w:cs="Times New Roman"/>
          <w:szCs w:val="24"/>
        </w:rPr>
        <w:t>未经发包人批准，任何此类授权和撤回均为无效。</w:t>
      </w:r>
    </w:p>
    <w:p w14:paraId="49C50B57">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(2)项目经理临时授权人在项目经理暂离现场期间行使项目经理授予的职权，对承包人负责。临时授权人在项目经理授予职权范围和期限内的工作，项目经理应予认可。</w:t>
      </w:r>
    </w:p>
    <w:p w14:paraId="5CC685F2">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957" w:name="_Toc302635726"/>
      <w:bookmarkStart w:id="958" w:name="_Toc391767572"/>
      <w:bookmarkStart w:id="959" w:name="_Toc31942"/>
      <w:bookmarkStart w:id="960" w:name="_Toc24156"/>
      <w:bookmarkStart w:id="961" w:name="_Toc305331253"/>
      <w:bookmarkStart w:id="962" w:name="_Toc208587477"/>
      <w:bookmarkStart w:id="963" w:name="_Toc25950"/>
      <w:bookmarkStart w:id="964" w:name="_Toc26650"/>
      <w:bookmarkStart w:id="965" w:name="_Toc31661"/>
      <w:bookmarkStart w:id="966" w:name="_Toc28719"/>
      <w:bookmarkStart w:id="967" w:name="_Toc6415"/>
      <w:bookmarkStart w:id="968" w:name="_Toc275"/>
      <w:bookmarkStart w:id="969" w:name="_Toc201735272"/>
      <w:bookmarkStart w:id="970" w:name="_Toc11779"/>
      <w:bookmarkStart w:id="971" w:name="_Toc30424"/>
      <w:r>
        <w:rPr>
          <w:rFonts w:hint="eastAsia" w:ascii="宋体" w:hAnsi="宋体" w:eastAsia="宋体" w:cs="Times New Roman"/>
          <w:b/>
          <w:bCs/>
          <w:kern w:val="0"/>
          <w:sz w:val="24"/>
          <w:szCs w:val="24"/>
          <w:lang w:val="en-US" w:eastAsia="zh-CN" w:bidi="ar-SA"/>
        </w:rPr>
        <w:t>施工管理人员</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14:paraId="1A30CEEC">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(1)承包人应按照投标文件的承诺，为本工程配备施工、技术、合同、材料、质量、安全、财务和</w:t>
      </w:r>
      <w:r>
        <w:rPr>
          <w:rFonts w:hint="eastAsia" w:ascii="Times New Roman" w:hAnsi="Times New Roman" w:eastAsia="宋体" w:cs="Times New Roman"/>
          <w:szCs w:val="24"/>
        </w:rPr>
        <w:t>劳资</w:t>
      </w:r>
      <w:r>
        <w:rPr>
          <w:rFonts w:hint="eastAsia" w:ascii="宋体" w:hAnsi="宋体" w:eastAsia="宋体" w:cs="Times New Roman"/>
          <w:kern w:val="0"/>
          <w:szCs w:val="24"/>
        </w:rPr>
        <w:t>等施工管理人员。</w:t>
      </w:r>
      <w:r>
        <w:rPr>
          <w:rFonts w:ascii="Times New Roman" w:hAnsi="宋体" w:eastAsia="宋体" w:cs="Times New Roman"/>
          <w:szCs w:val="24"/>
        </w:rPr>
        <w:t>承包人应在</w:t>
      </w:r>
      <w:r>
        <w:rPr>
          <w:rFonts w:hint="eastAsia" w:ascii="Times New Roman" w:hAnsi="宋体" w:eastAsia="宋体" w:cs="Times New Roman"/>
          <w:szCs w:val="24"/>
        </w:rPr>
        <w:t>合同签订</w:t>
      </w:r>
      <w:r>
        <w:rPr>
          <w:rFonts w:ascii="Times New Roman" w:hAnsi="宋体" w:eastAsia="宋体" w:cs="Times New Roman"/>
          <w:szCs w:val="24"/>
        </w:rPr>
        <w:t>后7天内提交</w:t>
      </w:r>
      <w:r>
        <w:rPr>
          <w:rFonts w:hint="eastAsia" w:ascii="Times New Roman" w:hAnsi="宋体" w:eastAsia="宋体" w:cs="Times New Roman"/>
          <w:szCs w:val="24"/>
        </w:rPr>
        <w:t>施工</w:t>
      </w:r>
      <w:r>
        <w:rPr>
          <w:rFonts w:ascii="Times New Roman" w:hAnsi="宋体" w:eastAsia="宋体" w:cs="Times New Roman"/>
          <w:szCs w:val="24"/>
        </w:rPr>
        <w:t>管理人员的名单</w:t>
      </w:r>
      <w:r>
        <w:rPr>
          <w:rFonts w:hint="eastAsia" w:ascii="Times New Roman" w:hAnsi="宋体" w:eastAsia="宋体" w:cs="Times New Roman"/>
          <w:szCs w:val="24"/>
        </w:rPr>
        <w:t>及其岗位、注册执业资格等，以及与承包人之间的劳动关系证明和缴纳社会保险的有效证明</w:t>
      </w:r>
      <w:r>
        <w:rPr>
          <w:rFonts w:ascii="Times New Roman" w:hAnsi="宋体" w:eastAsia="宋体" w:cs="Times New Roman"/>
          <w:szCs w:val="24"/>
        </w:rPr>
        <w:t>供监理人和发包人</w:t>
      </w:r>
      <w:r>
        <w:rPr>
          <w:rFonts w:hint="eastAsia" w:ascii="Times New Roman" w:hAnsi="宋体" w:eastAsia="宋体" w:cs="Times New Roman"/>
          <w:szCs w:val="24"/>
        </w:rPr>
        <w:t>审核，承包人项目管理机构的设置应与投标文件一致。</w:t>
      </w:r>
    </w:p>
    <w:p w14:paraId="06DD6146">
      <w:pPr>
        <w:tabs>
          <w:tab w:val="left" w:pos="1620"/>
          <w:tab w:val="left" w:pos="2340"/>
        </w:tabs>
        <w:spacing w:after="156"/>
        <w:ind w:left="899"/>
        <w:jc w:val="left"/>
        <w:rPr>
          <w:rFonts w:hint="eastAsia" w:ascii="Times New Roman" w:hAnsi="Times New Roman" w:eastAsia="宋体" w:cs="Times New Roman"/>
          <w:szCs w:val="24"/>
        </w:rPr>
      </w:pPr>
      <w:r>
        <w:rPr>
          <w:rFonts w:hint="eastAsia" w:ascii="宋体" w:hAnsi="宋体" w:eastAsia="宋体" w:cs="Times New Roman"/>
          <w:kern w:val="0"/>
          <w:szCs w:val="24"/>
        </w:rPr>
        <w:t>(2)承包人的主要施工管理人员(技术负责人、质量负责人、安全负责人、安全员、劳资专管员及</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约定的其他人员)应</w:t>
      </w:r>
      <w:r>
        <w:rPr>
          <w:rFonts w:hint="eastAsia" w:ascii="Times New Roman" w:hAnsi="Times New Roman" w:eastAsia="宋体" w:cs="Times New Roman"/>
          <w:szCs w:val="24"/>
        </w:rPr>
        <w:t>与投标文件所载明的人选一致且</w:t>
      </w:r>
      <w:r>
        <w:rPr>
          <w:rFonts w:hint="eastAsia" w:ascii="宋体" w:hAnsi="宋体" w:eastAsia="宋体" w:cs="Times New Roman"/>
          <w:kern w:val="0"/>
          <w:szCs w:val="24"/>
        </w:rPr>
        <w:t>相对稳定。承包人如确需更换主要施工管理人员，应至少提前7天以书面形式通知</w:t>
      </w:r>
      <w:r>
        <w:rPr>
          <w:rFonts w:ascii="宋体" w:hAnsi="宋体" w:eastAsia="宋体" w:cs="Times New Roman"/>
          <w:kern w:val="0"/>
          <w:szCs w:val="24"/>
        </w:rPr>
        <w:t>监理人</w:t>
      </w:r>
      <w:r>
        <w:rPr>
          <w:rFonts w:hint="eastAsia" w:ascii="宋体" w:hAnsi="宋体" w:eastAsia="宋体" w:cs="Times New Roman"/>
          <w:kern w:val="0"/>
          <w:szCs w:val="24"/>
        </w:rPr>
        <w:t>，并报发包人同意。</w:t>
      </w:r>
      <w:r>
        <w:rPr>
          <w:rFonts w:hint="eastAsia" w:ascii="Times New Roman" w:hAnsi="Times New Roman" w:eastAsia="宋体" w:cs="Times New Roman"/>
          <w:szCs w:val="24"/>
        </w:rPr>
        <w:t>发包人应在收到通知后7天内予以答复，否则视为同意。</w:t>
      </w:r>
    </w:p>
    <w:p w14:paraId="08CB7582">
      <w:pPr>
        <w:tabs>
          <w:tab w:val="left" w:pos="1620"/>
          <w:tab w:val="left" w:pos="2340"/>
        </w:tabs>
        <w:spacing w:after="156"/>
        <w:ind w:left="899"/>
        <w:jc w:val="left"/>
        <w:rPr>
          <w:rFonts w:hint="eastAsia" w:ascii="Times New Roman" w:hAnsi="Times New Roman" w:eastAsia="宋体" w:cs="Times New Roman"/>
          <w:szCs w:val="24"/>
        </w:rPr>
      </w:pPr>
      <w:r>
        <w:rPr>
          <w:rFonts w:hint="eastAsia" w:ascii="宋体" w:hAnsi="宋体" w:eastAsia="宋体" w:cs="Times New Roman"/>
          <w:kern w:val="0"/>
          <w:szCs w:val="24"/>
        </w:rPr>
        <w:t>(3)承包人的主要施工管理人员应保证常驻现场。除</w:t>
      </w:r>
      <w:r>
        <w:rPr>
          <w:rFonts w:hint="eastAsia" w:ascii="宋体" w:hAnsi="宋体" w:eastAsia="宋体" w:cs="Times New Roman"/>
          <w:b/>
          <w:i/>
          <w:kern w:val="0"/>
          <w:szCs w:val="24"/>
        </w:rPr>
        <w:t>专用条款</w:t>
      </w:r>
      <w:r>
        <w:rPr>
          <w:rFonts w:hint="eastAsia" w:ascii="宋体" w:hAnsi="宋体" w:eastAsia="宋体" w:cs="Times New Roman"/>
          <w:kern w:val="0"/>
          <w:szCs w:val="24"/>
        </w:rPr>
        <w:t>另有约定外，承包人的主要施工管理人员离开施工现场每月累计不超过</w:t>
      </w:r>
      <w:r>
        <w:rPr>
          <w:rFonts w:ascii="宋体" w:hAnsi="宋体" w:eastAsia="宋体" w:cs="Times New Roman"/>
          <w:kern w:val="0"/>
          <w:szCs w:val="24"/>
        </w:rPr>
        <w:t>8</w:t>
      </w:r>
      <w:r>
        <w:rPr>
          <w:rFonts w:hint="eastAsia" w:ascii="宋体" w:hAnsi="宋体" w:eastAsia="宋体" w:cs="Times New Roman"/>
          <w:kern w:val="0"/>
          <w:szCs w:val="24"/>
        </w:rPr>
        <w:t>天的，应报监理人同意；离开施工现场每月累计超过</w:t>
      </w:r>
      <w:r>
        <w:rPr>
          <w:rFonts w:ascii="宋体" w:hAnsi="宋体" w:eastAsia="宋体" w:cs="Times New Roman"/>
          <w:kern w:val="0"/>
          <w:szCs w:val="24"/>
        </w:rPr>
        <w:t>8</w:t>
      </w:r>
      <w:r>
        <w:rPr>
          <w:rFonts w:hint="eastAsia" w:ascii="宋体" w:hAnsi="宋体" w:eastAsia="宋体" w:cs="Times New Roman"/>
          <w:kern w:val="0"/>
          <w:szCs w:val="24"/>
        </w:rPr>
        <w:t>天的，应以书面形式通知监理人，并报发包人同意。主要施工管理人员离开施工现场前应指定一名有经验的人员临时代行其职责，该人员应具备履行相应职责的资格和能力，且应征得监理人或发包人的同意。</w:t>
      </w:r>
    </w:p>
    <w:p w14:paraId="269FABFB">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(4)承包人的劳资专管员应掌握施工现场用工、考勤、工资发放等情况，对分包人劳动用工实施监督管理，审核分包人编制的工人工资支付表。</w:t>
      </w:r>
    </w:p>
    <w:p w14:paraId="60D5E356">
      <w:pPr>
        <w:tabs>
          <w:tab w:val="left" w:pos="1620"/>
          <w:tab w:val="left" w:pos="2340"/>
        </w:tabs>
        <w:ind w:left="902"/>
        <w:jc w:val="left"/>
        <w:rPr>
          <w:rFonts w:ascii="宋体" w:hAnsi="宋体" w:eastAsia="宋体" w:cs="Times New Roman"/>
          <w:kern w:val="0"/>
          <w:szCs w:val="24"/>
        </w:rPr>
      </w:pPr>
      <w:r>
        <w:rPr>
          <w:rFonts w:ascii="宋体" w:hAnsi="宋体" w:eastAsia="宋体" w:cs="Times New Roman"/>
          <w:kern w:val="0"/>
          <w:szCs w:val="24"/>
        </w:rPr>
        <w:fldChar w:fldCharType="begin"/>
      </w:r>
      <w:r>
        <w:rPr>
          <w:rFonts w:ascii="宋体" w:hAnsi="宋体" w:eastAsia="宋体" w:cs="Times New Roman"/>
          <w:kern w:val="0"/>
          <w:szCs w:val="24"/>
        </w:rPr>
        <w:instrText xml:space="preserve"> </w:instrText>
      </w:r>
      <w:r>
        <w:rPr>
          <w:rFonts w:hint="eastAsia" w:ascii="宋体" w:hAnsi="宋体" w:eastAsia="宋体" w:cs="Times New Roman"/>
          <w:kern w:val="0"/>
          <w:szCs w:val="24"/>
        </w:rPr>
        <w:instrText xml:space="preserve">= 5 \* GB2</w:instrText>
      </w:r>
      <w:r>
        <w:rPr>
          <w:rFonts w:ascii="宋体" w:hAnsi="宋体" w:eastAsia="宋体" w:cs="Times New Roman"/>
          <w:kern w:val="0"/>
          <w:szCs w:val="24"/>
        </w:rPr>
        <w:instrText xml:space="preserve"> </w:instrText>
      </w:r>
      <w:r>
        <w:rPr>
          <w:rFonts w:ascii="宋体" w:hAnsi="宋体" w:eastAsia="宋体" w:cs="Times New Roman"/>
          <w:kern w:val="0"/>
          <w:szCs w:val="24"/>
        </w:rPr>
        <w:fldChar w:fldCharType="separate"/>
      </w:r>
      <w:r>
        <w:rPr>
          <w:rFonts w:hint="eastAsia" w:ascii="宋体" w:hAnsi="宋体" w:eastAsia="宋体" w:cs="Times New Roman"/>
          <w:kern w:val="0"/>
          <w:szCs w:val="24"/>
        </w:rPr>
        <w:t>(5)</w:t>
      </w:r>
      <w:r>
        <w:rPr>
          <w:rFonts w:ascii="宋体" w:hAnsi="宋体" w:eastAsia="宋体" w:cs="Times New Roman"/>
          <w:kern w:val="0"/>
          <w:szCs w:val="24"/>
        </w:rPr>
        <w:fldChar w:fldCharType="end"/>
      </w:r>
      <w:r>
        <w:rPr>
          <w:rFonts w:ascii="宋体" w:hAnsi="宋体" w:eastAsia="宋体" w:cs="Times New Roman"/>
          <w:kern w:val="0"/>
          <w:szCs w:val="24"/>
        </w:rPr>
        <w:t>承包人的</w:t>
      </w:r>
      <w:r>
        <w:rPr>
          <w:rFonts w:hint="eastAsia" w:ascii="宋体" w:hAnsi="宋体" w:eastAsia="宋体" w:cs="Times New Roman"/>
          <w:kern w:val="0"/>
          <w:szCs w:val="24"/>
        </w:rPr>
        <w:t>管理人员</w:t>
      </w:r>
      <w:r>
        <w:rPr>
          <w:rFonts w:ascii="宋体" w:hAnsi="宋体" w:eastAsia="宋体" w:cs="Times New Roman"/>
          <w:kern w:val="0"/>
          <w:szCs w:val="24"/>
        </w:rPr>
        <w:t>在</w:t>
      </w:r>
      <w:r>
        <w:rPr>
          <w:rFonts w:hint="eastAsia" w:ascii="宋体" w:hAnsi="宋体" w:eastAsia="宋体" w:cs="Times New Roman"/>
          <w:kern w:val="0"/>
          <w:szCs w:val="24"/>
        </w:rPr>
        <w:t>施工</w:t>
      </w:r>
      <w:r>
        <w:rPr>
          <w:rFonts w:ascii="宋体" w:hAnsi="宋体" w:eastAsia="宋体" w:cs="Times New Roman"/>
          <w:kern w:val="0"/>
          <w:szCs w:val="24"/>
        </w:rPr>
        <w:t>期间出现以下情况</w:t>
      </w:r>
      <w:r>
        <w:rPr>
          <w:rFonts w:hint="eastAsia" w:ascii="宋体" w:hAnsi="宋体" w:eastAsia="宋体" w:cs="Times New Roman"/>
          <w:kern w:val="0"/>
          <w:szCs w:val="24"/>
        </w:rPr>
        <w:t>，应承担</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约定的违约责任</w:t>
      </w:r>
      <w:r>
        <w:rPr>
          <w:rFonts w:ascii="宋体" w:hAnsi="宋体" w:eastAsia="宋体" w:cs="Times New Roman"/>
          <w:kern w:val="0"/>
          <w:szCs w:val="24"/>
        </w:rPr>
        <w:t>：</w:t>
      </w:r>
    </w:p>
    <w:p w14:paraId="1B687A9A">
      <w:pPr>
        <w:tabs>
          <w:tab w:val="left" w:pos="1620"/>
          <w:tab w:val="left" w:pos="2340"/>
        </w:tabs>
        <w:ind w:left="899" w:firstLine="181"/>
        <w:jc w:val="left"/>
        <w:rPr>
          <w:rFonts w:ascii="宋体" w:hAnsi="宋体" w:eastAsia="宋体" w:cs="Times New Roman"/>
          <w:kern w:val="0"/>
          <w:szCs w:val="24"/>
        </w:rPr>
      </w:pPr>
      <w:r>
        <w:rPr>
          <w:rFonts w:hint="eastAsia" w:ascii="宋体" w:hAnsi="宋体" w:eastAsia="宋体" w:cs="Times New Roman"/>
          <w:kern w:val="0"/>
          <w:szCs w:val="24"/>
        </w:rPr>
        <w:t>①</w:t>
      </w:r>
      <w:r>
        <w:rPr>
          <w:rFonts w:ascii="宋体" w:hAnsi="宋体" w:eastAsia="宋体" w:cs="Times New Roman"/>
          <w:kern w:val="0"/>
          <w:szCs w:val="24"/>
        </w:rPr>
        <w:t>承包人的项目</w:t>
      </w:r>
      <w:r>
        <w:rPr>
          <w:rFonts w:hint="eastAsia" w:ascii="宋体" w:hAnsi="宋体" w:eastAsia="宋体" w:cs="Times New Roman"/>
          <w:kern w:val="0"/>
          <w:szCs w:val="24"/>
        </w:rPr>
        <w:t>管理</w:t>
      </w:r>
      <w:r>
        <w:rPr>
          <w:rFonts w:ascii="宋体" w:hAnsi="宋体" w:eastAsia="宋体" w:cs="Times New Roman"/>
          <w:kern w:val="0"/>
          <w:szCs w:val="24"/>
        </w:rPr>
        <w:t>机构设置与</w:t>
      </w:r>
      <w:r>
        <w:rPr>
          <w:rFonts w:hint="eastAsia" w:ascii="Times New Roman" w:hAnsi="宋体" w:eastAsia="宋体" w:cs="Times New Roman"/>
          <w:szCs w:val="24"/>
        </w:rPr>
        <w:t>投标文件</w:t>
      </w:r>
      <w:r>
        <w:rPr>
          <w:rFonts w:ascii="宋体" w:hAnsi="宋体" w:eastAsia="宋体" w:cs="Times New Roman"/>
          <w:kern w:val="0"/>
          <w:szCs w:val="24"/>
        </w:rPr>
        <w:t xml:space="preserve">的承诺不一致； </w:t>
      </w:r>
    </w:p>
    <w:p w14:paraId="0C194591">
      <w:pPr>
        <w:tabs>
          <w:tab w:val="left" w:pos="1620"/>
          <w:tab w:val="left" w:pos="2340"/>
        </w:tabs>
        <w:ind w:left="899" w:firstLine="181"/>
        <w:jc w:val="left"/>
        <w:rPr>
          <w:rFonts w:hint="eastAsia" w:ascii="宋体" w:hAnsi="宋体" w:eastAsia="宋体" w:cs="Times New Roman"/>
          <w:kern w:val="0"/>
          <w:szCs w:val="24"/>
        </w:rPr>
      </w:pPr>
      <w:r>
        <w:rPr>
          <w:rFonts w:hint="eastAsia" w:ascii="宋体" w:hAnsi="宋体" w:eastAsia="宋体" w:cs="Times New Roman"/>
          <w:kern w:val="0"/>
          <w:szCs w:val="24"/>
        </w:rPr>
        <w:t>②</w:t>
      </w:r>
      <w:r>
        <w:rPr>
          <w:rFonts w:ascii="宋体" w:hAnsi="宋体" w:eastAsia="宋体" w:cs="Times New Roman"/>
          <w:kern w:val="0"/>
          <w:szCs w:val="24"/>
        </w:rPr>
        <w:t>承包人的主要</w:t>
      </w:r>
      <w:r>
        <w:rPr>
          <w:rFonts w:hint="eastAsia" w:ascii="宋体" w:hAnsi="宋体" w:eastAsia="宋体" w:cs="Times New Roman"/>
          <w:kern w:val="0"/>
          <w:szCs w:val="24"/>
        </w:rPr>
        <w:t>施工管理</w:t>
      </w:r>
      <w:r>
        <w:rPr>
          <w:rFonts w:ascii="宋体" w:hAnsi="宋体" w:eastAsia="宋体" w:cs="Times New Roman"/>
          <w:kern w:val="0"/>
          <w:szCs w:val="24"/>
        </w:rPr>
        <w:t>人员不到位；</w:t>
      </w:r>
    </w:p>
    <w:p w14:paraId="0760EC89">
      <w:pPr>
        <w:tabs>
          <w:tab w:val="left" w:pos="1620"/>
          <w:tab w:val="left" w:pos="2340"/>
        </w:tabs>
        <w:ind w:left="899" w:firstLine="181"/>
        <w:jc w:val="left"/>
        <w:rPr>
          <w:rFonts w:hint="eastAsia" w:ascii="宋体" w:hAnsi="宋体" w:eastAsia="宋体" w:cs="Times New Roman"/>
          <w:kern w:val="0"/>
          <w:szCs w:val="24"/>
        </w:rPr>
      </w:pPr>
      <w:r>
        <w:rPr>
          <w:rFonts w:hint="eastAsia" w:ascii="宋体" w:hAnsi="宋体" w:eastAsia="宋体" w:cs="Times New Roman"/>
          <w:kern w:val="0"/>
          <w:szCs w:val="24"/>
        </w:rPr>
        <w:t>③</w:t>
      </w:r>
      <w:r>
        <w:rPr>
          <w:rFonts w:ascii="宋体" w:hAnsi="宋体" w:eastAsia="宋体" w:cs="Times New Roman"/>
          <w:kern w:val="0"/>
          <w:szCs w:val="24"/>
        </w:rPr>
        <w:t>未经发包人</w:t>
      </w:r>
      <w:r>
        <w:rPr>
          <w:rFonts w:hint="eastAsia" w:ascii="宋体" w:hAnsi="宋体" w:eastAsia="宋体" w:cs="Times New Roman"/>
          <w:kern w:val="0"/>
          <w:szCs w:val="24"/>
        </w:rPr>
        <w:t>同意</w:t>
      </w:r>
      <w:r>
        <w:rPr>
          <w:rFonts w:ascii="宋体" w:hAnsi="宋体" w:eastAsia="宋体" w:cs="Times New Roman"/>
          <w:kern w:val="0"/>
          <w:szCs w:val="24"/>
        </w:rPr>
        <w:t>，承包人擅自更换主要</w:t>
      </w:r>
      <w:r>
        <w:rPr>
          <w:rFonts w:hint="eastAsia" w:ascii="宋体" w:hAnsi="宋体" w:eastAsia="宋体" w:cs="Times New Roman"/>
          <w:kern w:val="0"/>
          <w:szCs w:val="24"/>
        </w:rPr>
        <w:t>施工</w:t>
      </w:r>
      <w:r>
        <w:rPr>
          <w:rFonts w:ascii="宋体" w:hAnsi="宋体" w:eastAsia="宋体" w:cs="Times New Roman"/>
          <w:kern w:val="0"/>
          <w:szCs w:val="24"/>
        </w:rPr>
        <w:t>管理人员；</w:t>
      </w:r>
    </w:p>
    <w:p w14:paraId="02D62D42">
      <w:pPr>
        <w:tabs>
          <w:tab w:val="left" w:pos="1620"/>
          <w:tab w:val="left" w:pos="2340"/>
        </w:tabs>
        <w:ind w:left="899" w:firstLine="181"/>
        <w:jc w:val="left"/>
        <w:rPr>
          <w:rFonts w:ascii="宋体" w:hAnsi="宋体" w:eastAsia="宋体" w:cs="Times New Roman"/>
          <w:kern w:val="0"/>
          <w:szCs w:val="24"/>
        </w:rPr>
      </w:pPr>
      <w:r>
        <w:rPr>
          <w:rFonts w:hint="eastAsia" w:ascii="宋体" w:hAnsi="宋体" w:eastAsia="宋体" w:cs="Times New Roman"/>
          <w:kern w:val="0"/>
          <w:szCs w:val="24"/>
        </w:rPr>
        <w:t>④</w:t>
      </w:r>
      <w:r>
        <w:rPr>
          <w:rFonts w:ascii="宋体" w:hAnsi="宋体" w:eastAsia="宋体" w:cs="Times New Roman"/>
          <w:kern w:val="0"/>
          <w:szCs w:val="24"/>
        </w:rPr>
        <w:t>承包人的主要</w:t>
      </w:r>
      <w:r>
        <w:rPr>
          <w:rFonts w:hint="eastAsia" w:ascii="宋体" w:hAnsi="宋体" w:eastAsia="宋体" w:cs="Times New Roman"/>
          <w:kern w:val="0"/>
          <w:szCs w:val="24"/>
        </w:rPr>
        <w:t>施工管理</w:t>
      </w:r>
      <w:r>
        <w:rPr>
          <w:rFonts w:ascii="宋体" w:hAnsi="宋体" w:eastAsia="宋体" w:cs="Times New Roman"/>
          <w:kern w:val="0"/>
          <w:szCs w:val="24"/>
        </w:rPr>
        <w:t>人员</w:t>
      </w:r>
      <w:r>
        <w:rPr>
          <w:rFonts w:hint="eastAsia" w:ascii="宋体" w:hAnsi="宋体" w:eastAsia="宋体" w:cs="Times New Roman"/>
          <w:kern w:val="0"/>
          <w:szCs w:val="24"/>
        </w:rPr>
        <w:t>未经监理人或发包人同意擅自离开施工现场的；</w:t>
      </w:r>
    </w:p>
    <w:p w14:paraId="40F6F074">
      <w:pPr>
        <w:tabs>
          <w:tab w:val="left" w:pos="1620"/>
          <w:tab w:val="left" w:pos="2340"/>
        </w:tabs>
        <w:snapToGrid w:val="0"/>
        <w:spacing w:after="156"/>
        <w:ind w:left="902" w:firstLine="181"/>
        <w:jc w:val="left"/>
        <w:rPr>
          <w:rFonts w:hint="eastAsia" w:ascii="宋体" w:hAnsi="宋体" w:eastAsia="宋体" w:cs="Times New Roman"/>
          <w:kern w:val="0"/>
          <w:szCs w:val="24"/>
        </w:rPr>
      </w:pPr>
      <w:r>
        <w:rPr>
          <w:rFonts w:hint="eastAsia" w:ascii="宋体" w:hAnsi="宋体" w:eastAsia="宋体" w:cs="Times New Roman"/>
          <w:kern w:val="0"/>
          <w:szCs w:val="24"/>
        </w:rPr>
        <w:t>⑤</w:t>
      </w:r>
      <w:r>
        <w:rPr>
          <w:rFonts w:ascii="宋体" w:hAnsi="宋体" w:eastAsia="宋体" w:cs="Times New Roman"/>
          <w:kern w:val="0"/>
          <w:szCs w:val="24"/>
        </w:rPr>
        <w:t>承包人的主要</w:t>
      </w:r>
      <w:r>
        <w:rPr>
          <w:rFonts w:hint="eastAsia" w:ascii="宋体" w:hAnsi="宋体" w:eastAsia="宋体" w:cs="Times New Roman"/>
          <w:kern w:val="0"/>
          <w:szCs w:val="24"/>
        </w:rPr>
        <w:t>施工管理</w:t>
      </w:r>
      <w:r>
        <w:rPr>
          <w:rFonts w:ascii="宋体" w:hAnsi="宋体" w:eastAsia="宋体" w:cs="Times New Roman"/>
          <w:kern w:val="0"/>
          <w:szCs w:val="24"/>
        </w:rPr>
        <w:t>人员</w:t>
      </w:r>
      <w:r>
        <w:rPr>
          <w:rFonts w:hint="eastAsia" w:ascii="宋体" w:hAnsi="宋体" w:eastAsia="宋体" w:cs="Times New Roman"/>
          <w:kern w:val="0"/>
          <w:szCs w:val="24"/>
        </w:rPr>
        <w:t>同时</w:t>
      </w:r>
      <w:r>
        <w:rPr>
          <w:rFonts w:ascii="宋体" w:hAnsi="宋体" w:eastAsia="宋体" w:cs="Times New Roman"/>
          <w:kern w:val="0"/>
          <w:szCs w:val="24"/>
        </w:rPr>
        <w:t>兼任其他</w:t>
      </w:r>
      <w:r>
        <w:rPr>
          <w:rFonts w:hint="eastAsia" w:ascii="宋体" w:hAnsi="宋体" w:eastAsia="宋体" w:cs="Times New Roman"/>
          <w:kern w:val="0"/>
          <w:szCs w:val="24"/>
        </w:rPr>
        <w:t>工程的</w:t>
      </w:r>
      <w:r>
        <w:rPr>
          <w:rFonts w:ascii="宋体" w:hAnsi="宋体" w:eastAsia="宋体" w:cs="Times New Roman"/>
          <w:kern w:val="0"/>
          <w:szCs w:val="24"/>
        </w:rPr>
        <w:t>任何职务</w:t>
      </w:r>
      <w:r>
        <w:rPr>
          <w:rFonts w:hint="eastAsia" w:ascii="宋体" w:hAnsi="宋体" w:eastAsia="宋体" w:cs="Times New Roman"/>
          <w:kern w:val="0"/>
          <w:szCs w:val="24"/>
        </w:rPr>
        <w:t>。</w:t>
      </w:r>
    </w:p>
    <w:p w14:paraId="2A44EBC5">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(6)</w:t>
      </w:r>
      <w:r>
        <w:rPr>
          <w:rFonts w:ascii="宋体" w:hAnsi="宋体" w:eastAsia="宋体" w:cs="Times New Roman"/>
          <w:kern w:val="0"/>
          <w:szCs w:val="24"/>
        </w:rPr>
        <w:t>发包人对于承包人主要施工管理人员</w:t>
      </w:r>
      <w:r>
        <w:rPr>
          <w:rFonts w:hint="eastAsia" w:ascii="宋体" w:hAnsi="宋体" w:eastAsia="宋体" w:cs="Times New Roman"/>
          <w:kern w:val="0"/>
          <w:szCs w:val="24"/>
        </w:rPr>
        <w:t>的资格或能力</w:t>
      </w:r>
      <w:r>
        <w:rPr>
          <w:rFonts w:ascii="宋体" w:hAnsi="宋体" w:eastAsia="宋体" w:cs="Times New Roman"/>
          <w:kern w:val="0"/>
          <w:szCs w:val="24"/>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w:t>
      </w:r>
      <w:r>
        <w:rPr>
          <w:rFonts w:ascii="宋体" w:hAnsi="宋体" w:eastAsia="宋体" w:cs="Times New Roman"/>
          <w:b/>
          <w:i/>
          <w:kern w:val="0"/>
          <w:szCs w:val="24"/>
        </w:rPr>
        <w:t>专用条款</w:t>
      </w:r>
      <w:r>
        <w:rPr>
          <w:rFonts w:ascii="宋体" w:hAnsi="宋体" w:eastAsia="宋体" w:cs="Times New Roman"/>
          <w:kern w:val="0"/>
          <w:szCs w:val="24"/>
        </w:rPr>
        <w:t>的约定承担违约责任。</w:t>
      </w:r>
    </w:p>
    <w:p w14:paraId="4B97E02A">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972" w:name="_Toc3434"/>
      <w:bookmarkStart w:id="973" w:name="_Toc12916"/>
      <w:bookmarkStart w:id="974" w:name="_Toc208587478"/>
      <w:bookmarkStart w:id="975" w:name="_Toc3828"/>
      <w:bookmarkStart w:id="976" w:name="_Toc32307"/>
      <w:bookmarkStart w:id="977" w:name="_Toc16498"/>
      <w:bookmarkStart w:id="978" w:name="_Toc7384"/>
      <w:bookmarkStart w:id="979" w:name="_Toc302635727"/>
      <w:bookmarkStart w:id="980" w:name="_Toc305331254"/>
      <w:bookmarkStart w:id="981" w:name="_Toc615270840"/>
      <w:bookmarkStart w:id="982" w:name="_Toc13283"/>
      <w:bookmarkStart w:id="983" w:name="_Toc13165"/>
      <w:bookmarkStart w:id="984" w:name="_Toc19098"/>
      <w:bookmarkStart w:id="985" w:name="_Toc1095"/>
      <w:bookmarkStart w:id="986" w:name="_Toc201735273"/>
      <w:r>
        <w:rPr>
          <w:rFonts w:hint="eastAsia" w:ascii="宋体" w:hAnsi="宋体" w:eastAsia="宋体" w:cs="Times New Roman"/>
          <w:b/>
          <w:bCs/>
          <w:kern w:val="0"/>
          <w:sz w:val="24"/>
          <w:szCs w:val="24"/>
          <w:lang w:val="en-US" w:eastAsia="zh-CN" w:bidi="ar-SA"/>
        </w:rPr>
        <w:t>联合体承包人</w:t>
      </w:r>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14:paraId="088B9E04">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如果承包人是由两个或两个以上的当事人依法组成的联合体或其他形式的组合：</w:t>
      </w:r>
    </w:p>
    <w:p w14:paraId="1E772D12">
      <w:pPr>
        <w:tabs>
          <w:tab w:val="left" w:pos="1620"/>
          <w:tab w:val="left" w:pos="2340"/>
        </w:tabs>
        <w:ind w:left="899" w:firstLine="181"/>
        <w:jc w:val="left"/>
        <w:rPr>
          <w:rFonts w:ascii="宋体" w:hAnsi="宋体" w:eastAsia="宋体" w:cs="Times New Roman"/>
          <w:kern w:val="0"/>
          <w:szCs w:val="24"/>
        </w:rPr>
      </w:pPr>
      <w:r>
        <w:rPr>
          <w:rFonts w:hint="eastAsia" w:ascii="宋体" w:hAnsi="宋体" w:eastAsia="宋体" w:cs="Times New Roman"/>
          <w:kern w:val="0"/>
          <w:szCs w:val="24"/>
        </w:rPr>
        <w:t>①各成员在履行合同上对发包人负有共同的和各自的责任；</w:t>
      </w:r>
    </w:p>
    <w:p w14:paraId="76E66FB0">
      <w:pPr>
        <w:tabs>
          <w:tab w:val="left" w:pos="1620"/>
          <w:tab w:val="left" w:pos="2340"/>
        </w:tabs>
        <w:ind w:left="899" w:firstLine="181"/>
        <w:jc w:val="left"/>
        <w:rPr>
          <w:rFonts w:ascii="宋体" w:hAnsi="宋体" w:eastAsia="宋体" w:cs="Times New Roman"/>
          <w:kern w:val="0"/>
          <w:szCs w:val="24"/>
        </w:rPr>
      </w:pPr>
      <w:r>
        <w:rPr>
          <w:rFonts w:hint="eastAsia" w:ascii="宋体" w:hAnsi="宋体" w:eastAsia="宋体" w:cs="Times New Roman"/>
          <w:kern w:val="0"/>
          <w:szCs w:val="24"/>
        </w:rPr>
        <w:t>②各成员应将有权约束承包人及其各自的负责人通知发包人；</w:t>
      </w:r>
    </w:p>
    <w:p w14:paraId="60C366D9">
      <w:pPr>
        <w:tabs>
          <w:tab w:val="left" w:pos="1620"/>
          <w:tab w:val="left" w:pos="2340"/>
        </w:tabs>
        <w:ind w:left="899" w:firstLine="181"/>
        <w:jc w:val="left"/>
        <w:rPr>
          <w:rFonts w:hint="eastAsia" w:ascii="宋体" w:hAnsi="宋体" w:eastAsia="宋体" w:cs="Times New Roman"/>
          <w:kern w:val="0"/>
          <w:szCs w:val="24"/>
        </w:rPr>
      </w:pPr>
      <w:r>
        <w:rPr>
          <w:rFonts w:hint="eastAsia" w:ascii="宋体" w:hAnsi="宋体" w:eastAsia="宋体" w:cs="Times New Roman"/>
          <w:kern w:val="0"/>
          <w:szCs w:val="24"/>
        </w:rPr>
        <w:t>③未经发包人事先同意，承包人不得改变其组成或法律地位；</w:t>
      </w:r>
    </w:p>
    <w:p w14:paraId="27A72F87">
      <w:pPr>
        <w:tabs>
          <w:tab w:val="left" w:pos="1620"/>
          <w:tab w:val="left" w:pos="2340"/>
        </w:tabs>
        <w:ind w:left="899" w:firstLine="181"/>
        <w:jc w:val="left"/>
        <w:rPr>
          <w:rFonts w:hint="eastAsia" w:ascii="宋体" w:hAnsi="宋体" w:eastAsia="宋体" w:cs="Times New Roman"/>
          <w:kern w:val="0"/>
          <w:szCs w:val="24"/>
        </w:rPr>
      </w:pPr>
      <w:r>
        <w:rPr>
          <w:rFonts w:hint="eastAsia" w:ascii="宋体" w:hAnsi="宋体" w:eastAsia="宋体" w:cs="Times New Roman"/>
          <w:kern w:val="0"/>
          <w:szCs w:val="24"/>
        </w:rPr>
        <w:t>④各成员的责任、权利、义务、合同价款的分配比例及方式在联合体协议中明确，联合体协议应报送发包人。</w:t>
      </w:r>
    </w:p>
    <w:p w14:paraId="6FA6A9C7">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987" w:name="_Toc1826229141"/>
      <w:bookmarkStart w:id="988" w:name="_Toc208587479"/>
      <w:bookmarkStart w:id="989" w:name="_Toc5001"/>
      <w:bookmarkStart w:id="990" w:name="_Toc201735274"/>
      <w:bookmarkStart w:id="991" w:name="_Toc3396"/>
      <w:bookmarkStart w:id="992" w:name="_Toc8146"/>
      <w:bookmarkStart w:id="993" w:name="_Toc13259"/>
      <w:bookmarkStart w:id="994" w:name="_Toc9524"/>
      <w:bookmarkStart w:id="995" w:name="_Toc15333"/>
      <w:bookmarkStart w:id="996" w:name="_Toc21524"/>
      <w:bookmarkStart w:id="997" w:name="_Toc13301"/>
      <w:bookmarkStart w:id="998" w:name="_Toc6915"/>
      <w:bookmarkStart w:id="999" w:name="_Toc28111"/>
      <w:r>
        <w:rPr>
          <w:rFonts w:ascii="华文细黑" w:hAnsi="宋体" w:eastAsia="宋体" w:cs="Times New Roman"/>
          <w:b/>
          <w:bCs/>
          <w:snapToGrid w:val="0"/>
          <w:kern w:val="0"/>
          <w:sz w:val="28"/>
          <w:szCs w:val="44"/>
          <w:lang w:val="en-US" w:eastAsia="zh-CN" w:bidi="ar-SA"/>
        </w:rPr>
        <w:t>监理人</w:t>
      </w:r>
      <w:bookmarkEnd w:id="987"/>
      <w:bookmarkEnd w:id="988"/>
      <w:bookmarkEnd w:id="989"/>
      <w:bookmarkEnd w:id="990"/>
      <w:bookmarkEnd w:id="991"/>
      <w:bookmarkEnd w:id="992"/>
      <w:bookmarkEnd w:id="993"/>
      <w:bookmarkEnd w:id="994"/>
      <w:bookmarkEnd w:id="995"/>
      <w:bookmarkEnd w:id="996"/>
      <w:bookmarkEnd w:id="997"/>
      <w:bookmarkEnd w:id="998"/>
      <w:bookmarkEnd w:id="999"/>
    </w:p>
    <w:p w14:paraId="7C5F18CD">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000" w:name="_Toc302635729"/>
      <w:bookmarkStart w:id="1001" w:name="_Toc305331256"/>
      <w:bookmarkStart w:id="1002" w:name="_Toc7643"/>
      <w:bookmarkStart w:id="1003" w:name="_Toc23853"/>
      <w:bookmarkStart w:id="1004" w:name="_Toc27373"/>
      <w:bookmarkStart w:id="1005" w:name="_Toc2962"/>
      <w:bookmarkStart w:id="1006" w:name="_Toc24863"/>
      <w:bookmarkStart w:id="1007" w:name="_Toc17290"/>
      <w:bookmarkStart w:id="1008" w:name="_Toc25218"/>
      <w:bookmarkStart w:id="1009" w:name="_Toc4816"/>
      <w:bookmarkStart w:id="1010" w:name="_Toc208587480"/>
      <w:bookmarkStart w:id="1011" w:name="_Toc5215"/>
      <w:bookmarkStart w:id="1012" w:name="_Toc1891258324"/>
      <w:bookmarkStart w:id="1013" w:name="_Toc25876"/>
      <w:bookmarkStart w:id="1014" w:name="_Toc201735275"/>
      <w:bookmarkStart w:id="1015" w:name="_Toc34908961"/>
      <w:r>
        <w:rPr>
          <w:rFonts w:ascii="宋体" w:hAnsi="宋体" w:eastAsia="宋体" w:cs="Times New Roman"/>
          <w:b/>
          <w:bCs/>
          <w:kern w:val="0"/>
          <w:sz w:val="24"/>
          <w:szCs w:val="24"/>
          <w:lang w:val="en-US" w:eastAsia="zh-CN" w:bidi="ar-SA"/>
        </w:rPr>
        <w:t>监理人</w:t>
      </w:r>
      <w:r>
        <w:rPr>
          <w:rFonts w:hint="eastAsia" w:ascii="宋体" w:hAnsi="宋体" w:eastAsia="宋体" w:cs="Times New Roman"/>
          <w:b/>
          <w:bCs/>
          <w:kern w:val="0"/>
          <w:sz w:val="24"/>
          <w:szCs w:val="24"/>
          <w:lang w:val="en-US" w:eastAsia="zh-CN" w:bidi="ar-SA"/>
        </w:rPr>
        <w:t>的</w:t>
      </w:r>
      <w:bookmarkEnd w:id="1000"/>
      <w:bookmarkEnd w:id="1001"/>
      <w:r>
        <w:rPr>
          <w:rFonts w:hint="eastAsia" w:ascii="宋体" w:hAnsi="宋体" w:eastAsia="宋体" w:cs="Times New Roman"/>
          <w:b/>
          <w:bCs/>
          <w:kern w:val="0"/>
          <w:sz w:val="24"/>
          <w:szCs w:val="24"/>
          <w:lang w:val="en-US" w:eastAsia="zh-CN" w:bidi="ar-SA"/>
        </w:rPr>
        <w:t>通知</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14:paraId="389B97E8">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实施监理的工程，发包人应在本合同</w:t>
      </w:r>
      <w:r>
        <w:rPr>
          <w:rFonts w:hint="eastAsia" w:ascii="宋体" w:hAnsi="宋体" w:eastAsia="宋体" w:cs="Times New Roman"/>
          <w:b/>
          <w:i/>
          <w:kern w:val="0"/>
          <w:szCs w:val="24"/>
        </w:rPr>
        <w:t>专用条款</w:t>
      </w:r>
      <w:r>
        <w:rPr>
          <w:rFonts w:hint="eastAsia" w:ascii="宋体" w:hAnsi="宋体" w:eastAsia="宋体" w:cs="Times New Roman"/>
          <w:kern w:val="0"/>
          <w:szCs w:val="24"/>
        </w:rPr>
        <w:t>中</w:t>
      </w:r>
      <w:bookmarkEnd w:id="1015"/>
      <w:r>
        <w:rPr>
          <w:rFonts w:hint="eastAsia" w:ascii="宋体" w:hAnsi="宋体" w:eastAsia="宋体" w:cs="Times New Roman"/>
          <w:kern w:val="0"/>
          <w:szCs w:val="24"/>
        </w:rPr>
        <w:t>列明</w:t>
      </w:r>
      <w:r>
        <w:rPr>
          <w:rFonts w:ascii="宋体" w:hAnsi="宋体" w:eastAsia="宋体" w:cs="Times New Roman"/>
          <w:kern w:val="0"/>
          <w:szCs w:val="24"/>
        </w:rPr>
        <w:t>监理人</w:t>
      </w:r>
      <w:r>
        <w:rPr>
          <w:rFonts w:hint="eastAsia" w:ascii="宋体" w:hAnsi="宋体" w:eastAsia="宋体" w:cs="Times New Roman"/>
          <w:kern w:val="0"/>
          <w:szCs w:val="24"/>
        </w:rPr>
        <w:t>信息或在开工前将</w:t>
      </w:r>
      <w:r>
        <w:rPr>
          <w:rFonts w:ascii="宋体" w:hAnsi="宋体" w:eastAsia="宋体" w:cs="Times New Roman"/>
          <w:kern w:val="0"/>
          <w:szCs w:val="24"/>
        </w:rPr>
        <w:t>监理人</w:t>
      </w:r>
      <w:r>
        <w:rPr>
          <w:rFonts w:hint="eastAsia" w:ascii="宋体" w:hAnsi="宋体" w:eastAsia="宋体" w:cs="Times New Roman"/>
          <w:kern w:val="0"/>
          <w:szCs w:val="24"/>
        </w:rPr>
        <w:t>和总监理工程师的名称、姓名、监理内容书面通知承包人。发包人如需更换</w:t>
      </w:r>
      <w:r>
        <w:rPr>
          <w:rFonts w:ascii="宋体" w:hAnsi="宋体" w:eastAsia="宋体" w:cs="Times New Roman"/>
          <w:kern w:val="0"/>
          <w:szCs w:val="24"/>
        </w:rPr>
        <w:t>监理人</w:t>
      </w:r>
      <w:r>
        <w:rPr>
          <w:rFonts w:hint="eastAsia" w:ascii="宋体" w:hAnsi="宋体" w:eastAsia="宋体" w:cs="Times New Roman"/>
          <w:kern w:val="0"/>
          <w:szCs w:val="24"/>
        </w:rPr>
        <w:t>，应至少提前7天以书面形式通知承包人。</w:t>
      </w:r>
    </w:p>
    <w:p w14:paraId="12E5B812">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016" w:name="_Toc22934"/>
      <w:bookmarkStart w:id="1017" w:name="_Toc4727"/>
      <w:bookmarkStart w:id="1018" w:name="_Toc27291"/>
      <w:bookmarkStart w:id="1019" w:name="_Toc201735276"/>
      <w:bookmarkStart w:id="1020" w:name="_Toc1779"/>
      <w:bookmarkStart w:id="1021" w:name="_Toc27767"/>
      <w:bookmarkStart w:id="1022" w:name="_Toc31650"/>
      <w:bookmarkStart w:id="1023" w:name="_Toc67507665"/>
      <w:bookmarkStart w:id="1024" w:name="_Toc305331257"/>
      <w:bookmarkStart w:id="1025" w:name="_Toc302635730"/>
      <w:bookmarkStart w:id="1026" w:name="_Toc25882"/>
      <w:bookmarkStart w:id="1027" w:name="_Toc19152"/>
      <w:bookmarkStart w:id="1028" w:name="_Toc9539"/>
      <w:bookmarkStart w:id="1029" w:name="_Toc26606"/>
      <w:bookmarkStart w:id="1030" w:name="_Toc208587481"/>
      <w:bookmarkStart w:id="1031" w:name="_Toc34908962"/>
      <w:r>
        <w:rPr>
          <w:rFonts w:ascii="宋体" w:hAnsi="宋体" w:eastAsia="宋体" w:cs="Times New Roman"/>
          <w:b/>
          <w:bCs/>
          <w:kern w:val="0"/>
          <w:sz w:val="24"/>
          <w:szCs w:val="24"/>
          <w:lang w:val="en-US" w:eastAsia="zh-CN" w:bidi="ar-SA"/>
        </w:rPr>
        <w:t>监理人</w:t>
      </w:r>
      <w:r>
        <w:rPr>
          <w:rFonts w:hint="eastAsia" w:ascii="宋体" w:hAnsi="宋体" w:eastAsia="宋体" w:cs="Times New Roman"/>
          <w:b/>
          <w:bCs/>
          <w:kern w:val="0"/>
          <w:sz w:val="24"/>
          <w:szCs w:val="24"/>
          <w:lang w:val="en-US" w:eastAsia="zh-CN" w:bidi="ar-SA"/>
        </w:rPr>
        <w:t>的职权</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14:paraId="74F86B90">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监理人</w:t>
      </w:r>
      <w:r>
        <w:rPr>
          <w:rFonts w:hint="eastAsia" w:ascii="宋体" w:hAnsi="宋体" w:eastAsia="宋体" w:cs="Times New Roman"/>
          <w:kern w:val="0"/>
          <w:szCs w:val="24"/>
        </w:rPr>
        <w:t>应履行本合同条款约定的职责，行使本合同订明或必然隐含的权力。除合同明确说明外，</w:t>
      </w:r>
      <w:r>
        <w:rPr>
          <w:rFonts w:ascii="宋体" w:hAnsi="宋体" w:eastAsia="宋体" w:cs="Times New Roman"/>
          <w:kern w:val="0"/>
          <w:szCs w:val="24"/>
        </w:rPr>
        <w:t>监理人</w:t>
      </w:r>
      <w:r>
        <w:rPr>
          <w:rFonts w:hint="eastAsia" w:ascii="宋体" w:hAnsi="宋体" w:eastAsia="宋体" w:cs="Times New Roman"/>
          <w:kern w:val="0"/>
          <w:szCs w:val="24"/>
        </w:rPr>
        <w:t>无权修改合同，亦无权免除承包人在合同内的任何职责和义务。</w:t>
      </w:r>
      <w:r>
        <w:rPr>
          <w:rFonts w:ascii="宋体" w:hAnsi="宋体" w:eastAsia="宋体" w:cs="Times New Roman"/>
          <w:kern w:val="0"/>
          <w:szCs w:val="24"/>
        </w:rPr>
        <w:t>监理人</w:t>
      </w:r>
      <w:r>
        <w:rPr>
          <w:rFonts w:hint="eastAsia" w:ascii="宋体" w:hAnsi="宋体" w:eastAsia="宋体" w:cs="Times New Roman"/>
          <w:kern w:val="0"/>
          <w:szCs w:val="24"/>
        </w:rPr>
        <w:t>在履行和行使其职权时，其任何行为或遗漏，不免除承包人履行合同约定的任何职责和义务。</w:t>
      </w:r>
      <w:bookmarkEnd w:id="1031"/>
    </w:p>
    <w:p w14:paraId="3E9BA0A1">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032" w:name="_Toc25456"/>
      <w:bookmarkStart w:id="1033" w:name="_Toc10511"/>
      <w:bookmarkStart w:id="1034" w:name="_Toc208587482"/>
      <w:bookmarkStart w:id="1035" w:name="_Toc23426"/>
      <w:bookmarkStart w:id="1036" w:name="_Toc201735277"/>
      <w:bookmarkStart w:id="1037" w:name="_Toc4136"/>
      <w:bookmarkStart w:id="1038" w:name="_Toc16912"/>
      <w:bookmarkStart w:id="1039" w:name="_Toc14756"/>
      <w:bookmarkStart w:id="1040" w:name="_Toc1628646945"/>
      <w:bookmarkStart w:id="1041" w:name="_Toc302635731"/>
      <w:bookmarkStart w:id="1042" w:name="_Toc9492"/>
      <w:bookmarkStart w:id="1043" w:name="_Toc24732"/>
      <w:bookmarkStart w:id="1044" w:name="_Toc20550"/>
      <w:bookmarkStart w:id="1045" w:name="_Toc305331258"/>
      <w:bookmarkStart w:id="1046" w:name="_Toc2684"/>
      <w:bookmarkStart w:id="1047" w:name="_Toc34908963"/>
      <w:r>
        <w:rPr>
          <w:rFonts w:ascii="宋体" w:hAnsi="宋体" w:eastAsia="宋体" w:cs="Times New Roman"/>
          <w:b/>
          <w:bCs/>
          <w:kern w:val="0"/>
          <w:sz w:val="24"/>
          <w:szCs w:val="24"/>
          <w:lang w:val="en-US" w:eastAsia="zh-CN" w:bidi="ar-SA"/>
        </w:rPr>
        <w:t>监理人</w:t>
      </w:r>
      <w:r>
        <w:rPr>
          <w:rFonts w:hint="eastAsia" w:ascii="宋体" w:hAnsi="宋体" w:eastAsia="宋体" w:cs="Times New Roman"/>
          <w:b/>
          <w:bCs/>
          <w:kern w:val="0"/>
          <w:sz w:val="24"/>
          <w:szCs w:val="24"/>
          <w:lang w:val="en-US" w:eastAsia="zh-CN" w:bidi="ar-SA"/>
        </w:rPr>
        <w:t>权力的限制</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14:paraId="53E79DED">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监理人</w:t>
      </w:r>
      <w:r>
        <w:rPr>
          <w:rFonts w:hint="eastAsia" w:ascii="宋体" w:hAnsi="宋体" w:eastAsia="宋体" w:cs="Times New Roman"/>
          <w:kern w:val="0"/>
          <w:szCs w:val="24"/>
        </w:rPr>
        <w:t>行使下列权力时，应先取得发包人的批准：</w:t>
      </w:r>
      <w:bookmarkEnd w:id="1047"/>
    </w:p>
    <w:p w14:paraId="73F905BA">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①发布开工令、停工令、复工令；</w:t>
      </w:r>
    </w:p>
    <w:p w14:paraId="47CB4E6C">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②向</w:t>
      </w:r>
      <w:r>
        <w:rPr>
          <w:rFonts w:ascii="宋体" w:hAnsi="宋体" w:eastAsia="宋体" w:cs="Times New Roman"/>
          <w:kern w:val="0"/>
          <w:szCs w:val="24"/>
        </w:rPr>
        <w:t>设计人</w:t>
      </w:r>
      <w:r>
        <w:rPr>
          <w:rFonts w:hint="eastAsia" w:ascii="宋体" w:hAnsi="宋体" w:eastAsia="宋体" w:cs="Times New Roman"/>
          <w:kern w:val="0"/>
          <w:szCs w:val="24"/>
        </w:rPr>
        <w:t>或承包人提出建议且提出的建议可能会提高工程造价或延误工期；</w:t>
      </w:r>
    </w:p>
    <w:p w14:paraId="1BD2677F">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③对本工程任何形式、数量、质量、价款和内容上的变动；</w:t>
      </w:r>
    </w:p>
    <w:p w14:paraId="7859A200">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④合同条款中明确约定应取得发包人批准的其他权力；</w:t>
      </w:r>
    </w:p>
    <w:p w14:paraId="41DCE1A0">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⑤</w:t>
      </w:r>
      <w:r>
        <w:rPr>
          <w:rFonts w:hint="eastAsia" w:ascii="宋体" w:hAnsi="宋体" w:eastAsia="宋体" w:cs="Times New Roman"/>
          <w:b/>
          <w:i/>
          <w:kern w:val="0"/>
          <w:szCs w:val="24"/>
        </w:rPr>
        <w:t>专用条款</w:t>
      </w:r>
      <w:r>
        <w:rPr>
          <w:rFonts w:hint="eastAsia" w:ascii="宋体" w:hAnsi="宋体" w:eastAsia="宋体" w:cs="Times New Roman"/>
          <w:kern w:val="0"/>
          <w:szCs w:val="24"/>
        </w:rPr>
        <w:t>中明确的其他需经发包人批准的权力。</w:t>
      </w:r>
    </w:p>
    <w:p w14:paraId="7776D7DA">
      <w:pPr>
        <w:tabs>
          <w:tab w:val="left" w:pos="1620"/>
          <w:tab w:val="left" w:pos="2340"/>
        </w:tabs>
        <w:spacing w:before="156" w:after="156"/>
        <w:ind w:left="899"/>
        <w:jc w:val="left"/>
        <w:rPr>
          <w:rFonts w:ascii="宋体" w:hAnsi="宋体" w:eastAsia="宋体" w:cs="Times New Roman"/>
          <w:kern w:val="0"/>
          <w:szCs w:val="24"/>
        </w:rPr>
      </w:pPr>
      <w:bookmarkStart w:id="1048" w:name="_Toc34908964"/>
      <w:r>
        <w:rPr>
          <w:rFonts w:hint="eastAsia" w:ascii="宋体" w:hAnsi="宋体" w:eastAsia="宋体" w:cs="Times New Roman"/>
          <w:kern w:val="0"/>
          <w:szCs w:val="24"/>
        </w:rPr>
        <w:t>(2)当</w:t>
      </w:r>
      <w:r>
        <w:rPr>
          <w:rFonts w:ascii="宋体" w:hAnsi="宋体" w:eastAsia="宋体" w:cs="Times New Roman"/>
          <w:kern w:val="0"/>
          <w:szCs w:val="24"/>
        </w:rPr>
        <w:t>监理人</w:t>
      </w:r>
      <w:r>
        <w:rPr>
          <w:rFonts w:hint="eastAsia" w:ascii="宋体" w:hAnsi="宋体" w:eastAsia="宋体" w:cs="Times New Roman"/>
          <w:kern w:val="0"/>
          <w:szCs w:val="24"/>
        </w:rPr>
        <w:t>认为出现了危及人身、财产安全和立即影响工程安危的紧急情况，且不可能在事前把情况报告给发包人时，在不免除合同约定的承包人的任何职责和义务的情况下，</w:t>
      </w:r>
      <w:r>
        <w:rPr>
          <w:rFonts w:ascii="宋体" w:hAnsi="宋体" w:eastAsia="宋体" w:cs="Times New Roman"/>
          <w:kern w:val="0"/>
          <w:szCs w:val="24"/>
        </w:rPr>
        <w:t>监理人</w:t>
      </w:r>
      <w:bookmarkEnd w:id="1048"/>
      <w:r>
        <w:rPr>
          <w:rFonts w:hint="eastAsia" w:ascii="宋体" w:hAnsi="宋体" w:eastAsia="宋体" w:cs="Times New Roman"/>
          <w:kern w:val="0"/>
          <w:szCs w:val="24"/>
        </w:rPr>
        <w:t>可先行行使本款第(1)项中的权力，并应在事后24小时内向发包人作出书面报告。</w:t>
      </w:r>
    </w:p>
    <w:p w14:paraId="2942BF96">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049" w:name="_Toc201735278"/>
      <w:bookmarkStart w:id="1050" w:name="_Toc30307"/>
      <w:bookmarkStart w:id="1051" w:name="_Toc15910"/>
      <w:bookmarkStart w:id="1052" w:name="_Toc19270"/>
      <w:bookmarkStart w:id="1053" w:name="_Toc1616"/>
      <w:bookmarkStart w:id="1054" w:name="_Toc25360"/>
      <w:bookmarkStart w:id="1055" w:name="_Toc5770"/>
      <w:bookmarkStart w:id="1056" w:name="_Toc302635732"/>
      <w:bookmarkStart w:id="1057" w:name="_Toc208587483"/>
      <w:bookmarkStart w:id="1058" w:name="_Toc29259"/>
      <w:bookmarkStart w:id="1059" w:name="_Toc19710"/>
      <w:bookmarkStart w:id="1060" w:name="_Toc390877175"/>
      <w:bookmarkStart w:id="1061" w:name="_Toc30678"/>
      <w:bookmarkStart w:id="1062" w:name="_Toc18674"/>
      <w:bookmarkStart w:id="1063" w:name="_Toc34908965"/>
      <w:r>
        <w:rPr>
          <w:rFonts w:hint="eastAsia" w:ascii="宋体" w:hAnsi="宋体" w:eastAsia="宋体" w:cs="Times New Roman"/>
          <w:b/>
          <w:bCs/>
          <w:kern w:val="0"/>
          <w:sz w:val="24"/>
          <w:szCs w:val="24"/>
          <w:lang w:val="en-US" w:eastAsia="zh-CN" w:bidi="ar-SA"/>
        </w:rPr>
        <w:t>总监理工程师</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14:paraId="1314F1B1">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监理人</w:t>
      </w:r>
      <w:r>
        <w:rPr>
          <w:rFonts w:hint="eastAsia" w:ascii="宋体" w:hAnsi="宋体" w:eastAsia="宋体" w:cs="Times New Roman"/>
          <w:kern w:val="0"/>
          <w:szCs w:val="24"/>
        </w:rPr>
        <w:t>可将其任何职责和权力授予其任命的总监理工程师(按有关规定或发包人指定必须由</w:t>
      </w:r>
      <w:r>
        <w:rPr>
          <w:rFonts w:ascii="宋体" w:hAnsi="宋体" w:eastAsia="宋体" w:cs="Times New Roman"/>
          <w:kern w:val="0"/>
          <w:szCs w:val="24"/>
        </w:rPr>
        <w:t>监理人</w:t>
      </w:r>
      <w:r>
        <w:rPr>
          <w:rFonts w:hint="eastAsia" w:ascii="宋体" w:hAnsi="宋体" w:eastAsia="宋体" w:cs="Times New Roman"/>
          <w:kern w:val="0"/>
          <w:szCs w:val="24"/>
        </w:rPr>
        <w:t>亲自履行的职权不得转授)，亦可将其授予总监理工程师的任何职权撤回。任何此类授权和撤回应由</w:t>
      </w:r>
      <w:r>
        <w:rPr>
          <w:rFonts w:ascii="宋体" w:hAnsi="宋体" w:eastAsia="宋体" w:cs="Times New Roman"/>
          <w:kern w:val="0"/>
          <w:szCs w:val="24"/>
        </w:rPr>
        <w:t>监理人</w:t>
      </w:r>
      <w:r>
        <w:rPr>
          <w:rFonts w:hint="eastAsia" w:ascii="宋体" w:hAnsi="宋体" w:eastAsia="宋体" w:cs="Times New Roman"/>
          <w:kern w:val="0"/>
          <w:szCs w:val="24"/>
        </w:rPr>
        <w:t>提前7天以书面形式通知发包人和承包人，在未将有关文件送交承包人之前，该项授权和撤回不能生效。</w:t>
      </w:r>
      <w:bookmarkEnd w:id="1063"/>
      <w:bookmarkStart w:id="1064" w:name="_Toc34908966"/>
    </w:p>
    <w:p w14:paraId="759F8E57">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(2)总监理工程师对</w:t>
      </w:r>
      <w:r>
        <w:rPr>
          <w:rFonts w:ascii="宋体" w:hAnsi="宋体" w:eastAsia="宋体" w:cs="Times New Roman"/>
          <w:kern w:val="0"/>
          <w:szCs w:val="24"/>
        </w:rPr>
        <w:t>监理人</w:t>
      </w:r>
      <w:r>
        <w:rPr>
          <w:rFonts w:hint="eastAsia" w:ascii="宋体" w:hAnsi="宋体" w:eastAsia="宋体" w:cs="Times New Roman"/>
          <w:kern w:val="0"/>
          <w:szCs w:val="24"/>
        </w:rPr>
        <w:t>负责，履行和行使</w:t>
      </w:r>
      <w:r>
        <w:rPr>
          <w:rFonts w:ascii="宋体" w:hAnsi="宋体" w:eastAsia="宋体" w:cs="Times New Roman"/>
          <w:kern w:val="0"/>
          <w:szCs w:val="24"/>
        </w:rPr>
        <w:t>监理人</w:t>
      </w:r>
      <w:r>
        <w:rPr>
          <w:rFonts w:hint="eastAsia" w:ascii="宋体" w:hAnsi="宋体" w:eastAsia="宋体" w:cs="Times New Roman"/>
          <w:kern w:val="0"/>
          <w:szCs w:val="24"/>
        </w:rPr>
        <w:t>授予的职责和权力。总监理工程师在其授权范围内履行职权时，视同</w:t>
      </w:r>
      <w:r>
        <w:rPr>
          <w:rFonts w:ascii="宋体" w:hAnsi="宋体" w:eastAsia="宋体" w:cs="Times New Roman"/>
          <w:kern w:val="0"/>
          <w:szCs w:val="24"/>
        </w:rPr>
        <w:t>监理人</w:t>
      </w:r>
      <w:r>
        <w:rPr>
          <w:rFonts w:hint="eastAsia" w:ascii="宋体" w:hAnsi="宋体" w:eastAsia="宋体" w:cs="Times New Roman"/>
          <w:kern w:val="0"/>
          <w:szCs w:val="24"/>
        </w:rPr>
        <w:t>。</w:t>
      </w:r>
      <w:bookmarkEnd w:id="1064"/>
    </w:p>
    <w:p w14:paraId="58B62B94">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065" w:name="_Toc18816"/>
      <w:bookmarkStart w:id="1066" w:name="_Toc1367"/>
      <w:bookmarkStart w:id="1067" w:name="_Toc26453"/>
      <w:bookmarkStart w:id="1068" w:name="_Toc64"/>
      <w:bookmarkStart w:id="1069" w:name="_Toc208587484"/>
      <w:bookmarkStart w:id="1070" w:name="_Toc30406"/>
      <w:bookmarkStart w:id="1071" w:name="_Toc3842"/>
      <w:bookmarkStart w:id="1072" w:name="_Toc9824"/>
      <w:bookmarkStart w:id="1073" w:name="_Toc302635733"/>
      <w:bookmarkStart w:id="1074" w:name="_Toc123974214"/>
      <w:bookmarkStart w:id="1075" w:name="_Toc10736"/>
      <w:bookmarkStart w:id="1076" w:name="_Toc4348"/>
      <w:bookmarkStart w:id="1077" w:name="_Toc201735279"/>
      <w:bookmarkStart w:id="1078" w:name="_Toc12349"/>
      <w:bookmarkStart w:id="1079" w:name="_Toc305331260"/>
      <w:bookmarkStart w:id="1080" w:name="_Toc34908969"/>
      <w:r>
        <w:rPr>
          <w:rFonts w:ascii="宋体" w:hAnsi="宋体" w:eastAsia="宋体" w:cs="Times New Roman"/>
          <w:b/>
          <w:bCs/>
          <w:kern w:val="0"/>
          <w:sz w:val="24"/>
          <w:szCs w:val="24"/>
          <w:lang w:val="en-US" w:eastAsia="zh-CN" w:bidi="ar-SA"/>
        </w:rPr>
        <w:t>监理人</w:t>
      </w:r>
      <w:r>
        <w:rPr>
          <w:rFonts w:hint="eastAsia" w:ascii="宋体" w:hAnsi="宋体" w:eastAsia="宋体" w:cs="Times New Roman"/>
          <w:b/>
          <w:bCs/>
          <w:kern w:val="0"/>
          <w:sz w:val="24"/>
          <w:szCs w:val="24"/>
          <w:lang w:val="en-US" w:eastAsia="zh-CN" w:bidi="ar-SA"/>
        </w:rPr>
        <w:t>指令</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14:paraId="732545DD">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监理人</w:t>
      </w:r>
      <w:r>
        <w:rPr>
          <w:rFonts w:hint="eastAsia" w:ascii="宋体" w:hAnsi="宋体" w:eastAsia="宋体" w:cs="Times New Roman"/>
          <w:kern w:val="0"/>
          <w:szCs w:val="24"/>
        </w:rPr>
        <w:t>应按合同约定，及时向承包人提供所需的指令。</w:t>
      </w:r>
      <w:r>
        <w:rPr>
          <w:rFonts w:ascii="宋体" w:hAnsi="宋体" w:eastAsia="宋体" w:cs="Times New Roman"/>
          <w:kern w:val="0"/>
          <w:szCs w:val="24"/>
        </w:rPr>
        <w:t>监理人</w:t>
      </w:r>
      <w:r>
        <w:rPr>
          <w:rFonts w:hint="eastAsia" w:ascii="宋体" w:hAnsi="宋体" w:eastAsia="宋体" w:cs="Times New Roman"/>
          <w:kern w:val="0"/>
          <w:szCs w:val="24"/>
        </w:rPr>
        <w:t>的指令以书面形式送达项目经理，项目经理在回执上签署姓名和收到时间后生效。</w:t>
      </w:r>
    </w:p>
    <w:p w14:paraId="6567D485">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(2)必要时，</w:t>
      </w:r>
      <w:r>
        <w:rPr>
          <w:rFonts w:ascii="宋体" w:hAnsi="宋体" w:eastAsia="宋体" w:cs="Times New Roman"/>
          <w:kern w:val="0"/>
          <w:szCs w:val="24"/>
        </w:rPr>
        <w:t>监理人</w:t>
      </w:r>
      <w:r>
        <w:rPr>
          <w:rFonts w:hint="eastAsia" w:ascii="宋体" w:hAnsi="宋体" w:eastAsia="宋体" w:cs="Times New Roman"/>
          <w:kern w:val="0"/>
          <w:szCs w:val="24"/>
        </w:rPr>
        <w:t>可以发出口头指令，并在48小时内给予书面确认。对</w:t>
      </w:r>
      <w:r>
        <w:rPr>
          <w:rFonts w:ascii="宋体" w:hAnsi="宋体" w:eastAsia="宋体" w:cs="Times New Roman"/>
          <w:kern w:val="0"/>
          <w:szCs w:val="24"/>
        </w:rPr>
        <w:t>监理人</w:t>
      </w:r>
      <w:r>
        <w:rPr>
          <w:rFonts w:hint="eastAsia" w:ascii="宋体" w:hAnsi="宋体" w:eastAsia="宋体" w:cs="Times New Roman"/>
          <w:kern w:val="0"/>
          <w:szCs w:val="24"/>
        </w:rPr>
        <w:t>的口头指令，承包人应予执行。如承包人在</w:t>
      </w:r>
      <w:r>
        <w:rPr>
          <w:rFonts w:ascii="宋体" w:hAnsi="宋体" w:eastAsia="宋体" w:cs="Times New Roman"/>
          <w:kern w:val="0"/>
          <w:szCs w:val="24"/>
        </w:rPr>
        <w:t>监理人</w:t>
      </w:r>
      <w:r>
        <w:rPr>
          <w:rFonts w:hint="eastAsia" w:ascii="宋体" w:hAnsi="宋体" w:eastAsia="宋体" w:cs="Times New Roman"/>
          <w:kern w:val="0"/>
          <w:szCs w:val="24"/>
        </w:rPr>
        <w:t>发出的口头指令48小时之后，未收到</w:t>
      </w:r>
      <w:r>
        <w:rPr>
          <w:rFonts w:ascii="宋体" w:hAnsi="宋体" w:eastAsia="宋体" w:cs="Times New Roman"/>
          <w:kern w:val="0"/>
          <w:szCs w:val="24"/>
        </w:rPr>
        <w:t>监理人</w:t>
      </w:r>
      <w:r>
        <w:rPr>
          <w:rFonts w:hint="eastAsia" w:ascii="宋体" w:hAnsi="宋体" w:eastAsia="宋体" w:cs="Times New Roman"/>
          <w:kern w:val="0"/>
          <w:szCs w:val="24"/>
        </w:rPr>
        <w:t>的书面确认，应在</w:t>
      </w:r>
      <w:r>
        <w:rPr>
          <w:rFonts w:ascii="宋体" w:hAnsi="宋体" w:eastAsia="宋体" w:cs="Times New Roman"/>
          <w:kern w:val="0"/>
          <w:szCs w:val="24"/>
        </w:rPr>
        <w:t>监理人</w:t>
      </w:r>
      <w:r>
        <w:rPr>
          <w:rFonts w:hint="eastAsia" w:ascii="宋体" w:hAnsi="宋体" w:eastAsia="宋体" w:cs="Times New Roman"/>
          <w:kern w:val="0"/>
          <w:szCs w:val="24"/>
        </w:rPr>
        <w:t>发出口头指令后7天内提出书面确认要求，</w:t>
      </w:r>
      <w:r>
        <w:rPr>
          <w:rFonts w:ascii="宋体" w:hAnsi="宋体" w:eastAsia="宋体" w:cs="Times New Roman"/>
          <w:kern w:val="0"/>
          <w:szCs w:val="24"/>
        </w:rPr>
        <w:t>监理人</w:t>
      </w:r>
      <w:r>
        <w:rPr>
          <w:rFonts w:hint="eastAsia" w:ascii="宋体" w:hAnsi="宋体" w:eastAsia="宋体" w:cs="Times New Roman"/>
          <w:kern w:val="0"/>
          <w:szCs w:val="24"/>
        </w:rPr>
        <w:t>应在承包人提出书面确认要求后48小时内给予答复，逾期不予答复的，视为口头指令已被确认。</w:t>
      </w:r>
      <w:bookmarkEnd w:id="1080"/>
    </w:p>
    <w:p w14:paraId="217B1206">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(3)承包人认为</w:t>
      </w:r>
      <w:r>
        <w:rPr>
          <w:rFonts w:ascii="宋体" w:hAnsi="宋体" w:eastAsia="宋体" w:cs="Times New Roman"/>
          <w:kern w:val="0"/>
          <w:szCs w:val="24"/>
        </w:rPr>
        <w:t>监理人</w:t>
      </w:r>
      <w:r>
        <w:rPr>
          <w:rFonts w:hint="eastAsia" w:ascii="宋体" w:hAnsi="宋体" w:eastAsia="宋体" w:cs="Times New Roman"/>
          <w:kern w:val="0"/>
          <w:szCs w:val="24"/>
        </w:rPr>
        <w:t>的指令不合理，应在收到指令后24小时内向</w:t>
      </w:r>
      <w:r>
        <w:rPr>
          <w:rFonts w:ascii="宋体" w:hAnsi="宋体" w:eastAsia="宋体" w:cs="Times New Roman"/>
          <w:kern w:val="0"/>
          <w:szCs w:val="24"/>
        </w:rPr>
        <w:t>监理人</w:t>
      </w:r>
      <w:r>
        <w:rPr>
          <w:rFonts w:hint="eastAsia" w:ascii="宋体" w:hAnsi="宋体" w:eastAsia="宋体" w:cs="Times New Roman"/>
          <w:kern w:val="0"/>
          <w:szCs w:val="24"/>
        </w:rPr>
        <w:t>报告，</w:t>
      </w:r>
      <w:r>
        <w:rPr>
          <w:rFonts w:ascii="宋体" w:hAnsi="宋体" w:eastAsia="宋体" w:cs="Times New Roman"/>
          <w:kern w:val="0"/>
          <w:szCs w:val="24"/>
        </w:rPr>
        <w:t>监理人</w:t>
      </w:r>
      <w:r>
        <w:rPr>
          <w:rFonts w:hint="eastAsia" w:ascii="宋体" w:hAnsi="宋体" w:eastAsia="宋体" w:cs="Times New Roman"/>
          <w:kern w:val="0"/>
          <w:szCs w:val="24"/>
        </w:rPr>
        <w:t>应在收到承包人报告后24小时内作出修改指令或继续执行原指令的决定，通知承包人。</w:t>
      </w:r>
      <w:r>
        <w:rPr>
          <w:rFonts w:ascii="宋体" w:hAnsi="宋体" w:eastAsia="宋体" w:cs="Times New Roman"/>
          <w:kern w:val="0"/>
          <w:szCs w:val="24"/>
        </w:rPr>
        <w:t>监理人逾期未回复的，承包人有权拒绝执行上述指示。</w:t>
      </w:r>
    </w:p>
    <w:p w14:paraId="49EAC4FE">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(4)</w:t>
      </w:r>
      <w:r>
        <w:rPr>
          <w:rFonts w:ascii="宋体" w:hAnsi="宋体" w:eastAsia="宋体" w:cs="Times New Roman"/>
          <w:kern w:val="0"/>
          <w:szCs w:val="24"/>
        </w:rPr>
        <w:t>监理人对承包人的任何工作、工程或其采用的材料和工程设备未在约定的或合理期限内提出意见的，视为批准，但不免除或减轻承包人对该工作、工程、材料、工程设备等应承担的责任和义务。</w:t>
      </w:r>
    </w:p>
    <w:p w14:paraId="75A83FB6">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081" w:name="_Toc2927"/>
      <w:bookmarkStart w:id="1082" w:name="_Toc31702"/>
      <w:bookmarkStart w:id="1083" w:name="_Toc208587485"/>
      <w:bookmarkStart w:id="1084" w:name="_Toc30932"/>
      <w:bookmarkStart w:id="1085" w:name="_Toc20746"/>
      <w:bookmarkStart w:id="1086" w:name="_Toc28322"/>
      <w:bookmarkStart w:id="1087" w:name="_Toc1969"/>
      <w:bookmarkStart w:id="1088" w:name="_Toc23680"/>
      <w:bookmarkStart w:id="1089" w:name="_Toc305331261"/>
      <w:bookmarkStart w:id="1090" w:name="_Toc6592"/>
      <w:bookmarkStart w:id="1091" w:name="_Toc6922"/>
      <w:bookmarkStart w:id="1092" w:name="_Toc201735280"/>
      <w:bookmarkStart w:id="1093" w:name="_Toc3563"/>
      <w:bookmarkStart w:id="1094" w:name="_Toc623067146"/>
      <w:bookmarkStart w:id="1095" w:name="_Toc302635734"/>
      <w:r>
        <w:rPr>
          <w:rFonts w:ascii="宋体" w:hAnsi="宋体" w:eastAsia="宋体" w:cs="Times New Roman"/>
          <w:b/>
          <w:bCs/>
          <w:kern w:val="0"/>
          <w:sz w:val="24"/>
          <w:szCs w:val="24"/>
          <w:lang w:val="en-US" w:eastAsia="zh-CN" w:bidi="ar-SA"/>
        </w:rPr>
        <w:t>监理人</w:t>
      </w:r>
      <w:r>
        <w:rPr>
          <w:rFonts w:hint="eastAsia" w:ascii="宋体" w:hAnsi="宋体" w:eastAsia="宋体" w:cs="Times New Roman"/>
          <w:b/>
          <w:bCs/>
          <w:kern w:val="0"/>
          <w:sz w:val="24"/>
          <w:szCs w:val="24"/>
          <w:lang w:val="en-US" w:eastAsia="zh-CN" w:bidi="ar-SA"/>
        </w:rPr>
        <w:t>未尽义务或失误</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14:paraId="2C02CA00">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监理人</w:t>
      </w:r>
      <w:r>
        <w:rPr>
          <w:rFonts w:hint="eastAsia" w:ascii="宋体" w:hAnsi="宋体" w:eastAsia="宋体" w:cs="Times New Roman"/>
          <w:kern w:val="0"/>
          <w:szCs w:val="24"/>
        </w:rPr>
        <w:t>应按本合同约定，及时向承包人提供所需的指令、批准并履行约定的其他义务。因</w:t>
      </w:r>
      <w:r>
        <w:rPr>
          <w:rFonts w:ascii="宋体" w:hAnsi="宋体" w:eastAsia="宋体" w:cs="Times New Roman"/>
          <w:kern w:val="0"/>
          <w:szCs w:val="24"/>
        </w:rPr>
        <w:t>监理人</w:t>
      </w:r>
      <w:r>
        <w:rPr>
          <w:rFonts w:hint="eastAsia" w:ascii="宋体" w:hAnsi="宋体" w:eastAsia="宋体" w:cs="Times New Roman"/>
          <w:kern w:val="0"/>
          <w:szCs w:val="24"/>
        </w:rPr>
        <w:t>未能按合同约定履行义务或因</w:t>
      </w:r>
      <w:r>
        <w:rPr>
          <w:rFonts w:ascii="宋体" w:hAnsi="宋体" w:eastAsia="宋体" w:cs="Times New Roman"/>
          <w:kern w:val="0"/>
          <w:szCs w:val="24"/>
        </w:rPr>
        <w:t>监理人</w:t>
      </w:r>
      <w:r>
        <w:rPr>
          <w:rFonts w:hint="eastAsia" w:ascii="宋体" w:hAnsi="宋体" w:eastAsia="宋体" w:cs="Times New Roman"/>
          <w:kern w:val="0"/>
          <w:szCs w:val="24"/>
        </w:rPr>
        <w:t>的失误，导致承包人费用增加和（或）工期延误的，由发包人承担相应责任。</w:t>
      </w:r>
    </w:p>
    <w:p w14:paraId="24DA5EEC">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1096" w:name="_Toc305331262"/>
      <w:bookmarkStart w:id="1097" w:name="_Toc978"/>
      <w:bookmarkStart w:id="1098" w:name="_Toc20607"/>
      <w:bookmarkStart w:id="1099" w:name="_Toc35656971"/>
      <w:bookmarkStart w:id="1100" w:name="_Toc25864"/>
      <w:bookmarkStart w:id="1101" w:name="_Toc32388"/>
      <w:bookmarkStart w:id="1102" w:name="_Toc9450"/>
      <w:bookmarkStart w:id="1103" w:name="_Toc302635736"/>
      <w:bookmarkStart w:id="1104" w:name="_Toc34908976"/>
      <w:bookmarkStart w:id="1105" w:name="_Toc29324"/>
      <w:bookmarkStart w:id="1106" w:name="_Toc12511"/>
      <w:bookmarkStart w:id="1107" w:name="_Toc32571"/>
      <w:bookmarkStart w:id="1108" w:name="_Toc208587486"/>
      <w:bookmarkStart w:id="1109" w:name="_Toc28116"/>
      <w:bookmarkStart w:id="1110" w:name="_Toc2712"/>
      <w:bookmarkStart w:id="1111" w:name="_Toc201735281"/>
      <w:bookmarkStart w:id="1112" w:name="_Toc45578799"/>
      <w:r>
        <w:rPr>
          <w:rFonts w:hint="eastAsia" w:ascii="华文细黑" w:hAnsi="宋体" w:eastAsia="宋体" w:cs="Times New Roman"/>
          <w:b/>
          <w:bCs/>
          <w:snapToGrid w:val="0"/>
          <w:kern w:val="0"/>
          <w:sz w:val="28"/>
          <w:szCs w:val="44"/>
          <w:lang w:val="en-US" w:eastAsia="zh-CN" w:bidi="ar-SA"/>
        </w:rPr>
        <w:t>转包、分包</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14:paraId="6E5009BE">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113" w:name="_Toc11099"/>
      <w:bookmarkStart w:id="1114" w:name="_Toc16075"/>
      <w:bookmarkStart w:id="1115" w:name="_Toc14987"/>
      <w:bookmarkStart w:id="1116" w:name="_Toc6108"/>
      <w:bookmarkStart w:id="1117" w:name="_Toc34908977"/>
      <w:bookmarkStart w:id="1118" w:name="_Toc302635737"/>
      <w:bookmarkStart w:id="1119" w:name="_Toc35656972"/>
      <w:bookmarkStart w:id="1120" w:name="_Toc11640"/>
      <w:bookmarkStart w:id="1121" w:name="_Toc35656470"/>
      <w:bookmarkStart w:id="1122" w:name="_Toc305331263"/>
      <w:bookmarkStart w:id="1123" w:name="_Toc763"/>
      <w:bookmarkStart w:id="1124" w:name="_Toc17540"/>
      <w:bookmarkStart w:id="1125" w:name="_Toc23442"/>
      <w:bookmarkStart w:id="1126" w:name="_Toc1850427649"/>
      <w:bookmarkStart w:id="1127" w:name="_Toc24926"/>
      <w:bookmarkStart w:id="1128" w:name="_Toc31050"/>
      <w:bookmarkStart w:id="1129" w:name="_Toc208587487"/>
      <w:bookmarkStart w:id="1130" w:name="_Toc201735282"/>
      <w:r>
        <w:rPr>
          <w:rFonts w:hint="eastAsia" w:ascii="宋体" w:hAnsi="宋体" w:eastAsia="宋体" w:cs="Times New Roman"/>
          <w:b/>
          <w:bCs/>
          <w:kern w:val="0"/>
          <w:sz w:val="24"/>
          <w:szCs w:val="24"/>
          <w:lang w:val="en-US" w:eastAsia="zh-CN" w:bidi="ar-SA"/>
        </w:rPr>
        <w:t>转</w:t>
      </w:r>
      <w:bookmarkEnd w:id="1113"/>
      <w:bookmarkEnd w:id="1114"/>
      <w:bookmarkEnd w:id="1115"/>
      <w:bookmarkEnd w:id="1116"/>
      <w:bookmarkEnd w:id="1117"/>
      <w:bookmarkEnd w:id="1118"/>
      <w:bookmarkEnd w:id="1119"/>
      <w:bookmarkEnd w:id="1120"/>
      <w:bookmarkEnd w:id="1121"/>
      <w:bookmarkEnd w:id="1122"/>
      <w:bookmarkEnd w:id="1123"/>
      <w:r>
        <w:rPr>
          <w:rFonts w:hint="eastAsia" w:ascii="宋体" w:hAnsi="宋体" w:eastAsia="宋体" w:cs="Times New Roman"/>
          <w:b/>
          <w:bCs/>
          <w:kern w:val="0"/>
          <w:sz w:val="24"/>
          <w:szCs w:val="24"/>
          <w:lang w:val="en-US" w:eastAsia="zh-CN" w:bidi="ar-SA"/>
        </w:rPr>
        <w:t>包</w:t>
      </w:r>
      <w:bookmarkEnd w:id="1124"/>
      <w:bookmarkEnd w:id="1125"/>
      <w:bookmarkEnd w:id="1126"/>
      <w:bookmarkEnd w:id="1127"/>
      <w:bookmarkEnd w:id="1128"/>
      <w:bookmarkEnd w:id="1129"/>
      <w:bookmarkEnd w:id="1130"/>
    </w:p>
    <w:p w14:paraId="54C1F9BB">
      <w:pPr>
        <w:tabs>
          <w:tab w:val="left" w:pos="1620"/>
          <w:tab w:val="left" w:pos="2340"/>
        </w:tabs>
        <w:spacing w:after="156"/>
        <w:ind w:left="899"/>
        <w:jc w:val="left"/>
        <w:rPr>
          <w:rFonts w:ascii="宋体" w:hAnsi="宋体" w:eastAsia="宋体" w:cs="Times New Roman"/>
          <w:kern w:val="0"/>
          <w:szCs w:val="24"/>
        </w:rPr>
      </w:pPr>
      <w:bookmarkStart w:id="1131" w:name="_Toc34908978"/>
      <w:r>
        <w:rPr>
          <w:rFonts w:hint="eastAsia" w:ascii="宋体" w:hAnsi="宋体" w:eastAsia="宋体" w:cs="Times New Roman"/>
          <w:kern w:val="0"/>
          <w:szCs w:val="24"/>
        </w:rPr>
        <w:t>承包人不得将本合同的全部工程转包给其他单位或个人。</w:t>
      </w:r>
      <w:bookmarkEnd w:id="1131"/>
      <w:r>
        <w:rPr>
          <w:rFonts w:hint="eastAsia" w:ascii="宋体" w:hAnsi="宋体" w:eastAsia="宋体" w:cs="Times New Roman"/>
          <w:kern w:val="0"/>
          <w:szCs w:val="24"/>
        </w:rPr>
        <w:t>如承包人有上述转包行为，按照</w:t>
      </w:r>
      <w:r>
        <w:rPr>
          <w:rFonts w:hint="eastAsia" w:ascii="宋体" w:hAnsi="宋体" w:eastAsia="宋体" w:cs="Times New Roman"/>
          <w:b/>
          <w:i/>
          <w:kern w:val="0"/>
          <w:szCs w:val="24"/>
        </w:rPr>
        <w:t>专用条款</w:t>
      </w:r>
      <w:r>
        <w:rPr>
          <w:rFonts w:hint="eastAsia" w:ascii="宋体" w:hAnsi="宋体" w:eastAsia="宋体" w:cs="Times New Roman"/>
          <w:kern w:val="0"/>
          <w:szCs w:val="24"/>
        </w:rPr>
        <w:t>的约定承担违约责任。</w:t>
      </w:r>
    </w:p>
    <w:p w14:paraId="607CC9F1">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132" w:name="_Toc20252"/>
      <w:bookmarkStart w:id="1133" w:name="_Toc4431"/>
      <w:bookmarkStart w:id="1134" w:name="_Toc4866"/>
      <w:bookmarkStart w:id="1135" w:name="_Toc18051"/>
      <w:bookmarkStart w:id="1136" w:name="_Toc25013"/>
      <w:bookmarkStart w:id="1137" w:name="_Toc201735283"/>
      <w:bookmarkStart w:id="1138" w:name="_Toc305331264"/>
      <w:bookmarkStart w:id="1139" w:name="_Toc1725"/>
      <w:bookmarkStart w:id="1140" w:name="_Toc1691"/>
      <w:bookmarkStart w:id="1141" w:name="_Toc31129"/>
      <w:bookmarkStart w:id="1142" w:name="_Toc16945"/>
      <w:bookmarkStart w:id="1143" w:name="_Toc208587488"/>
      <w:bookmarkStart w:id="1144" w:name="_Toc302635738"/>
      <w:bookmarkStart w:id="1145" w:name="_Toc332233986"/>
      <w:bookmarkStart w:id="1146" w:name="_Toc17975"/>
      <w:bookmarkStart w:id="1147" w:name="_Toc35656973"/>
      <w:bookmarkStart w:id="1148" w:name="_Toc34908979"/>
      <w:bookmarkStart w:id="1149" w:name="_Toc35656471"/>
      <w:r>
        <w:rPr>
          <w:rFonts w:hint="eastAsia" w:ascii="宋体" w:hAnsi="宋体" w:eastAsia="宋体" w:cs="Times New Roman"/>
          <w:b/>
          <w:bCs/>
          <w:kern w:val="0"/>
          <w:sz w:val="24"/>
          <w:szCs w:val="24"/>
          <w:lang w:val="en-US" w:eastAsia="zh-CN" w:bidi="ar-SA"/>
        </w:rPr>
        <w:t>分包</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p>
    <w:bookmarkEnd w:id="1147"/>
    <w:bookmarkEnd w:id="1148"/>
    <w:bookmarkEnd w:id="1149"/>
    <w:p w14:paraId="45EB3369">
      <w:pPr>
        <w:tabs>
          <w:tab w:val="left" w:pos="1620"/>
          <w:tab w:val="left" w:pos="2340"/>
        </w:tabs>
        <w:spacing w:after="156"/>
        <w:ind w:left="899"/>
        <w:jc w:val="left"/>
        <w:rPr>
          <w:rFonts w:ascii="宋体" w:hAnsi="宋体" w:eastAsia="宋体" w:cs="Times New Roman"/>
          <w:kern w:val="0"/>
          <w:szCs w:val="24"/>
        </w:rPr>
      </w:pPr>
      <w:bookmarkStart w:id="1150" w:name="_Toc34908982"/>
      <w:r>
        <w:rPr>
          <w:rFonts w:hint="eastAsia" w:ascii="宋体" w:hAnsi="宋体" w:eastAsia="宋体" w:cs="Times New Roman"/>
          <w:kern w:val="0"/>
          <w:szCs w:val="24"/>
        </w:rPr>
        <w:t>(</w:t>
      </w:r>
      <w:r>
        <w:rPr>
          <w:rFonts w:ascii="宋体" w:hAnsi="宋体" w:eastAsia="宋体" w:cs="Times New Roman"/>
          <w:kern w:val="0"/>
          <w:szCs w:val="24"/>
        </w:rPr>
        <w:t>1</w:t>
      </w:r>
      <w:r>
        <w:rPr>
          <w:rFonts w:hint="eastAsia" w:ascii="宋体" w:hAnsi="宋体" w:eastAsia="宋体" w:cs="Times New Roman"/>
          <w:kern w:val="0"/>
          <w:szCs w:val="24"/>
        </w:rPr>
        <w:t>)</w:t>
      </w:r>
      <w:r>
        <w:rPr>
          <w:rFonts w:ascii="宋体" w:hAnsi="宋体" w:eastAsia="宋体" w:cs="Times New Roman"/>
          <w:kern w:val="0"/>
          <w:szCs w:val="24"/>
        </w:rPr>
        <w:t>承包人不得将工程主体结构、关键性工作及</w:t>
      </w:r>
      <w:r>
        <w:rPr>
          <w:rFonts w:ascii="宋体" w:hAnsi="宋体" w:eastAsia="宋体" w:cs="Times New Roman"/>
          <w:b/>
          <w:i/>
          <w:kern w:val="0"/>
          <w:szCs w:val="24"/>
        </w:rPr>
        <w:t>专用条款</w:t>
      </w:r>
      <w:r>
        <w:rPr>
          <w:rFonts w:ascii="宋体" w:hAnsi="宋体" w:eastAsia="宋体" w:cs="Times New Roman"/>
          <w:kern w:val="0"/>
          <w:szCs w:val="24"/>
        </w:rPr>
        <w:t>中禁止分包的专业工程分包给第三人，主体结构、关键性工作的范围由发承包双方按照法律规定在</w:t>
      </w:r>
      <w:r>
        <w:rPr>
          <w:rFonts w:ascii="宋体" w:hAnsi="宋体" w:eastAsia="宋体" w:cs="Times New Roman"/>
          <w:b/>
          <w:i/>
          <w:kern w:val="0"/>
          <w:szCs w:val="24"/>
        </w:rPr>
        <w:t>专用条款</w:t>
      </w:r>
      <w:r>
        <w:rPr>
          <w:rFonts w:ascii="宋体" w:hAnsi="宋体" w:eastAsia="宋体" w:cs="Times New Roman"/>
          <w:kern w:val="0"/>
          <w:szCs w:val="24"/>
        </w:rPr>
        <w:t>中予以明确。</w:t>
      </w:r>
    </w:p>
    <w:p w14:paraId="254EE90E">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2</w:t>
      </w:r>
      <w:r>
        <w:rPr>
          <w:rFonts w:hint="eastAsia" w:ascii="宋体" w:hAnsi="宋体" w:eastAsia="宋体" w:cs="Times New Roman"/>
          <w:kern w:val="0"/>
          <w:szCs w:val="24"/>
        </w:rPr>
        <w:t>)未经</w:t>
      </w:r>
      <w:r>
        <w:rPr>
          <w:rFonts w:ascii="宋体" w:hAnsi="宋体" w:eastAsia="宋体" w:cs="Times New Roman"/>
          <w:kern w:val="0"/>
          <w:szCs w:val="24"/>
        </w:rPr>
        <w:t>监理人</w:t>
      </w:r>
      <w:r>
        <w:rPr>
          <w:rFonts w:hint="eastAsia" w:ascii="宋体" w:hAnsi="宋体" w:eastAsia="宋体" w:cs="Times New Roman"/>
          <w:kern w:val="0"/>
          <w:szCs w:val="24"/>
        </w:rPr>
        <w:t>审查并取得发包人批准，承包人不得将其本工程承包范围内的任何部分工程分包。如承包人有未经发包人同意的分包行为，按照</w:t>
      </w:r>
      <w:r>
        <w:rPr>
          <w:rFonts w:hint="eastAsia" w:ascii="宋体" w:hAnsi="宋体" w:eastAsia="宋体" w:cs="Times New Roman"/>
          <w:b/>
          <w:i/>
          <w:kern w:val="0"/>
          <w:szCs w:val="24"/>
        </w:rPr>
        <w:t>专用条款</w:t>
      </w:r>
      <w:r>
        <w:rPr>
          <w:rFonts w:hint="eastAsia" w:ascii="宋体" w:hAnsi="宋体" w:eastAsia="宋体" w:cs="Times New Roman"/>
          <w:kern w:val="0"/>
          <w:szCs w:val="24"/>
        </w:rPr>
        <w:t>的约定承担违约责任。</w:t>
      </w:r>
    </w:p>
    <w:p w14:paraId="7C289B64">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3</w:t>
      </w:r>
      <w:r>
        <w:rPr>
          <w:rFonts w:hint="eastAsia" w:ascii="宋体" w:hAnsi="宋体" w:eastAsia="宋体" w:cs="Times New Roman"/>
          <w:kern w:val="0"/>
          <w:szCs w:val="24"/>
        </w:rPr>
        <w:t>)承包人应禁止分包人将分包工程的任何部分再分包。如出现分包人将分包工程的任何部分再分包的行为，承包人应按照</w:t>
      </w:r>
      <w:r>
        <w:rPr>
          <w:rFonts w:hint="eastAsia" w:ascii="宋体" w:hAnsi="宋体" w:eastAsia="宋体" w:cs="Times New Roman"/>
          <w:b/>
          <w:i/>
          <w:kern w:val="0"/>
          <w:szCs w:val="24"/>
        </w:rPr>
        <w:t>专用条款</w:t>
      </w:r>
      <w:r>
        <w:rPr>
          <w:rFonts w:hint="eastAsia" w:ascii="宋体" w:hAnsi="宋体" w:eastAsia="宋体" w:cs="Times New Roman"/>
          <w:kern w:val="0"/>
          <w:szCs w:val="24"/>
        </w:rPr>
        <w:t>的约定承担违约责任。</w:t>
      </w:r>
    </w:p>
    <w:p w14:paraId="71EF6788">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fldChar w:fldCharType="begin"/>
      </w:r>
      <w:r>
        <w:rPr>
          <w:rFonts w:ascii="宋体" w:hAnsi="宋体" w:eastAsia="宋体" w:cs="Times New Roman"/>
          <w:kern w:val="0"/>
          <w:szCs w:val="24"/>
        </w:rPr>
        <w:instrText xml:space="preserve"> </w:instrText>
      </w:r>
      <w:r>
        <w:rPr>
          <w:rFonts w:hint="eastAsia" w:ascii="宋体" w:hAnsi="宋体" w:eastAsia="宋体" w:cs="Times New Roman"/>
          <w:kern w:val="0"/>
          <w:szCs w:val="24"/>
        </w:rPr>
        <w:instrText xml:space="preserve">= 5 \* GB2</w:instrText>
      </w:r>
      <w:r>
        <w:rPr>
          <w:rFonts w:ascii="宋体" w:hAnsi="宋体" w:eastAsia="宋体" w:cs="Times New Roman"/>
          <w:kern w:val="0"/>
          <w:szCs w:val="24"/>
        </w:rPr>
        <w:instrText xml:space="preserve"> </w:instrText>
      </w:r>
      <w:r>
        <w:rPr>
          <w:rFonts w:ascii="宋体" w:hAnsi="宋体" w:eastAsia="宋体" w:cs="Times New Roman"/>
          <w:kern w:val="0"/>
          <w:szCs w:val="24"/>
        </w:rPr>
        <w:fldChar w:fldCharType="separate"/>
      </w:r>
      <w:r>
        <w:rPr>
          <w:rFonts w:hint="eastAsia" w:ascii="宋体" w:hAnsi="宋体" w:eastAsia="宋体" w:cs="Times New Roman"/>
          <w:kern w:val="0"/>
          <w:szCs w:val="24"/>
        </w:rPr>
        <w:t>(</w:t>
      </w:r>
      <w:r>
        <w:rPr>
          <w:rFonts w:ascii="宋体" w:hAnsi="宋体" w:eastAsia="宋体" w:cs="Times New Roman"/>
          <w:kern w:val="0"/>
          <w:szCs w:val="24"/>
        </w:rPr>
        <w:t>4</w:t>
      </w:r>
      <w:r>
        <w:rPr>
          <w:rFonts w:hint="eastAsia" w:ascii="宋体" w:hAnsi="宋体" w:eastAsia="宋体" w:cs="Times New Roman"/>
          <w:kern w:val="0"/>
          <w:szCs w:val="24"/>
        </w:rPr>
        <w:t>)</w:t>
      </w:r>
      <w:r>
        <w:rPr>
          <w:rFonts w:ascii="宋体" w:hAnsi="宋体" w:eastAsia="宋体" w:cs="Times New Roman"/>
          <w:kern w:val="0"/>
          <w:szCs w:val="24"/>
        </w:rPr>
        <w:fldChar w:fldCharType="end"/>
      </w:r>
      <w:r>
        <w:rPr>
          <w:rFonts w:hint="eastAsia" w:ascii="宋体" w:hAnsi="宋体" w:eastAsia="宋体" w:cs="Times New Roman"/>
          <w:kern w:val="0"/>
          <w:szCs w:val="24"/>
        </w:rPr>
        <w:t>承包人不得将其承包范围内全部工程支解分包。如承包人有将其承包范围内全部工程支解分包的行为，按照</w:t>
      </w:r>
      <w:r>
        <w:rPr>
          <w:rFonts w:hint="eastAsia" w:ascii="宋体" w:hAnsi="宋体" w:eastAsia="宋体" w:cs="Times New Roman"/>
          <w:b/>
          <w:i/>
          <w:kern w:val="0"/>
          <w:szCs w:val="24"/>
        </w:rPr>
        <w:t>专用条款</w:t>
      </w:r>
      <w:r>
        <w:rPr>
          <w:rFonts w:hint="eastAsia" w:ascii="宋体" w:hAnsi="宋体" w:eastAsia="宋体" w:cs="Times New Roman"/>
          <w:kern w:val="0"/>
          <w:szCs w:val="24"/>
        </w:rPr>
        <w:t>的约定承担违约责任。</w:t>
      </w:r>
    </w:p>
    <w:p w14:paraId="2BD79F23">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151" w:name="_Toc208587489"/>
      <w:bookmarkEnd w:id="1151"/>
      <w:bookmarkStart w:id="1152" w:name="_Toc17603"/>
      <w:bookmarkStart w:id="1153" w:name="_Toc23704"/>
      <w:bookmarkStart w:id="1154" w:name="_Toc16755"/>
      <w:bookmarkStart w:id="1155" w:name="_Toc16447"/>
      <w:bookmarkStart w:id="1156" w:name="_Toc12989"/>
      <w:bookmarkStart w:id="1157" w:name="_Toc15751"/>
      <w:bookmarkStart w:id="1158" w:name="_Toc22685"/>
      <w:bookmarkStart w:id="1159" w:name="_Toc18417"/>
      <w:bookmarkStart w:id="1160" w:name="_Toc305331265"/>
      <w:bookmarkStart w:id="1161" w:name="_Toc14811"/>
      <w:bookmarkStart w:id="1162" w:name="_Toc14682"/>
      <w:bookmarkStart w:id="1163" w:name="_Toc208587490"/>
      <w:bookmarkStart w:id="1164" w:name="_Toc201735284"/>
      <w:bookmarkStart w:id="1165" w:name="_Toc302635739"/>
      <w:bookmarkStart w:id="1166" w:name="_Toc1289659866"/>
      <w:r>
        <w:rPr>
          <w:rFonts w:hint="eastAsia" w:ascii="宋体" w:hAnsi="宋体" w:eastAsia="宋体" w:cs="Times New Roman"/>
          <w:b/>
          <w:bCs/>
          <w:kern w:val="0"/>
          <w:sz w:val="24"/>
          <w:szCs w:val="24"/>
          <w:lang w:val="en-US" w:eastAsia="zh-CN" w:bidi="ar-SA"/>
        </w:rPr>
        <w:t>分包人的确定</w:t>
      </w:r>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p w14:paraId="41FFB6F4">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(1)承包人对某专业工程实施分包时，专业分包人必须具备承建该专业工程的施工资质条件，同时满足</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约定的条件。</w:t>
      </w:r>
    </w:p>
    <w:p w14:paraId="012AECE3">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(2)选择分包人时，承包人有义务依据</w:t>
      </w:r>
      <w:r>
        <w:rPr>
          <w:rFonts w:ascii="宋体" w:hAnsi="宋体" w:eastAsia="宋体" w:cs="Times New Roman"/>
          <w:kern w:val="0"/>
          <w:szCs w:val="24"/>
        </w:rPr>
        <w:t>监理人</w:t>
      </w:r>
      <w:r>
        <w:rPr>
          <w:rFonts w:hint="eastAsia" w:ascii="宋体" w:hAnsi="宋体" w:eastAsia="宋体" w:cs="Times New Roman"/>
          <w:kern w:val="0"/>
          <w:szCs w:val="24"/>
        </w:rPr>
        <w:t>的要求向</w:t>
      </w:r>
      <w:r>
        <w:rPr>
          <w:rFonts w:ascii="宋体" w:hAnsi="宋体" w:eastAsia="宋体" w:cs="Times New Roman"/>
          <w:kern w:val="0"/>
          <w:szCs w:val="24"/>
        </w:rPr>
        <w:t>监理人</w:t>
      </w:r>
      <w:r>
        <w:rPr>
          <w:rFonts w:hint="eastAsia" w:ascii="宋体" w:hAnsi="宋体" w:eastAsia="宋体" w:cs="Times New Roman"/>
          <w:kern w:val="0"/>
          <w:szCs w:val="24"/>
        </w:rPr>
        <w:t>提供拟选分包人的一切资料，经发包人和</w:t>
      </w:r>
      <w:r>
        <w:rPr>
          <w:rFonts w:ascii="宋体" w:hAnsi="宋体" w:eastAsia="宋体" w:cs="Times New Roman"/>
          <w:kern w:val="0"/>
          <w:szCs w:val="24"/>
        </w:rPr>
        <w:t>监理人</w:t>
      </w:r>
      <w:r>
        <w:rPr>
          <w:rFonts w:hint="eastAsia" w:ascii="宋体" w:hAnsi="宋体" w:eastAsia="宋体" w:cs="Times New Roman"/>
          <w:kern w:val="0"/>
          <w:szCs w:val="24"/>
        </w:rPr>
        <w:t>批准后作为分包人。</w:t>
      </w:r>
    </w:p>
    <w:p w14:paraId="1CE5B07F">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167" w:name="_Toc201735285"/>
      <w:bookmarkStart w:id="1168" w:name="_Toc16808"/>
      <w:bookmarkStart w:id="1169" w:name="_Toc5687"/>
      <w:bookmarkStart w:id="1170" w:name="_Toc302635740"/>
      <w:bookmarkStart w:id="1171" w:name="_Toc31293"/>
      <w:bookmarkStart w:id="1172" w:name="_Toc305331266"/>
      <w:bookmarkStart w:id="1173" w:name="_Toc8009"/>
      <w:bookmarkStart w:id="1174" w:name="_Toc1030515234"/>
      <w:bookmarkStart w:id="1175" w:name="_Toc10116"/>
      <w:bookmarkStart w:id="1176" w:name="_Toc7963"/>
      <w:bookmarkStart w:id="1177" w:name="_Toc208587491"/>
      <w:bookmarkStart w:id="1178" w:name="_Toc10028"/>
      <w:bookmarkStart w:id="1179" w:name="_Toc27092"/>
      <w:bookmarkStart w:id="1180" w:name="_Toc30474"/>
      <w:bookmarkStart w:id="1181" w:name="_Toc9580"/>
      <w:r>
        <w:rPr>
          <w:rFonts w:hint="eastAsia" w:ascii="宋体" w:hAnsi="宋体" w:eastAsia="宋体" w:cs="Times New Roman"/>
          <w:b/>
          <w:bCs/>
          <w:kern w:val="0"/>
          <w:sz w:val="24"/>
          <w:szCs w:val="24"/>
          <w:lang w:val="en-US" w:eastAsia="zh-CN" w:bidi="ar-SA"/>
        </w:rPr>
        <w:t>分包合同</w:t>
      </w:r>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p>
    <w:bookmarkEnd w:id="1150"/>
    <w:p w14:paraId="40A33A06">
      <w:pPr>
        <w:tabs>
          <w:tab w:val="left" w:pos="1620"/>
          <w:tab w:val="left" w:pos="2340"/>
        </w:tabs>
        <w:spacing w:after="156"/>
        <w:ind w:left="899"/>
        <w:jc w:val="left"/>
        <w:rPr>
          <w:rFonts w:hint="eastAsia" w:ascii="宋体" w:hAnsi="宋体" w:eastAsia="宋体" w:cs="Times New Roman"/>
          <w:kern w:val="0"/>
          <w:szCs w:val="24"/>
        </w:rPr>
      </w:pPr>
      <w:bookmarkStart w:id="1182" w:name="_Toc34908985"/>
      <w:r>
        <w:rPr>
          <w:rFonts w:hint="eastAsia" w:ascii="宋体" w:hAnsi="宋体" w:eastAsia="宋体" w:cs="Times New Roman"/>
          <w:kern w:val="0"/>
          <w:szCs w:val="24"/>
        </w:rPr>
        <w:t>(1)承包人与分包人签订分包合同后7天内，应将分包合同送发包人</w:t>
      </w:r>
      <w:r>
        <w:rPr>
          <w:rFonts w:hint="eastAsia" w:ascii="Times New Roman" w:hAnsi="Times New Roman" w:eastAsia="宋体" w:cs="Times New Roman"/>
          <w:szCs w:val="24"/>
        </w:rPr>
        <w:t>和</w:t>
      </w:r>
      <w:r>
        <w:rPr>
          <w:rFonts w:ascii="Times New Roman" w:hAnsi="Times New Roman" w:eastAsia="宋体" w:cs="Times New Roman"/>
          <w:szCs w:val="24"/>
        </w:rPr>
        <w:t>监理人</w:t>
      </w:r>
      <w:r>
        <w:rPr>
          <w:rFonts w:hint="eastAsia" w:ascii="Times New Roman" w:hAnsi="Times New Roman" w:eastAsia="宋体" w:cs="Times New Roman"/>
          <w:szCs w:val="24"/>
        </w:rPr>
        <w:t>各一份</w:t>
      </w:r>
      <w:r>
        <w:rPr>
          <w:rFonts w:hint="eastAsia" w:ascii="宋体" w:hAnsi="宋体" w:eastAsia="宋体" w:cs="Times New Roman"/>
          <w:kern w:val="0"/>
          <w:szCs w:val="24"/>
        </w:rPr>
        <w:t>存档。</w:t>
      </w:r>
    </w:p>
    <w:p w14:paraId="68E0BFC6">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承包人对分包合同承担连带责任。分包合同不解除本合同约定承包人的任何义务与责任，承包人在分包工程现场应派驻监督管理人员，保证分包合同的履行。分包人的任何违约或疏忽，均视为承包人违约或疏忽。</w:t>
      </w:r>
    </w:p>
    <w:p w14:paraId="0B0BC347">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(3)分包工程价款由承包人与分包人结算。</w:t>
      </w:r>
      <w:bookmarkEnd w:id="1182"/>
      <w:bookmarkStart w:id="1183" w:name="_Toc34908983"/>
      <w:r>
        <w:rPr>
          <w:rFonts w:hint="eastAsia" w:ascii="宋体" w:hAnsi="宋体" w:eastAsia="宋体" w:cs="Times New Roman"/>
          <w:kern w:val="0"/>
          <w:szCs w:val="24"/>
        </w:rPr>
        <w:t>除本合同另有约定或取得承包人的同意外，发包人不得以任何形式向分包人支付各种工程价款。</w:t>
      </w:r>
    </w:p>
    <w:p w14:paraId="7C20C311">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(4)承包人有义务向发包人提供其向分包人支付工程款项的证明。如承包人有拖欠分包人工程款项行为的，经被拖欠人催告，承包人仍不予支付的，被拖欠人可以向发包人请求代为支付，经发包人和</w:t>
      </w:r>
      <w:r>
        <w:rPr>
          <w:rFonts w:ascii="宋体" w:hAnsi="宋体" w:eastAsia="宋体" w:cs="Times New Roman"/>
          <w:kern w:val="0"/>
          <w:szCs w:val="24"/>
        </w:rPr>
        <w:t>监理人</w:t>
      </w:r>
      <w:r>
        <w:rPr>
          <w:rFonts w:hint="eastAsia" w:ascii="宋体" w:hAnsi="宋体" w:eastAsia="宋体" w:cs="Times New Roman"/>
          <w:kern w:val="0"/>
          <w:szCs w:val="24"/>
        </w:rPr>
        <w:t>核查情况属实的，视为承包人违约，</w:t>
      </w:r>
      <w:r>
        <w:rPr>
          <w:rFonts w:hint="eastAsia" w:ascii="Times New Roman" w:hAnsi="宋体" w:eastAsia="宋体" w:cs="Times New Roman"/>
          <w:szCs w:val="24"/>
        </w:rPr>
        <w:t>发包人有权</w:t>
      </w:r>
      <w:r>
        <w:rPr>
          <w:rFonts w:ascii="宋体" w:hAnsi="宋体" w:eastAsia="宋体" w:cs="Times New Roman"/>
          <w:szCs w:val="24"/>
        </w:rPr>
        <w:t>从承包人的工程款</w:t>
      </w:r>
      <w:r>
        <w:rPr>
          <w:rFonts w:hint="eastAsia" w:ascii="宋体" w:hAnsi="宋体" w:eastAsia="宋体" w:cs="Times New Roman"/>
          <w:szCs w:val="24"/>
        </w:rPr>
        <w:t>(</w:t>
      </w:r>
      <w:r>
        <w:rPr>
          <w:rFonts w:ascii="宋体" w:hAnsi="宋体" w:eastAsia="宋体" w:cs="Times New Roman"/>
          <w:szCs w:val="24"/>
        </w:rPr>
        <w:t>或预付款、保证金等</w:t>
      </w:r>
      <w:r>
        <w:rPr>
          <w:rFonts w:hint="eastAsia" w:ascii="宋体" w:hAnsi="宋体" w:eastAsia="宋体" w:cs="Times New Roman"/>
          <w:szCs w:val="24"/>
        </w:rPr>
        <w:t>)</w:t>
      </w:r>
      <w:r>
        <w:rPr>
          <w:rFonts w:ascii="宋体" w:hAnsi="宋体" w:eastAsia="宋体" w:cs="Times New Roman"/>
          <w:szCs w:val="24"/>
        </w:rPr>
        <w:t>中扣付</w:t>
      </w:r>
      <w:r>
        <w:rPr>
          <w:rFonts w:hint="eastAsia" w:ascii="宋体" w:hAnsi="宋体" w:eastAsia="宋体" w:cs="Times New Roman"/>
          <w:szCs w:val="24"/>
        </w:rPr>
        <w:t>拖欠的工程款</w:t>
      </w:r>
      <w:r>
        <w:rPr>
          <w:rFonts w:hint="eastAsia" w:ascii="宋体" w:hAnsi="宋体" w:eastAsia="宋体" w:cs="Times New Roman"/>
          <w:kern w:val="0"/>
          <w:szCs w:val="24"/>
        </w:rPr>
        <w:t>。</w:t>
      </w:r>
    </w:p>
    <w:p w14:paraId="5B55DE60">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5)</w:t>
      </w:r>
      <w:r>
        <w:rPr>
          <w:rFonts w:ascii="Times New Roman" w:hAnsi="Times New Roman" w:eastAsia="宋体" w:cs="Times New Roman"/>
          <w:szCs w:val="24"/>
        </w:rPr>
        <w:t>工程属于机关事业单位使用财政资金从大型企业采购工程的，</w:t>
      </w:r>
      <w:r>
        <w:rPr>
          <w:rFonts w:hint="eastAsia" w:ascii="Times New Roman" w:hAnsi="Times New Roman" w:eastAsia="宋体" w:cs="Times New Roman"/>
          <w:szCs w:val="24"/>
        </w:rPr>
        <w:t>承包人</w:t>
      </w:r>
      <w:r>
        <w:rPr>
          <w:rFonts w:ascii="Times New Roman" w:hAnsi="Times New Roman" w:eastAsia="宋体" w:cs="Times New Roman"/>
          <w:szCs w:val="24"/>
        </w:rPr>
        <w:t>在选择中小企业作为分包人、供应商时应通知发包人，并应在与分包人、供应商订立相关合同时，遵守有关法律法规对中小企业款项支付的规定</w:t>
      </w:r>
      <w:r>
        <w:rPr>
          <w:rFonts w:hint="eastAsia" w:ascii="Times New Roman" w:hAnsi="Times New Roman" w:eastAsia="宋体" w:cs="Times New Roman"/>
          <w:szCs w:val="24"/>
        </w:rPr>
        <w:t>。</w:t>
      </w:r>
    </w:p>
    <w:bookmarkEnd w:id="1183"/>
    <w:p w14:paraId="28A955CC">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1184" w:name="_Toc305331267"/>
      <w:bookmarkStart w:id="1185" w:name="_Toc10390"/>
      <w:bookmarkStart w:id="1186" w:name="_Toc18019"/>
      <w:bookmarkStart w:id="1187" w:name="_Toc29347"/>
      <w:bookmarkStart w:id="1188" w:name="_Toc21855"/>
      <w:bookmarkStart w:id="1189" w:name="_Toc201735286"/>
      <w:bookmarkStart w:id="1190" w:name="_Toc21448"/>
      <w:bookmarkStart w:id="1191" w:name="_Toc7581"/>
      <w:bookmarkStart w:id="1192" w:name="_Toc29755"/>
      <w:bookmarkStart w:id="1193" w:name="_Toc302635741"/>
      <w:bookmarkStart w:id="1194" w:name="_Toc9576"/>
      <w:bookmarkStart w:id="1195" w:name="_Toc8113"/>
      <w:bookmarkStart w:id="1196" w:name="_Toc9270"/>
      <w:bookmarkStart w:id="1197" w:name="_Toc1531889488"/>
      <w:bookmarkStart w:id="1198" w:name="_Toc208587492"/>
      <w:r>
        <w:rPr>
          <w:rFonts w:hint="eastAsia" w:ascii="华文细黑" w:hAnsi="宋体" w:eastAsia="宋体" w:cs="Times New Roman"/>
          <w:b/>
          <w:bCs/>
          <w:snapToGrid w:val="0"/>
          <w:kern w:val="0"/>
          <w:sz w:val="28"/>
          <w:szCs w:val="44"/>
          <w:lang w:val="en-US" w:eastAsia="zh-CN" w:bidi="ar-SA"/>
        </w:rPr>
        <w:t>专业工程发包</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14:paraId="6B3333B2">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199" w:name="_Toc6010"/>
      <w:bookmarkStart w:id="1200" w:name="_Toc305331268"/>
      <w:bookmarkStart w:id="1201" w:name="_Toc201735287"/>
      <w:bookmarkStart w:id="1202" w:name="_Toc32139"/>
      <w:bookmarkStart w:id="1203" w:name="_Toc17158"/>
      <w:bookmarkStart w:id="1204" w:name="_Toc410547257"/>
      <w:bookmarkStart w:id="1205" w:name="_Toc2975"/>
      <w:bookmarkStart w:id="1206" w:name="_Toc302635742"/>
      <w:bookmarkStart w:id="1207" w:name="_Toc13927"/>
      <w:bookmarkStart w:id="1208" w:name="_Toc26600"/>
      <w:bookmarkStart w:id="1209" w:name="_Toc208587493"/>
      <w:bookmarkStart w:id="1210" w:name="_Toc24592"/>
      <w:bookmarkStart w:id="1211" w:name="_Toc12607"/>
      <w:bookmarkStart w:id="1212" w:name="_Toc13661"/>
      <w:bookmarkStart w:id="1213" w:name="_Toc28196"/>
      <w:r>
        <w:rPr>
          <w:rFonts w:hint="eastAsia" w:ascii="宋体" w:hAnsi="宋体" w:eastAsia="宋体" w:cs="Times New Roman"/>
          <w:b/>
          <w:bCs/>
          <w:kern w:val="0"/>
          <w:sz w:val="24"/>
          <w:szCs w:val="24"/>
          <w:lang w:val="en-US" w:eastAsia="zh-CN" w:bidi="ar-SA"/>
        </w:rPr>
        <w:t>专业工程承包人</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14:paraId="2495853E">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(1)发包人可将本工程中承包人承包范围以外的专业工程，按照有关法律、法规的规定另行组织招标确定专业工程承包人，并在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中明确另行发包的专业工程以及专业工程承包人。</w:t>
      </w:r>
    </w:p>
    <w:p w14:paraId="6C201242">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专业工程施工合同由发包人与专业工程承包人签订。发包人应保障承包人免于承担应由专业工程承包人承担的责任和义务，任何由于专业工程承包人未履行上述责任和义务，或由于专业工程承包人的过失而造成的任何损失，承包人免于承担。</w:t>
      </w:r>
    </w:p>
    <w:p w14:paraId="5089149D">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(3)专业工程承包人应接受承包人的统一协调管理，施工中协作配合。</w:t>
      </w:r>
    </w:p>
    <w:p w14:paraId="0DF62751">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214" w:name="_Toc26581"/>
      <w:bookmarkStart w:id="1215" w:name="_Toc30368"/>
      <w:bookmarkStart w:id="1216" w:name="_Toc17557"/>
      <w:bookmarkStart w:id="1217" w:name="_Toc11935"/>
      <w:bookmarkStart w:id="1218" w:name="_Toc18983"/>
      <w:bookmarkStart w:id="1219" w:name="_Toc208587494"/>
      <w:bookmarkStart w:id="1220" w:name="_Toc201735288"/>
      <w:bookmarkStart w:id="1221" w:name="_Toc78"/>
      <w:bookmarkStart w:id="1222" w:name="_Toc921288229"/>
      <w:bookmarkStart w:id="1223" w:name="_Toc11026"/>
      <w:bookmarkStart w:id="1224" w:name="_Toc15410"/>
      <w:bookmarkStart w:id="1225" w:name="_Toc13335"/>
      <w:bookmarkStart w:id="1226" w:name="_Toc305331269"/>
      <w:bookmarkStart w:id="1227" w:name="_Toc302635743"/>
      <w:r>
        <w:rPr>
          <w:rFonts w:ascii="宋体" w:hAnsi="宋体" w:eastAsia="宋体" w:cs="Times New Roman"/>
          <w:b/>
          <w:bCs/>
          <w:kern w:val="0"/>
          <w:sz w:val="24"/>
          <w:szCs w:val="24"/>
          <w:lang w:val="en-US" w:eastAsia="zh-CN" w:bidi="ar-SA"/>
        </w:rPr>
        <w:t>总承包服务费</w:t>
      </w:r>
      <w:bookmarkEnd w:id="1214"/>
      <w:bookmarkEnd w:id="1215"/>
      <w:bookmarkEnd w:id="1216"/>
      <w:bookmarkEnd w:id="1217"/>
      <w:bookmarkEnd w:id="1218"/>
      <w:bookmarkEnd w:id="1219"/>
      <w:bookmarkEnd w:id="1220"/>
      <w:bookmarkEnd w:id="1221"/>
      <w:bookmarkEnd w:id="1222"/>
      <w:bookmarkEnd w:id="1223"/>
      <w:bookmarkEnd w:id="1224"/>
      <w:bookmarkEnd w:id="1225"/>
    </w:p>
    <w:p w14:paraId="7C3494FF">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总承包服务费是承包人</w:t>
      </w:r>
      <w:r>
        <w:rPr>
          <w:rFonts w:hint="eastAsia" w:ascii="宋体" w:hAnsi="宋体" w:eastAsia="宋体" w:cs="宋体"/>
          <w:szCs w:val="24"/>
        </w:rPr>
        <w:t>对发包人自行采购的材料与设备等进行保管，以及为发包人进行的专业工程发包所提供配合、协调、施工现场管理、已有临时设施使用、竣工资料汇总整理等服务所需的费用</w:t>
      </w:r>
      <w:r>
        <w:rPr>
          <w:rFonts w:ascii="宋体" w:hAnsi="宋体" w:eastAsia="宋体" w:cs="Times New Roman"/>
          <w:kern w:val="0"/>
          <w:szCs w:val="24"/>
        </w:rPr>
        <w:t>。包括总包管理服务费和发包人供应材料（设备）保管费</w:t>
      </w:r>
      <w:r>
        <w:rPr>
          <w:rFonts w:hint="eastAsia" w:ascii="宋体" w:hAnsi="宋体" w:eastAsia="宋体" w:cs="Times New Roman"/>
          <w:kern w:val="0"/>
          <w:szCs w:val="24"/>
        </w:rPr>
        <w:t>，其对应的工作内容、费用计算及调整原则可在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中详细约定</w:t>
      </w:r>
      <w:r>
        <w:rPr>
          <w:rFonts w:ascii="宋体" w:hAnsi="宋体" w:eastAsia="宋体" w:cs="Times New Roman"/>
          <w:kern w:val="0"/>
          <w:szCs w:val="24"/>
        </w:rPr>
        <w:t>。</w:t>
      </w:r>
    </w:p>
    <w:p w14:paraId="69530574">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发包人自行发包的专业工程需要使用</w:t>
      </w:r>
      <w:r>
        <w:rPr>
          <w:rFonts w:hint="eastAsia" w:ascii="宋体" w:hAnsi="宋体" w:eastAsia="宋体" w:cs="Times New Roman"/>
          <w:kern w:val="0"/>
          <w:szCs w:val="24"/>
        </w:rPr>
        <w:t>总承包服务费范围外</w:t>
      </w:r>
      <w:r>
        <w:rPr>
          <w:rFonts w:ascii="宋体" w:hAnsi="宋体" w:eastAsia="宋体" w:cs="Times New Roman"/>
          <w:kern w:val="0"/>
          <w:szCs w:val="24"/>
        </w:rPr>
        <w:t>承包人设施或其提供的服务，可由</w:t>
      </w:r>
      <w:r>
        <w:rPr>
          <w:rFonts w:hint="eastAsia" w:ascii="宋体" w:hAnsi="宋体" w:eastAsia="宋体" w:cs="Times New Roman"/>
          <w:kern w:val="0"/>
          <w:szCs w:val="24"/>
        </w:rPr>
        <w:t>专业工程承包人和承包人</w:t>
      </w:r>
      <w:r>
        <w:rPr>
          <w:rFonts w:ascii="宋体" w:hAnsi="宋体" w:eastAsia="宋体" w:cs="Times New Roman"/>
          <w:kern w:val="0"/>
          <w:szCs w:val="24"/>
        </w:rPr>
        <w:t>根据该设施或服务情况协商支付，不得向发包人另行索要。</w:t>
      </w:r>
    </w:p>
    <w:bookmarkEnd w:id="1226"/>
    <w:bookmarkEnd w:id="1227"/>
    <w:p w14:paraId="4E10CBCB">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228" w:name="_Toc4119"/>
      <w:bookmarkStart w:id="1229" w:name="_Toc29509"/>
      <w:bookmarkStart w:id="1230" w:name="_Toc201735289"/>
      <w:bookmarkStart w:id="1231" w:name="_Toc20033"/>
      <w:bookmarkStart w:id="1232" w:name="_Toc6436"/>
      <w:bookmarkStart w:id="1233" w:name="_Toc12061"/>
      <w:bookmarkStart w:id="1234" w:name="_Toc208587495"/>
      <w:bookmarkStart w:id="1235" w:name="_Toc29879"/>
      <w:bookmarkStart w:id="1236" w:name="_Toc302635745"/>
      <w:bookmarkStart w:id="1237" w:name="_Toc1202123758"/>
      <w:bookmarkStart w:id="1238" w:name="_Toc31703"/>
      <w:bookmarkStart w:id="1239" w:name="_Toc32514"/>
      <w:bookmarkStart w:id="1240" w:name="_Toc1556"/>
      <w:bookmarkStart w:id="1241" w:name="_Toc305331271"/>
      <w:bookmarkStart w:id="1242" w:name="_Toc13690"/>
      <w:r>
        <w:rPr>
          <w:rFonts w:hint="eastAsia" w:ascii="宋体" w:hAnsi="宋体" w:eastAsia="宋体" w:cs="Times New Roman"/>
          <w:b/>
          <w:bCs/>
          <w:kern w:val="0"/>
          <w:sz w:val="24"/>
          <w:szCs w:val="24"/>
          <w:lang w:val="en-US" w:eastAsia="zh-CN" w:bidi="ar-SA"/>
        </w:rPr>
        <w:t>工作界面协调</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p>
    <w:p w14:paraId="59348858">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(1)承包人应</w:t>
      </w:r>
      <w:r>
        <w:rPr>
          <w:rFonts w:ascii="宋体" w:hAnsi="宋体" w:eastAsia="宋体" w:cs="Times New Roman"/>
          <w:kern w:val="0"/>
          <w:szCs w:val="24"/>
        </w:rPr>
        <w:t>做好</w:t>
      </w:r>
      <w:r>
        <w:rPr>
          <w:rFonts w:hint="eastAsia" w:ascii="宋体" w:hAnsi="宋体" w:eastAsia="宋体" w:cs="Times New Roman"/>
          <w:kern w:val="0"/>
          <w:szCs w:val="24"/>
        </w:rPr>
        <w:t>与本工程相关</w:t>
      </w:r>
      <w:r>
        <w:rPr>
          <w:rFonts w:ascii="宋体" w:hAnsi="宋体" w:eastAsia="宋体" w:cs="Times New Roman"/>
          <w:kern w:val="0"/>
          <w:szCs w:val="24"/>
        </w:rPr>
        <w:t>各专业</w:t>
      </w:r>
      <w:r>
        <w:rPr>
          <w:rFonts w:hint="eastAsia" w:ascii="宋体" w:hAnsi="宋体" w:eastAsia="宋体" w:cs="Times New Roman"/>
          <w:kern w:val="0"/>
          <w:szCs w:val="24"/>
        </w:rPr>
        <w:t>工作</w:t>
      </w:r>
      <w:r>
        <w:rPr>
          <w:rFonts w:ascii="宋体" w:hAnsi="宋体" w:eastAsia="宋体" w:cs="Times New Roman"/>
          <w:kern w:val="0"/>
          <w:szCs w:val="24"/>
        </w:rPr>
        <w:t>界面的</w:t>
      </w:r>
      <w:r>
        <w:rPr>
          <w:rFonts w:hint="eastAsia" w:ascii="宋体" w:hAnsi="宋体" w:eastAsia="宋体" w:cs="Times New Roman"/>
          <w:kern w:val="0"/>
          <w:szCs w:val="24"/>
        </w:rPr>
        <w:t>协调工作。</w:t>
      </w:r>
      <w:r>
        <w:rPr>
          <w:rFonts w:ascii="宋体" w:hAnsi="宋体" w:eastAsia="宋体" w:cs="Times New Roman"/>
          <w:kern w:val="0"/>
          <w:szCs w:val="24"/>
        </w:rPr>
        <w:t>本工程施工期间，承包人</w:t>
      </w:r>
      <w:r>
        <w:rPr>
          <w:rFonts w:hint="eastAsia" w:ascii="宋体" w:hAnsi="宋体" w:eastAsia="宋体" w:cs="Times New Roman"/>
          <w:kern w:val="0"/>
          <w:szCs w:val="24"/>
        </w:rPr>
        <w:t>应</w:t>
      </w:r>
      <w:r>
        <w:rPr>
          <w:rFonts w:ascii="宋体" w:hAnsi="宋体" w:eastAsia="宋体" w:cs="Times New Roman"/>
          <w:kern w:val="0"/>
          <w:szCs w:val="24"/>
        </w:rPr>
        <w:t>无条件服从发包人及</w:t>
      </w:r>
      <w:r>
        <w:rPr>
          <w:rFonts w:hint="eastAsia" w:ascii="宋体" w:hAnsi="宋体" w:eastAsia="宋体" w:cs="Times New Roman"/>
          <w:kern w:val="0"/>
          <w:szCs w:val="24"/>
        </w:rPr>
        <w:t>监理人</w:t>
      </w:r>
      <w:r>
        <w:rPr>
          <w:rFonts w:ascii="宋体" w:hAnsi="宋体" w:eastAsia="宋体" w:cs="Times New Roman"/>
          <w:kern w:val="0"/>
          <w:szCs w:val="24"/>
        </w:rPr>
        <w:t>的统一协调指令</w:t>
      </w:r>
      <w:r>
        <w:rPr>
          <w:rFonts w:hint="eastAsia" w:ascii="宋体" w:hAnsi="宋体" w:eastAsia="宋体" w:cs="Times New Roman"/>
          <w:kern w:val="0"/>
          <w:szCs w:val="24"/>
        </w:rPr>
        <w:t>，并指定</w:t>
      </w:r>
      <w:r>
        <w:rPr>
          <w:rFonts w:ascii="宋体" w:hAnsi="宋体" w:eastAsia="宋体" w:cs="Times New Roman"/>
          <w:kern w:val="0"/>
          <w:szCs w:val="24"/>
        </w:rPr>
        <w:t>专人负责</w:t>
      </w:r>
      <w:r>
        <w:rPr>
          <w:rFonts w:hint="eastAsia" w:ascii="宋体" w:hAnsi="宋体" w:eastAsia="宋体" w:cs="Times New Roman"/>
          <w:kern w:val="0"/>
          <w:szCs w:val="24"/>
        </w:rPr>
        <w:t>工作界面</w:t>
      </w:r>
      <w:r>
        <w:rPr>
          <w:rFonts w:ascii="宋体" w:hAnsi="宋体" w:eastAsia="宋体" w:cs="Times New Roman"/>
          <w:kern w:val="0"/>
          <w:szCs w:val="24"/>
        </w:rPr>
        <w:t>协调工作，确保发包人及</w:t>
      </w:r>
      <w:r>
        <w:rPr>
          <w:rFonts w:hint="eastAsia" w:ascii="宋体" w:hAnsi="宋体" w:eastAsia="宋体" w:cs="Times New Roman"/>
          <w:kern w:val="0"/>
          <w:szCs w:val="24"/>
        </w:rPr>
        <w:t>监理人</w:t>
      </w:r>
      <w:r>
        <w:rPr>
          <w:rFonts w:ascii="宋体" w:hAnsi="宋体" w:eastAsia="宋体" w:cs="Times New Roman"/>
          <w:kern w:val="0"/>
          <w:szCs w:val="24"/>
        </w:rPr>
        <w:t>指令的及时实施。</w:t>
      </w:r>
    </w:p>
    <w:p w14:paraId="0DA02F5E">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承包人在编制施工组织设计时，应根据设计文件</w:t>
      </w:r>
      <w:r>
        <w:rPr>
          <w:rFonts w:hint="eastAsia" w:ascii="宋体" w:hAnsi="宋体" w:eastAsia="宋体" w:cs="Times New Roman"/>
          <w:kern w:val="0"/>
          <w:szCs w:val="24"/>
        </w:rPr>
        <w:t>和</w:t>
      </w:r>
      <w:r>
        <w:rPr>
          <w:rFonts w:ascii="宋体" w:hAnsi="宋体" w:eastAsia="宋体" w:cs="Times New Roman"/>
          <w:kern w:val="0"/>
          <w:szCs w:val="24"/>
        </w:rPr>
        <w:t>现场调查资料，充分考虑施工</w:t>
      </w:r>
      <w:r>
        <w:rPr>
          <w:rFonts w:hint="eastAsia" w:ascii="宋体" w:hAnsi="宋体" w:eastAsia="宋体" w:cs="Times New Roman"/>
          <w:kern w:val="0"/>
          <w:szCs w:val="24"/>
        </w:rPr>
        <w:t>工作界面</w:t>
      </w:r>
      <w:r>
        <w:rPr>
          <w:rFonts w:ascii="宋体" w:hAnsi="宋体" w:eastAsia="宋体" w:cs="Times New Roman"/>
          <w:kern w:val="0"/>
          <w:szCs w:val="24"/>
        </w:rPr>
        <w:t>的部位及内容，制定可能引起</w:t>
      </w:r>
      <w:r>
        <w:rPr>
          <w:rFonts w:hint="eastAsia" w:ascii="宋体" w:hAnsi="宋体" w:eastAsia="宋体" w:cs="Times New Roman"/>
          <w:kern w:val="0"/>
          <w:szCs w:val="24"/>
        </w:rPr>
        <w:t>工作界面</w:t>
      </w:r>
      <w:r>
        <w:rPr>
          <w:rFonts w:ascii="宋体" w:hAnsi="宋体" w:eastAsia="宋体" w:cs="Times New Roman"/>
          <w:kern w:val="0"/>
          <w:szCs w:val="24"/>
        </w:rPr>
        <w:t>部位安全质量问题的预防措施；及时向</w:t>
      </w:r>
      <w:r>
        <w:rPr>
          <w:rFonts w:hint="eastAsia" w:ascii="宋体" w:hAnsi="宋体" w:eastAsia="宋体" w:cs="Times New Roman"/>
          <w:kern w:val="0"/>
          <w:szCs w:val="24"/>
        </w:rPr>
        <w:t>监理人</w:t>
      </w:r>
      <w:r>
        <w:rPr>
          <w:rFonts w:ascii="宋体" w:hAnsi="宋体" w:eastAsia="宋体" w:cs="Times New Roman"/>
          <w:kern w:val="0"/>
          <w:szCs w:val="24"/>
        </w:rPr>
        <w:t>提交本工程需其</w:t>
      </w:r>
      <w:r>
        <w:rPr>
          <w:rFonts w:hint="eastAsia" w:ascii="宋体" w:hAnsi="宋体" w:eastAsia="宋体" w:cs="Times New Roman"/>
          <w:kern w:val="0"/>
          <w:szCs w:val="24"/>
        </w:rPr>
        <w:t>他</w:t>
      </w:r>
      <w:r>
        <w:rPr>
          <w:rFonts w:ascii="宋体" w:hAnsi="宋体" w:eastAsia="宋体" w:cs="Times New Roman"/>
          <w:kern w:val="0"/>
          <w:szCs w:val="24"/>
        </w:rPr>
        <w:t>专业工程提供</w:t>
      </w:r>
      <w:r>
        <w:rPr>
          <w:rFonts w:hint="eastAsia" w:ascii="宋体" w:hAnsi="宋体" w:eastAsia="宋体" w:cs="Times New Roman"/>
          <w:kern w:val="0"/>
          <w:szCs w:val="24"/>
        </w:rPr>
        <w:t>工作界面</w:t>
      </w:r>
      <w:r>
        <w:rPr>
          <w:rFonts w:ascii="宋体" w:hAnsi="宋体" w:eastAsia="宋体" w:cs="Times New Roman"/>
          <w:kern w:val="0"/>
          <w:szCs w:val="24"/>
        </w:rPr>
        <w:t>的细目清单，交由</w:t>
      </w:r>
      <w:r>
        <w:rPr>
          <w:rFonts w:hint="eastAsia" w:ascii="宋体" w:hAnsi="宋体" w:eastAsia="宋体" w:cs="Times New Roman"/>
          <w:kern w:val="0"/>
          <w:szCs w:val="24"/>
        </w:rPr>
        <w:t>监理人</w:t>
      </w:r>
      <w:r>
        <w:rPr>
          <w:rFonts w:ascii="宋体" w:hAnsi="宋体" w:eastAsia="宋体" w:cs="Times New Roman"/>
          <w:kern w:val="0"/>
          <w:szCs w:val="24"/>
        </w:rPr>
        <w:t>统一协调；或接受</w:t>
      </w:r>
      <w:r>
        <w:rPr>
          <w:rFonts w:hint="eastAsia" w:ascii="宋体" w:hAnsi="宋体" w:eastAsia="宋体" w:cs="Times New Roman"/>
          <w:kern w:val="0"/>
          <w:szCs w:val="24"/>
        </w:rPr>
        <w:t>监理人</w:t>
      </w:r>
      <w:r>
        <w:rPr>
          <w:rFonts w:ascii="宋体" w:hAnsi="宋体" w:eastAsia="宋体" w:cs="Times New Roman"/>
          <w:kern w:val="0"/>
          <w:szCs w:val="24"/>
        </w:rPr>
        <w:t>的</w:t>
      </w:r>
      <w:r>
        <w:rPr>
          <w:rFonts w:hint="eastAsia" w:ascii="宋体" w:hAnsi="宋体" w:eastAsia="宋体" w:cs="Times New Roman"/>
          <w:kern w:val="0"/>
          <w:szCs w:val="24"/>
        </w:rPr>
        <w:t>工作界面</w:t>
      </w:r>
      <w:r>
        <w:rPr>
          <w:rFonts w:ascii="宋体" w:hAnsi="宋体" w:eastAsia="宋体" w:cs="Times New Roman"/>
          <w:kern w:val="0"/>
          <w:szCs w:val="24"/>
        </w:rPr>
        <w:t>指令，及时实施</w:t>
      </w:r>
      <w:r>
        <w:rPr>
          <w:rFonts w:hint="eastAsia" w:ascii="宋体" w:hAnsi="宋体" w:eastAsia="宋体" w:cs="Times New Roman"/>
          <w:kern w:val="0"/>
          <w:szCs w:val="24"/>
        </w:rPr>
        <w:t>工作界面</w:t>
      </w:r>
      <w:r>
        <w:rPr>
          <w:rFonts w:ascii="宋体" w:hAnsi="宋体" w:eastAsia="宋体" w:cs="Times New Roman"/>
          <w:kern w:val="0"/>
          <w:szCs w:val="24"/>
        </w:rPr>
        <w:t>指令作业。</w:t>
      </w:r>
    </w:p>
    <w:p w14:paraId="6228F6C5">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承包人与其他工程之间</w:t>
      </w:r>
      <w:r>
        <w:rPr>
          <w:rFonts w:hint="eastAsia" w:ascii="宋体" w:hAnsi="宋体" w:eastAsia="宋体" w:cs="Times New Roman"/>
          <w:kern w:val="0"/>
          <w:szCs w:val="24"/>
        </w:rPr>
        <w:t>应当就</w:t>
      </w:r>
      <w:r>
        <w:rPr>
          <w:rFonts w:ascii="宋体" w:hAnsi="宋体" w:eastAsia="宋体" w:cs="Times New Roman"/>
          <w:kern w:val="0"/>
          <w:szCs w:val="24"/>
        </w:rPr>
        <w:t>施工</w:t>
      </w:r>
      <w:r>
        <w:rPr>
          <w:rFonts w:hint="eastAsia" w:ascii="宋体" w:hAnsi="宋体" w:eastAsia="宋体" w:cs="Times New Roman"/>
          <w:kern w:val="0"/>
          <w:szCs w:val="24"/>
        </w:rPr>
        <w:t>工作界面</w:t>
      </w:r>
      <w:r>
        <w:rPr>
          <w:rFonts w:ascii="宋体" w:hAnsi="宋体" w:eastAsia="宋体" w:cs="Times New Roman"/>
          <w:kern w:val="0"/>
          <w:szCs w:val="24"/>
        </w:rPr>
        <w:t>、测量控制网点</w:t>
      </w:r>
      <w:r>
        <w:rPr>
          <w:rFonts w:hint="eastAsia" w:ascii="宋体" w:hAnsi="宋体" w:eastAsia="宋体" w:cs="Times New Roman"/>
          <w:kern w:val="0"/>
          <w:szCs w:val="24"/>
        </w:rPr>
        <w:t>、预埋件(预留孔洞)位置和尺寸等资料及时互通信息，中线控制桩点应贯通测定，水准点应相互闭合，以确保施工顺利进行，避免工程质量事故的发生。</w:t>
      </w:r>
    </w:p>
    <w:p w14:paraId="57F61017">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(4)由于承包人未能及时对工程工作界面问题进行协调或未及时实施监理人工作界面指令而造成的费用增加和（或）工期延误由承包人承担。发包人或监理人均有权根据实际情况，要求承包人支付</w:t>
      </w:r>
      <w:r>
        <w:rPr>
          <w:rFonts w:hint="eastAsia" w:ascii="宋体" w:hAnsi="宋体" w:eastAsia="宋体" w:cs="Times New Roman"/>
          <w:b/>
          <w:bCs/>
          <w:i/>
          <w:iCs/>
          <w:kern w:val="0"/>
          <w:szCs w:val="24"/>
        </w:rPr>
        <w:t>专用条款</w:t>
      </w:r>
      <w:r>
        <w:rPr>
          <w:rFonts w:hint="eastAsia" w:ascii="宋体" w:hAnsi="宋体" w:eastAsia="宋体" w:cs="Times New Roman"/>
          <w:kern w:val="0"/>
          <w:szCs w:val="24"/>
        </w:rPr>
        <w:t>约定的违约金，包括并不限于采取扣付工程款等方式。</w:t>
      </w:r>
    </w:p>
    <w:p w14:paraId="30D19090">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hint="eastAsia" w:ascii="华文细黑" w:hAnsi="宋体" w:eastAsia="宋体" w:cs="Times New Roman"/>
          <w:b/>
          <w:bCs/>
          <w:snapToGrid w:val="0"/>
          <w:kern w:val="0"/>
          <w:sz w:val="28"/>
          <w:szCs w:val="44"/>
          <w:lang w:val="en-US" w:eastAsia="zh-CN" w:bidi="ar-SA"/>
        </w:rPr>
      </w:pPr>
      <w:bookmarkStart w:id="1243" w:name="_Toc208587496"/>
      <w:bookmarkEnd w:id="1243"/>
      <w:bookmarkStart w:id="1244" w:name="_Toc17894"/>
      <w:bookmarkStart w:id="1245" w:name="_Toc305331272"/>
      <w:bookmarkStart w:id="1246" w:name="_Toc23981"/>
      <w:bookmarkStart w:id="1247" w:name="_Toc11852"/>
      <w:bookmarkStart w:id="1248" w:name="_Toc26542"/>
      <w:bookmarkStart w:id="1249" w:name="_Toc201735290"/>
      <w:bookmarkStart w:id="1250" w:name="_Toc891970436"/>
      <w:bookmarkStart w:id="1251" w:name="_Toc302635746"/>
      <w:bookmarkStart w:id="1252" w:name="_Toc8448"/>
      <w:bookmarkStart w:id="1253" w:name="_Toc2448"/>
      <w:bookmarkStart w:id="1254" w:name="_Toc14709"/>
      <w:bookmarkStart w:id="1255" w:name="_Toc208587497"/>
      <w:bookmarkStart w:id="1256" w:name="_Toc5569"/>
      <w:bookmarkStart w:id="1257" w:name="_Toc8226"/>
      <w:bookmarkStart w:id="1258" w:name="_Toc12967"/>
      <w:r>
        <w:rPr>
          <w:rFonts w:hint="eastAsia" w:ascii="华文细黑" w:hAnsi="宋体" w:eastAsia="宋体" w:cs="Times New Roman"/>
          <w:b/>
          <w:bCs/>
          <w:snapToGrid w:val="0"/>
          <w:kern w:val="0"/>
          <w:sz w:val="28"/>
          <w:szCs w:val="44"/>
          <w:lang w:val="en-US" w:eastAsia="zh-CN" w:bidi="ar-SA"/>
        </w:rPr>
        <w:t>用工和劳务</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14:paraId="546941F3">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259" w:name="_Toc18635"/>
      <w:bookmarkStart w:id="1260" w:name="_Toc208587498"/>
      <w:bookmarkStart w:id="1261" w:name="_Toc14896"/>
      <w:bookmarkStart w:id="1262" w:name="_Toc18135"/>
      <w:bookmarkStart w:id="1263" w:name="_Toc302635747"/>
      <w:bookmarkStart w:id="1264" w:name="_Toc31747"/>
      <w:bookmarkStart w:id="1265" w:name="_Toc11217"/>
      <w:bookmarkStart w:id="1266" w:name="_Toc21136"/>
      <w:bookmarkStart w:id="1267" w:name="_Toc28236"/>
      <w:bookmarkStart w:id="1268" w:name="_Toc5322"/>
      <w:bookmarkStart w:id="1269" w:name="_Toc19385"/>
      <w:bookmarkStart w:id="1270" w:name="_Toc201735291"/>
      <w:bookmarkStart w:id="1271" w:name="_Toc512548663"/>
      <w:bookmarkStart w:id="1272" w:name="_Toc305331273"/>
      <w:bookmarkStart w:id="1273" w:name="_Toc13886"/>
      <w:r>
        <w:rPr>
          <w:rFonts w:hint="eastAsia" w:ascii="宋体" w:hAnsi="宋体" w:eastAsia="宋体" w:cs="Times New Roman"/>
          <w:b/>
          <w:bCs/>
          <w:kern w:val="0"/>
          <w:sz w:val="24"/>
          <w:szCs w:val="24"/>
          <w:lang w:val="en-US" w:eastAsia="zh-CN" w:bidi="ar-SA"/>
        </w:rPr>
        <w:t>劳动合同</w:t>
      </w:r>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14:paraId="42981E89">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(1)除合同另有规定外，承包人应自行聘(雇)用工人。承包人不得从为发包人或</w:t>
      </w:r>
      <w:r>
        <w:rPr>
          <w:rFonts w:ascii="宋体" w:hAnsi="宋体" w:eastAsia="宋体" w:cs="Times New Roman"/>
          <w:kern w:val="0"/>
          <w:szCs w:val="24"/>
        </w:rPr>
        <w:t>监理人</w:t>
      </w:r>
      <w:r>
        <w:rPr>
          <w:rFonts w:hint="eastAsia" w:ascii="宋体" w:hAnsi="宋体" w:eastAsia="宋体" w:cs="Times New Roman"/>
          <w:kern w:val="0"/>
          <w:szCs w:val="24"/>
        </w:rPr>
        <w:t>服务的人员中招雇任何人员。</w:t>
      </w:r>
    </w:p>
    <w:p w14:paraId="021B4F25">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(2)承包人应按照劳动法和劳动合同法的相关规定与聘(雇)用工人签订劳动合同，缴纳社会保险，按国家规定提供劳动保护，明确劳动报酬等内容，及时足额支付工资等劳动报酬。</w:t>
      </w:r>
    </w:p>
    <w:p w14:paraId="0BE134B9">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(3)若发包人或</w:t>
      </w:r>
      <w:r>
        <w:rPr>
          <w:rFonts w:ascii="宋体" w:hAnsi="宋体" w:eastAsia="宋体" w:cs="Times New Roman"/>
          <w:kern w:val="0"/>
          <w:szCs w:val="24"/>
        </w:rPr>
        <w:t>监理人</w:t>
      </w:r>
      <w:r>
        <w:rPr>
          <w:rFonts w:hint="eastAsia" w:ascii="宋体" w:hAnsi="宋体" w:eastAsia="宋体" w:cs="Times New Roman"/>
          <w:kern w:val="0"/>
          <w:szCs w:val="24"/>
        </w:rPr>
        <w:t>发现有未签订劳动合同的工人在现场施工，则视为承包人违约，并承担</w:t>
      </w:r>
      <w:r>
        <w:rPr>
          <w:rFonts w:ascii="宋体" w:hAnsi="宋体" w:eastAsia="宋体" w:cs="Times New Roman"/>
          <w:b/>
          <w:i/>
          <w:kern w:val="0"/>
          <w:szCs w:val="24"/>
        </w:rPr>
        <w:t>专用条款</w:t>
      </w:r>
      <w:r>
        <w:rPr>
          <w:rFonts w:hint="eastAsia" w:ascii="宋体" w:hAnsi="宋体" w:eastAsia="宋体" w:cs="Times New Roman"/>
          <w:kern w:val="0"/>
          <w:szCs w:val="24"/>
        </w:rPr>
        <w:t>约定的违约责任。</w:t>
      </w:r>
    </w:p>
    <w:p w14:paraId="125CDA28">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274" w:name="_Toc208587499"/>
      <w:bookmarkStart w:id="1275" w:name="_Toc302635748"/>
      <w:bookmarkStart w:id="1276" w:name="_Toc8428"/>
      <w:bookmarkStart w:id="1277" w:name="_Toc21383"/>
      <w:bookmarkStart w:id="1278" w:name="_Toc13125"/>
      <w:bookmarkStart w:id="1279" w:name="_Toc201735292"/>
      <w:bookmarkStart w:id="1280" w:name="_Toc13675"/>
      <w:bookmarkStart w:id="1281" w:name="_Toc9930"/>
      <w:bookmarkStart w:id="1282" w:name="_Toc18645"/>
      <w:bookmarkStart w:id="1283" w:name="_Toc26864"/>
      <w:bookmarkStart w:id="1284" w:name="_Toc2097"/>
      <w:bookmarkStart w:id="1285" w:name="_Toc305331274"/>
      <w:bookmarkStart w:id="1286" w:name="_Toc9667"/>
      <w:bookmarkStart w:id="1287" w:name="_Toc29993"/>
      <w:bookmarkStart w:id="1288" w:name="_Toc546802113"/>
      <w:r>
        <w:rPr>
          <w:rFonts w:hint="eastAsia" w:ascii="宋体" w:hAnsi="宋体" w:eastAsia="宋体" w:cs="Times New Roman"/>
          <w:b/>
          <w:bCs/>
          <w:kern w:val="0"/>
          <w:sz w:val="24"/>
          <w:szCs w:val="24"/>
          <w:lang w:val="en-US" w:eastAsia="zh-CN" w:bidi="ar-SA"/>
        </w:rPr>
        <w:t>劳务分包</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p>
    <w:p w14:paraId="4B9C313D">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(1)承包人实施劳务分包的，应将劳务发包给具有相应劳务资质的劳务企业，并按照劳务分包合同约定及时足额向劳务企业支付劳务费用。</w:t>
      </w:r>
    </w:p>
    <w:p w14:paraId="2F75EE72">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(2)承包人应在劳务分包合同中要求劳务分包企业对所有派遣工人购买意外伤害险和工伤保险，保险金额不得低于</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额度。保险单复印件应提供一份给发包人备案，承包人未对劳务分包企业提出此要求或虽然提出此要求但劳务企业未购买此保险的，承包人应完善相关购买手续，否则承包人与劳务分包企业向受伤害工人承担连带赔偿责任。</w:t>
      </w:r>
    </w:p>
    <w:p w14:paraId="638B65C3">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289" w:name="_Toc8602"/>
      <w:bookmarkStart w:id="1290" w:name="_Toc4536"/>
      <w:bookmarkStart w:id="1291" w:name="_Toc7487"/>
      <w:bookmarkStart w:id="1292" w:name="_Toc24028"/>
      <w:bookmarkStart w:id="1293" w:name="_Toc590566878"/>
      <w:bookmarkStart w:id="1294" w:name="_Toc302635749"/>
      <w:bookmarkStart w:id="1295" w:name="_Toc17380"/>
      <w:bookmarkStart w:id="1296" w:name="_Toc208587500"/>
      <w:bookmarkStart w:id="1297" w:name="_Toc201735293"/>
      <w:bookmarkStart w:id="1298" w:name="_Toc412"/>
      <w:bookmarkStart w:id="1299" w:name="_Toc19276"/>
      <w:bookmarkStart w:id="1300" w:name="_Toc12637"/>
      <w:bookmarkStart w:id="1301" w:name="_Toc28892"/>
      <w:bookmarkStart w:id="1302" w:name="_Toc6789"/>
      <w:bookmarkStart w:id="1303" w:name="_Toc305331275"/>
      <w:r>
        <w:rPr>
          <w:rFonts w:hint="eastAsia" w:ascii="宋体" w:hAnsi="宋体" w:eastAsia="宋体" w:cs="Times New Roman"/>
          <w:b/>
          <w:bCs/>
          <w:kern w:val="0"/>
          <w:sz w:val="24"/>
          <w:szCs w:val="24"/>
          <w:lang w:val="en-US" w:eastAsia="zh-CN" w:bidi="ar-SA"/>
        </w:rPr>
        <w:t>劳务分包合同</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14:paraId="6CEE81BE">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1)</w:t>
      </w:r>
      <w:r>
        <w:rPr>
          <w:rFonts w:hint="eastAsia" w:ascii="宋体" w:hAnsi="宋体" w:eastAsia="宋体" w:cs="Times New Roman"/>
          <w:kern w:val="0"/>
          <w:szCs w:val="24"/>
        </w:rPr>
        <w:t>选择劳务分包企业时，承包人有义务依据</w:t>
      </w:r>
      <w:r>
        <w:rPr>
          <w:rFonts w:ascii="宋体" w:hAnsi="宋体" w:eastAsia="宋体" w:cs="Times New Roman"/>
          <w:kern w:val="0"/>
          <w:szCs w:val="24"/>
        </w:rPr>
        <w:t>监理人</w:t>
      </w:r>
      <w:r>
        <w:rPr>
          <w:rFonts w:hint="eastAsia" w:ascii="宋体" w:hAnsi="宋体" w:eastAsia="宋体" w:cs="Times New Roman"/>
          <w:kern w:val="0"/>
          <w:szCs w:val="24"/>
        </w:rPr>
        <w:t>的要求向</w:t>
      </w:r>
      <w:r>
        <w:rPr>
          <w:rFonts w:ascii="宋体" w:hAnsi="宋体" w:eastAsia="宋体" w:cs="Times New Roman"/>
          <w:kern w:val="0"/>
          <w:szCs w:val="24"/>
        </w:rPr>
        <w:t>监理人</w:t>
      </w:r>
      <w:r>
        <w:rPr>
          <w:rFonts w:hint="eastAsia" w:ascii="宋体" w:hAnsi="宋体" w:eastAsia="宋体" w:cs="Times New Roman"/>
          <w:kern w:val="0"/>
          <w:szCs w:val="24"/>
        </w:rPr>
        <w:t>提供拟选劳务分包企业的一切资料，经发包人和</w:t>
      </w:r>
      <w:r>
        <w:rPr>
          <w:rFonts w:ascii="宋体" w:hAnsi="宋体" w:eastAsia="宋体" w:cs="Times New Roman"/>
          <w:kern w:val="0"/>
          <w:szCs w:val="24"/>
        </w:rPr>
        <w:t>监理人</w:t>
      </w:r>
      <w:r>
        <w:rPr>
          <w:rFonts w:hint="eastAsia" w:ascii="宋体" w:hAnsi="宋体" w:eastAsia="宋体" w:cs="Times New Roman"/>
          <w:kern w:val="0"/>
          <w:szCs w:val="24"/>
        </w:rPr>
        <w:t>批准后作为劳务分包企业。</w:t>
      </w:r>
    </w:p>
    <w:p w14:paraId="0A4D532B">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2)</w:t>
      </w:r>
      <w:r>
        <w:rPr>
          <w:rFonts w:hint="eastAsia" w:ascii="宋体" w:hAnsi="宋体" w:eastAsia="宋体" w:cs="Times New Roman"/>
          <w:kern w:val="0"/>
          <w:szCs w:val="24"/>
        </w:rPr>
        <w:t>承包人与劳务分包企业签订劳务分包合同后7天内，应将劳务分包合同送发包人</w:t>
      </w:r>
      <w:r>
        <w:rPr>
          <w:rFonts w:hint="eastAsia" w:ascii="Times New Roman" w:hAnsi="Times New Roman" w:eastAsia="宋体" w:cs="Times New Roman"/>
          <w:szCs w:val="24"/>
        </w:rPr>
        <w:t>和</w:t>
      </w:r>
      <w:r>
        <w:rPr>
          <w:rFonts w:ascii="Times New Roman" w:hAnsi="Times New Roman" w:eastAsia="宋体" w:cs="Times New Roman"/>
          <w:szCs w:val="24"/>
        </w:rPr>
        <w:t>监理人</w:t>
      </w:r>
      <w:r>
        <w:rPr>
          <w:rFonts w:hint="eastAsia" w:ascii="Times New Roman" w:hAnsi="Times New Roman" w:eastAsia="宋体" w:cs="Times New Roman"/>
          <w:szCs w:val="24"/>
        </w:rPr>
        <w:t>各一份</w:t>
      </w:r>
      <w:r>
        <w:rPr>
          <w:rFonts w:hint="eastAsia" w:ascii="宋体" w:hAnsi="宋体" w:eastAsia="宋体" w:cs="Times New Roman"/>
          <w:kern w:val="0"/>
          <w:szCs w:val="24"/>
        </w:rPr>
        <w:t>存档。</w:t>
      </w:r>
    </w:p>
    <w:p w14:paraId="53A1AEF5">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3</w:t>
      </w:r>
      <w:r>
        <w:rPr>
          <w:rFonts w:hint="eastAsia" w:ascii="宋体" w:hAnsi="宋体" w:eastAsia="宋体" w:cs="Times New Roman"/>
          <w:kern w:val="0"/>
          <w:szCs w:val="24"/>
        </w:rPr>
        <w:t>)若发包人或</w:t>
      </w:r>
      <w:r>
        <w:rPr>
          <w:rFonts w:ascii="宋体" w:hAnsi="宋体" w:eastAsia="宋体" w:cs="Times New Roman"/>
          <w:kern w:val="0"/>
          <w:szCs w:val="24"/>
        </w:rPr>
        <w:t>监理人</w:t>
      </w:r>
      <w:r>
        <w:rPr>
          <w:rFonts w:hint="eastAsia" w:ascii="宋体" w:hAnsi="宋体" w:eastAsia="宋体" w:cs="Times New Roman"/>
          <w:kern w:val="0"/>
          <w:szCs w:val="24"/>
        </w:rPr>
        <w:t>发现工地上有未签订劳务分包合同的劳务企业人员在现场施工，则视为承包人违约，并承担</w:t>
      </w:r>
      <w:r>
        <w:rPr>
          <w:rFonts w:ascii="宋体" w:hAnsi="宋体" w:eastAsia="宋体" w:cs="Times New Roman"/>
          <w:b/>
          <w:i/>
          <w:kern w:val="0"/>
          <w:szCs w:val="24"/>
        </w:rPr>
        <w:t>专用条款</w:t>
      </w:r>
      <w:r>
        <w:rPr>
          <w:rFonts w:hint="eastAsia" w:ascii="宋体" w:hAnsi="宋体" w:eastAsia="宋体" w:cs="Times New Roman"/>
          <w:kern w:val="0"/>
          <w:szCs w:val="24"/>
        </w:rPr>
        <w:t>约定的违约责任。</w:t>
      </w:r>
    </w:p>
    <w:p w14:paraId="55ADF29B">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304" w:name="_Toc23726"/>
      <w:bookmarkStart w:id="1305" w:name="_Toc305331276"/>
      <w:bookmarkStart w:id="1306" w:name="_Toc208587501"/>
      <w:bookmarkStart w:id="1307" w:name="_Toc121146445"/>
      <w:bookmarkStart w:id="1308" w:name="_Toc14916"/>
      <w:bookmarkStart w:id="1309" w:name="_Toc22856"/>
      <w:bookmarkStart w:id="1310" w:name="_Toc14175"/>
      <w:bookmarkStart w:id="1311" w:name="_Toc3740"/>
      <w:bookmarkStart w:id="1312" w:name="_Toc23092"/>
      <w:bookmarkStart w:id="1313" w:name="_Toc201735294"/>
      <w:bookmarkStart w:id="1314" w:name="_Toc12110"/>
      <w:bookmarkStart w:id="1315" w:name="_Toc4233"/>
      <w:bookmarkStart w:id="1316" w:name="_Toc302635750"/>
      <w:bookmarkStart w:id="1317" w:name="_Toc16338"/>
      <w:bookmarkStart w:id="1318" w:name="_Toc10155"/>
      <w:r>
        <w:rPr>
          <w:rFonts w:hint="eastAsia" w:ascii="宋体" w:hAnsi="宋体" w:eastAsia="宋体" w:cs="Times New Roman"/>
          <w:b/>
          <w:bCs/>
          <w:kern w:val="0"/>
          <w:sz w:val="24"/>
          <w:szCs w:val="24"/>
          <w:lang w:val="en-US" w:eastAsia="zh-CN" w:bidi="ar-SA"/>
        </w:rPr>
        <w:t>工人工资</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14:paraId="4C66E60C">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(1)承包人应按照有关规定开设工人工资专用账户，专项用于发放本工程工人工资。开设、使用工人工资专用账户有关资料应由承包人妥善保存备查。</w:t>
      </w:r>
    </w:p>
    <w:p w14:paraId="02BAECB6">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(2)发包人应及时足额地将合同约定的工人工资支付款项支付到工人工资专用账户，并加强对承包人按时足额发放工人工资的监督。</w:t>
      </w:r>
    </w:p>
    <w:p w14:paraId="6871109C">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承包人必须严格按照国家、省、市等有关规定发放工资、劳务费。对发包人支付的工程款，承包人须优先保障工人工资和劳务分包企业的劳务费的发放。对发包人支付到工人工资专用账户的款项，承包人应及时足额发放，不得拖欠或克扣。</w:t>
      </w:r>
    </w:p>
    <w:p w14:paraId="43022713">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(4)承包人拖欠工人工资或劳务分包企业劳务费用的，经被拖欠人催付，承包人仍不予支付的，被拖欠人可以向发包人请求代为支付，经发包人和</w:t>
      </w:r>
      <w:r>
        <w:rPr>
          <w:rFonts w:ascii="宋体" w:hAnsi="宋体" w:eastAsia="宋体" w:cs="Times New Roman"/>
          <w:kern w:val="0"/>
          <w:szCs w:val="24"/>
        </w:rPr>
        <w:t>监理人</w:t>
      </w:r>
      <w:r>
        <w:rPr>
          <w:rFonts w:hint="eastAsia" w:ascii="宋体" w:hAnsi="宋体" w:eastAsia="宋体" w:cs="Times New Roman"/>
          <w:kern w:val="0"/>
          <w:szCs w:val="24"/>
        </w:rPr>
        <w:t>核查情况属实的，视为承包人违约，发包人有权</w:t>
      </w:r>
      <w:r>
        <w:rPr>
          <w:rFonts w:ascii="宋体" w:hAnsi="宋体" w:eastAsia="宋体" w:cs="Times New Roman"/>
          <w:szCs w:val="24"/>
        </w:rPr>
        <w:t>从承包人的工程款</w:t>
      </w:r>
      <w:r>
        <w:rPr>
          <w:rFonts w:hint="eastAsia" w:ascii="宋体" w:hAnsi="宋体" w:eastAsia="宋体" w:cs="Times New Roman"/>
          <w:szCs w:val="24"/>
        </w:rPr>
        <w:t>(</w:t>
      </w:r>
      <w:r>
        <w:rPr>
          <w:rFonts w:ascii="宋体" w:hAnsi="宋体" w:eastAsia="宋体" w:cs="Times New Roman"/>
          <w:szCs w:val="24"/>
        </w:rPr>
        <w:t>或预付款、保证金等</w:t>
      </w:r>
      <w:r>
        <w:rPr>
          <w:rFonts w:hint="eastAsia" w:ascii="宋体" w:hAnsi="宋体" w:eastAsia="宋体" w:cs="Times New Roman"/>
          <w:szCs w:val="24"/>
        </w:rPr>
        <w:t>)</w:t>
      </w:r>
      <w:r>
        <w:rPr>
          <w:rFonts w:ascii="宋体" w:hAnsi="宋体" w:eastAsia="宋体" w:cs="Times New Roman"/>
          <w:szCs w:val="24"/>
        </w:rPr>
        <w:t>中扣付</w:t>
      </w:r>
      <w:r>
        <w:rPr>
          <w:rFonts w:hint="eastAsia" w:ascii="宋体" w:hAnsi="宋体" w:eastAsia="宋体" w:cs="Times New Roman"/>
          <w:szCs w:val="24"/>
        </w:rPr>
        <w:t>拖欠的</w:t>
      </w:r>
      <w:r>
        <w:rPr>
          <w:rFonts w:ascii="宋体" w:hAnsi="宋体" w:eastAsia="宋体" w:cs="Times New Roman"/>
          <w:szCs w:val="24"/>
        </w:rPr>
        <w:t>工人工资</w:t>
      </w:r>
      <w:r>
        <w:rPr>
          <w:rFonts w:hint="eastAsia" w:ascii="宋体" w:hAnsi="宋体" w:eastAsia="宋体" w:cs="Times New Roman"/>
          <w:szCs w:val="24"/>
        </w:rPr>
        <w:t>或劳务费</w:t>
      </w:r>
      <w:r>
        <w:rPr>
          <w:rFonts w:hint="eastAsia" w:ascii="宋体" w:hAnsi="宋体" w:eastAsia="宋体" w:cs="Times New Roman"/>
          <w:kern w:val="0"/>
          <w:szCs w:val="24"/>
        </w:rPr>
        <w:t>。</w:t>
      </w:r>
    </w:p>
    <w:p w14:paraId="0F58730B">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5)</w:t>
      </w:r>
      <w:r>
        <w:rPr>
          <w:rFonts w:ascii="Times New Roman" w:hAnsi="Times New Roman" w:eastAsia="宋体" w:cs="Times New Roman"/>
          <w:szCs w:val="24"/>
        </w:rPr>
        <w:t>承包人应</w:t>
      </w:r>
      <w:r>
        <w:rPr>
          <w:rFonts w:hint="eastAsia" w:ascii="Times New Roman" w:hAnsi="Times New Roman" w:eastAsia="宋体" w:cs="Times New Roman"/>
          <w:szCs w:val="24"/>
        </w:rPr>
        <w:t>按照《工程建设领域农民工工资保证金规定》、《深圳市工程建设领域农民工工资保证金管理办法》的相关规定，在银行设立账户并足额存储本工程的农民工工资保证金。工资保证金可以采取银行保函、工程保证保险、工程担保公司保函方式替代缴存。</w:t>
      </w:r>
      <w:r>
        <w:rPr>
          <w:rFonts w:ascii="Times New Roman" w:hAnsi="Times New Roman" w:eastAsia="宋体" w:cs="Times New Roman"/>
          <w:szCs w:val="24"/>
        </w:rPr>
        <w:t>工资保证金采用保函形式的，保函有效期应</w:t>
      </w:r>
      <w:r>
        <w:rPr>
          <w:rFonts w:hint="eastAsia" w:ascii="Times New Roman" w:hAnsi="Times New Roman" w:eastAsia="宋体" w:cs="Times New Roman"/>
          <w:szCs w:val="24"/>
        </w:rPr>
        <w:t>截至</w:t>
      </w:r>
      <w:r>
        <w:rPr>
          <w:rFonts w:ascii="Times New Roman" w:hAnsi="Times New Roman" w:eastAsia="宋体" w:cs="Times New Roman"/>
          <w:szCs w:val="24"/>
        </w:rPr>
        <w:t>本工程竣工验收合格之日。本工程实际竣工验收合格之日之前保函的有效期已过的，承包人应及时更换新的保函或延长保函有效期。</w:t>
      </w:r>
    </w:p>
    <w:p w14:paraId="0F500085">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319" w:name="_Toc302635818"/>
      <w:bookmarkStart w:id="1320" w:name="_Toc30766"/>
      <w:bookmarkStart w:id="1321" w:name="_Toc14759"/>
      <w:bookmarkStart w:id="1322" w:name="_Toc19698"/>
      <w:bookmarkStart w:id="1323" w:name="_Toc9342"/>
      <w:bookmarkStart w:id="1324" w:name="_Toc208587502"/>
      <w:bookmarkStart w:id="1325" w:name="_Toc28152"/>
      <w:bookmarkStart w:id="1326" w:name="_Toc96413791"/>
      <w:bookmarkStart w:id="1327" w:name="_Toc116"/>
      <w:bookmarkStart w:id="1328" w:name="_Toc11888"/>
      <w:bookmarkStart w:id="1329" w:name="_Toc8563"/>
      <w:bookmarkStart w:id="1330" w:name="_Toc24228"/>
      <w:bookmarkStart w:id="1331" w:name="_Toc201735295"/>
      <w:bookmarkStart w:id="1332" w:name="_Toc28519"/>
      <w:r>
        <w:rPr>
          <w:rFonts w:hint="eastAsia" w:ascii="宋体" w:hAnsi="宋体" w:eastAsia="宋体" w:cs="Times New Roman"/>
          <w:b/>
          <w:bCs/>
          <w:kern w:val="0"/>
          <w:sz w:val="24"/>
          <w:szCs w:val="24"/>
          <w:lang w:val="en-US" w:eastAsia="zh-CN" w:bidi="ar-SA"/>
        </w:rPr>
        <w:t>职业健康</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14:paraId="081EECC4">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承包人应按照法律规定安排现场施工人员的劳动和休息时间，保障工人的休息时间，并支付合理的报酬和费用。承包人应按照法律规定保障现场施工人员的劳动安全，并提供劳动保护,并应按国家有关劳动保护的规定，采取有效的防止</w:t>
      </w:r>
      <w:r>
        <w:rPr>
          <w:rFonts w:hint="eastAsia" w:ascii="宋体" w:hAnsi="宋体" w:eastAsia="宋体" w:cs="Times New Roman"/>
          <w:kern w:val="0"/>
          <w:szCs w:val="24"/>
        </w:rPr>
        <w:t>扬尘</w:t>
      </w:r>
      <w:r>
        <w:rPr>
          <w:rFonts w:ascii="宋体" w:hAnsi="宋体" w:eastAsia="宋体" w:cs="Times New Roman"/>
          <w:kern w:val="0"/>
          <w:szCs w:val="24"/>
        </w:rPr>
        <w:t>、降低噪声、控制有害气体和保障高温、高寒、高空作业安全等劳动保护措施。承包人雇佣人员在施工中受到伤害的，承包人应立即采取有效措施进行抢救和治疗。</w:t>
      </w:r>
    </w:p>
    <w:p w14:paraId="29AD850B">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承包人应为其履行合同所雇用的人员提供必要的膳宿条件和生活环境；承包人应采取有效措施预防传染病，保证施工人员的健康，并定期对施工现场、施工人员生活基地和工程进行防疫和卫生的专业检查和处理,在远离城镇的施工场地，还应配备必要的伤病防治和急救的医务人员与医疗设施。</w:t>
      </w:r>
    </w:p>
    <w:p w14:paraId="1DC51A36">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333" w:name="_Toc19746"/>
      <w:bookmarkStart w:id="1334" w:name="_Toc16372"/>
      <w:bookmarkStart w:id="1335" w:name="_Toc7863"/>
      <w:bookmarkStart w:id="1336" w:name="_Toc3108"/>
      <w:bookmarkStart w:id="1337" w:name="_Toc13573"/>
      <w:bookmarkStart w:id="1338" w:name="_Toc8193"/>
      <w:bookmarkStart w:id="1339" w:name="_Toc9304"/>
      <w:bookmarkStart w:id="1340" w:name="_Toc31874"/>
      <w:bookmarkStart w:id="1341" w:name="_Toc29283"/>
      <w:bookmarkStart w:id="1342" w:name="_Toc1599725063"/>
      <w:bookmarkStart w:id="1343" w:name="_Toc11484"/>
      <w:bookmarkStart w:id="1344" w:name="_Toc201735296"/>
      <w:bookmarkStart w:id="1345" w:name="_Toc208587503"/>
      <w:r>
        <w:rPr>
          <w:rFonts w:hint="eastAsia" w:ascii="宋体" w:hAnsi="宋体" w:eastAsia="宋体" w:cs="Times New Roman"/>
          <w:b/>
          <w:bCs/>
          <w:kern w:val="0"/>
          <w:sz w:val="24"/>
          <w:szCs w:val="24"/>
          <w:lang w:val="en-US" w:eastAsia="zh-CN" w:bidi="ar-SA"/>
        </w:rPr>
        <w:t>用工培训</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14:paraId="33D60FAB">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承包人应切实履行用工主体责任，按照《深圳市工程建设行业产业工人职业训练管理办法》等有关规定计取和使用产业工人职业训练专项经费及开展产业工人职业训练。承包人应对产业工人职业训练专项经费实行专款专用，并妥善保存经费使用情况相关资料。承包人依法将建设工程分包的，应与分包人就经费使用在分包合同中约定。发包人应对经费使用进行监督。</w:t>
      </w:r>
    </w:p>
    <w:p w14:paraId="09AB54BA">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(2)承包人应按照《深圳市工程建设行业产业工人职业训练管理办法》制定产业工人训练计划，组织工人参加质量安全基础训练，妥善保存产业工人年度训练计划、职业训练管理和实施情况相关资料。</w:t>
      </w:r>
    </w:p>
    <w:p w14:paraId="4AD63CD3">
      <w:pPr>
        <w:keepNext w:val="0"/>
        <w:keepLines w:val="0"/>
        <w:widowControl w:val="0"/>
        <w:numPr>
          <w:ilvl w:val="0"/>
          <w:numId w:val="2"/>
        </w:numPr>
        <w:tabs>
          <w:tab w:val="left" w:pos="540"/>
          <w:tab w:val="left" w:pos="1620"/>
          <w:tab w:val="left" w:pos="2340"/>
          <w:tab w:val="left"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1346" w:name="_Toc6934"/>
      <w:bookmarkStart w:id="1347" w:name="_Toc305331278"/>
      <w:bookmarkStart w:id="1348" w:name="_Toc23488"/>
      <w:bookmarkStart w:id="1349" w:name="_Toc12624"/>
      <w:bookmarkStart w:id="1350" w:name="_Toc201735297"/>
      <w:bookmarkStart w:id="1351" w:name="_Toc34908991"/>
      <w:bookmarkStart w:id="1352" w:name="_Toc35656474"/>
      <w:bookmarkStart w:id="1353" w:name="_Toc302635752"/>
      <w:bookmarkStart w:id="1354" w:name="_Toc2017764505"/>
      <w:bookmarkStart w:id="1355" w:name="_Toc14914"/>
      <w:bookmarkStart w:id="1356" w:name="_Toc35656976"/>
      <w:bookmarkStart w:id="1357" w:name="_Toc19532"/>
      <w:bookmarkStart w:id="1358" w:name="_Toc17257"/>
      <w:bookmarkStart w:id="1359" w:name="_Toc5544"/>
      <w:bookmarkStart w:id="1360" w:name="_Toc20410"/>
      <w:bookmarkStart w:id="1361" w:name="_Toc208587504"/>
      <w:bookmarkStart w:id="1362" w:name="_Toc23432"/>
      <w:bookmarkStart w:id="1363" w:name="_Toc3115"/>
      <w:r>
        <w:rPr>
          <w:rFonts w:hint="eastAsia" w:ascii="华文细黑" w:hAnsi="宋体" w:eastAsia="宋体" w:cs="Times New Roman"/>
          <w:b/>
          <w:bCs/>
          <w:snapToGrid w:val="0"/>
          <w:kern w:val="0"/>
          <w:sz w:val="28"/>
          <w:szCs w:val="44"/>
          <w:lang w:val="en-US" w:eastAsia="zh-CN" w:bidi="ar-SA"/>
        </w:rPr>
        <w:t>施工组织设计和进度计划</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p>
    <w:p w14:paraId="56F20880">
      <w:pPr>
        <w:widowControl w:val="0"/>
        <w:numPr>
          <w:ilvl w:val="1"/>
          <w:numId w:val="2"/>
        </w:numPr>
        <w:tabs>
          <w:tab w:val="left" w:pos="540"/>
          <w:tab w:val="left" w:pos="576"/>
          <w:tab w:val="left" w:pos="900"/>
          <w:tab w:val="left" w:pos="234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364" w:name="_Toc305331279"/>
      <w:bookmarkStart w:id="1365" w:name="_Toc13887"/>
      <w:bookmarkStart w:id="1366" w:name="_Toc3215"/>
      <w:bookmarkStart w:id="1367" w:name="_Toc26330"/>
      <w:bookmarkStart w:id="1368" w:name="_Toc1185"/>
      <w:bookmarkStart w:id="1369" w:name="_Toc208587505"/>
      <w:bookmarkStart w:id="1370" w:name="_Toc1368"/>
      <w:bookmarkStart w:id="1371" w:name="_Toc201735298"/>
      <w:bookmarkStart w:id="1372" w:name="_Toc12166"/>
      <w:bookmarkStart w:id="1373" w:name="_Toc31902"/>
      <w:bookmarkStart w:id="1374" w:name="_Toc890"/>
      <w:bookmarkStart w:id="1375" w:name="_Toc1615013791"/>
      <w:bookmarkStart w:id="1376" w:name="_Toc302635753"/>
      <w:bookmarkStart w:id="1377" w:name="_Toc27414"/>
      <w:bookmarkStart w:id="1378" w:name="_Toc14226"/>
      <w:bookmarkStart w:id="1379" w:name="_Toc34908992"/>
      <w:r>
        <w:rPr>
          <w:rFonts w:hint="eastAsia" w:ascii="宋体" w:hAnsi="宋体" w:eastAsia="宋体" w:cs="Times New Roman"/>
          <w:b/>
          <w:bCs/>
          <w:kern w:val="0"/>
          <w:sz w:val="24"/>
          <w:szCs w:val="24"/>
          <w:lang w:val="en-US" w:eastAsia="zh-CN" w:bidi="ar-SA"/>
        </w:rPr>
        <w:t>施工组织设计和进度计划的编制与提交</w:t>
      </w:r>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p>
    <w:p w14:paraId="05827CC2">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(1)承包人应编制本工程和</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约定的单位工程的施工组织设计和进度计划</w:t>
      </w:r>
      <w:bookmarkEnd w:id="1379"/>
      <w:bookmarkStart w:id="1380" w:name="_Toc34908993"/>
      <w:r>
        <w:rPr>
          <w:rFonts w:hint="eastAsia" w:ascii="宋体" w:hAnsi="宋体" w:eastAsia="宋体" w:cs="Times New Roman"/>
          <w:kern w:val="0"/>
          <w:szCs w:val="24"/>
        </w:rPr>
        <w:t>，对本工程的全部施工作业提出总体上的施工方法、施工安排、作业顺序和时间表。施工组织设计应包含以下内容：</w:t>
      </w:r>
    </w:p>
    <w:p w14:paraId="3A12EF41">
      <w:pPr>
        <w:tabs>
          <w:tab w:val="left" w:pos="1620"/>
          <w:tab w:val="left" w:pos="2340"/>
        </w:tabs>
        <w:ind w:left="1079"/>
        <w:jc w:val="left"/>
        <w:rPr>
          <w:rFonts w:hint="eastAsia" w:ascii="宋体" w:hAnsi="宋体" w:eastAsia="宋体" w:cs="Times New Roman"/>
          <w:kern w:val="0"/>
          <w:szCs w:val="24"/>
        </w:rPr>
      </w:pPr>
      <w:r>
        <w:rPr>
          <w:rFonts w:hint="eastAsia" w:ascii="宋体" w:hAnsi="宋体" w:eastAsia="宋体" w:cs="Times New Roman"/>
          <w:kern w:val="0"/>
          <w:szCs w:val="24"/>
        </w:rPr>
        <w:t>①</w:t>
      </w:r>
      <w:r>
        <w:rPr>
          <w:rFonts w:ascii="宋体" w:hAnsi="宋体" w:eastAsia="宋体" w:cs="Times New Roman"/>
          <w:kern w:val="0"/>
          <w:szCs w:val="24"/>
        </w:rPr>
        <w:t>施工方案</w:t>
      </w:r>
      <w:r>
        <w:rPr>
          <w:rFonts w:hint="eastAsia" w:ascii="宋体" w:hAnsi="宋体" w:eastAsia="宋体" w:cs="Times New Roman"/>
          <w:kern w:val="0"/>
          <w:szCs w:val="24"/>
        </w:rPr>
        <w:t>；</w:t>
      </w:r>
    </w:p>
    <w:p w14:paraId="608E5B80">
      <w:pPr>
        <w:tabs>
          <w:tab w:val="left" w:pos="1620"/>
          <w:tab w:val="left" w:pos="2340"/>
        </w:tabs>
        <w:ind w:left="1079"/>
        <w:jc w:val="left"/>
        <w:rPr>
          <w:rFonts w:hint="eastAsia" w:ascii="宋体" w:hAnsi="宋体" w:eastAsia="宋体" w:cs="Times New Roman"/>
          <w:kern w:val="0"/>
          <w:szCs w:val="24"/>
        </w:rPr>
      </w:pPr>
      <w:r>
        <w:rPr>
          <w:rFonts w:hint="eastAsia" w:ascii="宋体" w:hAnsi="宋体" w:eastAsia="宋体" w:cs="Times New Roman"/>
          <w:kern w:val="0"/>
          <w:szCs w:val="24"/>
        </w:rPr>
        <w:t>②</w:t>
      </w:r>
      <w:r>
        <w:rPr>
          <w:rFonts w:ascii="宋体" w:hAnsi="宋体" w:eastAsia="宋体" w:cs="Times New Roman"/>
          <w:kern w:val="0"/>
          <w:szCs w:val="24"/>
        </w:rPr>
        <w:t>施工现场平面布置图；</w:t>
      </w:r>
    </w:p>
    <w:p w14:paraId="4B5CDDD1">
      <w:pPr>
        <w:tabs>
          <w:tab w:val="left" w:pos="1620"/>
          <w:tab w:val="left" w:pos="2340"/>
        </w:tabs>
        <w:ind w:left="1079"/>
        <w:jc w:val="left"/>
        <w:rPr>
          <w:rFonts w:hint="eastAsia" w:ascii="宋体" w:hAnsi="宋体" w:eastAsia="宋体" w:cs="Times New Roman"/>
          <w:kern w:val="0"/>
          <w:szCs w:val="24"/>
        </w:rPr>
      </w:pPr>
      <w:r>
        <w:rPr>
          <w:rFonts w:hint="eastAsia" w:ascii="宋体" w:hAnsi="宋体" w:eastAsia="宋体" w:cs="Times New Roman"/>
          <w:kern w:val="0"/>
          <w:szCs w:val="24"/>
        </w:rPr>
        <w:t>③</w:t>
      </w:r>
      <w:r>
        <w:rPr>
          <w:rFonts w:ascii="宋体" w:hAnsi="宋体" w:eastAsia="宋体" w:cs="Times New Roman"/>
          <w:kern w:val="0"/>
          <w:szCs w:val="24"/>
        </w:rPr>
        <w:t>施工进度计划和保证措施；</w:t>
      </w:r>
    </w:p>
    <w:p w14:paraId="54D7329C">
      <w:pPr>
        <w:tabs>
          <w:tab w:val="left" w:pos="1620"/>
          <w:tab w:val="left" w:pos="2340"/>
        </w:tabs>
        <w:ind w:left="1079"/>
        <w:jc w:val="left"/>
        <w:rPr>
          <w:rFonts w:hint="eastAsia" w:ascii="宋体" w:hAnsi="宋体" w:eastAsia="宋体" w:cs="Times New Roman"/>
          <w:kern w:val="0"/>
          <w:szCs w:val="24"/>
        </w:rPr>
      </w:pPr>
      <w:r>
        <w:rPr>
          <w:rFonts w:hint="eastAsia" w:ascii="宋体" w:hAnsi="宋体" w:eastAsia="宋体" w:cs="Times New Roman"/>
          <w:kern w:val="0"/>
          <w:szCs w:val="24"/>
        </w:rPr>
        <w:t>④</w:t>
      </w:r>
      <w:r>
        <w:rPr>
          <w:rFonts w:ascii="宋体" w:hAnsi="宋体" w:eastAsia="宋体" w:cs="Times New Roman"/>
          <w:kern w:val="0"/>
          <w:szCs w:val="24"/>
        </w:rPr>
        <w:t>劳动力及材料供应计划；</w:t>
      </w:r>
    </w:p>
    <w:p w14:paraId="4B43F127">
      <w:pPr>
        <w:tabs>
          <w:tab w:val="left" w:pos="1620"/>
          <w:tab w:val="left" w:pos="2340"/>
        </w:tabs>
        <w:ind w:left="1079"/>
        <w:jc w:val="left"/>
        <w:rPr>
          <w:rFonts w:hint="eastAsia" w:ascii="宋体" w:hAnsi="宋体" w:eastAsia="宋体" w:cs="Times New Roman"/>
          <w:kern w:val="0"/>
          <w:szCs w:val="24"/>
        </w:rPr>
      </w:pPr>
      <w:r>
        <w:rPr>
          <w:rFonts w:hint="eastAsia" w:ascii="宋体" w:hAnsi="宋体" w:eastAsia="宋体" w:cs="Times New Roman"/>
          <w:kern w:val="0"/>
          <w:szCs w:val="24"/>
        </w:rPr>
        <w:t>⑤</w:t>
      </w:r>
      <w:r>
        <w:rPr>
          <w:rFonts w:ascii="宋体" w:hAnsi="宋体" w:eastAsia="宋体" w:cs="Times New Roman"/>
          <w:kern w:val="0"/>
          <w:szCs w:val="24"/>
        </w:rPr>
        <w:t>施工机械设备的选用；</w:t>
      </w:r>
    </w:p>
    <w:p w14:paraId="6B83CE7E">
      <w:pPr>
        <w:tabs>
          <w:tab w:val="left" w:pos="1620"/>
          <w:tab w:val="left" w:pos="2340"/>
        </w:tabs>
        <w:ind w:left="1079"/>
        <w:jc w:val="left"/>
        <w:rPr>
          <w:rFonts w:hint="eastAsia" w:ascii="宋体" w:hAnsi="宋体" w:eastAsia="宋体" w:cs="Times New Roman"/>
          <w:kern w:val="0"/>
          <w:szCs w:val="24"/>
        </w:rPr>
      </w:pPr>
      <w:r>
        <w:rPr>
          <w:rFonts w:hint="eastAsia" w:ascii="宋体" w:hAnsi="宋体" w:eastAsia="宋体" w:cs="Times New Roman"/>
          <w:kern w:val="0"/>
          <w:szCs w:val="24"/>
        </w:rPr>
        <w:t>⑥</w:t>
      </w:r>
      <w:r>
        <w:rPr>
          <w:rFonts w:ascii="宋体" w:hAnsi="宋体" w:eastAsia="宋体" w:cs="Times New Roman"/>
          <w:kern w:val="0"/>
          <w:szCs w:val="24"/>
        </w:rPr>
        <w:t>质量保证体系及措施；</w:t>
      </w:r>
    </w:p>
    <w:p w14:paraId="76C4AC19">
      <w:pPr>
        <w:tabs>
          <w:tab w:val="left" w:pos="1620"/>
          <w:tab w:val="left" w:pos="2340"/>
        </w:tabs>
        <w:ind w:left="1079"/>
        <w:jc w:val="left"/>
        <w:rPr>
          <w:rFonts w:hint="eastAsia" w:ascii="宋体" w:hAnsi="宋体" w:eastAsia="宋体" w:cs="Times New Roman"/>
          <w:kern w:val="0"/>
          <w:szCs w:val="24"/>
        </w:rPr>
      </w:pPr>
      <w:r>
        <w:rPr>
          <w:rFonts w:hint="eastAsia" w:ascii="宋体" w:hAnsi="宋体" w:eastAsia="宋体" w:cs="Times New Roman"/>
          <w:kern w:val="0"/>
          <w:szCs w:val="24"/>
        </w:rPr>
        <w:t>⑦</w:t>
      </w:r>
      <w:r>
        <w:rPr>
          <w:rFonts w:ascii="宋体" w:hAnsi="宋体" w:eastAsia="宋体" w:cs="Times New Roman"/>
          <w:kern w:val="0"/>
          <w:szCs w:val="24"/>
        </w:rPr>
        <w:t>安全生产、文明施工措施；</w:t>
      </w:r>
    </w:p>
    <w:p w14:paraId="51F44B7C">
      <w:pPr>
        <w:tabs>
          <w:tab w:val="left" w:pos="1620"/>
          <w:tab w:val="left" w:pos="2340"/>
        </w:tabs>
        <w:ind w:left="1079"/>
        <w:jc w:val="left"/>
        <w:rPr>
          <w:rFonts w:hint="eastAsia" w:ascii="宋体" w:hAnsi="宋体" w:eastAsia="宋体" w:cs="Times New Roman"/>
          <w:kern w:val="0"/>
          <w:szCs w:val="24"/>
        </w:rPr>
      </w:pPr>
      <w:r>
        <w:rPr>
          <w:rFonts w:hint="eastAsia" w:ascii="宋体" w:hAnsi="宋体" w:eastAsia="宋体" w:cs="Times New Roman"/>
          <w:kern w:val="0"/>
          <w:szCs w:val="24"/>
        </w:rPr>
        <w:t>⑧</w:t>
      </w:r>
      <w:r>
        <w:rPr>
          <w:rFonts w:ascii="宋体" w:hAnsi="宋体" w:eastAsia="宋体" w:cs="Times New Roman"/>
          <w:kern w:val="0"/>
          <w:szCs w:val="24"/>
        </w:rPr>
        <w:t>环境保护、成本控制措施</w:t>
      </w:r>
      <w:r>
        <w:rPr>
          <w:rFonts w:hint="eastAsia" w:ascii="宋体" w:hAnsi="宋体" w:eastAsia="宋体" w:cs="Times New Roman"/>
          <w:kern w:val="0"/>
          <w:szCs w:val="24"/>
        </w:rPr>
        <w:t>；</w:t>
      </w:r>
    </w:p>
    <w:p w14:paraId="341AACB5">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⑨发承包双方约定的其他内容</w:t>
      </w:r>
      <w:r>
        <w:rPr>
          <w:rFonts w:ascii="宋体" w:hAnsi="宋体" w:eastAsia="宋体" w:cs="Times New Roman"/>
          <w:kern w:val="0"/>
          <w:szCs w:val="24"/>
        </w:rPr>
        <w:t>。</w:t>
      </w:r>
    </w:p>
    <w:p w14:paraId="1393DB45">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(2)承包人应按</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中约定的时间和要求向</w:t>
      </w:r>
      <w:r>
        <w:rPr>
          <w:rFonts w:ascii="宋体" w:hAnsi="宋体" w:eastAsia="宋体" w:cs="Times New Roman"/>
          <w:kern w:val="0"/>
          <w:szCs w:val="24"/>
        </w:rPr>
        <w:t>监理人</w:t>
      </w:r>
      <w:r>
        <w:rPr>
          <w:rFonts w:hint="eastAsia" w:ascii="宋体" w:hAnsi="宋体" w:eastAsia="宋体" w:cs="Times New Roman"/>
          <w:kern w:val="0"/>
          <w:szCs w:val="24"/>
        </w:rPr>
        <w:t>提交施工组织设计和工程进度计划。</w:t>
      </w:r>
      <w:r>
        <w:rPr>
          <w:rFonts w:ascii="宋体" w:hAnsi="宋体" w:eastAsia="宋体" w:cs="Times New Roman"/>
          <w:kern w:val="0"/>
          <w:szCs w:val="24"/>
        </w:rPr>
        <w:t>监理人</w:t>
      </w:r>
      <w:r>
        <w:rPr>
          <w:rFonts w:hint="eastAsia" w:ascii="宋体" w:hAnsi="宋体" w:eastAsia="宋体" w:cs="Times New Roman"/>
          <w:kern w:val="0"/>
          <w:szCs w:val="24"/>
        </w:rPr>
        <w:t>应按</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中约定的时间予以确认或提出修改意见，逾期不确认也不提出修改意见的，应视为同意。</w:t>
      </w:r>
      <w:bookmarkEnd w:id="1380"/>
      <w:r>
        <w:rPr>
          <w:rFonts w:ascii="宋体" w:hAnsi="宋体" w:eastAsia="宋体" w:cs="Times New Roman"/>
          <w:kern w:val="0"/>
          <w:szCs w:val="24"/>
        </w:rPr>
        <w:t>监理人</w:t>
      </w:r>
      <w:r>
        <w:rPr>
          <w:rFonts w:hint="eastAsia" w:ascii="宋体" w:hAnsi="宋体" w:eastAsia="宋体" w:cs="Times New Roman"/>
          <w:kern w:val="0"/>
          <w:szCs w:val="24"/>
        </w:rPr>
        <w:t>如期提出合理修改意见的，承包人应根据该意见按</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约定的时间或要求提交修改后的施工组织设计和工程进度计划，待</w:t>
      </w:r>
      <w:r>
        <w:rPr>
          <w:rFonts w:ascii="宋体" w:hAnsi="宋体" w:eastAsia="宋体" w:cs="Times New Roman"/>
          <w:kern w:val="0"/>
          <w:szCs w:val="24"/>
        </w:rPr>
        <w:t>监理人</w:t>
      </w:r>
      <w:r>
        <w:rPr>
          <w:rFonts w:hint="eastAsia" w:ascii="宋体" w:hAnsi="宋体" w:eastAsia="宋体" w:cs="Times New Roman"/>
          <w:kern w:val="0"/>
          <w:szCs w:val="24"/>
        </w:rPr>
        <w:t>确认后执行。</w:t>
      </w:r>
      <w:r>
        <w:rPr>
          <w:rFonts w:ascii="宋体" w:hAnsi="宋体" w:eastAsia="宋体" w:cs="Times New Roman"/>
          <w:kern w:val="0"/>
          <w:szCs w:val="24"/>
        </w:rPr>
        <w:t>监理人</w:t>
      </w:r>
      <w:r>
        <w:rPr>
          <w:rFonts w:hint="eastAsia" w:ascii="宋体" w:hAnsi="宋体" w:eastAsia="宋体" w:cs="Times New Roman"/>
          <w:kern w:val="0"/>
          <w:szCs w:val="24"/>
        </w:rPr>
        <w:t>对上述计划的同意，不能因此而解除承包人根据本合同约定应负的任何责任或义务。</w:t>
      </w:r>
    </w:p>
    <w:p w14:paraId="4FDE3478">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381" w:name="_Toc201735299"/>
      <w:bookmarkStart w:id="1382" w:name="_Toc11760"/>
      <w:bookmarkStart w:id="1383" w:name="_Toc305331280"/>
      <w:bookmarkStart w:id="1384" w:name="_Toc9590"/>
      <w:bookmarkStart w:id="1385" w:name="_Toc12829"/>
      <w:bookmarkStart w:id="1386" w:name="_Toc18434"/>
      <w:bookmarkStart w:id="1387" w:name="_Toc10738"/>
      <w:bookmarkStart w:id="1388" w:name="_Toc17314"/>
      <w:bookmarkStart w:id="1389" w:name="_Toc28221"/>
      <w:bookmarkStart w:id="1390" w:name="_Toc208587506"/>
      <w:bookmarkStart w:id="1391" w:name="_Toc328584588"/>
      <w:bookmarkStart w:id="1392" w:name="_Toc302635754"/>
      <w:bookmarkStart w:id="1393" w:name="_Toc16394"/>
      <w:bookmarkStart w:id="1394" w:name="_Toc10219"/>
      <w:bookmarkStart w:id="1395" w:name="_Toc9398"/>
      <w:r>
        <w:rPr>
          <w:rFonts w:ascii="宋体" w:hAnsi="宋体" w:eastAsia="宋体" w:cs="Times New Roman"/>
          <w:b/>
          <w:bCs/>
          <w:kern w:val="0"/>
          <w:sz w:val="24"/>
          <w:szCs w:val="24"/>
          <w:lang w:val="en-US" w:eastAsia="zh-CN" w:bidi="ar-SA"/>
        </w:rPr>
        <w:t>临时设施的图纸和文件</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14:paraId="49488544">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承包人应</w:t>
      </w:r>
      <w:r>
        <w:rPr>
          <w:rFonts w:hint="eastAsia" w:ascii="宋体" w:hAnsi="宋体" w:eastAsia="宋体" w:cs="Times New Roman"/>
          <w:kern w:val="0"/>
          <w:szCs w:val="24"/>
        </w:rPr>
        <w:t>在施工组织设计提交的同时，</w:t>
      </w:r>
      <w:r>
        <w:rPr>
          <w:rFonts w:ascii="宋体" w:hAnsi="宋体" w:eastAsia="宋体" w:cs="Times New Roman"/>
          <w:kern w:val="0"/>
          <w:szCs w:val="24"/>
        </w:rPr>
        <w:t>向监理人报送本工程临时设施的图纸和资料文件。其内容包括(但不限于)临时设施总平面布置图及必要的文字说明，如生产、生活设施、</w:t>
      </w:r>
      <w:r>
        <w:rPr>
          <w:rFonts w:hint="eastAsia" w:ascii="宋体" w:hAnsi="宋体" w:eastAsia="宋体" w:cs="Times New Roman"/>
          <w:kern w:val="0"/>
          <w:szCs w:val="24"/>
        </w:rPr>
        <w:t>水电供应、</w:t>
      </w:r>
      <w:r>
        <w:rPr>
          <w:rFonts w:ascii="宋体" w:hAnsi="宋体" w:eastAsia="宋体" w:cs="Times New Roman"/>
          <w:kern w:val="0"/>
          <w:szCs w:val="24"/>
        </w:rPr>
        <w:t>道路、排水系统、环保环卫、安全防护措施，相关管理制度(办法)等必要的文字说明和图表资料，经批准后实施。</w:t>
      </w:r>
    </w:p>
    <w:p w14:paraId="413A3371">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396" w:name="_Toc189268720"/>
      <w:bookmarkStart w:id="1397" w:name="_Toc208587507"/>
      <w:bookmarkStart w:id="1398" w:name="_Toc305331281"/>
      <w:bookmarkStart w:id="1399" w:name="_Toc23866"/>
      <w:bookmarkStart w:id="1400" w:name="_Toc28518"/>
      <w:bookmarkStart w:id="1401" w:name="_Toc302635755"/>
      <w:bookmarkStart w:id="1402" w:name="_Toc32435"/>
      <w:bookmarkStart w:id="1403" w:name="_Toc15938"/>
      <w:bookmarkStart w:id="1404" w:name="_Toc24219"/>
      <w:bookmarkStart w:id="1405" w:name="_Toc17669"/>
      <w:bookmarkStart w:id="1406" w:name="_Toc6408"/>
      <w:bookmarkStart w:id="1407" w:name="_Toc201735300"/>
      <w:bookmarkStart w:id="1408" w:name="_Toc9143"/>
      <w:bookmarkStart w:id="1409" w:name="_Toc27668"/>
      <w:bookmarkStart w:id="1410" w:name="_Toc16799"/>
      <w:r>
        <w:rPr>
          <w:rFonts w:hint="eastAsia" w:ascii="宋体" w:hAnsi="宋体" w:eastAsia="宋体" w:cs="Times New Roman"/>
          <w:b/>
          <w:bCs/>
          <w:kern w:val="0"/>
          <w:sz w:val="24"/>
          <w:szCs w:val="24"/>
          <w:lang w:val="en-US" w:eastAsia="zh-CN" w:bidi="ar-SA"/>
        </w:rPr>
        <w:t>工程进度计划</w:t>
      </w:r>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14:paraId="1A8C320C">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工程进度计划应按照关键线路网络图和主要工作横道图两种形式分别编绘，并应包括每月预计完成的工作量和形象进度，在需要时每个月修正一次。承包人必须按</w:t>
      </w:r>
      <w:r>
        <w:rPr>
          <w:rFonts w:ascii="宋体" w:hAnsi="宋体" w:eastAsia="宋体" w:cs="Times New Roman"/>
          <w:kern w:val="0"/>
          <w:szCs w:val="24"/>
        </w:rPr>
        <w:t>监理人</w:t>
      </w:r>
      <w:r>
        <w:rPr>
          <w:rFonts w:hint="eastAsia" w:ascii="宋体" w:hAnsi="宋体" w:eastAsia="宋体" w:cs="Times New Roman"/>
          <w:kern w:val="0"/>
          <w:szCs w:val="24"/>
        </w:rPr>
        <w:t>确认的进度计划组织施工，接受</w:t>
      </w:r>
      <w:r>
        <w:rPr>
          <w:rFonts w:ascii="宋体" w:hAnsi="宋体" w:eastAsia="宋体" w:cs="Times New Roman"/>
          <w:kern w:val="0"/>
          <w:szCs w:val="24"/>
        </w:rPr>
        <w:t>监理人</w:t>
      </w:r>
      <w:r>
        <w:rPr>
          <w:rFonts w:hint="eastAsia" w:ascii="宋体" w:hAnsi="宋体" w:eastAsia="宋体" w:cs="Times New Roman"/>
          <w:kern w:val="0"/>
          <w:szCs w:val="24"/>
        </w:rPr>
        <w:t>对进度的检查、监督。对于工程实际进度过于迟缓或与经确认的进度计划不符时，承包人应按</w:t>
      </w:r>
      <w:r>
        <w:rPr>
          <w:rFonts w:ascii="宋体" w:hAnsi="宋体" w:eastAsia="宋体" w:cs="Times New Roman"/>
          <w:kern w:val="0"/>
          <w:szCs w:val="24"/>
        </w:rPr>
        <w:t>监理人</w:t>
      </w:r>
      <w:r>
        <w:rPr>
          <w:rFonts w:hint="eastAsia" w:ascii="宋体" w:hAnsi="宋体" w:eastAsia="宋体" w:cs="Times New Roman"/>
          <w:kern w:val="0"/>
          <w:szCs w:val="24"/>
        </w:rPr>
        <w:t>的要求和建议进行整改并提交修订的进度计划，经</w:t>
      </w:r>
      <w:r>
        <w:rPr>
          <w:rFonts w:ascii="宋体" w:hAnsi="宋体" w:eastAsia="宋体" w:cs="Times New Roman"/>
          <w:kern w:val="0"/>
          <w:szCs w:val="24"/>
        </w:rPr>
        <w:t>监理人</w:t>
      </w:r>
      <w:r>
        <w:rPr>
          <w:rFonts w:hint="eastAsia" w:ascii="宋体" w:hAnsi="宋体" w:eastAsia="宋体" w:cs="Times New Roman"/>
          <w:kern w:val="0"/>
          <w:szCs w:val="24"/>
        </w:rPr>
        <w:t>确认后执行。发包人和监理人对承包人提交的进度计划的确认，不能减轻或免除承包人根据法律规定和合同约定应承担的任何责任或义务。因承包人的原因导致实际进度与进度计划不符，承包人无权就改进措施提出追加合同价款。</w:t>
      </w:r>
    </w:p>
    <w:p w14:paraId="0A080C36">
      <w:pPr>
        <w:widowControl w:val="0"/>
        <w:numPr>
          <w:ilvl w:val="1"/>
          <w:numId w:val="2"/>
        </w:numPr>
        <w:tabs>
          <w:tab w:val="left" w:pos="540"/>
          <w:tab w:val="left" w:pos="576"/>
          <w:tab w:val="left" w:pos="900"/>
          <w:tab w:val="left" w:pos="234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411" w:name="_Toc208587508"/>
      <w:bookmarkStart w:id="1412" w:name="_Toc201735301"/>
      <w:bookmarkStart w:id="1413" w:name="_Toc23612"/>
      <w:bookmarkStart w:id="1414" w:name="_Toc302635756"/>
      <w:bookmarkStart w:id="1415" w:name="_Toc2037"/>
      <w:bookmarkStart w:id="1416" w:name="_Toc16478"/>
      <w:bookmarkStart w:id="1417" w:name="_Toc305331282"/>
      <w:bookmarkStart w:id="1418" w:name="_Toc10552"/>
      <w:bookmarkStart w:id="1419" w:name="_Toc2177"/>
      <w:bookmarkStart w:id="1420" w:name="_Toc22944"/>
      <w:bookmarkStart w:id="1421" w:name="_Toc8213"/>
      <w:bookmarkStart w:id="1422" w:name="_Toc10083"/>
      <w:bookmarkStart w:id="1423" w:name="_Toc19993"/>
      <w:bookmarkStart w:id="1424" w:name="_Toc8398"/>
      <w:bookmarkStart w:id="1425" w:name="_Toc1301954395"/>
      <w:bookmarkStart w:id="1426" w:name="_Toc34908997"/>
      <w:r>
        <w:rPr>
          <w:rFonts w:hint="eastAsia" w:ascii="宋体" w:hAnsi="宋体" w:eastAsia="宋体" w:cs="Times New Roman"/>
          <w:b/>
          <w:bCs/>
          <w:kern w:val="0"/>
          <w:sz w:val="24"/>
          <w:szCs w:val="24"/>
          <w:lang w:val="en-US" w:eastAsia="zh-CN" w:bidi="ar-SA"/>
        </w:rPr>
        <w:t>工程用款计划</w:t>
      </w:r>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14:paraId="5B5C6E26">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承包人应按</w:t>
      </w:r>
      <w:r>
        <w:rPr>
          <w:rFonts w:hint="eastAsia" w:ascii="宋体" w:hAnsi="宋体" w:eastAsia="宋体" w:cs="Times New Roman"/>
          <w:b/>
          <w:i/>
          <w:kern w:val="0"/>
          <w:szCs w:val="24"/>
        </w:rPr>
        <w:t>专用条款</w:t>
      </w:r>
      <w:r>
        <w:rPr>
          <w:rFonts w:hint="eastAsia" w:ascii="宋体" w:hAnsi="宋体" w:eastAsia="宋体" w:cs="Times New Roman"/>
          <w:kern w:val="0"/>
          <w:szCs w:val="24"/>
        </w:rPr>
        <w:t>的约定按工程进度计划向</w:t>
      </w:r>
      <w:r>
        <w:rPr>
          <w:rFonts w:ascii="宋体" w:hAnsi="宋体" w:eastAsia="宋体" w:cs="Times New Roman"/>
          <w:kern w:val="0"/>
          <w:szCs w:val="24"/>
        </w:rPr>
        <w:t>监理人</w:t>
      </w:r>
      <w:r>
        <w:rPr>
          <w:rFonts w:hint="eastAsia" w:ascii="宋体" w:hAnsi="宋体" w:eastAsia="宋体" w:cs="Times New Roman"/>
          <w:kern w:val="0"/>
          <w:szCs w:val="24"/>
        </w:rPr>
        <w:t>提交按合同约定承包人有权得到支付的工程用款计划，以备</w:t>
      </w:r>
      <w:r>
        <w:rPr>
          <w:rFonts w:ascii="宋体" w:hAnsi="宋体" w:eastAsia="宋体" w:cs="Times New Roman"/>
          <w:kern w:val="0"/>
          <w:szCs w:val="24"/>
        </w:rPr>
        <w:t>监理人</w:t>
      </w:r>
      <w:r>
        <w:rPr>
          <w:rFonts w:hint="eastAsia" w:ascii="宋体" w:hAnsi="宋体" w:eastAsia="宋体" w:cs="Times New Roman"/>
          <w:kern w:val="0"/>
          <w:szCs w:val="24"/>
        </w:rPr>
        <w:t>查阅。如</w:t>
      </w:r>
      <w:r>
        <w:rPr>
          <w:rFonts w:ascii="宋体" w:hAnsi="宋体" w:eastAsia="宋体" w:cs="Times New Roman"/>
          <w:kern w:val="0"/>
          <w:szCs w:val="24"/>
        </w:rPr>
        <w:t>监理人</w:t>
      </w:r>
      <w:r>
        <w:rPr>
          <w:rFonts w:hint="eastAsia" w:ascii="宋体" w:hAnsi="宋体" w:eastAsia="宋体" w:cs="Times New Roman"/>
          <w:kern w:val="0"/>
          <w:szCs w:val="24"/>
        </w:rPr>
        <w:t>提出要求，承包人还应按要求提交修改的工程用款计划。</w:t>
      </w:r>
      <w:bookmarkEnd w:id="1426"/>
    </w:p>
    <w:p w14:paraId="6806DA49">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1427" w:name="_Toc7584"/>
      <w:bookmarkStart w:id="1428" w:name="_Toc2030"/>
      <w:bookmarkStart w:id="1429" w:name="_Toc31504"/>
      <w:bookmarkStart w:id="1430" w:name="_Toc24768"/>
      <w:bookmarkStart w:id="1431" w:name="_Toc201735302"/>
      <w:bookmarkStart w:id="1432" w:name="_Toc35656475"/>
      <w:bookmarkStart w:id="1433" w:name="_Toc208587509"/>
      <w:bookmarkStart w:id="1434" w:name="_Toc18021"/>
      <w:bookmarkStart w:id="1435" w:name="_Toc1819438155"/>
      <w:bookmarkStart w:id="1436" w:name="_Toc14940"/>
      <w:bookmarkStart w:id="1437" w:name="_Toc35656977"/>
      <w:bookmarkStart w:id="1438" w:name="_Toc7092"/>
      <w:bookmarkStart w:id="1439" w:name="_Toc34908999"/>
      <w:bookmarkStart w:id="1440" w:name="_Toc305331283"/>
      <w:bookmarkStart w:id="1441" w:name="_Toc15935"/>
      <w:bookmarkStart w:id="1442" w:name="_Toc302635757"/>
      <w:bookmarkStart w:id="1443" w:name="_Toc1838"/>
      <w:bookmarkStart w:id="1444" w:name="_Toc21199"/>
      <w:r>
        <w:rPr>
          <w:rFonts w:hint="eastAsia" w:ascii="华文细黑" w:hAnsi="宋体" w:eastAsia="宋体" w:cs="Times New Roman"/>
          <w:b/>
          <w:bCs/>
          <w:snapToGrid w:val="0"/>
          <w:kern w:val="0"/>
          <w:sz w:val="28"/>
          <w:szCs w:val="44"/>
          <w:lang w:val="en-US" w:eastAsia="zh-CN" w:bidi="ar-SA"/>
        </w:rPr>
        <w:t>施工准备</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14:paraId="4E686067">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445" w:name="_Toc7516"/>
      <w:bookmarkStart w:id="1446" w:name="_Toc581036292"/>
      <w:bookmarkStart w:id="1447" w:name="_Toc24210"/>
      <w:bookmarkStart w:id="1448" w:name="_Toc23038"/>
      <w:bookmarkStart w:id="1449" w:name="_Toc21544"/>
      <w:bookmarkStart w:id="1450" w:name="_Toc26748"/>
      <w:bookmarkStart w:id="1451" w:name="_Toc25698"/>
      <w:bookmarkStart w:id="1452" w:name="_Toc12883"/>
      <w:bookmarkStart w:id="1453" w:name="_Toc305331284"/>
      <w:bookmarkStart w:id="1454" w:name="_Toc2511"/>
      <w:bookmarkStart w:id="1455" w:name="_Toc201735303"/>
      <w:bookmarkStart w:id="1456" w:name="_Toc302635758"/>
      <w:bookmarkStart w:id="1457" w:name="_Toc27532"/>
      <w:bookmarkStart w:id="1458" w:name="_Toc208587510"/>
      <w:bookmarkStart w:id="1459" w:name="_Toc34909002"/>
      <w:bookmarkStart w:id="1460" w:name="_Toc34909000"/>
      <w:r>
        <w:rPr>
          <w:rFonts w:hint="eastAsia" w:ascii="宋体" w:hAnsi="宋体" w:eastAsia="宋体" w:cs="Times New Roman"/>
          <w:b/>
          <w:bCs/>
          <w:kern w:val="0"/>
          <w:sz w:val="24"/>
          <w:szCs w:val="24"/>
          <w:lang w:val="en-US" w:eastAsia="zh-CN" w:bidi="ar-SA"/>
        </w:rPr>
        <w:t>现场考察与勘察资料分析</w:t>
      </w:r>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p>
    <w:p w14:paraId="4730426B">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承包人在签订合同之前，应研究和分析发包人提供的水文、地质、气象等资料，并在勘察设计文件和发包人提供的相关资料的基础上，对现场存在的管线等地下构筑物作进一步调查和了解，以取得其对施工影响的全部信息，并在施工组织设计和进度计划中作出充分的考虑。</w:t>
      </w:r>
      <w:bookmarkEnd w:id="1459"/>
      <w:r>
        <w:rPr>
          <w:rFonts w:hint="eastAsia" w:ascii="Times New Roman" w:hAnsi="Times New Roman" w:eastAsia="宋体" w:cs="Times New Roman"/>
          <w:szCs w:val="24"/>
        </w:rPr>
        <w:t>发包人应对其所提供资料的准确性负责，</w:t>
      </w:r>
      <w:r>
        <w:rPr>
          <w:rFonts w:hint="eastAsia" w:ascii="宋体" w:hAnsi="宋体" w:eastAsia="宋体" w:cs="Times New Roman"/>
          <w:kern w:val="0"/>
          <w:szCs w:val="24"/>
        </w:rPr>
        <w:t>承包人应对其对该资料的理解、判断和应用负责。</w:t>
      </w:r>
    </w:p>
    <w:p w14:paraId="31A2C355">
      <w:pPr>
        <w:tabs>
          <w:tab w:val="left" w:pos="1620"/>
          <w:tab w:val="left" w:pos="2340"/>
        </w:tabs>
        <w:spacing w:after="156"/>
        <w:ind w:left="899"/>
        <w:jc w:val="left"/>
        <w:rPr>
          <w:rFonts w:hint="eastAsia" w:ascii="宋体" w:hAnsi="宋体" w:eastAsia="宋体" w:cs="Times New Roman"/>
          <w:kern w:val="0"/>
          <w:szCs w:val="24"/>
        </w:rPr>
      </w:pPr>
      <w:bookmarkStart w:id="1461" w:name="_Toc34909003"/>
      <w:r>
        <w:rPr>
          <w:rFonts w:hint="eastAsia" w:ascii="宋体" w:hAnsi="宋体" w:eastAsia="宋体" w:cs="Times New Roman"/>
          <w:kern w:val="0"/>
          <w:szCs w:val="24"/>
        </w:rPr>
        <w:t>(2)承包人在签订合同之前，应视为已研究和察看了工地及其四周环境；已清楚知道关于通往工地的现有道路或其他交通条件、土地及工地的外形和性质、损毁物业的危险、挖掘对象的性质、进行本工程所需的工程及材料的性质、生活与施工条件；已取得影响其签订合同及进行本工程施工的资料。</w:t>
      </w:r>
      <w:bookmarkEnd w:id="1461"/>
      <w:bookmarkStart w:id="1462" w:name="_Toc34909004"/>
      <w:r>
        <w:rPr>
          <w:rFonts w:hint="eastAsia" w:ascii="宋体" w:hAnsi="宋体" w:eastAsia="宋体" w:cs="Times New Roman"/>
          <w:kern w:val="0"/>
          <w:szCs w:val="24"/>
        </w:rPr>
        <w:t>承包人不得以对上述事项了解不够充分而向发包人索赔，也不得免除根据合同约定须承担的责任。</w:t>
      </w:r>
      <w:bookmarkEnd w:id="1462"/>
    </w:p>
    <w:p w14:paraId="2DA2D781">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463" w:name="_Toc31952"/>
      <w:bookmarkStart w:id="1464" w:name="_Toc7346"/>
      <w:bookmarkStart w:id="1465" w:name="_Toc25879"/>
      <w:bookmarkStart w:id="1466" w:name="_Toc24206"/>
      <w:bookmarkStart w:id="1467" w:name="_Toc1917225236"/>
      <w:bookmarkStart w:id="1468" w:name="_Toc302635759"/>
      <w:bookmarkStart w:id="1469" w:name="_Toc21751"/>
      <w:bookmarkStart w:id="1470" w:name="_Toc2879"/>
      <w:bookmarkStart w:id="1471" w:name="_Toc305331285"/>
      <w:bookmarkStart w:id="1472" w:name="_Toc208587511"/>
      <w:bookmarkStart w:id="1473" w:name="_Toc28253"/>
      <w:bookmarkStart w:id="1474" w:name="_Toc31810"/>
      <w:bookmarkStart w:id="1475" w:name="_Toc222"/>
      <w:bookmarkStart w:id="1476" w:name="_Toc11431"/>
      <w:bookmarkStart w:id="1477" w:name="_Toc201735304"/>
      <w:bookmarkStart w:id="1478" w:name="_Toc34909008"/>
      <w:r>
        <w:rPr>
          <w:rFonts w:hint="eastAsia" w:ascii="宋体" w:hAnsi="宋体" w:eastAsia="宋体" w:cs="Times New Roman"/>
          <w:b/>
          <w:bCs/>
          <w:kern w:val="0"/>
          <w:sz w:val="24"/>
          <w:szCs w:val="24"/>
          <w:lang w:val="en-US" w:eastAsia="zh-CN" w:bidi="ar-SA"/>
        </w:rPr>
        <w:t>施工场地提供</w:t>
      </w:r>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p>
    <w:p w14:paraId="368A0E28">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(1)发包人应按</w:t>
      </w:r>
      <w:r>
        <w:rPr>
          <w:rFonts w:hint="eastAsia" w:ascii="宋体" w:hAnsi="宋体" w:eastAsia="宋体" w:cs="Times New Roman"/>
          <w:b/>
          <w:i/>
          <w:kern w:val="0"/>
          <w:szCs w:val="24"/>
        </w:rPr>
        <w:t>专用条款</w:t>
      </w:r>
      <w:r>
        <w:rPr>
          <w:rFonts w:hint="eastAsia" w:ascii="宋体" w:hAnsi="宋体" w:eastAsia="宋体" w:cs="Times New Roman"/>
          <w:kern w:val="0"/>
          <w:szCs w:val="24"/>
        </w:rPr>
        <w:t>的约定向承包人提供施工所需的场地，以满足承包人进行本工程施工。发包人未按约定提供施工所需的场地，致使本工程或其他任何部分的进展受到影响，由发包人承担由此增加的费用和（或）延误的工期，并支付承包人合理的利润。</w:t>
      </w:r>
      <w:bookmarkEnd w:id="1478"/>
      <w:bookmarkStart w:id="1479" w:name="_Toc34909009"/>
    </w:p>
    <w:p w14:paraId="55844B60">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(2)发包人未能按期办妥土地征用和搬迁手续，承包人在接到</w:t>
      </w:r>
      <w:r>
        <w:rPr>
          <w:rFonts w:ascii="宋体" w:hAnsi="宋体" w:eastAsia="宋体" w:cs="Times New Roman"/>
          <w:kern w:val="0"/>
          <w:szCs w:val="24"/>
        </w:rPr>
        <w:t>监理人</w:t>
      </w:r>
      <w:r>
        <w:rPr>
          <w:rFonts w:hint="eastAsia" w:ascii="宋体" w:hAnsi="宋体" w:eastAsia="宋体" w:cs="Times New Roman"/>
          <w:kern w:val="0"/>
          <w:szCs w:val="24"/>
        </w:rPr>
        <w:t>通知后，应按</w:t>
      </w:r>
      <w:r>
        <w:rPr>
          <w:rFonts w:ascii="宋体" w:hAnsi="宋体" w:eastAsia="宋体" w:cs="Times New Roman"/>
          <w:kern w:val="0"/>
          <w:szCs w:val="24"/>
        </w:rPr>
        <w:t>监理人</w:t>
      </w:r>
      <w:r>
        <w:rPr>
          <w:rFonts w:hint="eastAsia" w:ascii="宋体" w:hAnsi="宋体" w:eastAsia="宋体" w:cs="Times New Roman"/>
          <w:kern w:val="0"/>
          <w:szCs w:val="24"/>
        </w:rPr>
        <w:t>的指示及时调整工程施工组织设计和进度计划中的各项工作的施工方案和顺序，以便能够继续施工或者对施工人员和施工机械及时进行调整，以避免停工损失的发生。发包人未能按期办妥土地征用和搬迁手续，由发包人承担由此增加的费用和（或）延误的工期，并支付承包人合理的利润。</w:t>
      </w:r>
      <w:bookmarkEnd w:id="1479"/>
      <w:bookmarkStart w:id="1480" w:name="_Toc34909010"/>
    </w:p>
    <w:p w14:paraId="5CA16FC7">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(3)征地红线内的工程用地，在不影响施工的前提下，经发包人批准，可免费提供给承包人作施工临时用地。红线范围外的临时占地的租用，由发包人根据开工需要和施工先后顺序，分期办理租用手续，提供给承包人作施工临时用地。红线外的临时占地租用费用由发包人支付(</w:t>
      </w:r>
      <w:r>
        <w:rPr>
          <w:rFonts w:hint="eastAsia" w:ascii="宋体" w:hAnsi="宋体" w:eastAsia="宋体" w:cs="Times New Roman"/>
          <w:b/>
          <w:i/>
          <w:kern w:val="0"/>
          <w:szCs w:val="24"/>
        </w:rPr>
        <w:t>专用条款</w:t>
      </w:r>
      <w:r>
        <w:rPr>
          <w:rFonts w:hint="eastAsia" w:ascii="宋体" w:hAnsi="宋体" w:eastAsia="宋体" w:cs="Times New Roman"/>
          <w:kern w:val="0"/>
          <w:szCs w:val="24"/>
        </w:rPr>
        <w:t>另有约定除外)。临时用地使用完毕后，承包人应自费将临时用地恢复原状。</w:t>
      </w:r>
      <w:bookmarkEnd w:id="1480"/>
    </w:p>
    <w:p w14:paraId="599E8C1B">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481" w:name="_Toc302635760"/>
      <w:bookmarkStart w:id="1482" w:name="_Toc1270"/>
      <w:bookmarkStart w:id="1483" w:name="_Toc6281"/>
      <w:bookmarkStart w:id="1484" w:name="_Toc1498183648"/>
      <w:bookmarkStart w:id="1485" w:name="_Toc201735305"/>
      <w:bookmarkStart w:id="1486" w:name="_Toc24941"/>
      <w:bookmarkStart w:id="1487" w:name="_Toc30094"/>
      <w:bookmarkStart w:id="1488" w:name="_Toc208587512"/>
      <w:bookmarkStart w:id="1489" w:name="_Toc32265"/>
      <w:bookmarkStart w:id="1490" w:name="_Toc12434"/>
      <w:bookmarkStart w:id="1491" w:name="_Toc14155"/>
      <w:bookmarkStart w:id="1492" w:name="_Toc10749"/>
      <w:bookmarkStart w:id="1493" w:name="_Toc8742"/>
      <w:bookmarkStart w:id="1494" w:name="_Toc305331286"/>
      <w:bookmarkStart w:id="1495" w:name="_Toc6706"/>
      <w:bookmarkStart w:id="1496" w:name="_Toc34909007"/>
      <w:r>
        <w:rPr>
          <w:rFonts w:hint="eastAsia" w:ascii="宋体" w:hAnsi="宋体" w:eastAsia="宋体" w:cs="Times New Roman"/>
          <w:b/>
          <w:bCs/>
          <w:kern w:val="0"/>
          <w:sz w:val="24"/>
          <w:szCs w:val="24"/>
          <w:lang w:val="en-US" w:eastAsia="zh-CN" w:bidi="ar-SA"/>
        </w:rPr>
        <w:t>施工放线</w:t>
      </w:r>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14:paraId="7F988D4E">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(1)发包人应</w:t>
      </w:r>
      <w:r>
        <w:rPr>
          <w:rFonts w:ascii="宋体" w:hAnsi="宋体" w:eastAsia="宋体" w:cs="Times New Roman"/>
          <w:kern w:val="0"/>
          <w:szCs w:val="24"/>
        </w:rPr>
        <w:t>在至迟不得晚于第</w:t>
      </w:r>
      <w:r>
        <w:rPr>
          <w:rFonts w:hint="eastAsia" w:ascii="宋体" w:hAnsi="宋体" w:eastAsia="宋体" w:cs="Times New Roman"/>
          <w:kern w:val="0"/>
          <w:szCs w:val="24"/>
        </w:rPr>
        <w:t>11.1款【</w:t>
      </w:r>
      <w:r>
        <w:rPr>
          <w:rFonts w:ascii="宋体" w:hAnsi="宋体" w:eastAsia="宋体" w:cs="Times New Roman"/>
          <w:kern w:val="0"/>
          <w:szCs w:val="24"/>
        </w:rPr>
        <w:t>开工</w:t>
      </w:r>
      <w:r>
        <w:rPr>
          <w:rFonts w:hint="eastAsia" w:ascii="宋体" w:hAnsi="宋体" w:eastAsia="宋体" w:cs="Times New Roman"/>
          <w:kern w:val="0"/>
          <w:szCs w:val="24"/>
        </w:rPr>
        <w:t>】中开工通知书</w:t>
      </w:r>
      <w:r>
        <w:rPr>
          <w:rFonts w:ascii="宋体" w:hAnsi="宋体" w:eastAsia="宋体" w:cs="Times New Roman"/>
          <w:kern w:val="0"/>
          <w:szCs w:val="24"/>
        </w:rPr>
        <w:t>载明的开工日期前7天通过监理人</w:t>
      </w:r>
      <w:r>
        <w:rPr>
          <w:rFonts w:hint="eastAsia" w:ascii="宋体" w:hAnsi="宋体" w:eastAsia="宋体" w:cs="Times New Roman"/>
          <w:kern w:val="0"/>
          <w:szCs w:val="24"/>
        </w:rPr>
        <w:t>向承包人提供工程施工所需的原始基准点、基准线和基准标高，以及</w:t>
      </w:r>
      <w:r>
        <w:rPr>
          <w:rFonts w:hint="eastAsia" w:ascii="Times New Roman" w:hAnsi="Times New Roman" w:eastAsia="宋体" w:cs="Times New Roman"/>
          <w:szCs w:val="24"/>
        </w:rPr>
        <w:t>工程项目范围内城市轨道交通隧道、给排水管道、燃气管道分布情况，</w:t>
      </w:r>
      <w:r>
        <w:rPr>
          <w:rFonts w:hint="eastAsia" w:ascii="宋体" w:hAnsi="宋体" w:eastAsia="宋体" w:cs="Times New Roman"/>
          <w:kern w:val="0"/>
          <w:szCs w:val="24"/>
        </w:rPr>
        <w:t>并对其真实准确性负责，同时承担由于其错误而引起的承包人的费用增加和（或）工期延误。</w:t>
      </w:r>
    </w:p>
    <w:p w14:paraId="1BEF6F87">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(2)承包人按上述基准负责对工程的所有部位正确定位，纠正在工程的位置、标高、尺寸或定线中的任何错误。</w:t>
      </w:r>
      <w:r>
        <w:rPr>
          <w:rFonts w:ascii="宋体" w:hAnsi="宋体" w:eastAsia="宋体" w:cs="Times New Roman"/>
          <w:kern w:val="0"/>
          <w:szCs w:val="24"/>
        </w:rPr>
        <w:t>监理人</w:t>
      </w:r>
      <w:r>
        <w:rPr>
          <w:rFonts w:hint="eastAsia" w:ascii="宋体" w:hAnsi="宋体" w:eastAsia="宋体" w:cs="Times New Roman"/>
          <w:kern w:val="0"/>
          <w:szCs w:val="24"/>
        </w:rPr>
        <w:t>对放样、准线或标高的核查，均不应解除承包人对其准确性所负的责任。</w:t>
      </w:r>
      <w:bookmarkEnd w:id="1496"/>
    </w:p>
    <w:p w14:paraId="549330BC">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施工过程中对施工现场内水准点等测量标志物的保护工作由承包人负责。</w:t>
      </w:r>
    </w:p>
    <w:p w14:paraId="445673E8">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fldChar w:fldCharType="begin"/>
      </w:r>
      <w:r>
        <w:rPr>
          <w:rFonts w:ascii="宋体" w:hAnsi="宋体" w:eastAsia="宋体" w:cs="Times New Roman"/>
          <w:kern w:val="0"/>
          <w:szCs w:val="24"/>
        </w:rPr>
        <w:instrText xml:space="preserve"> </w:instrText>
      </w:r>
      <w:r>
        <w:rPr>
          <w:rFonts w:hint="eastAsia" w:ascii="宋体" w:hAnsi="宋体" w:eastAsia="宋体" w:cs="Times New Roman"/>
          <w:kern w:val="0"/>
          <w:szCs w:val="24"/>
        </w:rPr>
        <w:instrText xml:space="preserve">= 4 \* GB2</w:instrText>
      </w:r>
      <w:r>
        <w:rPr>
          <w:rFonts w:ascii="宋体" w:hAnsi="宋体" w:eastAsia="宋体" w:cs="Times New Roman"/>
          <w:kern w:val="0"/>
          <w:szCs w:val="24"/>
        </w:rPr>
        <w:instrText xml:space="preserve"> </w:instrText>
      </w:r>
      <w:r>
        <w:rPr>
          <w:rFonts w:ascii="宋体" w:hAnsi="宋体" w:eastAsia="宋体" w:cs="Times New Roman"/>
          <w:kern w:val="0"/>
          <w:szCs w:val="24"/>
        </w:rPr>
        <w:fldChar w:fldCharType="separate"/>
      </w:r>
      <w:r>
        <w:rPr>
          <w:rFonts w:hint="eastAsia" w:ascii="宋体" w:hAnsi="宋体" w:eastAsia="宋体" w:cs="Times New Roman"/>
          <w:kern w:val="0"/>
          <w:szCs w:val="24"/>
        </w:rPr>
        <w:t>(4)</w:t>
      </w:r>
      <w:r>
        <w:rPr>
          <w:rFonts w:ascii="宋体" w:hAnsi="宋体" w:eastAsia="宋体" w:cs="Times New Roman"/>
          <w:kern w:val="0"/>
          <w:szCs w:val="24"/>
        </w:rPr>
        <w:fldChar w:fldCharType="end"/>
      </w:r>
      <w:r>
        <w:rPr>
          <w:rFonts w:hint="eastAsia" w:ascii="宋体" w:hAnsi="宋体" w:eastAsia="宋体" w:cs="Times New Roman"/>
          <w:kern w:val="0"/>
          <w:szCs w:val="24"/>
        </w:rPr>
        <w:t>承包人应落实</w:t>
      </w:r>
      <w:r>
        <w:rPr>
          <w:rFonts w:hint="eastAsia" w:ascii="Times New Roman" w:hAnsi="Times New Roman" w:eastAsia="宋体" w:cs="Times New Roman"/>
          <w:szCs w:val="24"/>
        </w:rPr>
        <w:t>工程项目范围内城市轨道交通隧道、给排水管道、燃气管道的安全保护措施。</w:t>
      </w:r>
    </w:p>
    <w:bookmarkEnd w:id="1460"/>
    <w:p w14:paraId="0480C2F3">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497" w:name="_Toc302635763"/>
      <w:bookmarkStart w:id="1498" w:name="_Toc14286"/>
      <w:bookmarkStart w:id="1499" w:name="_Toc26960"/>
      <w:bookmarkStart w:id="1500" w:name="_Toc13498"/>
      <w:bookmarkStart w:id="1501" w:name="_Toc8695"/>
      <w:bookmarkStart w:id="1502" w:name="_Toc31080"/>
      <w:bookmarkStart w:id="1503" w:name="_Toc26967"/>
      <w:bookmarkStart w:id="1504" w:name="_Toc14473"/>
      <w:bookmarkStart w:id="1505" w:name="_Toc201735306"/>
      <w:bookmarkStart w:id="1506" w:name="_Toc22846"/>
      <w:bookmarkStart w:id="1507" w:name="_Toc16839"/>
      <w:bookmarkStart w:id="1508" w:name="_Toc324810969"/>
      <w:bookmarkStart w:id="1509" w:name="_Toc208587513"/>
      <w:bookmarkStart w:id="1510" w:name="_Toc20883"/>
      <w:bookmarkStart w:id="1511" w:name="_Toc305331289"/>
      <w:r>
        <w:rPr>
          <w:rFonts w:hint="eastAsia" w:ascii="宋体" w:hAnsi="宋体" w:eastAsia="宋体" w:cs="Times New Roman"/>
          <w:b/>
          <w:bCs/>
          <w:kern w:val="0"/>
          <w:sz w:val="24"/>
          <w:szCs w:val="24"/>
          <w:lang w:val="en-US" w:eastAsia="zh-CN" w:bidi="ar-SA"/>
        </w:rPr>
        <w:t>施工组织准备工作</w:t>
      </w:r>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p>
    <w:p w14:paraId="56D192D9">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本</w:t>
      </w:r>
      <w:r>
        <w:rPr>
          <w:rFonts w:ascii="宋体" w:hAnsi="宋体" w:eastAsia="宋体" w:cs="Times New Roman"/>
          <w:kern w:val="0"/>
          <w:szCs w:val="24"/>
        </w:rPr>
        <w:t>工程开工前，承包人应及时做好</w:t>
      </w:r>
      <w:r>
        <w:rPr>
          <w:rFonts w:hint="eastAsia" w:ascii="宋体" w:hAnsi="宋体" w:eastAsia="宋体" w:cs="Times New Roman"/>
          <w:kern w:val="0"/>
          <w:szCs w:val="24"/>
        </w:rPr>
        <w:t>如下</w:t>
      </w:r>
      <w:r>
        <w:rPr>
          <w:rFonts w:ascii="宋体" w:hAnsi="宋体" w:eastAsia="宋体" w:cs="Times New Roman"/>
          <w:kern w:val="0"/>
          <w:szCs w:val="24"/>
        </w:rPr>
        <w:t>施工</w:t>
      </w:r>
      <w:r>
        <w:rPr>
          <w:rFonts w:hint="eastAsia" w:ascii="宋体" w:hAnsi="宋体" w:eastAsia="宋体" w:cs="Times New Roman"/>
          <w:kern w:val="0"/>
          <w:szCs w:val="24"/>
        </w:rPr>
        <w:t>组织</w:t>
      </w:r>
      <w:r>
        <w:rPr>
          <w:rFonts w:ascii="宋体" w:hAnsi="宋体" w:eastAsia="宋体" w:cs="Times New Roman"/>
          <w:kern w:val="0"/>
          <w:szCs w:val="24"/>
        </w:rPr>
        <w:t>准备工作</w:t>
      </w:r>
      <w:r>
        <w:rPr>
          <w:rFonts w:hint="eastAsia" w:ascii="宋体" w:hAnsi="宋体" w:eastAsia="宋体" w:cs="Times New Roman"/>
          <w:kern w:val="0"/>
          <w:szCs w:val="24"/>
        </w:rPr>
        <w:t>(</w:t>
      </w:r>
      <w:r>
        <w:rPr>
          <w:rFonts w:ascii="宋体" w:hAnsi="宋体" w:eastAsia="宋体" w:cs="Times New Roman"/>
          <w:kern w:val="0"/>
          <w:szCs w:val="24"/>
        </w:rPr>
        <w:t>包括但不限于</w:t>
      </w:r>
      <w:r>
        <w:rPr>
          <w:rFonts w:hint="eastAsia" w:ascii="宋体" w:hAnsi="宋体" w:eastAsia="宋体" w:cs="Times New Roman"/>
          <w:kern w:val="0"/>
          <w:szCs w:val="24"/>
        </w:rPr>
        <w:t>)</w:t>
      </w:r>
      <w:r>
        <w:rPr>
          <w:rFonts w:ascii="宋体" w:hAnsi="宋体" w:eastAsia="宋体" w:cs="Times New Roman"/>
          <w:kern w:val="0"/>
          <w:szCs w:val="24"/>
        </w:rPr>
        <w:t>：</w:t>
      </w:r>
    </w:p>
    <w:p w14:paraId="1FE72783">
      <w:pPr>
        <w:tabs>
          <w:tab w:val="left" w:pos="1620"/>
          <w:tab w:val="left" w:pos="2340"/>
        </w:tabs>
        <w:ind w:left="869" w:leftChars="414"/>
        <w:jc w:val="left"/>
        <w:rPr>
          <w:rFonts w:hint="eastAsia" w:ascii="宋体" w:hAnsi="宋体" w:eastAsia="宋体" w:cs="Times New Roman"/>
          <w:kern w:val="0"/>
          <w:szCs w:val="24"/>
        </w:rPr>
      </w:pPr>
      <w:r>
        <w:rPr>
          <w:rFonts w:ascii="宋体" w:hAnsi="宋体" w:eastAsia="宋体" w:cs="Times New Roman"/>
          <w:kern w:val="0"/>
          <w:szCs w:val="24"/>
        </w:rPr>
        <w:fldChar w:fldCharType="begin"/>
      </w:r>
      <w:r>
        <w:rPr>
          <w:rFonts w:ascii="宋体" w:hAnsi="宋体" w:eastAsia="宋体" w:cs="Times New Roman"/>
          <w:kern w:val="0"/>
          <w:szCs w:val="24"/>
        </w:rPr>
        <w:instrText xml:space="preserve"> </w:instrText>
      </w:r>
      <w:r>
        <w:rPr>
          <w:rFonts w:hint="eastAsia" w:ascii="宋体" w:hAnsi="宋体" w:eastAsia="宋体" w:cs="Times New Roman"/>
          <w:kern w:val="0"/>
          <w:szCs w:val="24"/>
        </w:rPr>
        <w:instrText xml:space="preserve">= 1 \* GB2</w:instrText>
      </w:r>
      <w:r>
        <w:rPr>
          <w:rFonts w:ascii="宋体" w:hAnsi="宋体" w:eastAsia="宋体" w:cs="Times New Roman"/>
          <w:kern w:val="0"/>
          <w:szCs w:val="24"/>
        </w:rPr>
        <w:instrText xml:space="preserve"> </w:instrText>
      </w:r>
      <w:r>
        <w:rPr>
          <w:rFonts w:ascii="宋体" w:hAnsi="宋体" w:eastAsia="宋体" w:cs="Times New Roman"/>
          <w:kern w:val="0"/>
          <w:szCs w:val="24"/>
        </w:rPr>
        <w:fldChar w:fldCharType="separate"/>
      </w:r>
      <w:r>
        <w:rPr>
          <w:rFonts w:hint="eastAsia" w:ascii="宋体" w:hAnsi="宋体" w:eastAsia="宋体" w:cs="Times New Roman"/>
          <w:kern w:val="0"/>
          <w:szCs w:val="24"/>
        </w:rPr>
        <w:t>(1)</w:t>
      </w:r>
      <w:r>
        <w:rPr>
          <w:rFonts w:ascii="宋体" w:hAnsi="宋体" w:eastAsia="宋体" w:cs="Times New Roman"/>
          <w:kern w:val="0"/>
          <w:szCs w:val="24"/>
        </w:rPr>
        <w:fldChar w:fldCharType="end"/>
      </w:r>
      <w:r>
        <w:rPr>
          <w:rFonts w:ascii="宋体" w:hAnsi="宋体" w:eastAsia="宋体" w:cs="Times New Roman"/>
          <w:kern w:val="0"/>
          <w:szCs w:val="24"/>
        </w:rPr>
        <w:t>组建施工管理机构和专业作业队伍，并进行进场前的施工教育培训</w:t>
      </w:r>
      <w:r>
        <w:rPr>
          <w:rFonts w:hint="eastAsia" w:ascii="宋体" w:hAnsi="宋体" w:eastAsia="宋体" w:cs="Times New Roman"/>
          <w:kern w:val="0"/>
          <w:szCs w:val="24"/>
        </w:rPr>
        <w:t>；</w:t>
      </w:r>
    </w:p>
    <w:p w14:paraId="7ADADFC6">
      <w:pPr>
        <w:tabs>
          <w:tab w:val="left" w:pos="1620"/>
          <w:tab w:val="left" w:pos="2340"/>
        </w:tabs>
        <w:ind w:left="869" w:leftChars="414"/>
        <w:jc w:val="left"/>
        <w:rPr>
          <w:rFonts w:hint="eastAsia" w:ascii="宋体" w:hAnsi="宋体" w:eastAsia="宋体" w:cs="Times New Roman"/>
          <w:kern w:val="0"/>
          <w:szCs w:val="24"/>
        </w:rPr>
      </w:pPr>
      <w:r>
        <w:rPr>
          <w:rFonts w:ascii="宋体" w:hAnsi="宋体" w:eastAsia="宋体" w:cs="Times New Roman"/>
          <w:kern w:val="0"/>
          <w:szCs w:val="24"/>
        </w:rPr>
        <w:fldChar w:fldCharType="begin"/>
      </w:r>
      <w:r>
        <w:rPr>
          <w:rFonts w:ascii="宋体" w:hAnsi="宋体" w:eastAsia="宋体" w:cs="Times New Roman"/>
          <w:kern w:val="0"/>
          <w:szCs w:val="24"/>
        </w:rPr>
        <w:instrText xml:space="preserve"> </w:instrText>
      </w:r>
      <w:r>
        <w:rPr>
          <w:rFonts w:hint="eastAsia" w:ascii="宋体" w:hAnsi="宋体" w:eastAsia="宋体" w:cs="Times New Roman"/>
          <w:kern w:val="0"/>
          <w:szCs w:val="24"/>
        </w:rPr>
        <w:instrText xml:space="preserve">= 2 \* GB2</w:instrText>
      </w:r>
      <w:r>
        <w:rPr>
          <w:rFonts w:ascii="宋体" w:hAnsi="宋体" w:eastAsia="宋体" w:cs="Times New Roman"/>
          <w:kern w:val="0"/>
          <w:szCs w:val="24"/>
        </w:rPr>
        <w:instrText xml:space="preserve"> </w:instrText>
      </w:r>
      <w:r>
        <w:rPr>
          <w:rFonts w:ascii="宋体" w:hAnsi="宋体" w:eastAsia="宋体" w:cs="Times New Roman"/>
          <w:kern w:val="0"/>
          <w:szCs w:val="24"/>
        </w:rPr>
        <w:fldChar w:fldCharType="separate"/>
      </w:r>
      <w:r>
        <w:rPr>
          <w:rFonts w:hint="eastAsia" w:ascii="宋体" w:hAnsi="宋体" w:eastAsia="宋体" w:cs="Times New Roman"/>
          <w:kern w:val="0"/>
          <w:szCs w:val="24"/>
        </w:rPr>
        <w:t>(2)</w:t>
      </w:r>
      <w:r>
        <w:rPr>
          <w:rFonts w:ascii="宋体" w:hAnsi="宋体" w:eastAsia="宋体" w:cs="Times New Roman"/>
          <w:kern w:val="0"/>
          <w:szCs w:val="24"/>
        </w:rPr>
        <w:fldChar w:fldCharType="end"/>
      </w:r>
      <w:r>
        <w:rPr>
          <w:rFonts w:ascii="宋体" w:hAnsi="宋体" w:eastAsia="宋体" w:cs="Times New Roman"/>
          <w:kern w:val="0"/>
          <w:szCs w:val="24"/>
        </w:rPr>
        <w:t>编制材料和设备供应计划并做好供应</w:t>
      </w:r>
      <w:r>
        <w:rPr>
          <w:rFonts w:hint="eastAsia" w:ascii="宋体" w:hAnsi="宋体" w:eastAsia="宋体" w:cs="Times New Roman"/>
          <w:kern w:val="0"/>
          <w:szCs w:val="24"/>
        </w:rPr>
        <w:t>，</w:t>
      </w:r>
      <w:r>
        <w:rPr>
          <w:rFonts w:ascii="宋体" w:hAnsi="宋体" w:eastAsia="宋体" w:cs="Times New Roman"/>
          <w:kern w:val="0"/>
          <w:szCs w:val="24"/>
        </w:rPr>
        <w:t>安排好预制构件和非标准件加工以及施工机具设备的维修保养工作</w:t>
      </w:r>
      <w:r>
        <w:rPr>
          <w:rFonts w:hint="eastAsia" w:ascii="宋体" w:hAnsi="宋体" w:eastAsia="宋体" w:cs="Times New Roman"/>
          <w:kern w:val="0"/>
          <w:szCs w:val="24"/>
        </w:rPr>
        <w:t>；</w:t>
      </w:r>
    </w:p>
    <w:p w14:paraId="5A30AB41">
      <w:pPr>
        <w:tabs>
          <w:tab w:val="left" w:pos="1620"/>
          <w:tab w:val="left" w:pos="2340"/>
        </w:tabs>
        <w:ind w:left="869" w:leftChars="414"/>
        <w:jc w:val="left"/>
        <w:rPr>
          <w:rFonts w:hint="eastAsia" w:ascii="宋体" w:hAnsi="宋体" w:eastAsia="宋体" w:cs="Times New Roman"/>
          <w:kern w:val="0"/>
          <w:szCs w:val="24"/>
        </w:rPr>
      </w:pPr>
      <w:r>
        <w:rPr>
          <w:rFonts w:ascii="宋体" w:hAnsi="宋体" w:eastAsia="宋体" w:cs="Times New Roman"/>
          <w:kern w:val="0"/>
          <w:szCs w:val="24"/>
        </w:rPr>
        <w:fldChar w:fldCharType="begin"/>
      </w:r>
      <w:r>
        <w:rPr>
          <w:rFonts w:ascii="宋体" w:hAnsi="宋体" w:eastAsia="宋体" w:cs="Times New Roman"/>
          <w:kern w:val="0"/>
          <w:szCs w:val="24"/>
        </w:rPr>
        <w:instrText xml:space="preserve"> </w:instrText>
      </w:r>
      <w:r>
        <w:rPr>
          <w:rFonts w:hint="eastAsia" w:ascii="宋体" w:hAnsi="宋体" w:eastAsia="宋体" w:cs="Times New Roman"/>
          <w:kern w:val="0"/>
          <w:szCs w:val="24"/>
        </w:rPr>
        <w:instrText xml:space="preserve">= 3 \* GB2</w:instrText>
      </w:r>
      <w:r>
        <w:rPr>
          <w:rFonts w:ascii="宋体" w:hAnsi="宋体" w:eastAsia="宋体" w:cs="Times New Roman"/>
          <w:kern w:val="0"/>
          <w:szCs w:val="24"/>
        </w:rPr>
        <w:instrText xml:space="preserve"> </w:instrText>
      </w:r>
      <w:r>
        <w:rPr>
          <w:rFonts w:ascii="宋体" w:hAnsi="宋体" w:eastAsia="宋体" w:cs="Times New Roman"/>
          <w:kern w:val="0"/>
          <w:szCs w:val="24"/>
        </w:rPr>
        <w:fldChar w:fldCharType="separate"/>
      </w:r>
      <w:r>
        <w:rPr>
          <w:rFonts w:hint="eastAsia" w:ascii="宋体" w:hAnsi="宋体" w:eastAsia="宋体" w:cs="Times New Roman"/>
          <w:kern w:val="0"/>
          <w:szCs w:val="24"/>
        </w:rPr>
        <w:t>(3)</w:t>
      </w:r>
      <w:r>
        <w:rPr>
          <w:rFonts w:ascii="宋体" w:hAnsi="宋体" w:eastAsia="宋体" w:cs="Times New Roman"/>
          <w:kern w:val="0"/>
          <w:szCs w:val="24"/>
        </w:rPr>
        <w:fldChar w:fldCharType="end"/>
      </w:r>
      <w:r>
        <w:rPr>
          <w:rFonts w:ascii="宋体" w:hAnsi="宋体" w:eastAsia="宋体" w:cs="Times New Roman"/>
          <w:kern w:val="0"/>
          <w:szCs w:val="24"/>
        </w:rPr>
        <w:t>核实场内搬迁项目情况，并报监理人交由发包人与有关部门处理</w:t>
      </w:r>
      <w:r>
        <w:rPr>
          <w:rFonts w:hint="eastAsia" w:ascii="宋体" w:hAnsi="宋体" w:eastAsia="宋体" w:cs="Times New Roman"/>
          <w:kern w:val="0"/>
          <w:szCs w:val="24"/>
        </w:rPr>
        <w:t>；</w:t>
      </w:r>
    </w:p>
    <w:p w14:paraId="7DBA27A0">
      <w:pPr>
        <w:tabs>
          <w:tab w:val="left" w:pos="1620"/>
          <w:tab w:val="left" w:pos="2340"/>
        </w:tabs>
        <w:ind w:left="869" w:leftChars="414"/>
        <w:jc w:val="left"/>
        <w:rPr>
          <w:rFonts w:hint="eastAsia" w:ascii="宋体" w:hAnsi="宋体" w:eastAsia="宋体" w:cs="Times New Roman"/>
          <w:kern w:val="0"/>
          <w:szCs w:val="24"/>
        </w:rPr>
      </w:pPr>
      <w:r>
        <w:rPr>
          <w:rFonts w:ascii="宋体" w:hAnsi="宋体" w:eastAsia="宋体" w:cs="Times New Roman"/>
          <w:kern w:val="0"/>
          <w:szCs w:val="24"/>
        </w:rPr>
        <w:fldChar w:fldCharType="begin"/>
      </w:r>
      <w:r>
        <w:rPr>
          <w:rFonts w:ascii="宋体" w:hAnsi="宋体" w:eastAsia="宋体" w:cs="Times New Roman"/>
          <w:kern w:val="0"/>
          <w:szCs w:val="24"/>
        </w:rPr>
        <w:instrText xml:space="preserve"> </w:instrText>
      </w:r>
      <w:r>
        <w:rPr>
          <w:rFonts w:hint="eastAsia" w:ascii="宋体" w:hAnsi="宋体" w:eastAsia="宋体" w:cs="Times New Roman"/>
          <w:kern w:val="0"/>
          <w:szCs w:val="24"/>
        </w:rPr>
        <w:instrText xml:space="preserve">= 4 \* GB2</w:instrText>
      </w:r>
      <w:r>
        <w:rPr>
          <w:rFonts w:ascii="宋体" w:hAnsi="宋体" w:eastAsia="宋体" w:cs="Times New Roman"/>
          <w:kern w:val="0"/>
          <w:szCs w:val="24"/>
        </w:rPr>
        <w:instrText xml:space="preserve"> </w:instrText>
      </w:r>
      <w:r>
        <w:rPr>
          <w:rFonts w:ascii="宋体" w:hAnsi="宋体" w:eastAsia="宋体" w:cs="Times New Roman"/>
          <w:kern w:val="0"/>
          <w:szCs w:val="24"/>
        </w:rPr>
        <w:fldChar w:fldCharType="separate"/>
      </w:r>
      <w:r>
        <w:rPr>
          <w:rFonts w:hint="eastAsia" w:ascii="宋体" w:hAnsi="宋体" w:eastAsia="宋体" w:cs="Times New Roman"/>
          <w:kern w:val="0"/>
          <w:szCs w:val="24"/>
        </w:rPr>
        <w:t>(4)</w:t>
      </w:r>
      <w:r>
        <w:rPr>
          <w:rFonts w:ascii="宋体" w:hAnsi="宋体" w:eastAsia="宋体" w:cs="Times New Roman"/>
          <w:kern w:val="0"/>
          <w:szCs w:val="24"/>
        </w:rPr>
        <w:fldChar w:fldCharType="end"/>
      </w:r>
      <w:r>
        <w:rPr>
          <w:rFonts w:ascii="宋体" w:hAnsi="宋体" w:eastAsia="宋体" w:cs="Times New Roman"/>
          <w:kern w:val="0"/>
          <w:szCs w:val="24"/>
        </w:rPr>
        <w:t>架设供电线路，接通施工用水管路，确定材料、设备等运输线路</w:t>
      </w:r>
      <w:r>
        <w:rPr>
          <w:rFonts w:hint="eastAsia" w:ascii="宋体" w:hAnsi="宋体" w:eastAsia="宋体" w:cs="Times New Roman"/>
          <w:kern w:val="0"/>
          <w:szCs w:val="24"/>
        </w:rPr>
        <w:t>；</w:t>
      </w:r>
    </w:p>
    <w:p w14:paraId="424E0D68">
      <w:pPr>
        <w:tabs>
          <w:tab w:val="left" w:pos="1620"/>
          <w:tab w:val="left" w:pos="2340"/>
        </w:tabs>
        <w:ind w:left="869" w:leftChars="414"/>
        <w:jc w:val="left"/>
        <w:rPr>
          <w:rFonts w:ascii="宋体" w:hAnsi="宋体" w:eastAsia="宋体" w:cs="Times New Roman"/>
          <w:kern w:val="0"/>
          <w:szCs w:val="24"/>
        </w:rPr>
      </w:pPr>
      <w:r>
        <w:rPr>
          <w:rFonts w:ascii="宋体" w:hAnsi="宋体" w:eastAsia="宋体" w:cs="Times New Roman"/>
          <w:kern w:val="0"/>
          <w:szCs w:val="24"/>
        </w:rPr>
        <w:fldChar w:fldCharType="begin"/>
      </w:r>
      <w:r>
        <w:rPr>
          <w:rFonts w:ascii="宋体" w:hAnsi="宋体" w:eastAsia="宋体" w:cs="Times New Roman"/>
          <w:kern w:val="0"/>
          <w:szCs w:val="24"/>
        </w:rPr>
        <w:instrText xml:space="preserve"> </w:instrText>
      </w:r>
      <w:r>
        <w:rPr>
          <w:rFonts w:hint="eastAsia" w:ascii="宋体" w:hAnsi="宋体" w:eastAsia="宋体" w:cs="Times New Roman"/>
          <w:kern w:val="0"/>
          <w:szCs w:val="24"/>
        </w:rPr>
        <w:instrText xml:space="preserve">= 5 \* GB2</w:instrText>
      </w:r>
      <w:r>
        <w:rPr>
          <w:rFonts w:ascii="宋体" w:hAnsi="宋体" w:eastAsia="宋体" w:cs="Times New Roman"/>
          <w:kern w:val="0"/>
          <w:szCs w:val="24"/>
        </w:rPr>
        <w:instrText xml:space="preserve"> </w:instrText>
      </w:r>
      <w:r>
        <w:rPr>
          <w:rFonts w:ascii="宋体" w:hAnsi="宋体" w:eastAsia="宋体" w:cs="Times New Roman"/>
          <w:kern w:val="0"/>
          <w:szCs w:val="24"/>
        </w:rPr>
        <w:fldChar w:fldCharType="separate"/>
      </w:r>
      <w:r>
        <w:rPr>
          <w:rFonts w:hint="eastAsia" w:ascii="宋体" w:hAnsi="宋体" w:eastAsia="宋体" w:cs="Times New Roman"/>
          <w:kern w:val="0"/>
          <w:szCs w:val="24"/>
        </w:rPr>
        <w:t>(5)</w:t>
      </w:r>
      <w:r>
        <w:rPr>
          <w:rFonts w:ascii="宋体" w:hAnsi="宋体" w:eastAsia="宋体" w:cs="Times New Roman"/>
          <w:kern w:val="0"/>
          <w:szCs w:val="24"/>
        </w:rPr>
        <w:fldChar w:fldCharType="end"/>
      </w:r>
      <w:r>
        <w:rPr>
          <w:rFonts w:hint="eastAsia" w:ascii="宋体" w:hAnsi="宋体" w:eastAsia="宋体" w:cs="Times New Roman"/>
          <w:kern w:val="0"/>
          <w:szCs w:val="24"/>
        </w:rPr>
        <w:t>做好场区的临时排水、</w:t>
      </w:r>
      <w:r>
        <w:rPr>
          <w:rFonts w:ascii="宋体" w:hAnsi="宋体" w:eastAsia="宋体" w:cs="Times New Roman"/>
          <w:kern w:val="0"/>
          <w:szCs w:val="24"/>
        </w:rPr>
        <w:t>泄水口</w:t>
      </w:r>
      <w:r>
        <w:rPr>
          <w:rFonts w:hint="eastAsia" w:ascii="宋体" w:hAnsi="宋体" w:eastAsia="宋体" w:cs="Times New Roman"/>
          <w:kern w:val="0"/>
          <w:szCs w:val="24"/>
        </w:rPr>
        <w:t>、车辆、车轮冲洗沟槽设施及场地、道路硬化及其他全部临时工程；</w:t>
      </w:r>
    </w:p>
    <w:p w14:paraId="008216CC">
      <w:pPr>
        <w:tabs>
          <w:tab w:val="left" w:pos="1620"/>
          <w:tab w:val="left" w:pos="2340"/>
        </w:tabs>
        <w:ind w:left="869" w:leftChars="414"/>
        <w:jc w:val="left"/>
        <w:rPr>
          <w:rFonts w:hint="eastAsia" w:ascii="宋体" w:hAnsi="宋体" w:eastAsia="宋体" w:cs="Times New Roman"/>
          <w:kern w:val="0"/>
          <w:szCs w:val="24"/>
        </w:rPr>
      </w:pPr>
      <w:r>
        <w:rPr>
          <w:rFonts w:ascii="宋体" w:hAnsi="宋体" w:eastAsia="宋体" w:cs="Times New Roman"/>
          <w:kern w:val="0"/>
          <w:szCs w:val="24"/>
        </w:rPr>
        <w:fldChar w:fldCharType="begin"/>
      </w:r>
      <w:r>
        <w:rPr>
          <w:rFonts w:ascii="宋体" w:hAnsi="宋体" w:eastAsia="宋体" w:cs="Times New Roman"/>
          <w:kern w:val="0"/>
          <w:szCs w:val="24"/>
        </w:rPr>
        <w:instrText xml:space="preserve"> </w:instrText>
      </w:r>
      <w:r>
        <w:rPr>
          <w:rFonts w:hint="eastAsia" w:ascii="宋体" w:hAnsi="宋体" w:eastAsia="宋体" w:cs="Times New Roman"/>
          <w:kern w:val="0"/>
          <w:szCs w:val="24"/>
        </w:rPr>
        <w:instrText xml:space="preserve">= 6 \* GB2</w:instrText>
      </w:r>
      <w:r>
        <w:rPr>
          <w:rFonts w:ascii="宋体" w:hAnsi="宋体" w:eastAsia="宋体" w:cs="Times New Roman"/>
          <w:kern w:val="0"/>
          <w:szCs w:val="24"/>
        </w:rPr>
        <w:instrText xml:space="preserve"> </w:instrText>
      </w:r>
      <w:r>
        <w:rPr>
          <w:rFonts w:ascii="宋体" w:hAnsi="宋体" w:eastAsia="宋体" w:cs="Times New Roman"/>
          <w:kern w:val="0"/>
          <w:szCs w:val="24"/>
        </w:rPr>
        <w:fldChar w:fldCharType="separate"/>
      </w:r>
      <w:r>
        <w:rPr>
          <w:rFonts w:hint="eastAsia" w:ascii="宋体" w:hAnsi="宋体" w:eastAsia="宋体" w:cs="Times New Roman"/>
          <w:kern w:val="0"/>
          <w:szCs w:val="24"/>
        </w:rPr>
        <w:t>(6)</w:t>
      </w:r>
      <w:r>
        <w:rPr>
          <w:rFonts w:ascii="宋体" w:hAnsi="宋体" w:eastAsia="宋体" w:cs="Times New Roman"/>
          <w:kern w:val="0"/>
          <w:szCs w:val="24"/>
        </w:rPr>
        <w:fldChar w:fldCharType="end"/>
      </w:r>
      <w:r>
        <w:rPr>
          <w:rFonts w:ascii="宋体" w:hAnsi="宋体" w:eastAsia="宋体" w:cs="Times New Roman"/>
          <w:kern w:val="0"/>
          <w:szCs w:val="24"/>
        </w:rPr>
        <w:t>组织施工机械设备和材料进场</w:t>
      </w:r>
      <w:r>
        <w:rPr>
          <w:rFonts w:hint="eastAsia" w:ascii="宋体" w:hAnsi="宋体" w:eastAsia="宋体" w:cs="Times New Roman"/>
          <w:kern w:val="0"/>
          <w:szCs w:val="24"/>
        </w:rPr>
        <w:t>；</w:t>
      </w:r>
    </w:p>
    <w:p w14:paraId="1AAFAAC2">
      <w:pPr>
        <w:tabs>
          <w:tab w:val="left" w:pos="1620"/>
          <w:tab w:val="left" w:pos="2340"/>
        </w:tabs>
        <w:ind w:left="869" w:leftChars="414"/>
        <w:jc w:val="left"/>
        <w:rPr>
          <w:rFonts w:hint="eastAsia" w:ascii="宋体" w:hAnsi="宋体" w:eastAsia="宋体" w:cs="Times New Roman"/>
          <w:kern w:val="0"/>
          <w:szCs w:val="24"/>
        </w:rPr>
      </w:pPr>
      <w:r>
        <w:rPr>
          <w:rFonts w:ascii="宋体" w:hAnsi="宋体" w:eastAsia="宋体" w:cs="Times New Roman"/>
          <w:kern w:val="0"/>
          <w:szCs w:val="24"/>
        </w:rPr>
        <w:fldChar w:fldCharType="begin"/>
      </w:r>
      <w:r>
        <w:rPr>
          <w:rFonts w:ascii="宋体" w:hAnsi="宋体" w:eastAsia="宋体" w:cs="Times New Roman"/>
          <w:kern w:val="0"/>
          <w:szCs w:val="24"/>
        </w:rPr>
        <w:instrText xml:space="preserve"> </w:instrText>
      </w:r>
      <w:r>
        <w:rPr>
          <w:rFonts w:hint="eastAsia" w:ascii="宋体" w:hAnsi="宋体" w:eastAsia="宋体" w:cs="Times New Roman"/>
          <w:kern w:val="0"/>
          <w:szCs w:val="24"/>
        </w:rPr>
        <w:instrText xml:space="preserve">= 7 \* GB2</w:instrText>
      </w:r>
      <w:r>
        <w:rPr>
          <w:rFonts w:ascii="宋体" w:hAnsi="宋体" w:eastAsia="宋体" w:cs="Times New Roman"/>
          <w:kern w:val="0"/>
          <w:szCs w:val="24"/>
        </w:rPr>
        <w:instrText xml:space="preserve"> </w:instrText>
      </w:r>
      <w:r>
        <w:rPr>
          <w:rFonts w:ascii="宋体" w:hAnsi="宋体" w:eastAsia="宋体" w:cs="Times New Roman"/>
          <w:kern w:val="0"/>
          <w:szCs w:val="24"/>
        </w:rPr>
        <w:fldChar w:fldCharType="separate"/>
      </w:r>
      <w:r>
        <w:rPr>
          <w:rFonts w:hint="eastAsia" w:ascii="宋体" w:hAnsi="宋体" w:eastAsia="宋体" w:cs="Times New Roman"/>
          <w:kern w:val="0"/>
          <w:szCs w:val="24"/>
        </w:rPr>
        <w:t>(7)</w:t>
      </w:r>
      <w:r>
        <w:rPr>
          <w:rFonts w:ascii="宋体" w:hAnsi="宋体" w:eastAsia="宋体" w:cs="Times New Roman"/>
          <w:kern w:val="0"/>
          <w:szCs w:val="24"/>
        </w:rPr>
        <w:fldChar w:fldCharType="end"/>
      </w:r>
      <w:r>
        <w:rPr>
          <w:rFonts w:ascii="宋体" w:hAnsi="宋体" w:eastAsia="宋体" w:cs="Times New Roman"/>
          <w:kern w:val="0"/>
          <w:szCs w:val="24"/>
        </w:rPr>
        <w:t>落实季节性施工措施</w:t>
      </w:r>
      <w:r>
        <w:rPr>
          <w:rFonts w:hint="eastAsia" w:ascii="宋体" w:hAnsi="宋体" w:eastAsia="宋体" w:cs="Times New Roman"/>
          <w:kern w:val="0"/>
          <w:szCs w:val="24"/>
        </w:rPr>
        <w:t>；</w:t>
      </w:r>
    </w:p>
    <w:p w14:paraId="269E8040">
      <w:pPr>
        <w:tabs>
          <w:tab w:val="left" w:pos="1620"/>
          <w:tab w:val="left" w:pos="2340"/>
        </w:tabs>
        <w:ind w:left="869" w:leftChars="414"/>
        <w:jc w:val="left"/>
        <w:rPr>
          <w:rFonts w:hint="eastAsia" w:ascii="宋体" w:hAnsi="宋体" w:eastAsia="宋体" w:cs="Times New Roman"/>
          <w:kern w:val="0"/>
          <w:szCs w:val="24"/>
        </w:rPr>
      </w:pPr>
      <w:r>
        <w:rPr>
          <w:rFonts w:ascii="宋体" w:hAnsi="宋体" w:eastAsia="宋体" w:cs="Times New Roman"/>
          <w:kern w:val="0"/>
          <w:szCs w:val="24"/>
        </w:rPr>
        <w:fldChar w:fldCharType="begin"/>
      </w:r>
      <w:r>
        <w:rPr>
          <w:rFonts w:ascii="宋体" w:hAnsi="宋体" w:eastAsia="宋体" w:cs="Times New Roman"/>
          <w:kern w:val="0"/>
          <w:szCs w:val="24"/>
        </w:rPr>
        <w:instrText xml:space="preserve"> </w:instrText>
      </w:r>
      <w:r>
        <w:rPr>
          <w:rFonts w:hint="eastAsia" w:ascii="宋体" w:hAnsi="宋体" w:eastAsia="宋体" w:cs="Times New Roman"/>
          <w:kern w:val="0"/>
          <w:szCs w:val="24"/>
        </w:rPr>
        <w:instrText xml:space="preserve">= 8 \* GB2</w:instrText>
      </w:r>
      <w:r>
        <w:rPr>
          <w:rFonts w:ascii="宋体" w:hAnsi="宋体" w:eastAsia="宋体" w:cs="Times New Roman"/>
          <w:kern w:val="0"/>
          <w:szCs w:val="24"/>
        </w:rPr>
        <w:instrText xml:space="preserve"> </w:instrText>
      </w:r>
      <w:r>
        <w:rPr>
          <w:rFonts w:ascii="宋体" w:hAnsi="宋体" w:eastAsia="宋体" w:cs="Times New Roman"/>
          <w:kern w:val="0"/>
          <w:szCs w:val="24"/>
        </w:rPr>
        <w:fldChar w:fldCharType="separate"/>
      </w:r>
      <w:r>
        <w:rPr>
          <w:rFonts w:hint="eastAsia" w:ascii="宋体" w:hAnsi="宋体" w:eastAsia="宋体" w:cs="Times New Roman"/>
          <w:kern w:val="0"/>
          <w:szCs w:val="24"/>
        </w:rPr>
        <w:t>(8)</w:t>
      </w:r>
      <w:r>
        <w:rPr>
          <w:rFonts w:ascii="宋体" w:hAnsi="宋体" w:eastAsia="宋体" w:cs="Times New Roman"/>
          <w:kern w:val="0"/>
          <w:szCs w:val="24"/>
        </w:rPr>
        <w:fldChar w:fldCharType="end"/>
      </w:r>
      <w:r>
        <w:rPr>
          <w:rFonts w:ascii="宋体" w:hAnsi="宋体" w:eastAsia="宋体" w:cs="Times New Roman"/>
          <w:kern w:val="0"/>
          <w:szCs w:val="24"/>
        </w:rPr>
        <w:t>向</w:t>
      </w:r>
      <w:r>
        <w:rPr>
          <w:rFonts w:hint="eastAsia" w:ascii="宋体" w:hAnsi="宋体" w:eastAsia="宋体" w:cs="Times New Roman"/>
          <w:kern w:val="0"/>
          <w:szCs w:val="24"/>
        </w:rPr>
        <w:t>监理人</w:t>
      </w:r>
      <w:r>
        <w:rPr>
          <w:rFonts w:ascii="宋体" w:hAnsi="宋体" w:eastAsia="宋体" w:cs="Times New Roman"/>
          <w:kern w:val="0"/>
          <w:szCs w:val="24"/>
        </w:rPr>
        <w:t>提交安全生产</w:t>
      </w:r>
      <w:r>
        <w:rPr>
          <w:rFonts w:hint="eastAsia" w:ascii="宋体" w:hAnsi="宋体" w:eastAsia="宋体" w:cs="Times New Roman"/>
          <w:kern w:val="0"/>
          <w:szCs w:val="24"/>
        </w:rPr>
        <w:t>(含消防安全)</w:t>
      </w:r>
      <w:r>
        <w:rPr>
          <w:rFonts w:ascii="宋体" w:hAnsi="宋体" w:eastAsia="宋体" w:cs="Times New Roman"/>
          <w:kern w:val="0"/>
          <w:szCs w:val="24"/>
        </w:rPr>
        <w:t>计划；落实安全、</w:t>
      </w:r>
      <w:r>
        <w:rPr>
          <w:rFonts w:hint="eastAsia" w:ascii="宋体" w:hAnsi="宋体" w:eastAsia="宋体" w:cs="Times New Roman"/>
          <w:kern w:val="0"/>
          <w:szCs w:val="24"/>
        </w:rPr>
        <w:t>消防和保安措施，以及</w:t>
      </w:r>
      <w:r>
        <w:rPr>
          <w:rFonts w:ascii="宋体" w:hAnsi="宋体" w:eastAsia="宋体" w:cs="Times New Roman"/>
          <w:kern w:val="0"/>
          <w:szCs w:val="24"/>
        </w:rPr>
        <w:t>文明施工管理措施。</w:t>
      </w:r>
    </w:p>
    <w:p w14:paraId="3A477831">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512" w:name="_Toc28373"/>
      <w:bookmarkStart w:id="1513" w:name="_Toc32641"/>
      <w:bookmarkStart w:id="1514" w:name="_Toc18584"/>
      <w:bookmarkStart w:id="1515" w:name="_Toc7763"/>
      <w:bookmarkStart w:id="1516" w:name="_Toc302635764"/>
      <w:bookmarkStart w:id="1517" w:name="_Toc24955"/>
      <w:bookmarkStart w:id="1518" w:name="_Toc9534"/>
      <w:bookmarkStart w:id="1519" w:name="_Toc208587514"/>
      <w:bookmarkStart w:id="1520" w:name="_Toc305331290"/>
      <w:bookmarkStart w:id="1521" w:name="_Toc664"/>
      <w:bookmarkStart w:id="1522" w:name="_Toc12755"/>
      <w:bookmarkStart w:id="1523" w:name="_Toc201735307"/>
      <w:bookmarkStart w:id="1524" w:name="_Toc1471"/>
      <w:bookmarkStart w:id="1525" w:name="_Toc18232"/>
      <w:bookmarkStart w:id="1526" w:name="_Toc1984732901"/>
      <w:r>
        <w:rPr>
          <w:rFonts w:hint="eastAsia" w:ascii="宋体" w:hAnsi="宋体" w:eastAsia="宋体" w:cs="Times New Roman"/>
          <w:b/>
          <w:bCs/>
          <w:kern w:val="0"/>
          <w:sz w:val="24"/>
          <w:szCs w:val="24"/>
          <w:lang w:val="en-US" w:eastAsia="zh-CN" w:bidi="ar-SA"/>
        </w:rPr>
        <w:t>施工技术准备工作</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p>
    <w:p w14:paraId="2DCDA908">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本</w:t>
      </w:r>
      <w:r>
        <w:rPr>
          <w:rFonts w:ascii="宋体" w:hAnsi="宋体" w:eastAsia="宋体" w:cs="Times New Roman"/>
          <w:kern w:val="0"/>
          <w:szCs w:val="24"/>
        </w:rPr>
        <w:t>工程开工前，承包人应及时做好</w:t>
      </w:r>
      <w:r>
        <w:rPr>
          <w:rFonts w:hint="eastAsia" w:ascii="宋体" w:hAnsi="宋体" w:eastAsia="宋体" w:cs="Times New Roman"/>
          <w:kern w:val="0"/>
          <w:szCs w:val="24"/>
        </w:rPr>
        <w:t>如下</w:t>
      </w:r>
      <w:r>
        <w:rPr>
          <w:rFonts w:ascii="宋体" w:hAnsi="宋体" w:eastAsia="宋体" w:cs="Times New Roman"/>
          <w:kern w:val="0"/>
          <w:szCs w:val="24"/>
        </w:rPr>
        <w:t>施工</w:t>
      </w:r>
      <w:r>
        <w:rPr>
          <w:rFonts w:hint="eastAsia" w:ascii="宋体" w:hAnsi="宋体" w:eastAsia="宋体" w:cs="Times New Roman"/>
          <w:kern w:val="0"/>
          <w:szCs w:val="24"/>
        </w:rPr>
        <w:t>技术</w:t>
      </w:r>
      <w:r>
        <w:rPr>
          <w:rFonts w:ascii="宋体" w:hAnsi="宋体" w:eastAsia="宋体" w:cs="Times New Roman"/>
          <w:kern w:val="0"/>
          <w:szCs w:val="24"/>
        </w:rPr>
        <w:t>准备工作</w:t>
      </w:r>
      <w:r>
        <w:rPr>
          <w:rFonts w:hint="eastAsia" w:ascii="宋体" w:hAnsi="宋体" w:eastAsia="宋体" w:cs="Times New Roman"/>
          <w:kern w:val="0"/>
          <w:szCs w:val="24"/>
        </w:rPr>
        <w:t>(</w:t>
      </w:r>
      <w:r>
        <w:rPr>
          <w:rFonts w:ascii="宋体" w:hAnsi="宋体" w:eastAsia="宋体" w:cs="Times New Roman"/>
          <w:kern w:val="0"/>
          <w:szCs w:val="24"/>
        </w:rPr>
        <w:t>包括但不限于</w:t>
      </w:r>
      <w:r>
        <w:rPr>
          <w:rFonts w:hint="eastAsia" w:ascii="宋体" w:hAnsi="宋体" w:eastAsia="宋体" w:cs="Times New Roman"/>
          <w:kern w:val="0"/>
          <w:szCs w:val="24"/>
        </w:rPr>
        <w:t>)</w:t>
      </w:r>
      <w:r>
        <w:rPr>
          <w:rFonts w:ascii="宋体" w:hAnsi="宋体" w:eastAsia="宋体" w:cs="Times New Roman"/>
          <w:kern w:val="0"/>
          <w:szCs w:val="24"/>
        </w:rPr>
        <w:t>：</w:t>
      </w:r>
    </w:p>
    <w:p w14:paraId="12D9CBFB">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熟悉、审核设计图，参加监理人</w:t>
      </w:r>
      <w:r>
        <w:rPr>
          <w:rFonts w:hint="eastAsia" w:ascii="宋体" w:hAnsi="宋体" w:eastAsia="宋体" w:cs="Times New Roman"/>
          <w:kern w:val="0"/>
          <w:szCs w:val="24"/>
        </w:rPr>
        <w:t>组织的</w:t>
      </w:r>
      <w:r>
        <w:rPr>
          <w:rFonts w:ascii="宋体" w:hAnsi="宋体" w:eastAsia="宋体" w:cs="Times New Roman"/>
          <w:kern w:val="0"/>
          <w:szCs w:val="24"/>
        </w:rPr>
        <w:t>设计交底和图纸会审</w:t>
      </w:r>
      <w:r>
        <w:rPr>
          <w:rFonts w:hint="eastAsia" w:ascii="宋体" w:hAnsi="宋体" w:eastAsia="宋体" w:cs="Times New Roman"/>
          <w:kern w:val="0"/>
          <w:szCs w:val="24"/>
        </w:rPr>
        <w:t>；</w:t>
      </w:r>
    </w:p>
    <w:p w14:paraId="3D43D3AB">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(2)参与</w:t>
      </w:r>
      <w:r>
        <w:rPr>
          <w:rFonts w:ascii="宋体" w:hAnsi="宋体" w:eastAsia="宋体" w:cs="Times New Roman"/>
          <w:kern w:val="0"/>
          <w:szCs w:val="24"/>
        </w:rPr>
        <w:t>监理人</w:t>
      </w:r>
      <w:r>
        <w:rPr>
          <w:rFonts w:hint="eastAsia" w:ascii="宋体" w:hAnsi="宋体" w:eastAsia="宋体" w:cs="Times New Roman"/>
          <w:kern w:val="0"/>
          <w:szCs w:val="24"/>
        </w:rPr>
        <w:t>组织的</w:t>
      </w:r>
      <w:r>
        <w:rPr>
          <w:rFonts w:ascii="宋体" w:hAnsi="宋体" w:eastAsia="宋体" w:cs="Times New Roman"/>
          <w:kern w:val="0"/>
          <w:szCs w:val="24"/>
        </w:rPr>
        <w:t>测量交桩</w:t>
      </w:r>
      <w:r>
        <w:rPr>
          <w:rFonts w:hint="eastAsia" w:ascii="宋体" w:hAnsi="宋体" w:eastAsia="宋体" w:cs="Times New Roman"/>
          <w:kern w:val="0"/>
          <w:szCs w:val="24"/>
        </w:rPr>
        <w:t>，</w:t>
      </w:r>
      <w:r>
        <w:rPr>
          <w:rFonts w:ascii="宋体" w:hAnsi="宋体" w:eastAsia="宋体" w:cs="Times New Roman"/>
          <w:kern w:val="0"/>
          <w:szCs w:val="24"/>
        </w:rPr>
        <w:t>复测控制桩和水准点，并制定测量方案和监控量测方案</w:t>
      </w:r>
      <w:r>
        <w:rPr>
          <w:rFonts w:hint="eastAsia" w:ascii="宋体" w:hAnsi="宋体" w:eastAsia="宋体" w:cs="Times New Roman"/>
          <w:kern w:val="0"/>
          <w:szCs w:val="24"/>
        </w:rPr>
        <w:t>；</w:t>
      </w:r>
    </w:p>
    <w:p w14:paraId="6819446F">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按监理人要求，优化施工组织设计</w:t>
      </w:r>
      <w:r>
        <w:rPr>
          <w:rFonts w:hint="eastAsia" w:ascii="宋体" w:hAnsi="宋体" w:eastAsia="宋体" w:cs="Times New Roman"/>
          <w:kern w:val="0"/>
          <w:szCs w:val="24"/>
        </w:rPr>
        <w:t>；</w:t>
      </w:r>
    </w:p>
    <w:p w14:paraId="224632F0">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(4)</w:t>
      </w:r>
      <w:r>
        <w:rPr>
          <w:rFonts w:ascii="宋体" w:hAnsi="宋体" w:eastAsia="宋体" w:cs="Times New Roman"/>
          <w:kern w:val="0"/>
          <w:szCs w:val="24"/>
        </w:rPr>
        <w:t>做好技术交底和培训，安排好检验试验工作</w:t>
      </w:r>
      <w:r>
        <w:rPr>
          <w:rFonts w:hint="eastAsia" w:ascii="宋体" w:hAnsi="宋体" w:eastAsia="宋体" w:cs="Times New Roman"/>
          <w:kern w:val="0"/>
          <w:szCs w:val="24"/>
        </w:rPr>
        <w:t>。</w:t>
      </w:r>
    </w:p>
    <w:p w14:paraId="6AC885E1">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1527" w:name="_Toc8003"/>
      <w:bookmarkStart w:id="1528" w:name="_Toc19897"/>
      <w:bookmarkStart w:id="1529" w:name="_Toc979346946"/>
      <w:bookmarkStart w:id="1530" w:name="_Toc34909012"/>
      <w:bookmarkStart w:id="1531" w:name="_Toc302635766"/>
      <w:bookmarkStart w:id="1532" w:name="_Toc11330"/>
      <w:bookmarkStart w:id="1533" w:name="_Toc15996"/>
      <w:bookmarkStart w:id="1534" w:name="_Toc11092"/>
      <w:bookmarkStart w:id="1535" w:name="_Toc35656477"/>
      <w:bookmarkStart w:id="1536" w:name="_Toc201735312"/>
      <w:bookmarkStart w:id="1537" w:name="_Toc30048"/>
      <w:bookmarkStart w:id="1538" w:name="_Toc305331292"/>
      <w:bookmarkStart w:id="1539" w:name="_Toc208587519"/>
      <w:bookmarkStart w:id="1540" w:name="_Toc32024"/>
      <w:bookmarkStart w:id="1541" w:name="_Toc35656979"/>
      <w:bookmarkStart w:id="1542" w:name="_Toc26391"/>
      <w:bookmarkStart w:id="1543" w:name="_Toc14913"/>
      <w:r>
        <w:rPr>
          <w:rFonts w:hint="eastAsia" w:ascii="华文细黑" w:hAnsi="宋体" w:eastAsia="宋体" w:cs="Times New Roman"/>
          <w:b/>
          <w:bCs/>
          <w:snapToGrid w:val="0"/>
          <w:kern w:val="0"/>
          <w:sz w:val="28"/>
          <w:szCs w:val="44"/>
          <w:lang w:val="en-US" w:eastAsia="zh-CN" w:bidi="ar-SA"/>
        </w:rPr>
        <w:t>开工及延期</w:t>
      </w:r>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14:paraId="189E2E8C">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544" w:name="_Toc208587520"/>
      <w:bookmarkStart w:id="1545" w:name="_Toc12145"/>
      <w:bookmarkStart w:id="1546" w:name="_Toc715688144"/>
      <w:bookmarkStart w:id="1547" w:name="_Toc32389"/>
      <w:bookmarkStart w:id="1548" w:name="_Toc26514"/>
      <w:bookmarkStart w:id="1549" w:name="_Toc8313"/>
      <w:bookmarkStart w:id="1550" w:name="_Toc18362"/>
      <w:bookmarkStart w:id="1551" w:name="_Toc305331293"/>
      <w:bookmarkStart w:id="1552" w:name="_Toc19292"/>
      <w:bookmarkStart w:id="1553" w:name="_Toc6150"/>
      <w:bookmarkStart w:id="1554" w:name="_Toc23062"/>
      <w:bookmarkStart w:id="1555" w:name="_Toc8557"/>
      <w:bookmarkStart w:id="1556" w:name="_Toc12842"/>
      <w:bookmarkStart w:id="1557" w:name="_Toc201735313"/>
      <w:bookmarkStart w:id="1558" w:name="_Toc302635767"/>
      <w:r>
        <w:rPr>
          <w:rFonts w:hint="eastAsia" w:ascii="宋体" w:hAnsi="宋体" w:eastAsia="宋体" w:cs="Times New Roman"/>
          <w:b/>
          <w:bCs/>
          <w:kern w:val="0"/>
          <w:sz w:val="24"/>
          <w:szCs w:val="24"/>
          <w:lang w:val="en-US" w:eastAsia="zh-CN" w:bidi="ar-SA"/>
        </w:rPr>
        <w:t>开工</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14:paraId="6C375EC2">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监理人</w:t>
      </w:r>
      <w:r>
        <w:rPr>
          <w:rFonts w:hint="eastAsia" w:ascii="宋体" w:hAnsi="宋体" w:eastAsia="宋体" w:cs="Times New Roman"/>
          <w:kern w:val="0"/>
          <w:szCs w:val="24"/>
        </w:rPr>
        <w:t>至迟应在计划开工日期前7天向承包人发出开工通知书，承包人应按计划开工日期开始本工程或按专用条款13.1款约定的单位工程计划开工日期开始本工程中某单位工程的施工。</w:t>
      </w:r>
    </w:p>
    <w:p w14:paraId="4D90CFA0">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559" w:name="_Toc29096"/>
      <w:bookmarkStart w:id="1560" w:name="_Toc21636"/>
      <w:bookmarkStart w:id="1561" w:name="_Toc13531"/>
      <w:bookmarkStart w:id="1562" w:name="_Toc16177"/>
      <w:bookmarkStart w:id="1563" w:name="_Toc1978"/>
      <w:bookmarkStart w:id="1564" w:name="_Toc32011"/>
      <w:bookmarkStart w:id="1565" w:name="_Toc25489"/>
      <w:bookmarkStart w:id="1566" w:name="_Toc302635768"/>
      <w:bookmarkStart w:id="1567" w:name="_Toc305331294"/>
      <w:bookmarkStart w:id="1568" w:name="_Toc9868"/>
      <w:bookmarkStart w:id="1569" w:name="_Toc28261"/>
      <w:bookmarkStart w:id="1570" w:name="_Toc2108707116"/>
      <w:bookmarkStart w:id="1571" w:name="_Toc208587521"/>
      <w:bookmarkStart w:id="1572" w:name="_Toc201735314"/>
      <w:bookmarkStart w:id="1573" w:name="_Toc22012"/>
      <w:bookmarkStart w:id="1574" w:name="_Toc34909014"/>
      <w:r>
        <w:rPr>
          <w:rFonts w:hint="eastAsia" w:ascii="宋体" w:hAnsi="宋体" w:eastAsia="宋体" w:cs="Times New Roman"/>
          <w:b/>
          <w:bCs/>
          <w:kern w:val="0"/>
          <w:sz w:val="24"/>
          <w:szCs w:val="24"/>
          <w:lang w:val="en-US" w:eastAsia="zh-CN" w:bidi="ar-SA"/>
        </w:rPr>
        <w:t>开工延期</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14:paraId="3F5F1563">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(1)承包人因自身的原因不能按计划开工日期开工，以开工通知书载明的时间为实际开工日期，承包人应承担由此延误的工期及增加的费用。</w:t>
      </w:r>
      <w:bookmarkEnd w:id="1574"/>
    </w:p>
    <w:p w14:paraId="06FF0377">
      <w:pPr>
        <w:tabs>
          <w:tab w:val="left" w:pos="1620"/>
          <w:tab w:val="left" w:pos="2340"/>
        </w:tabs>
        <w:spacing w:after="156"/>
        <w:ind w:left="899"/>
        <w:jc w:val="left"/>
        <w:rPr>
          <w:rFonts w:hint="eastAsia" w:ascii="宋体" w:hAnsi="宋体" w:eastAsia="宋体" w:cs="Times New Roman"/>
          <w:kern w:val="0"/>
          <w:szCs w:val="24"/>
        </w:rPr>
      </w:pPr>
      <w:bookmarkStart w:id="1575" w:name="_Toc34909015"/>
      <w:r>
        <w:rPr>
          <w:rFonts w:hint="eastAsia" w:ascii="宋体" w:hAnsi="宋体" w:eastAsia="宋体" w:cs="Times New Roman"/>
          <w:kern w:val="0"/>
          <w:szCs w:val="24"/>
        </w:rPr>
        <w:t>(2)因发包人的原因造成承包人不能在计划开工日期开工，</w:t>
      </w:r>
      <w:r>
        <w:rPr>
          <w:rFonts w:ascii="宋体" w:hAnsi="宋体" w:eastAsia="宋体" w:cs="Times New Roman"/>
          <w:kern w:val="0"/>
          <w:szCs w:val="24"/>
        </w:rPr>
        <w:t>监理人</w:t>
      </w:r>
      <w:r>
        <w:rPr>
          <w:rFonts w:hint="eastAsia" w:ascii="宋体" w:hAnsi="宋体" w:eastAsia="宋体" w:cs="Times New Roman"/>
          <w:kern w:val="0"/>
          <w:szCs w:val="24"/>
        </w:rPr>
        <w:t>应在不少于计划开工日期前7天，以书面形式通知承包人，延期开工并相应顺延工期。因发包人的原因延期开工导致费用增加的，由发包人承担由此增加的费用，且发包人应支付承包人合理的利润。</w:t>
      </w:r>
      <w:bookmarkEnd w:id="1575"/>
    </w:p>
    <w:p w14:paraId="42127382">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(3)按照本款第(2)项情形确定延期开工后，</w:t>
      </w:r>
      <w:r>
        <w:rPr>
          <w:rFonts w:ascii="宋体" w:hAnsi="宋体" w:eastAsia="宋体" w:cs="Times New Roman"/>
          <w:kern w:val="0"/>
          <w:szCs w:val="24"/>
        </w:rPr>
        <w:t>监理人</w:t>
      </w:r>
      <w:r>
        <w:rPr>
          <w:rFonts w:hint="eastAsia" w:ascii="宋体" w:hAnsi="宋体" w:eastAsia="宋体" w:cs="Times New Roman"/>
          <w:kern w:val="0"/>
          <w:szCs w:val="24"/>
        </w:rPr>
        <w:t>应在具备开工条件后至少提前7天向承包人发出开工通知书。</w:t>
      </w:r>
    </w:p>
    <w:p w14:paraId="5B99E9E9">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(4)除</w:t>
      </w:r>
      <w:r>
        <w:rPr>
          <w:rFonts w:hint="eastAsia" w:ascii="宋体" w:hAnsi="宋体" w:eastAsia="宋体" w:cs="Times New Roman"/>
          <w:b/>
          <w:i/>
          <w:kern w:val="0"/>
          <w:szCs w:val="24"/>
        </w:rPr>
        <w:t>专用条款</w:t>
      </w:r>
      <w:r>
        <w:rPr>
          <w:rFonts w:hint="eastAsia" w:ascii="宋体" w:hAnsi="宋体" w:eastAsia="宋体" w:cs="Times New Roman"/>
          <w:kern w:val="0"/>
          <w:szCs w:val="24"/>
        </w:rPr>
        <w:t>另有约定外，因发包人原因造成监理人未能在计划开工日期之日起90天内发出开工通知的，承包人有权解除合同。</w:t>
      </w:r>
    </w:p>
    <w:p w14:paraId="62AA2879">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1576" w:name="_Toc35656478"/>
      <w:bookmarkStart w:id="1577" w:name="_Toc35656980"/>
      <w:bookmarkStart w:id="1578" w:name="_Toc34909016"/>
      <w:bookmarkStart w:id="1579" w:name="_Toc467"/>
      <w:bookmarkStart w:id="1580" w:name="_Toc9073"/>
      <w:bookmarkStart w:id="1581" w:name="_Toc22920"/>
      <w:bookmarkStart w:id="1582" w:name="_Toc1602414092"/>
      <w:bookmarkStart w:id="1583" w:name="_Toc16002"/>
      <w:bookmarkStart w:id="1584" w:name="_Toc32048"/>
      <w:bookmarkStart w:id="1585" w:name="_Toc305331295"/>
      <w:bookmarkStart w:id="1586" w:name="_Toc10600"/>
      <w:bookmarkStart w:id="1587" w:name="_Toc28258"/>
      <w:bookmarkStart w:id="1588" w:name="_Toc201735315"/>
      <w:bookmarkStart w:id="1589" w:name="_Toc6376"/>
      <w:bookmarkStart w:id="1590" w:name="_Toc302635769"/>
      <w:bookmarkStart w:id="1591" w:name="_Toc25713"/>
      <w:bookmarkStart w:id="1592" w:name="_Toc24383"/>
      <w:bookmarkStart w:id="1593" w:name="_Toc208587522"/>
      <w:r>
        <w:rPr>
          <w:rFonts w:hint="eastAsia" w:ascii="华文细黑" w:hAnsi="宋体" w:eastAsia="宋体" w:cs="Times New Roman"/>
          <w:b/>
          <w:bCs/>
          <w:snapToGrid w:val="0"/>
          <w:kern w:val="0"/>
          <w:sz w:val="28"/>
          <w:szCs w:val="44"/>
          <w:lang w:val="en-US" w:eastAsia="zh-CN" w:bidi="ar-SA"/>
        </w:rPr>
        <w:t>暂停施工和</w:t>
      </w:r>
      <w:bookmarkEnd w:id="1576"/>
      <w:bookmarkEnd w:id="1577"/>
      <w:bookmarkEnd w:id="1578"/>
      <w:r>
        <w:rPr>
          <w:rFonts w:hint="eastAsia" w:ascii="华文细黑" w:hAnsi="宋体" w:eastAsia="宋体" w:cs="Times New Roman"/>
          <w:b/>
          <w:bCs/>
          <w:snapToGrid w:val="0"/>
          <w:kern w:val="0"/>
          <w:sz w:val="28"/>
          <w:szCs w:val="44"/>
          <w:lang w:val="en-US" w:eastAsia="zh-CN" w:bidi="ar-SA"/>
        </w:rPr>
        <w:t>恢复施工</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14:paraId="62BE0C9A">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594" w:name="_Toc201735316"/>
      <w:bookmarkStart w:id="1595" w:name="_Toc20580"/>
      <w:bookmarkStart w:id="1596" w:name="_Toc30824"/>
      <w:bookmarkStart w:id="1597" w:name="_Toc14528"/>
      <w:bookmarkStart w:id="1598" w:name="_Toc24549"/>
      <w:bookmarkStart w:id="1599" w:name="_Toc20158"/>
      <w:bookmarkStart w:id="1600" w:name="_Toc25281"/>
      <w:bookmarkStart w:id="1601" w:name="_Toc208587523"/>
      <w:bookmarkStart w:id="1602" w:name="_Toc28523"/>
      <w:bookmarkStart w:id="1603" w:name="_Toc17756"/>
      <w:bookmarkStart w:id="1604" w:name="_Toc20794"/>
      <w:bookmarkStart w:id="1605" w:name="_Toc302635770"/>
      <w:bookmarkStart w:id="1606" w:name="_Toc761266943"/>
      <w:bookmarkStart w:id="1607" w:name="_Toc21393"/>
      <w:bookmarkStart w:id="1608" w:name="_Toc305331296"/>
      <w:bookmarkStart w:id="1609" w:name="_Toc34909017"/>
      <w:r>
        <w:rPr>
          <w:rFonts w:ascii="宋体" w:hAnsi="宋体" w:eastAsia="宋体" w:cs="Times New Roman"/>
          <w:b/>
          <w:bCs/>
          <w:kern w:val="0"/>
          <w:sz w:val="24"/>
          <w:szCs w:val="24"/>
          <w:lang w:val="en-US" w:eastAsia="zh-CN" w:bidi="ar-SA"/>
        </w:rPr>
        <w:t>发包人原因引起的暂停施工</w:t>
      </w:r>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p>
    <w:p w14:paraId="368218AA">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因发包人原因引起暂停施工的，监理人经发包人同意后，应及时下达暂停施工指示。情况紧急且监理人未及时下达暂停施工指示的，按照第</w:t>
      </w:r>
      <w:r>
        <w:rPr>
          <w:rFonts w:hint="eastAsia" w:ascii="宋体" w:hAnsi="宋体" w:eastAsia="宋体" w:cs="Times New Roman"/>
          <w:kern w:val="0"/>
          <w:szCs w:val="24"/>
        </w:rPr>
        <w:t>12</w:t>
      </w:r>
      <w:r>
        <w:rPr>
          <w:rFonts w:ascii="宋体" w:hAnsi="宋体" w:eastAsia="宋体" w:cs="Times New Roman"/>
          <w:kern w:val="0"/>
          <w:szCs w:val="24"/>
        </w:rPr>
        <w:t>.4</w:t>
      </w:r>
      <w:r>
        <w:rPr>
          <w:rFonts w:hint="eastAsia" w:ascii="宋体" w:hAnsi="宋体" w:eastAsia="宋体" w:cs="Times New Roman"/>
          <w:kern w:val="0"/>
          <w:szCs w:val="24"/>
        </w:rPr>
        <w:t>款【</w:t>
      </w:r>
      <w:r>
        <w:rPr>
          <w:rFonts w:ascii="宋体" w:hAnsi="宋体" w:eastAsia="宋体" w:cs="Times New Roman"/>
          <w:kern w:val="0"/>
          <w:szCs w:val="24"/>
        </w:rPr>
        <w:t>紧急情况下的暂停施工</w:t>
      </w:r>
      <w:r>
        <w:rPr>
          <w:rFonts w:hint="eastAsia" w:ascii="宋体" w:hAnsi="宋体" w:eastAsia="宋体" w:cs="Times New Roman"/>
          <w:kern w:val="0"/>
          <w:szCs w:val="24"/>
        </w:rPr>
        <w:t>】</w:t>
      </w:r>
      <w:r>
        <w:rPr>
          <w:rFonts w:ascii="宋体" w:hAnsi="宋体" w:eastAsia="宋体" w:cs="Times New Roman"/>
          <w:kern w:val="0"/>
          <w:szCs w:val="24"/>
        </w:rPr>
        <w:t>执行。</w:t>
      </w:r>
    </w:p>
    <w:p w14:paraId="568B577D">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因发包人原因引起的暂停施工，发包人应承担由此增加的费用和（或）延误的工期，并支付承包人合理的利润。</w:t>
      </w:r>
    </w:p>
    <w:p w14:paraId="61F3F6CD">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610" w:name="_Toc31081"/>
      <w:bookmarkStart w:id="1611" w:name="_Toc1811651117"/>
      <w:bookmarkStart w:id="1612" w:name="_Toc8789"/>
      <w:bookmarkStart w:id="1613" w:name="_Toc201735317"/>
      <w:bookmarkStart w:id="1614" w:name="_Toc208587524"/>
      <w:bookmarkStart w:id="1615" w:name="_Toc302635771"/>
      <w:bookmarkStart w:id="1616" w:name="_Toc20420"/>
      <w:bookmarkStart w:id="1617" w:name="_Toc21352"/>
      <w:bookmarkStart w:id="1618" w:name="_Toc8874"/>
      <w:bookmarkStart w:id="1619" w:name="_Toc1438"/>
      <w:bookmarkStart w:id="1620" w:name="_Toc26114"/>
      <w:bookmarkStart w:id="1621" w:name="_Toc27593"/>
      <w:bookmarkStart w:id="1622" w:name="_Toc27375"/>
      <w:bookmarkStart w:id="1623" w:name="_Toc10165"/>
      <w:r>
        <w:rPr>
          <w:rFonts w:ascii="宋体" w:hAnsi="宋体" w:eastAsia="宋体" w:cs="Times New Roman"/>
          <w:b/>
          <w:bCs/>
          <w:kern w:val="0"/>
          <w:sz w:val="24"/>
          <w:szCs w:val="24"/>
          <w:lang w:val="en-US" w:eastAsia="zh-CN" w:bidi="ar-SA"/>
        </w:rPr>
        <w:t>承包人原因引起的暂停施工</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p>
    <w:p w14:paraId="071C3984">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因承包人原因引起的暂停施工，承包人应承担由此增加的费用和（或）延误的工期，且承包人在收到监理人复工指示后</w:t>
      </w:r>
      <w:r>
        <w:rPr>
          <w:rFonts w:hint="eastAsia" w:ascii="宋体" w:hAnsi="宋体" w:eastAsia="宋体" w:cs="Times New Roman"/>
          <w:kern w:val="0"/>
          <w:szCs w:val="24"/>
        </w:rPr>
        <w:t>在</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约定的期限</w:t>
      </w:r>
      <w:r>
        <w:rPr>
          <w:rFonts w:ascii="宋体" w:hAnsi="宋体" w:eastAsia="宋体" w:cs="Times New Roman"/>
          <w:kern w:val="0"/>
          <w:szCs w:val="24"/>
        </w:rPr>
        <w:t>内仍未复工的，视为第</w:t>
      </w:r>
      <w:r>
        <w:rPr>
          <w:rFonts w:hint="eastAsia" w:ascii="宋体" w:hAnsi="宋体" w:eastAsia="宋体" w:cs="Times New Roman"/>
          <w:kern w:val="0"/>
          <w:szCs w:val="24"/>
        </w:rPr>
        <w:t>29.2款【</w:t>
      </w:r>
      <w:r>
        <w:rPr>
          <w:rFonts w:ascii="宋体" w:hAnsi="宋体" w:eastAsia="宋体" w:cs="Times New Roman"/>
          <w:kern w:val="0"/>
          <w:szCs w:val="24"/>
        </w:rPr>
        <w:t>承包人违约</w:t>
      </w:r>
      <w:r>
        <w:rPr>
          <w:rFonts w:hint="eastAsia" w:ascii="宋体" w:hAnsi="宋体" w:eastAsia="宋体" w:cs="Times New Roman"/>
          <w:kern w:val="0"/>
          <w:szCs w:val="24"/>
        </w:rPr>
        <w:t>】第(</w:t>
      </w:r>
      <w:r>
        <w:rPr>
          <w:rFonts w:ascii="宋体" w:hAnsi="宋体" w:eastAsia="宋体" w:cs="Times New Roman"/>
          <w:kern w:val="0"/>
          <w:szCs w:val="24"/>
        </w:rPr>
        <w:t>8</w:t>
      </w:r>
      <w:r>
        <w:rPr>
          <w:rFonts w:hint="eastAsia" w:ascii="宋体" w:hAnsi="宋体" w:eastAsia="宋体" w:cs="Times New Roman"/>
          <w:kern w:val="0"/>
          <w:szCs w:val="24"/>
        </w:rPr>
        <w:t>)</w:t>
      </w:r>
      <w:r>
        <w:rPr>
          <w:rFonts w:ascii="宋体" w:hAnsi="宋体" w:eastAsia="宋体" w:cs="Times New Roman"/>
          <w:kern w:val="0"/>
          <w:szCs w:val="24"/>
        </w:rPr>
        <w:t>项约定的承包人</w:t>
      </w:r>
      <w:r>
        <w:rPr>
          <w:rFonts w:ascii="宋体" w:hAnsi="宋体" w:eastAsia="宋体" w:cs="Times New Roman"/>
          <w:bCs/>
          <w:szCs w:val="24"/>
        </w:rPr>
        <w:t>明确表示或者以其行为表明不履行合同主要义务</w:t>
      </w:r>
      <w:r>
        <w:rPr>
          <w:rFonts w:ascii="宋体" w:hAnsi="宋体" w:eastAsia="宋体" w:cs="Times New Roman"/>
          <w:kern w:val="0"/>
          <w:szCs w:val="24"/>
        </w:rPr>
        <w:t>的情形。</w:t>
      </w:r>
    </w:p>
    <w:p w14:paraId="75602F9C">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624" w:name="_Toc302635772"/>
      <w:bookmarkStart w:id="1625" w:name="_Toc21280"/>
      <w:bookmarkStart w:id="1626" w:name="_Toc4033"/>
      <w:bookmarkStart w:id="1627" w:name="_Toc201735318"/>
      <w:bookmarkStart w:id="1628" w:name="_Toc1934648078"/>
      <w:bookmarkStart w:id="1629" w:name="_Toc15157"/>
      <w:bookmarkStart w:id="1630" w:name="_Toc16154"/>
      <w:bookmarkStart w:id="1631" w:name="_Toc5855"/>
      <w:bookmarkStart w:id="1632" w:name="_Toc27510"/>
      <w:bookmarkStart w:id="1633" w:name="_Toc12995"/>
      <w:bookmarkStart w:id="1634" w:name="_Toc208587525"/>
      <w:bookmarkStart w:id="1635" w:name="_Toc28315"/>
      <w:bookmarkStart w:id="1636" w:name="_Toc12267"/>
      <w:bookmarkStart w:id="1637" w:name="_Toc19352"/>
      <w:r>
        <w:rPr>
          <w:rFonts w:ascii="宋体" w:hAnsi="宋体" w:eastAsia="宋体" w:cs="Times New Roman"/>
          <w:b/>
          <w:bCs/>
          <w:kern w:val="0"/>
          <w:sz w:val="24"/>
          <w:szCs w:val="24"/>
          <w:lang w:val="en-US" w:eastAsia="zh-CN" w:bidi="ar-SA"/>
        </w:rPr>
        <w:t>指示暂停施工</w:t>
      </w:r>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p>
    <w:p w14:paraId="6BE24580">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监理人认为有必要时，并经发包人批准后，可向承包人作出暂停施工的指示，承包人应按监理人指示暂停施工。</w:t>
      </w:r>
    </w:p>
    <w:p w14:paraId="021B2212">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638" w:name="_Toc19338"/>
      <w:bookmarkStart w:id="1639" w:name="_Toc302635773"/>
      <w:bookmarkStart w:id="1640" w:name="_Toc14697"/>
      <w:bookmarkStart w:id="1641" w:name="_Toc19636"/>
      <w:bookmarkStart w:id="1642" w:name="_Toc10406"/>
      <w:bookmarkStart w:id="1643" w:name="_Toc2050926809"/>
      <w:bookmarkStart w:id="1644" w:name="_Toc208587526"/>
      <w:bookmarkStart w:id="1645" w:name="_Toc25582"/>
      <w:bookmarkStart w:id="1646" w:name="_Toc16787"/>
      <w:bookmarkStart w:id="1647" w:name="_Toc13491"/>
      <w:bookmarkStart w:id="1648" w:name="_Toc28830"/>
      <w:bookmarkStart w:id="1649" w:name="_Toc4504"/>
      <w:bookmarkStart w:id="1650" w:name="_Toc201735319"/>
      <w:bookmarkStart w:id="1651" w:name="_Toc6679"/>
      <w:r>
        <w:rPr>
          <w:rFonts w:ascii="宋体" w:hAnsi="宋体" w:eastAsia="宋体" w:cs="Times New Roman"/>
          <w:b/>
          <w:bCs/>
          <w:kern w:val="0"/>
          <w:sz w:val="24"/>
          <w:szCs w:val="24"/>
          <w:lang w:val="en-US" w:eastAsia="zh-CN" w:bidi="ar-SA"/>
        </w:rPr>
        <w:t>紧急情况下的暂停施工</w:t>
      </w:r>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14:paraId="58E07FAB">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w:t>
      </w:r>
      <w:r>
        <w:rPr>
          <w:rFonts w:hint="eastAsia" w:ascii="宋体" w:hAnsi="宋体" w:eastAsia="宋体" w:cs="Times New Roman"/>
          <w:kern w:val="0"/>
          <w:szCs w:val="24"/>
        </w:rPr>
        <w:t>31</w:t>
      </w:r>
      <w:r>
        <w:rPr>
          <w:rFonts w:ascii="宋体" w:hAnsi="宋体" w:eastAsia="宋体" w:cs="Times New Roman"/>
          <w:kern w:val="0"/>
          <w:szCs w:val="24"/>
        </w:rPr>
        <w:t>条</w:t>
      </w:r>
      <w:r>
        <w:rPr>
          <w:rFonts w:hint="eastAsia" w:ascii="宋体" w:hAnsi="宋体" w:eastAsia="宋体" w:cs="Times New Roman"/>
          <w:kern w:val="0"/>
          <w:szCs w:val="24"/>
        </w:rPr>
        <w:t>【</w:t>
      </w:r>
      <w:r>
        <w:rPr>
          <w:rFonts w:ascii="宋体" w:hAnsi="宋体" w:eastAsia="宋体" w:cs="Times New Roman"/>
          <w:kern w:val="0"/>
          <w:szCs w:val="24"/>
        </w:rPr>
        <w:t>争议解决</w:t>
      </w:r>
      <w:r>
        <w:rPr>
          <w:rFonts w:hint="eastAsia" w:ascii="宋体" w:hAnsi="宋体" w:eastAsia="宋体" w:cs="Times New Roman"/>
          <w:kern w:val="0"/>
          <w:szCs w:val="24"/>
        </w:rPr>
        <w:t>】</w:t>
      </w:r>
      <w:r>
        <w:rPr>
          <w:rFonts w:ascii="宋体" w:hAnsi="宋体" w:eastAsia="宋体" w:cs="Times New Roman"/>
          <w:kern w:val="0"/>
          <w:szCs w:val="24"/>
        </w:rPr>
        <w:t>约定处理。</w:t>
      </w:r>
    </w:p>
    <w:p w14:paraId="30283516">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652" w:name="_Toc2857"/>
      <w:bookmarkStart w:id="1653" w:name="_Toc7658"/>
      <w:bookmarkStart w:id="1654" w:name="_Toc5758"/>
      <w:bookmarkStart w:id="1655" w:name="_Toc13502"/>
      <w:bookmarkStart w:id="1656" w:name="_Toc302635774"/>
      <w:bookmarkStart w:id="1657" w:name="_Toc1268"/>
      <w:bookmarkStart w:id="1658" w:name="_Toc14712"/>
      <w:bookmarkStart w:id="1659" w:name="_Toc201735320"/>
      <w:bookmarkStart w:id="1660" w:name="_Toc32009"/>
      <w:bookmarkStart w:id="1661" w:name="_Toc23717"/>
      <w:bookmarkStart w:id="1662" w:name="_Toc694682703"/>
      <w:bookmarkStart w:id="1663" w:name="_Toc27936"/>
      <w:bookmarkStart w:id="1664" w:name="_Toc18555"/>
      <w:bookmarkStart w:id="1665" w:name="_Toc208587527"/>
      <w:r>
        <w:rPr>
          <w:rFonts w:ascii="宋体" w:hAnsi="宋体" w:eastAsia="宋体" w:cs="Times New Roman"/>
          <w:b/>
          <w:bCs/>
          <w:kern w:val="0"/>
          <w:sz w:val="24"/>
          <w:szCs w:val="24"/>
          <w:lang w:val="en-US" w:eastAsia="zh-CN" w:bidi="ar-SA"/>
        </w:rPr>
        <w:t>暂停施工后的复工</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p>
    <w:p w14:paraId="4AAC795F">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55ADDF2A">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承包人无故拖延和拒绝复工的，承包人承担由此增加的费用和（或）延误的工期；因发包人原因无法按时复工的，按照第</w:t>
      </w:r>
      <w:r>
        <w:rPr>
          <w:rFonts w:hint="eastAsia" w:ascii="宋体" w:hAnsi="宋体" w:eastAsia="宋体" w:cs="Times New Roman"/>
          <w:kern w:val="0"/>
          <w:szCs w:val="24"/>
        </w:rPr>
        <w:t>13.2款【</w:t>
      </w:r>
      <w:r>
        <w:rPr>
          <w:rFonts w:ascii="宋体" w:hAnsi="宋体" w:eastAsia="宋体" w:cs="Times New Roman"/>
          <w:kern w:val="0"/>
          <w:szCs w:val="24"/>
        </w:rPr>
        <w:t>因发包人原因导致工期延误</w:t>
      </w:r>
      <w:r>
        <w:rPr>
          <w:rFonts w:hint="eastAsia" w:ascii="宋体" w:hAnsi="宋体" w:eastAsia="宋体" w:cs="Times New Roman"/>
          <w:kern w:val="0"/>
          <w:szCs w:val="24"/>
        </w:rPr>
        <w:t>】</w:t>
      </w:r>
      <w:r>
        <w:rPr>
          <w:rFonts w:ascii="宋体" w:hAnsi="宋体" w:eastAsia="宋体" w:cs="Times New Roman"/>
          <w:kern w:val="0"/>
          <w:szCs w:val="24"/>
        </w:rPr>
        <w:t>约定办理。</w:t>
      </w:r>
    </w:p>
    <w:p w14:paraId="3C6DCE37">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666" w:name="_Toc1319053918"/>
      <w:bookmarkStart w:id="1667" w:name="_Toc32185"/>
      <w:bookmarkStart w:id="1668" w:name="_Toc19156"/>
      <w:bookmarkStart w:id="1669" w:name="_Toc8445"/>
      <w:bookmarkStart w:id="1670" w:name="_Toc13895"/>
      <w:bookmarkStart w:id="1671" w:name="_Toc5610"/>
      <w:bookmarkStart w:id="1672" w:name="_Toc26531"/>
      <w:bookmarkStart w:id="1673" w:name="_Toc19782"/>
      <w:bookmarkStart w:id="1674" w:name="_Toc1979"/>
      <w:bookmarkStart w:id="1675" w:name="_Toc201735321"/>
      <w:bookmarkStart w:id="1676" w:name="_Toc208587528"/>
      <w:bookmarkStart w:id="1677" w:name="_Toc18185"/>
      <w:bookmarkStart w:id="1678" w:name="_Toc29801"/>
      <w:bookmarkStart w:id="1679" w:name="_Toc302635775"/>
      <w:r>
        <w:rPr>
          <w:rFonts w:ascii="宋体" w:hAnsi="宋体" w:eastAsia="宋体" w:cs="Times New Roman"/>
          <w:b/>
          <w:bCs/>
          <w:kern w:val="0"/>
          <w:sz w:val="24"/>
          <w:szCs w:val="24"/>
          <w:lang w:val="en-US" w:eastAsia="zh-CN" w:bidi="ar-SA"/>
        </w:rPr>
        <w:t>暂停施工期间的工程照管</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14:paraId="6B071181">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暂停施工期间，承包人应负责妥善照管工程并提供安全保障，由此增加的费用由责任方承担。</w:t>
      </w:r>
    </w:p>
    <w:bookmarkEnd w:id="1608"/>
    <w:bookmarkEnd w:id="1609"/>
    <w:p w14:paraId="7E6D39A7">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1680" w:name="_Toc208587529"/>
      <w:bookmarkStart w:id="1681" w:name="_Toc35656981"/>
      <w:bookmarkStart w:id="1682" w:name="_Toc34909021"/>
      <w:bookmarkStart w:id="1683" w:name="_Toc35656479"/>
      <w:bookmarkStart w:id="1684" w:name="_Toc305331299"/>
      <w:bookmarkStart w:id="1685" w:name="_Toc11706"/>
      <w:bookmarkStart w:id="1686" w:name="_Toc28482"/>
      <w:bookmarkStart w:id="1687" w:name="_Toc27240"/>
      <w:bookmarkStart w:id="1688" w:name="_Toc18201"/>
      <w:bookmarkStart w:id="1689" w:name="_Toc201735322"/>
      <w:bookmarkStart w:id="1690" w:name="_Toc302635776"/>
      <w:bookmarkStart w:id="1691" w:name="_Toc4716"/>
      <w:bookmarkStart w:id="1692" w:name="_Toc313990418"/>
      <w:bookmarkStart w:id="1693" w:name="_Toc24563"/>
      <w:bookmarkStart w:id="1694" w:name="_Toc1086"/>
      <w:bookmarkStart w:id="1695" w:name="_Toc4421"/>
      <w:bookmarkStart w:id="1696" w:name="_Toc29764"/>
      <w:bookmarkStart w:id="1697" w:name="_Toc15335"/>
      <w:r>
        <w:rPr>
          <w:rFonts w:hint="eastAsia" w:ascii="华文细黑" w:hAnsi="宋体" w:eastAsia="宋体" w:cs="Times New Roman"/>
          <w:b/>
          <w:bCs/>
          <w:snapToGrid w:val="0"/>
          <w:kern w:val="0"/>
          <w:sz w:val="28"/>
          <w:szCs w:val="44"/>
          <w:lang w:val="en-US" w:eastAsia="zh-CN" w:bidi="ar-SA"/>
        </w:rPr>
        <w:t>工期及延误</w:t>
      </w:r>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p>
    <w:p w14:paraId="2BC192A6">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698" w:name="_Toc201735323"/>
      <w:bookmarkStart w:id="1699" w:name="_Toc19566"/>
      <w:bookmarkStart w:id="1700" w:name="_Toc208587530"/>
      <w:bookmarkStart w:id="1701" w:name="_Toc302635777"/>
      <w:bookmarkStart w:id="1702" w:name="_Toc15279"/>
      <w:bookmarkStart w:id="1703" w:name="_Toc6891"/>
      <w:bookmarkStart w:id="1704" w:name="_Toc17827"/>
      <w:bookmarkStart w:id="1705" w:name="_Toc305331300"/>
      <w:bookmarkStart w:id="1706" w:name="_Toc3082"/>
      <w:bookmarkStart w:id="1707" w:name="_Toc5430"/>
      <w:bookmarkStart w:id="1708" w:name="_Toc19496"/>
      <w:bookmarkStart w:id="1709" w:name="_Toc16816"/>
      <w:bookmarkStart w:id="1710" w:name="_Toc9181"/>
      <w:bookmarkStart w:id="1711" w:name="_Toc1615970932"/>
      <w:bookmarkStart w:id="1712" w:name="_Toc15679"/>
      <w:bookmarkStart w:id="1713" w:name="_Toc34909022"/>
      <w:r>
        <w:rPr>
          <w:rFonts w:hint="eastAsia" w:ascii="宋体" w:hAnsi="宋体" w:eastAsia="宋体" w:cs="Times New Roman"/>
          <w:b/>
          <w:bCs/>
          <w:kern w:val="0"/>
          <w:sz w:val="24"/>
          <w:szCs w:val="24"/>
          <w:lang w:val="en-US" w:eastAsia="zh-CN" w:bidi="ar-SA"/>
        </w:rPr>
        <w:t>工期</w:t>
      </w:r>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14:paraId="607D2C71">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本工程须在本合同协议书中约定的时间内（包括合同约定可予延长的期限）完成。本工程的任何单位工程须在</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约定的各段时间内（包括合同约定可予延长的期限）完成。</w:t>
      </w:r>
      <w:bookmarkEnd w:id="1713"/>
      <w:bookmarkStart w:id="1714" w:name="_Toc34909023"/>
    </w:p>
    <w:p w14:paraId="57154474">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715" w:name="_Toc26607"/>
      <w:bookmarkStart w:id="1716" w:name="_Toc28407"/>
      <w:bookmarkStart w:id="1717" w:name="_Toc10279"/>
      <w:bookmarkStart w:id="1718" w:name="_Toc1125"/>
      <w:bookmarkStart w:id="1719" w:name="_Toc208587531"/>
      <w:bookmarkStart w:id="1720" w:name="_Toc16753"/>
      <w:bookmarkStart w:id="1721" w:name="_Toc373694029"/>
      <w:bookmarkStart w:id="1722" w:name="_Toc6186"/>
      <w:bookmarkStart w:id="1723" w:name="_Toc15392"/>
      <w:bookmarkStart w:id="1724" w:name="_Toc201735324"/>
      <w:bookmarkStart w:id="1725" w:name="_Toc12238"/>
      <w:bookmarkStart w:id="1726" w:name="_Toc302635778"/>
      <w:bookmarkStart w:id="1727" w:name="_Toc671"/>
      <w:bookmarkStart w:id="1728" w:name="_Toc26024"/>
      <w:bookmarkStart w:id="1729" w:name="_Toc305331301"/>
      <w:r>
        <w:rPr>
          <w:rFonts w:ascii="宋体" w:hAnsi="宋体" w:eastAsia="宋体" w:cs="Times New Roman"/>
          <w:b/>
          <w:bCs/>
          <w:kern w:val="0"/>
          <w:sz w:val="24"/>
          <w:szCs w:val="24"/>
          <w:lang w:val="en-US" w:eastAsia="zh-CN" w:bidi="ar-SA"/>
        </w:rPr>
        <w:t>因发包人原因导致工期延误</w:t>
      </w:r>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14:paraId="4885FD45">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 xml:space="preserve">在合同履行过程中，因下列情况导致工期延误和（或）费用增加的，由发包人承担由此延误的工期和（或）增加的费用，且发包人应支付承包人合理的利润： </w:t>
      </w:r>
    </w:p>
    <w:p w14:paraId="117757A0">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fldChar w:fldCharType="begin"/>
      </w:r>
      <w:r>
        <w:rPr>
          <w:rFonts w:ascii="宋体" w:hAnsi="宋体" w:eastAsia="宋体" w:cs="Times New Roman"/>
          <w:kern w:val="0"/>
          <w:szCs w:val="24"/>
        </w:rPr>
        <w:instrText xml:space="preserve"> </w:instrText>
      </w:r>
      <w:r>
        <w:rPr>
          <w:rFonts w:hint="eastAsia" w:ascii="宋体" w:hAnsi="宋体" w:eastAsia="宋体" w:cs="Times New Roman"/>
          <w:kern w:val="0"/>
          <w:szCs w:val="24"/>
        </w:rPr>
        <w:instrText xml:space="preserve">= 1 \* GB2</w:instrText>
      </w:r>
      <w:r>
        <w:rPr>
          <w:rFonts w:ascii="宋体" w:hAnsi="宋体" w:eastAsia="宋体" w:cs="Times New Roman"/>
          <w:kern w:val="0"/>
          <w:szCs w:val="24"/>
        </w:rPr>
        <w:instrText xml:space="preserve"> </w:instrText>
      </w:r>
      <w:r>
        <w:rPr>
          <w:rFonts w:ascii="宋体" w:hAnsi="宋体" w:eastAsia="宋体" w:cs="Times New Roman"/>
          <w:kern w:val="0"/>
          <w:szCs w:val="24"/>
        </w:rPr>
        <w:fldChar w:fldCharType="separate"/>
      </w:r>
      <w:r>
        <w:rPr>
          <w:rFonts w:hint="eastAsia" w:ascii="宋体" w:hAnsi="宋体" w:eastAsia="宋体" w:cs="Times New Roman"/>
          <w:kern w:val="0"/>
          <w:szCs w:val="24"/>
        </w:rPr>
        <w:t>(1)</w:t>
      </w:r>
      <w:r>
        <w:rPr>
          <w:rFonts w:ascii="宋体" w:hAnsi="宋体" w:eastAsia="宋体" w:cs="Times New Roman"/>
          <w:kern w:val="0"/>
          <w:szCs w:val="24"/>
        </w:rPr>
        <w:fldChar w:fldCharType="end"/>
      </w:r>
      <w:r>
        <w:rPr>
          <w:rFonts w:ascii="宋体" w:hAnsi="宋体" w:eastAsia="宋体" w:cs="Times New Roman"/>
          <w:kern w:val="0"/>
          <w:szCs w:val="24"/>
        </w:rPr>
        <w:t>发包人未能按合同约定提供图纸或所提供图纸不符合合同约定的；</w:t>
      </w:r>
    </w:p>
    <w:p w14:paraId="0D921C1F">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fldChar w:fldCharType="begin"/>
      </w:r>
      <w:r>
        <w:rPr>
          <w:rFonts w:ascii="宋体" w:hAnsi="宋体" w:eastAsia="宋体" w:cs="Times New Roman"/>
          <w:kern w:val="0"/>
          <w:szCs w:val="24"/>
        </w:rPr>
        <w:instrText xml:space="preserve"> </w:instrText>
      </w:r>
      <w:r>
        <w:rPr>
          <w:rFonts w:hint="eastAsia" w:ascii="宋体" w:hAnsi="宋体" w:eastAsia="宋体" w:cs="Times New Roman"/>
          <w:kern w:val="0"/>
          <w:szCs w:val="24"/>
        </w:rPr>
        <w:instrText xml:space="preserve">= 2 \* GB2</w:instrText>
      </w:r>
      <w:r>
        <w:rPr>
          <w:rFonts w:ascii="宋体" w:hAnsi="宋体" w:eastAsia="宋体" w:cs="Times New Roman"/>
          <w:kern w:val="0"/>
          <w:szCs w:val="24"/>
        </w:rPr>
        <w:instrText xml:space="preserve"> </w:instrText>
      </w:r>
      <w:r>
        <w:rPr>
          <w:rFonts w:ascii="宋体" w:hAnsi="宋体" w:eastAsia="宋体" w:cs="Times New Roman"/>
          <w:kern w:val="0"/>
          <w:szCs w:val="24"/>
        </w:rPr>
        <w:fldChar w:fldCharType="separate"/>
      </w:r>
      <w:r>
        <w:rPr>
          <w:rFonts w:hint="eastAsia" w:ascii="宋体" w:hAnsi="宋体" w:eastAsia="宋体" w:cs="Times New Roman"/>
          <w:kern w:val="0"/>
          <w:szCs w:val="24"/>
        </w:rPr>
        <w:t>(2)</w:t>
      </w:r>
      <w:r>
        <w:rPr>
          <w:rFonts w:ascii="宋体" w:hAnsi="宋体" w:eastAsia="宋体" w:cs="Times New Roman"/>
          <w:kern w:val="0"/>
          <w:szCs w:val="24"/>
        </w:rPr>
        <w:fldChar w:fldCharType="end"/>
      </w:r>
      <w:r>
        <w:rPr>
          <w:rFonts w:ascii="宋体" w:hAnsi="宋体" w:eastAsia="宋体" w:cs="Times New Roman"/>
          <w:kern w:val="0"/>
          <w:szCs w:val="24"/>
        </w:rPr>
        <w:t>发包人未能按合同约定提供施工现场、施工条件、基础资料、许可、批准等开工条件的；</w:t>
      </w:r>
    </w:p>
    <w:p w14:paraId="3937185A">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fldChar w:fldCharType="begin"/>
      </w:r>
      <w:r>
        <w:rPr>
          <w:rFonts w:ascii="宋体" w:hAnsi="宋体" w:eastAsia="宋体" w:cs="Times New Roman"/>
          <w:kern w:val="0"/>
          <w:szCs w:val="24"/>
        </w:rPr>
        <w:instrText xml:space="preserve"> </w:instrText>
      </w:r>
      <w:r>
        <w:rPr>
          <w:rFonts w:hint="eastAsia" w:ascii="宋体" w:hAnsi="宋体" w:eastAsia="宋体" w:cs="Times New Roman"/>
          <w:kern w:val="0"/>
          <w:szCs w:val="24"/>
        </w:rPr>
        <w:instrText xml:space="preserve">= 3 \* GB2</w:instrText>
      </w:r>
      <w:r>
        <w:rPr>
          <w:rFonts w:ascii="宋体" w:hAnsi="宋体" w:eastAsia="宋体" w:cs="Times New Roman"/>
          <w:kern w:val="0"/>
          <w:szCs w:val="24"/>
        </w:rPr>
        <w:instrText xml:space="preserve"> </w:instrText>
      </w:r>
      <w:r>
        <w:rPr>
          <w:rFonts w:ascii="宋体" w:hAnsi="宋体" w:eastAsia="宋体" w:cs="Times New Roman"/>
          <w:kern w:val="0"/>
          <w:szCs w:val="24"/>
        </w:rPr>
        <w:fldChar w:fldCharType="separate"/>
      </w:r>
      <w:r>
        <w:rPr>
          <w:rFonts w:hint="eastAsia" w:ascii="宋体" w:hAnsi="宋体" w:eastAsia="宋体" w:cs="Times New Roman"/>
          <w:kern w:val="0"/>
          <w:szCs w:val="24"/>
        </w:rPr>
        <w:t>(3)</w:t>
      </w:r>
      <w:r>
        <w:rPr>
          <w:rFonts w:ascii="宋体" w:hAnsi="宋体" w:eastAsia="宋体" w:cs="Times New Roman"/>
          <w:kern w:val="0"/>
          <w:szCs w:val="24"/>
        </w:rPr>
        <w:fldChar w:fldCharType="end"/>
      </w:r>
      <w:r>
        <w:rPr>
          <w:rFonts w:ascii="宋体" w:hAnsi="宋体" w:eastAsia="宋体" w:cs="Times New Roman"/>
          <w:kern w:val="0"/>
          <w:szCs w:val="24"/>
        </w:rPr>
        <w:t>发包人提供的测量基准点、基准线和水准点及其书面资料存在错误或疏漏的；</w:t>
      </w:r>
    </w:p>
    <w:p w14:paraId="4DFC80F4">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fldChar w:fldCharType="begin"/>
      </w:r>
      <w:r>
        <w:rPr>
          <w:rFonts w:ascii="宋体" w:hAnsi="宋体" w:eastAsia="宋体" w:cs="Times New Roman"/>
          <w:kern w:val="0"/>
          <w:szCs w:val="24"/>
        </w:rPr>
        <w:instrText xml:space="preserve"> </w:instrText>
      </w:r>
      <w:r>
        <w:rPr>
          <w:rFonts w:hint="eastAsia" w:ascii="宋体" w:hAnsi="宋体" w:eastAsia="宋体" w:cs="Times New Roman"/>
          <w:kern w:val="0"/>
          <w:szCs w:val="24"/>
        </w:rPr>
        <w:instrText xml:space="preserve">= 4 \* GB2</w:instrText>
      </w:r>
      <w:r>
        <w:rPr>
          <w:rFonts w:ascii="宋体" w:hAnsi="宋体" w:eastAsia="宋体" w:cs="Times New Roman"/>
          <w:kern w:val="0"/>
          <w:szCs w:val="24"/>
        </w:rPr>
        <w:instrText xml:space="preserve"> </w:instrText>
      </w:r>
      <w:r>
        <w:rPr>
          <w:rFonts w:ascii="宋体" w:hAnsi="宋体" w:eastAsia="宋体" w:cs="Times New Roman"/>
          <w:kern w:val="0"/>
          <w:szCs w:val="24"/>
        </w:rPr>
        <w:fldChar w:fldCharType="separate"/>
      </w:r>
      <w:r>
        <w:rPr>
          <w:rFonts w:hint="eastAsia" w:ascii="宋体" w:hAnsi="宋体" w:eastAsia="宋体" w:cs="Times New Roman"/>
          <w:kern w:val="0"/>
          <w:szCs w:val="24"/>
        </w:rPr>
        <w:t>(4)</w:t>
      </w:r>
      <w:r>
        <w:rPr>
          <w:rFonts w:ascii="宋体" w:hAnsi="宋体" w:eastAsia="宋体" w:cs="Times New Roman"/>
          <w:kern w:val="0"/>
          <w:szCs w:val="24"/>
        </w:rPr>
        <w:fldChar w:fldCharType="end"/>
      </w:r>
      <w:r>
        <w:rPr>
          <w:rFonts w:ascii="宋体" w:hAnsi="宋体" w:eastAsia="宋体" w:cs="Times New Roman"/>
          <w:kern w:val="0"/>
          <w:szCs w:val="24"/>
        </w:rPr>
        <w:t>发包人未能在计划开工日期</w:t>
      </w:r>
      <w:r>
        <w:rPr>
          <w:rFonts w:hint="eastAsia" w:ascii="宋体" w:hAnsi="宋体" w:eastAsia="宋体" w:cs="Times New Roman"/>
          <w:kern w:val="0"/>
          <w:szCs w:val="24"/>
        </w:rPr>
        <w:t>前</w:t>
      </w:r>
      <w:r>
        <w:rPr>
          <w:rFonts w:ascii="宋体" w:hAnsi="宋体" w:eastAsia="宋体" w:cs="Times New Roman"/>
          <w:kern w:val="0"/>
          <w:szCs w:val="24"/>
        </w:rPr>
        <w:t>7天同意下达开工通知的；</w:t>
      </w:r>
    </w:p>
    <w:p w14:paraId="19F04488">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fldChar w:fldCharType="begin"/>
      </w:r>
      <w:r>
        <w:rPr>
          <w:rFonts w:ascii="宋体" w:hAnsi="宋体" w:eastAsia="宋体" w:cs="Times New Roman"/>
          <w:kern w:val="0"/>
          <w:szCs w:val="24"/>
        </w:rPr>
        <w:instrText xml:space="preserve"> </w:instrText>
      </w:r>
      <w:r>
        <w:rPr>
          <w:rFonts w:hint="eastAsia" w:ascii="宋体" w:hAnsi="宋体" w:eastAsia="宋体" w:cs="Times New Roman"/>
          <w:kern w:val="0"/>
          <w:szCs w:val="24"/>
        </w:rPr>
        <w:instrText xml:space="preserve">= 5 \* GB2</w:instrText>
      </w:r>
      <w:r>
        <w:rPr>
          <w:rFonts w:ascii="宋体" w:hAnsi="宋体" w:eastAsia="宋体" w:cs="Times New Roman"/>
          <w:kern w:val="0"/>
          <w:szCs w:val="24"/>
        </w:rPr>
        <w:instrText xml:space="preserve"> </w:instrText>
      </w:r>
      <w:r>
        <w:rPr>
          <w:rFonts w:ascii="宋体" w:hAnsi="宋体" w:eastAsia="宋体" w:cs="Times New Roman"/>
          <w:kern w:val="0"/>
          <w:szCs w:val="24"/>
        </w:rPr>
        <w:fldChar w:fldCharType="separate"/>
      </w:r>
      <w:r>
        <w:rPr>
          <w:rFonts w:hint="eastAsia" w:ascii="宋体" w:hAnsi="宋体" w:eastAsia="宋体" w:cs="Times New Roman"/>
          <w:kern w:val="0"/>
          <w:szCs w:val="24"/>
        </w:rPr>
        <w:t>(5)</w:t>
      </w:r>
      <w:r>
        <w:rPr>
          <w:rFonts w:ascii="宋体" w:hAnsi="宋体" w:eastAsia="宋体" w:cs="Times New Roman"/>
          <w:kern w:val="0"/>
          <w:szCs w:val="24"/>
        </w:rPr>
        <w:fldChar w:fldCharType="end"/>
      </w:r>
      <w:r>
        <w:rPr>
          <w:rFonts w:ascii="宋体" w:hAnsi="宋体" w:eastAsia="宋体" w:cs="Times New Roman"/>
          <w:kern w:val="0"/>
          <w:szCs w:val="24"/>
        </w:rPr>
        <w:t>发包人未能按合同约定日期支付工程预付款、进度款</w:t>
      </w:r>
      <w:r>
        <w:rPr>
          <w:rFonts w:hint="eastAsia" w:ascii="宋体" w:hAnsi="宋体" w:eastAsia="宋体" w:cs="Times New Roman"/>
          <w:kern w:val="0"/>
          <w:szCs w:val="24"/>
        </w:rPr>
        <w:t>、过程结算款</w:t>
      </w:r>
      <w:r>
        <w:rPr>
          <w:rFonts w:ascii="宋体" w:hAnsi="宋体" w:eastAsia="宋体" w:cs="Times New Roman"/>
          <w:kern w:val="0"/>
          <w:szCs w:val="24"/>
        </w:rPr>
        <w:t>或竣工结算款的；</w:t>
      </w:r>
    </w:p>
    <w:p w14:paraId="703044C9">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fldChar w:fldCharType="begin"/>
      </w:r>
      <w:r>
        <w:rPr>
          <w:rFonts w:ascii="宋体" w:hAnsi="宋体" w:eastAsia="宋体" w:cs="Times New Roman"/>
          <w:kern w:val="0"/>
          <w:szCs w:val="24"/>
        </w:rPr>
        <w:instrText xml:space="preserve"> </w:instrText>
      </w:r>
      <w:r>
        <w:rPr>
          <w:rFonts w:hint="eastAsia" w:ascii="宋体" w:hAnsi="宋体" w:eastAsia="宋体" w:cs="Times New Roman"/>
          <w:kern w:val="0"/>
          <w:szCs w:val="24"/>
        </w:rPr>
        <w:instrText xml:space="preserve">= 6 \* GB2</w:instrText>
      </w:r>
      <w:r>
        <w:rPr>
          <w:rFonts w:ascii="宋体" w:hAnsi="宋体" w:eastAsia="宋体" w:cs="Times New Roman"/>
          <w:kern w:val="0"/>
          <w:szCs w:val="24"/>
        </w:rPr>
        <w:instrText xml:space="preserve"> </w:instrText>
      </w:r>
      <w:r>
        <w:rPr>
          <w:rFonts w:ascii="宋体" w:hAnsi="宋体" w:eastAsia="宋体" w:cs="Times New Roman"/>
          <w:kern w:val="0"/>
          <w:szCs w:val="24"/>
        </w:rPr>
        <w:fldChar w:fldCharType="separate"/>
      </w:r>
      <w:r>
        <w:rPr>
          <w:rFonts w:hint="eastAsia" w:ascii="宋体" w:hAnsi="宋体" w:eastAsia="宋体" w:cs="Times New Roman"/>
          <w:kern w:val="0"/>
          <w:szCs w:val="24"/>
        </w:rPr>
        <w:t>(6)</w:t>
      </w:r>
      <w:r>
        <w:rPr>
          <w:rFonts w:ascii="宋体" w:hAnsi="宋体" w:eastAsia="宋体" w:cs="Times New Roman"/>
          <w:kern w:val="0"/>
          <w:szCs w:val="24"/>
        </w:rPr>
        <w:fldChar w:fldCharType="end"/>
      </w:r>
      <w:r>
        <w:rPr>
          <w:rFonts w:ascii="宋体" w:hAnsi="宋体" w:eastAsia="宋体" w:cs="Times New Roman"/>
          <w:kern w:val="0"/>
          <w:szCs w:val="24"/>
        </w:rPr>
        <w:t>监理人未按合同约定发出指示、批准等文件的；</w:t>
      </w:r>
    </w:p>
    <w:p w14:paraId="36029879">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fldChar w:fldCharType="begin"/>
      </w:r>
      <w:r>
        <w:rPr>
          <w:rFonts w:ascii="宋体" w:hAnsi="宋体" w:eastAsia="宋体" w:cs="Times New Roman"/>
          <w:kern w:val="0"/>
          <w:szCs w:val="24"/>
        </w:rPr>
        <w:instrText xml:space="preserve"> </w:instrText>
      </w:r>
      <w:r>
        <w:rPr>
          <w:rFonts w:hint="eastAsia" w:ascii="宋体" w:hAnsi="宋体" w:eastAsia="宋体" w:cs="Times New Roman"/>
          <w:kern w:val="0"/>
          <w:szCs w:val="24"/>
        </w:rPr>
        <w:instrText xml:space="preserve">= 7 \* GB2</w:instrText>
      </w:r>
      <w:r>
        <w:rPr>
          <w:rFonts w:ascii="宋体" w:hAnsi="宋体" w:eastAsia="宋体" w:cs="Times New Roman"/>
          <w:kern w:val="0"/>
          <w:szCs w:val="24"/>
        </w:rPr>
        <w:instrText xml:space="preserve"> </w:instrText>
      </w:r>
      <w:r>
        <w:rPr>
          <w:rFonts w:ascii="宋体" w:hAnsi="宋体" w:eastAsia="宋体" w:cs="Times New Roman"/>
          <w:kern w:val="0"/>
          <w:szCs w:val="24"/>
        </w:rPr>
        <w:fldChar w:fldCharType="separate"/>
      </w:r>
      <w:r>
        <w:rPr>
          <w:rFonts w:hint="eastAsia" w:ascii="宋体" w:hAnsi="宋体" w:eastAsia="宋体" w:cs="Times New Roman"/>
          <w:kern w:val="0"/>
          <w:szCs w:val="24"/>
        </w:rPr>
        <w:t>(7)</w:t>
      </w:r>
      <w:r>
        <w:rPr>
          <w:rFonts w:ascii="宋体" w:hAnsi="宋体" w:eastAsia="宋体" w:cs="Times New Roman"/>
          <w:kern w:val="0"/>
          <w:szCs w:val="24"/>
        </w:rPr>
        <w:fldChar w:fldCharType="end"/>
      </w:r>
      <w:r>
        <w:rPr>
          <w:rFonts w:ascii="宋体" w:hAnsi="宋体" w:eastAsia="宋体" w:cs="Times New Roman"/>
          <w:b/>
          <w:i/>
          <w:kern w:val="0"/>
          <w:szCs w:val="24"/>
        </w:rPr>
        <w:t>专用条款</w:t>
      </w:r>
      <w:r>
        <w:rPr>
          <w:rFonts w:ascii="宋体" w:hAnsi="宋体" w:eastAsia="宋体" w:cs="Times New Roman"/>
          <w:kern w:val="0"/>
          <w:szCs w:val="24"/>
        </w:rPr>
        <w:t>中约定的其他情形。</w:t>
      </w:r>
    </w:p>
    <w:p w14:paraId="17AB4A1E">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因发包人原因未按计划开工日期开工的，发包人应按实际开工日期顺延竣工日期。因发包人原因导致工期延误需要修订施工进度计划的，按照第9.3</w:t>
      </w:r>
      <w:r>
        <w:rPr>
          <w:rFonts w:hint="eastAsia" w:ascii="宋体" w:hAnsi="宋体" w:eastAsia="宋体" w:cs="Times New Roman"/>
          <w:kern w:val="0"/>
          <w:szCs w:val="24"/>
        </w:rPr>
        <w:t>条【工程</w:t>
      </w:r>
      <w:r>
        <w:rPr>
          <w:rFonts w:ascii="宋体" w:hAnsi="宋体" w:eastAsia="宋体" w:cs="Times New Roman"/>
          <w:kern w:val="0"/>
          <w:szCs w:val="24"/>
        </w:rPr>
        <w:t>进度计划</w:t>
      </w:r>
      <w:r>
        <w:rPr>
          <w:rFonts w:hint="eastAsia" w:ascii="宋体" w:hAnsi="宋体" w:eastAsia="宋体" w:cs="Times New Roman"/>
          <w:kern w:val="0"/>
          <w:szCs w:val="24"/>
        </w:rPr>
        <w:t>】对进度计划进行修订</w:t>
      </w:r>
      <w:r>
        <w:rPr>
          <w:rFonts w:ascii="宋体" w:hAnsi="宋体" w:eastAsia="宋体" w:cs="Times New Roman"/>
          <w:kern w:val="0"/>
          <w:szCs w:val="24"/>
        </w:rPr>
        <w:t>。</w:t>
      </w:r>
    </w:p>
    <w:p w14:paraId="2D048513">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730" w:name="_Toc27314"/>
      <w:bookmarkStart w:id="1731" w:name="_Toc302635779"/>
      <w:bookmarkStart w:id="1732" w:name="_Toc208587532"/>
      <w:bookmarkStart w:id="1733" w:name="_Toc201735325"/>
      <w:bookmarkStart w:id="1734" w:name="_Toc13984"/>
      <w:bookmarkStart w:id="1735" w:name="_Toc17687"/>
      <w:bookmarkStart w:id="1736" w:name="_Toc28938"/>
      <w:bookmarkStart w:id="1737" w:name="_Toc17"/>
      <w:bookmarkStart w:id="1738" w:name="_Toc31204"/>
      <w:bookmarkStart w:id="1739" w:name="_Toc4625"/>
      <w:bookmarkStart w:id="1740" w:name="_Toc17595"/>
      <w:bookmarkStart w:id="1741" w:name="_Toc1205960854"/>
      <w:bookmarkStart w:id="1742" w:name="_Toc4699"/>
      <w:bookmarkStart w:id="1743" w:name="_Toc2602"/>
      <w:r>
        <w:rPr>
          <w:rFonts w:ascii="宋体" w:hAnsi="宋体" w:eastAsia="宋体" w:cs="Times New Roman"/>
          <w:b/>
          <w:bCs/>
          <w:kern w:val="0"/>
          <w:sz w:val="24"/>
          <w:szCs w:val="24"/>
          <w:lang w:val="en-US" w:eastAsia="zh-CN" w:bidi="ar-SA"/>
        </w:rPr>
        <w:t>因承包人原因导致工期延误</w:t>
      </w:r>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p>
    <w:p w14:paraId="09E6FD01">
      <w:pPr>
        <w:tabs>
          <w:tab w:val="left" w:pos="1620"/>
          <w:tab w:val="left" w:pos="2340"/>
        </w:tabs>
        <w:spacing w:after="156"/>
        <w:ind w:left="899"/>
        <w:jc w:val="left"/>
        <w:rPr>
          <w:rFonts w:ascii="宋体" w:hAnsi="宋体" w:eastAsia="宋体" w:cs="Times New Roman"/>
          <w:kern w:val="0"/>
          <w:szCs w:val="24"/>
        </w:rPr>
      </w:pPr>
      <w:bookmarkStart w:id="1744" w:name="_Toc296346577"/>
      <w:bookmarkStart w:id="1745" w:name="_Toc296503076"/>
      <w:r>
        <w:rPr>
          <w:rFonts w:hint="eastAsia" w:ascii="宋体" w:hAnsi="宋体" w:eastAsia="宋体" w:cs="Times New Roman"/>
          <w:kern w:val="0"/>
          <w:szCs w:val="24"/>
        </w:rPr>
        <w:t>(</w:t>
      </w:r>
      <w:r>
        <w:rPr>
          <w:rFonts w:ascii="宋体" w:hAnsi="宋体" w:eastAsia="宋体" w:cs="Times New Roman"/>
          <w:kern w:val="0"/>
          <w:szCs w:val="24"/>
        </w:rPr>
        <w:t>1)因</w:t>
      </w:r>
      <w:bookmarkEnd w:id="1744"/>
      <w:bookmarkEnd w:id="1745"/>
      <w:r>
        <w:rPr>
          <w:rFonts w:ascii="宋体" w:hAnsi="宋体" w:eastAsia="宋体" w:cs="Times New Roman"/>
          <w:kern w:val="0"/>
          <w:szCs w:val="24"/>
        </w:rPr>
        <w:t>承包人原因造成工期延误的，可在</w:t>
      </w:r>
      <w:r>
        <w:rPr>
          <w:rFonts w:ascii="宋体" w:hAnsi="宋体" w:eastAsia="宋体" w:cs="Times New Roman"/>
          <w:b/>
          <w:i/>
          <w:kern w:val="0"/>
          <w:szCs w:val="24"/>
        </w:rPr>
        <w:t>专用条款</w:t>
      </w:r>
      <w:r>
        <w:rPr>
          <w:rFonts w:ascii="宋体" w:hAnsi="宋体" w:eastAsia="宋体" w:cs="Times New Roman"/>
          <w:kern w:val="0"/>
          <w:szCs w:val="24"/>
        </w:rPr>
        <w:t>中约定逾期竣工违约金的计算方法和逾期竣工违约金的上限。承包人支付逾期竣工违约金后，不免除承包人继续完成工程及修补缺陷的义务。</w:t>
      </w:r>
      <w:bookmarkEnd w:id="1714"/>
      <w:bookmarkEnd w:id="1729"/>
    </w:p>
    <w:p w14:paraId="58BDE867">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2)</w:t>
      </w:r>
      <w:r>
        <w:rPr>
          <w:rFonts w:hint="eastAsia" w:ascii="宋体" w:hAnsi="宋体" w:eastAsia="宋体" w:cs="Times New Roman"/>
          <w:kern w:val="0"/>
          <w:szCs w:val="24"/>
        </w:rPr>
        <w:t>除</w:t>
      </w:r>
      <w:r>
        <w:rPr>
          <w:rFonts w:hint="eastAsia" w:ascii="宋体" w:hAnsi="宋体" w:eastAsia="宋体" w:cs="Times New Roman"/>
          <w:b/>
          <w:i/>
          <w:kern w:val="0"/>
          <w:szCs w:val="24"/>
        </w:rPr>
        <w:t>专用条款</w:t>
      </w:r>
      <w:r>
        <w:rPr>
          <w:rFonts w:hint="eastAsia" w:ascii="宋体" w:hAnsi="宋体" w:eastAsia="宋体" w:cs="Times New Roman"/>
          <w:kern w:val="0"/>
          <w:szCs w:val="24"/>
        </w:rPr>
        <w:t xml:space="preserve">另有约定外，逾期竣工时间是以实际工期减去合同工期及经发包人批准的延长工期计算(即：逾期竣工时间=实际工期-合同工期-经发包人批准的延长工期)。 </w:t>
      </w:r>
    </w:p>
    <w:p w14:paraId="2C327381">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746" w:name="_Toc305331302"/>
      <w:bookmarkStart w:id="1747" w:name="_Toc28418"/>
      <w:bookmarkStart w:id="1748" w:name="_Toc11402"/>
      <w:bookmarkStart w:id="1749" w:name="_Toc14204"/>
      <w:bookmarkStart w:id="1750" w:name="_Toc302635781"/>
      <w:bookmarkStart w:id="1751" w:name="_Toc201735326"/>
      <w:bookmarkStart w:id="1752" w:name="_Toc16387"/>
      <w:bookmarkStart w:id="1753" w:name="_Toc22435"/>
      <w:bookmarkStart w:id="1754" w:name="_Toc4039"/>
      <w:bookmarkStart w:id="1755" w:name="_Toc18804"/>
      <w:bookmarkStart w:id="1756" w:name="_Toc13885"/>
      <w:bookmarkStart w:id="1757" w:name="_Toc21212"/>
      <w:bookmarkStart w:id="1758" w:name="_Toc30780"/>
      <w:bookmarkStart w:id="1759" w:name="_Toc208587533"/>
      <w:bookmarkStart w:id="1760" w:name="_Toc2128519595"/>
      <w:r>
        <w:rPr>
          <w:rFonts w:hint="eastAsia" w:ascii="宋体" w:hAnsi="宋体" w:eastAsia="宋体" w:cs="Times New Roman"/>
          <w:b/>
          <w:bCs/>
          <w:kern w:val="0"/>
          <w:sz w:val="24"/>
          <w:szCs w:val="24"/>
          <w:lang w:val="en-US" w:eastAsia="zh-CN" w:bidi="ar-SA"/>
        </w:rPr>
        <w:t>提前竣工</w:t>
      </w:r>
      <w:bookmarkEnd w:id="1746"/>
      <w:bookmarkEnd w:id="1747"/>
      <w:bookmarkEnd w:id="1748"/>
      <w:bookmarkEnd w:id="1749"/>
      <w:bookmarkEnd w:id="1750"/>
      <w:bookmarkEnd w:id="1751"/>
      <w:bookmarkEnd w:id="1752"/>
      <w:bookmarkEnd w:id="1753"/>
      <w:bookmarkEnd w:id="1754"/>
      <w:r>
        <w:rPr>
          <w:rFonts w:hint="eastAsia" w:ascii="宋体" w:hAnsi="宋体" w:eastAsia="宋体" w:cs="Times New Roman"/>
          <w:b/>
          <w:bCs/>
          <w:kern w:val="0"/>
          <w:sz w:val="24"/>
          <w:szCs w:val="24"/>
          <w:lang w:val="en-US" w:eastAsia="zh-CN" w:bidi="ar-SA"/>
        </w:rPr>
        <w:t>（赶工）</w:t>
      </w:r>
      <w:bookmarkEnd w:id="1755"/>
      <w:bookmarkEnd w:id="1756"/>
      <w:bookmarkEnd w:id="1757"/>
      <w:bookmarkEnd w:id="1758"/>
      <w:bookmarkEnd w:id="1759"/>
      <w:bookmarkEnd w:id="1760"/>
    </w:p>
    <w:p w14:paraId="6F6EE754">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发包人要求承包人提前竣工</w:t>
      </w:r>
      <w:r>
        <w:rPr>
          <w:rFonts w:hint="eastAsia" w:ascii="宋体" w:hAnsi="宋体" w:eastAsia="宋体" w:cs="Times New Roman"/>
          <w:kern w:val="0"/>
          <w:szCs w:val="24"/>
        </w:rPr>
        <w:t>（赶工）</w:t>
      </w:r>
      <w:r>
        <w:rPr>
          <w:rFonts w:ascii="宋体" w:hAnsi="宋体" w:eastAsia="宋体" w:cs="Times New Roman"/>
          <w:kern w:val="0"/>
          <w:szCs w:val="24"/>
        </w:rPr>
        <w:t>的，发包人应通过监理人向承包人下达提前竣工</w:t>
      </w:r>
      <w:r>
        <w:rPr>
          <w:rFonts w:hint="eastAsia" w:ascii="宋体" w:hAnsi="宋体" w:eastAsia="宋体" w:cs="Times New Roman"/>
          <w:kern w:val="0"/>
          <w:szCs w:val="24"/>
        </w:rPr>
        <w:t>（赶工）</w:t>
      </w:r>
      <w:r>
        <w:rPr>
          <w:rFonts w:ascii="宋体" w:hAnsi="宋体" w:eastAsia="宋体" w:cs="Times New Roman"/>
          <w:kern w:val="0"/>
          <w:szCs w:val="24"/>
        </w:rPr>
        <w:t>指示，承包人应向发包人和监理人提交提前竣工</w:t>
      </w:r>
      <w:r>
        <w:rPr>
          <w:rFonts w:hint="eastAsia" w:ascii="宋体" w:hAnsi="宋体" w:eastAsia="宋体" w:cs="Times New Roman"/>
          <w:kern w:val="0"/>
          <w:szCs w:val="24"/>
        </w:rPr>
        <w:t>（赶工）</w:t>
      </w:r>
      <w:r>
        <w:rPr>
          <w:rFonts w:ascii="宋体" w:hAnsi="宋体" w:eastAsia="宋体" w:cs="Times New Roman"/>
          <w:kern w:val="0"/>
          <w:szCs w:val="24"/>
        </w:rPr>
        <w:t>建议书，提前竣工</w:t>
      </w:r>
      <w:r>
        <w:rPr>
          <w:rFonts w:hint="eastAsia" w:ascii="宋体" w:hAnsi="宋体" w:eastAsia="宋体" w:cs="Times New Roman"/>
          <w:kern w:val="0"/>
          <w:szCs w:val="24"/>
        </w:rPr>
        <w:t>（赶工）</w:t>
      </w:r>
      <w:r>
        <w:rPr>
          <w:rFonts w:ascii="宋体" w:hAnsi="宋体" w:eastAsia="宋体" w:cs="Times New Roman"/>
          <w:kern w:val="0"/>
          <w:szCs w:val="24"/>
        </w:rPr>
        <w:t>建议书应包括实施的方案、缩短的时间、增加的合同价格等内容。发包人接受该提前竣工</w:t>
      </w:r>
      <w:r>
        <w:rPr>
          <w:rFonts w:hint="eastAsia" w:ascii="宋体" w:hAnsi="宋体" w:eastAsia="宋体" w:cs="Times New Roman"/>
          <w:kern w:val="0"/>
          <w:szCs w:val="24"/>
        </w:rPr>
        <w:t>（赶工）</w:t>
      </w:r>
      <w:r>
        <w:rPr>
          <w:rFonts w:ascii="宋体" w:hAnsi="宋体" w:eastAsia="宋体" w:cs="Times New Roman"/>
          <w:kern w:val="0"/>
          <w:szCs w:val="24"/>
        </w:rPr>
        <w:t>建议书的，监理人应与发包人和承包人协商采取加快工程进度的措施，并修订施工进度计划，由此增加的</w:t>
      </w:r>
      <w:r>
        <w:rPr>
          <w:rFonts w:hint="eastAsia" w:ascii="宋体" w:hAnsi="宋体" w:eastAsia="宋体" w:cs="Times New Roman"/>
          <w:kern w:val="0"/>
          <w:szCs w:val="24"/>
        </w:rPr>
        <w:t>提前竣工（赶工补偿）</w:t>
      </w:r>
      <w:r>
        <w:rPr>
          <w:rFonts w:ascii="宋体" w:hAnsi="宋体" w:eastAsia="宋体" w:cs="Times New Roman"/>
          <w:kern w:val="0"/>
          <w:szCs w:val="24"/>
        </w:rPr>
        <w:t>费用由发包人承担</w:t>
      </w:r>
      <w:r>
        <w:rPr>
          <w:rFonts w:hint="eastAsia" w:ascii="宋体" w:hAnsi="宋体" w:eastAsia="宋体" w:cs="Times New Roman"/>
          <w:kern w:val="0"/>
          <w:szCs w:val="24"/>
        </w:rPr>
        <w:t>，发承包双方可以在</w:t>
      </w:r>
      <w:r>
        <w:rPr>
          <w:rFonts w:hint="eastAsia" w:ascii="宋体" w:hAnsi="宋体" w:eastAsia="宋体" w:cs="Times New Roman"/>
          <w:b/>
          <w:bCs/>
          <w:i/>
          <w:iCs/>
          <w:kern w:val="0"/>
          <w:szCs w:val="24"/>
        </w:rPr>
        <w:t>专用条款</w:t>
      </w:r>
      <w:r>
        <w:rPr>
          <w:rFonts w:hint="eastAsia" w:ascii="宋体" w:hAnsi="宋体" w:eastAsia="宋体" w:cs="Times New Roman"/>
          <w:kern w:val="0"/>
          <w:szCs w:val="24"/>
        </w:rPr>
        <w:t>中约定提前竣工（赶工补偿）费用计算方法及上限</w:t>
      </w:r>
      <w:r>
        <w:rPr>
          <w:rFonts w:ascii="宋体" w:hAnsi="宋体" w:eastAsia="宋体" w:cs="Times New Roman"/>
          <w:kern w:val="0"/>
          <w:szCs w:val="24"/>
        </w:rPr>
        <w:t>。</w:t>
      </w:r>
      <w:r>
        <w:rPr>
          <w:rFonts w:hint="eastAsia" w:ascii="宋体" w:hAnsi="宋体" w:eastAsia="宋体" w:cs="Times New Roman"/>
          <w:kern w:val="0"/>
          <w:szCs w:val="24"/>
        </w:rPr>
        <w:t>承包人认为提前竣工（赶工）指示无法执行的，应向</w:t>
      </w:r>
      <w:r>
        <w:rPr>
          <w:rFonts w:ascii="宋体" w:hAnsi="宋体" w:eastAsia="宋体" w:cs="Times New Roman"/>
          <w:kern w:val="0"/>
          <w:szCs w:val="24"/>
        </w:rPr>
        <w:t>监理人</w:t>
      </w:r>
      <w:r>
        <w:rPr>
          <w:rFonts w:hint="eastAsia" w:ascii="宋体" w:hAnsi="宋体" w:eastAsia="宋体" w:cs="Times New Roman"/>
          <w:kern w:val="0"/>
          <w:szCs w:val="24"/>
        </w:rPr>
        <w:t>和发包人提出书面异议，发包人和</w:t>
      </w:r>
      <w:r>
        <w:rPr>
          <w:rFonts w:ascii="宋体" w:hAnsi="宋体" w:eastAsia="宋体" w:cs="Times New Roman"/>
          <w:kern w:val="0"/>
          <w:szCs w:val="24"/>
        </w:rPr>
        <w:t>监理人</w:t>
      </w:r>
      <w:r>
        <w:rPr>
          <w:rFonts w:hint="eastAsia" w:ascii="宋体" w:hAnsi="宋体" w:eastAsia="宋体" w:cs="Times New Roman"/>
          <w:kern w:val="0"/>
          <w:szCs w:val="24"/>
        </w:rPr>
        <w:t>应在收到异议后7天内予以答复。</w:t>
      </w:r>
    </w:p>
    <w:p w14:paraId="7D2347F8">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(2)承包人提出提前竣工（赶工）的，应</w:t>
      </w:r>
      <w:r>
        <w:rPr>
          <w:rFonts w:ascii="宋体" w:hAnsi="宋体" w:eastAsia="宋体" w:cs="Times New Roman"/>
          <w:kern w:val="0"/>
          <w:szCs w:val="24"/>
        </w:rPr>
        <w:t>向发包人和监理人提交提前竣工</w:t>
      </w:r>
      <w:r>
        <w:rPr>
          <w:rFonts w:hint="eastAsia" w:ascii="宋体" w:hAnsi="宋体" w:eastAsia="宋体" w:cs="Times New Roman"/>
          <w:kern w:val="0"/>
          <w:szCs w:val="24"/>
        </w:rPr>
        <w:t>（赶工）</w:t>
      </w:r>
      <w:r>
        <w:rPr>
          <w:rFonts w:ascii="宋体" w:hAnsi="宋体" w:eastAsia="宋体" w:cs="Times New Roman"/>
          <w:kern w:val="0"/>
          <w:szCs w:val="24"/>
        </w:rPr>
        <w:t>建议书，提前竣工</w:t>
      </w:r>
      <w:r>
        <w:rPr>
          <w:rFonts w:hint="eastAsia" w:ascii="宋体" w:hAnsi="宋体" w:eastAsia="宋体" w:cs="Times New Roman"/>
          <w:kern w:val="0"/>
          <w:szCs w:val="24"/>
        </w:rPr>
        <w:t>（赶工）</w:t>
      </w:r>
      <w:r>
        <w:rPr>
          <w:rFonts w:ascii="宋体" w:hAnsi="宋体" w:eastAsia="宋体" w:cs="Times New Roman"/>
          <w:kern w:val="0"/>
          <w:szCs w:val="24"/>
        </w:rPr>
        <w:t>建议书应包括实施的方案、缩短的时间、增加的合同价格等内容。发包人接受该提前竣工</w:t>
      </w:r>
      <w:r>
        <w:rPr>
          <w:rFonts w:hint="eastAsia" w:ascii="宋体" w:hAnsi="宋体" w:eastAsia="宋体" w:cs="Times New Roman"/>
          <w:kern w:val="0"/>
          <w:szCs w:val="24"/>
        </w:rPr>
        <w:t>（赶工）</w:t>
      </w:r>
      <w:r>
        <w:rPr>
          <w:rFonts w:ascii="宋体" w:hAnsi="宋体" w:eastAsia="宋体" w:cs="Times New Roman"/>
          <w:kern w:val="0"/>
          <w:szCs w:val="24"/>
        </w:rPr>
        <w:t>建议书的，监理人应与发包人和承包人协商采取加快工程进度的措施，并修订施工进度计划，由此增加的</w:t>
      </w:r>
      <w:r>
        <w:rPr>
          <w:rFonts w:hint="eastAsia" w:ascii="宋体" w:hAnsi="宋体" w:eastAsia="宋体" w:cs="Times New Roman"/>
          <w:kern w:val="0"/>
          <w:szCs w:val="24"/>
        </w:rPr>
        <w:t>提前竣工（赶工补偿）</w:t>
      </w:r>
      <w:r>
        <w:rPr>
          <w:rFonts w:ascii="宋体" w:hAnsi="宋体" w:eastAsia="宋体" w:cs="Times New Roman"/>
          <w:kern w:val="0"/>
          <w:szCs w:val="24"/>
        </w:rPr>
        <w:t>费用由发包人</w:t>
      </w:r>
      <w:r>
        <w:rPr>
          <w:rFonts w:hint="eastAsia" w:ascii="宋体" w:hAnsi="宋体" w:eastAsia="宋体" w:cs="Times New Roman"/>
          <w:kern w:val="0"/>
          <w:szCs w:val="24"/>
        </w:rPr>
        <w:t>和承包人在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w:t>
      </w:r>
      <w:r>
        <w:rPr>
          <w:rFonts w:ascii="宋体" w:hAnsi="宋体" w:eastAsia="宋体" w:cs="Times New Roman"/>
          <w:kern w:val="0"/>
          <w:szCs w:val="24"/>
        </w:rPr>
        <w:t>。</w:t>
      </w:r>
    </w:p>
    <w:p w14:paraId="29DB56F2">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3)</w:t>
      </w:r>
      <w:r>
        <w:rPr>
          <w:rFonts w:hint="eastAsia" w:ascii="宋体" w:hAnsi="宋体" w:eastAsia="宋体" w:cs="Times New Roman"/>
          <w:kern w:val="0"/>
          <w:szCs w:val="24"/>
        </w:rPr>
        <w:t>除</w:t>
      </w:r>
      <w:r>
        <w:rPr>
          <w:rFonts w:hint="eastAsia" w:ascii="宋体" w:hAnsi="宋体" w:eastAsia="宋体" w:cs="Times New Roman"/>
          <w:b/>
          <w:i/>
          <w:kern w:val="0"/>
          <w:szCs w:val="24"/>
        </w:rPr>
        <w:t>专用条款</w:t>
      </w:r>
      <w:r>
        <w:rPr>
          <w:rFonts w:hint="eastAsia" w:ascii="宋体" w:hAnsi="宋体" w:eastAsia="宋体" w:cs="Times New Roman"/>
          <w:kern w:val="0"/>
          <w:szCs w:val="24"/>
        </w:rPr>
        <w:t>另有约定外，提前竣工时间是以合同工期加上经发包人批准的延长工期减去实际工期计算(即：提前竣工时间=合同工期+经发包人批准的延长工期-实际工期)。</w:t>
      </w:r>
    </w:p>
    <w:p w14:paraId="040EC6B5">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761" w:name="_Toc201735327"/>
      <w:bookmarkEnd w:id="1761"/>
      <w:bookmarkStart w:id="1762" w:name="_Toc269720080"/>
      <w:bookmarkStart w:id="1763" w:name="_Toc19595"/>
      <w:bookmarkStart w:id="1764" w:name="_Toc265849470"/>
      <w:bookmarkStart w:id="1765" w:name="_Toc302635783"/>
      <w:bookmarkStart w:id="1766" w:name="_Toc24529"/>
      <w:bookmarkStart w:id="1767" w:name="_Toc24226"/>
      <w:bookmarkStart w:id="1768" w:name="_Toc31358"/>
      <w:bookmarkStart w:id="1769" w:name="_Toc208587536"/>
      <w:bookmarkStart w:id="1770" w:name="_Toc18337"/>
      <w:bookmarkStart w:id="1771" w:name="_Toc11084"/>
      <w:bookmarkStart w:id="1772" w:name="_Toc26997"/>
      <w:bookmarkStart w:id="1773" w:name="_Toc10098"/>
      <w:bookmarkStart w:id="1774" w:name="_Toc920496142"/>
      <w:bookmarkStart w:id="1775" w:name="_Toc201735328"/>
      <w:bookmarkStart w:id="1776" w:name="_Toc305331304"/>
      <w:bookmarkStart w:id="1777" w:name="_Toc23181"/>
      <w:bookmarkStart w:id="1778" w:name="_Toc2801"/>
      <w:r>
        <w:rPr>
          <w:rFonts w:hint="eastAsia" w:ascii="宋体" w:hAnsi="宋体" w:eastAsia="宋体" w:cs="Times New Roman"/>
          <w:b/>
          <w:bCs/>
          <w:kern w:val="0"/>
          <w:sz w:val="24"/>
          <w:szCs w:val="24"/>
          <w:lang w:val="en-US" w:eastAsia="zh-CN" w:bidi="ar-SA"/>
        </w:rPr>
        <w:t>工作时间的限制</w:t>
      </w:r>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p>
    <w:p w14:paraId="18B54330">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承包人在夜间或国家规定的节假日进行永久工程的施工应经</w:t>
      </w:r>
      <w:r>
        <w:rPr>
          <w:rFonts w:ascii="宋体" w:hAnsi="宋体" w:eastAsia="宋体" w:cs="Times New Roman"/>
          <w:kern w:val="0"/>
          <w:szCs w:val="24"/>
        </w:rPr>
        <w:t>监理人</w:t>
      </w:r>
      <w:r>
        <w:rPr>
          <w:rFonts w:hint="eastAsia" w:ascii="宋体" w:hAnsi="宋体" w:eastAsia="宋体" w:cs="Times New Roman"/>
          <w:kern w:val="0"/>
          <w:szCs w:val="24"/>
        </w:rPr>
        <w:t>的认可，并应遵守当地政府的有关规定或取得有关部门的批准，但是为了抢救生命或保护财产，或为了工程的安全、质量而不可避免的或绝对必要的作业，则不必事先经</w:t>
      </w:r>
      <w:r>
        <w:rPr>
          <w:rFonts w:ascii="宋体" w:hAnsi="宋体" w:eastAsia="宋体" w:cs="Times New Roman"/>
          <w:kern w:val="0"/>
          <w:szCs w:val="24"/>
        </w:rPr>
        <w:t>监理人</w:t>
      </w:r>
      <w:r>
        <w:rPr>
          <w:rFonts w:hint="eastAsia" w:ascii="宋体" w:hAnsi="宋体" w:eastAsia="宋体" w:cs="Times New Roman"/>
          <w:kern w:val="0"/>
          <w:szCs w:val="24"/>
        </w:rPr>
        <w:t>的许可，但应在事后立即向</w:t>
      </w:r>
      <w:r>
        <w:rPr>
          <w:rFonts w:ascii="宋体" w:hAnsi="宋体" w:eastAsia="宋体" w:cs="Times New Roman"/>
          <w:kern w:val="0"/>
          <w:szCs w:val="24"/>
        </w:rPr>
        <w:t>监理人</w:t>
      </w:r>
      <w:r>
        <w:rPr>
          <w:rFonts w:hint="eastAsia" w:ascii="宋体" w:hAnsi="宋体" w:eastAsia="宋体" w:cs="Times New Roman"/>
          <w:kern w:val="0"/>
          <w:szCs w:val="24"/>
        </w:rPr>
        <w:t>报告。</w:t>
      </w:r>
    </w:p>
    <w:p w14:paraId="1D955318">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hint="eastAsia" w:ascii="华文细黑" w:hAnsi="宋体" w:eastAsia="宋体" w:cs="Times New Roman"/>
          <w:b/>
          <w:bCs/>
          <w:snapToGrid w:val="0"/>
          <w:kern w:val="0"/>
          <w:sz w:val="28"/>
          <w:szCs w:val="44"/>
          <w:lang w:val="en-US" w:eastAsia="zh-CN" w:bidi="ar-SA"/>
        </w:rPr>
      </w:pPr>
      <w:bookmarkStart w:id="1779" w:name="_Toc14408"/>
      <w:bookmarkStart w:id="1780" w:name="_Toc13314"/>
      <w:bookmarkStart w:id="1781" w:name="_Toc208587537"/>
      <w:bookmarkStart w:id="1782" w:name="_Toc9937"/>
      <w:bookmarkStart w:id="1783" w:name="_Toc31925"/>
      <w:bookmarkStart w:id="1784" w:name="_Toc30026"/>
      <w:bookmarkStart w:id="1785" w:name="_Toc24906"/>
      <w:bookmarkStart w:id="1786" w:name="_Toc6012"/>
      <w:bookmarkStart w:id="1787" w:name="_Toc8073"/>
      <w:bookmarkStart w:id="1788" w:name="_Toc201735329"/>
      <w:bookmarkStart w:id="1789" w:name="_Toc13266"/>
      <w:bookmarkStart w:id="1790" w:name="_Toc1796527733"/>
      <w:bookmarkStart w:id="1791" w:name="_Toc302635785"/>
      <w:bookmarkStart w:id="1792" w:name="_Toc305331305"/>
      <w:bookmarkStart w:id="1793" w:name="_Toc35656984"/>
      <w:bookmarkStart w:id="1794" w:name="_Toc35656482"/>
      <w:bookmarkStart w:id="1795" w:name="_Toc34909044"/>
      <w:r>
        <w:rPr>
          <w:rFonts w:hint="eastAsia" w:ascii="华文细黑" w:hAnsi="宋体" w:eastAsia="宋体" w:cs="Times New Roman"/>
          <w:b/>
          <w:bCs/>
          <w:snapToGrid w:val="0"/>
          <w:kern w:val="0"/>
          <w:sz w:val="28"/>
          <w:szCs w:val="44"/>
          <w:lang w:val="en-US" w:eastAsia="zh-CN" w:bidi="ar-SA"/>
        </w:rPr>
        <w:t>材料与工程设备的供应和检验</w:t>
      </w:r>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p>
    <w:p w14:paraId="6AC47DA5">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796" w:name="_Toc208587538"/>
      <w:bookmarkStart w:id="1797" w:name="_Toc588"/>
      <w:bookmarkStart w:id="1798" w:name="_Toc102182392"/>
      <w:bookmarkStart w:id="1799" w:name="_Toc10401"/>
      <w:bookmarkStart w:id="1800" w:name="_Toc201735330"/>
      <w:bookmarkStart w:id="1801" w:name="_Toc27490"/>
      <w:bookmarkStart w:id="1802" w:name="_Toc25752"/>
      <w:bookmarkStart w:id="1803" w:name="_Toc302635786"/>
      <w:bookmarkStart w:id="1804" w:name="_Toc305331306"/>
      <w:bookmarkStart w:id="1805" w:name="_Toc11354"/>
      <w:bookmarkStart w:id="1806" w:name="_Toc16362"/>
      <w:bookmarkStart w:id="1807" w:name="_Toc29203"/>
      <w:bookmarkStart w:id="1808" w:name="_Toc1460"/>
      <w:bookmarkStart w:id="1809" w:name="_Toc24734"/>
      <w:bookmarkStart w:id="1810" w:name="_Toc32051"/>
      <w:r>
        <w:rPr>
          <w:rFonts w:hint="eastAsia" w:ascii="宋体" w:hAnsi="宋体" w:eastAsia="宋体" w:cs="Times New Roman"/>
          <w:b/>
          <w:bCs/>
          <w:kern w:val="0"/>
          <w:sz w:val="24"/>
          <w:szCs w:val="24"/>
          <w:lang w:val="en-US" w:eastAsia="zh-CN" w:bidi="ar-SA"/>
        </w:rPr>
        <w:t>发包人供应材料与工程设备</w:t>
      </w:r>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p>
    <w:p w14:paraId="7C2EA281">
      <w:pPr>
        <w:tabs>
          <w:tab w:val="left" w:pos="1620"/>
          <w:tab w:val="left" w:pos="2340"/>
        </w:tabs>
        <w:spacing w:after="156"/>
        <w:ind w:left="899"/>
        <w:jc w:val="left"/>
        <w:rPr>
          <w:rFonts w:hint="eastAsia" w:ascii="宋体" w:hAnsi="宋体" w:eastAsia="宋体" w:cs="Times New Roman"/>
          <w:kern w:val="0"/>
          <w:szCs w:val="24"/>
        </w:rPr>
      </w:pPr>
      <w:bookmarkStart w:id="1811" w:name="_Toc34909045"/>
      <w:r>
        <w:rPr>
          <w:rFonts w:hint="eastAsia" w:ascii="宋体" w:hAnsi="宋体" w:eastAsia="宋体" w:cs="Times New Roman"/>
          <w:kern w:val="0"/>
          <w:szCs w:val="24"/>
        </w:rPr>
        <w:t>(1)发包人供应材料与工程设备的，应在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列出相应材料与工程设备清单。材料与工程设备清单中应约定发包人供应材料与工程设备的品种、规格、型号、数量、单价、质量等级、提供时间和地点。发包人应按材料与工程设备清单中的约定向承包人提供材料与工程设备，并提供产品质量合格证明，对材料与工程设备质量负责。</w:t>
      </w:r>
      <w:r>
        <w:rPr>
          <w:rFonts w:ascii="宋体" w:hAnsi="宋体" w:eastAsia="宋体" w:cs="Times New Roman"/>
          <w:kern w:val="0"/>
          <w:szCs w:val="24"/>
        </w:rPr>
        <w:t>承包人按照第</w:t>
      </w:r>
      <w:r>
        <w:rPr>
          <w:rFonts w:hint="eastAsia" w:ascii="宋体" w:hAnsi="宋体" w:eastAsia="宋体" w:cs="Times New Roman"/>
          <w:kern w:val="0"/>
          <w:szCs w:val="24"/>
        </w:rPr>
        <w:t>9.3款【工程</w:t>
      </w:r>
      <w:r>
        <w:rPr>
          <w:rFonts w:ascii="宋体" w:hAnsi="宋体" w:eastAsia="宋体" w:cs="Times New Roman"/>
          <w:kern w:val="0"/>
          <w:szCs w:val="24"/>
        </w:rPr>
        <w:t>进度计划</w:t>
      </w:r>
      <w:r>
        <w:rPr>
          <w:rFonts w:hint="eastAsia" w:ascii="宋体" w:hAnsi="宋体" w:eastAsia="宋体" w:cs="Times New Roman"/>
          <w:kern w:val="0"/>
          <w:szCs w:val="24"/>
        </w:rPr>
        <w:t>】</w:t>
      </w:r>
      <w:r>
        <w:rPr>
          <w:rFonts w:ascii="宋体" w:hAnsi="宋体" w:eastAsia="宋体" w:cs="Times New Roman"/>
          <w:kern w:val="0"/>
          <w:szCs w:val="24"/>
        </w:rPr>
        <w:t>约定修订施工进度计划时，需同时提交经修订后的发包人供应材料与工程设备的进场计划。</w:t>
      </w:r>
    </w:p>
    <w:p w14:paraId="14D075E1">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承包人应提前30天通过监理人以书面形式通知发包人供应材料与工程设备进场。</w:t>
      </w:r>
      <w:r>
        <w:rPr>
          <w:rFonts w:hint="eastAsia" w:ascii="宋体" w:hAnsi="宋体" w:eastAsia="宋体" w:cs="Times New Roman"/>
          <w:kern w:val="0"/>
          <w:szCs w:val="24"/>
        </w:rPr>
        <w:t>发包人在所供材料与工程设备到货前24小时通知承包人，</w:t>
      </w:r>
      <w:r>
        <w:rPr>
          <w:rFonts w:ascii="Times New Roman" w:hAnsi="宋体" w:eastAsia="宋体" w:cs="Times New Roman"/>
          <w:szCs w:val="24"/>
        </w:rPr>
        <w:t>货物运到施工场地后，</w:t>
      </w:r>
      <w:r>
        <w:rPr>
          <w:rFonts w:hint="eastAsia" w:ascii="Times New Roman" w:hAnsi="宋体" w:eastAsia="宋体" w:cs="Times New Roman"/>
          <w:szCs w:val="24"/>
        </w:rPr>
        <w:t>发包人和</w:t>
      </w:r>
      <w:r>
        <w:rPr>
          <w:rFonts w:ascii="Times New Roman" w:hAnsi="宋体" w:eastAsia="宋体" w:cs="Times New Roman"/>
          <w:szCs w:val="24"/>
        </w:rPr>
        <w:t>承包人</w:t>
      </w:r>
      <w:r>
        <w:rPr>
          <w:rFonts w:hint="eastAsia" w:ascii="宋体" w:hAnsi="宋体" w:eastAsia="宋体" w:cs="Times New Roman"/>
          <w:kern w:val="0"/>
          <w:szCs w:val="24"/>
        </w:rPr>
        <w:t>双方在</w:t>
      </w:r>
      <w:r>
        <w:rPr>
          <w:rFonts w:ascii="宋体" w:hAnsi="宋体" w:eastAsia="宋体" w:cs="Times New Roman"/>
          <w:kern w:val="0"/>
          <w:szCs w:val="24"/>
        </w:rPr>
        <w:t>监理人</w:t>
      </w:r>
      <w:r>
        <w:rPr>
          <w:rFonts w:hint="eastAsia" w:ascii="宋体" w:hAnsi="宋体" w:eastAsia="宋体" w:cs="Times New Roman"/>
          <w:kern w:val="0"/>
          <w:szCs w:val="24"/>
        </w:rPr>
        <w:t>的见证下进行验收交接，并按承包人指定的地点和方式堆放。</w:t>
      </w:r>
      <w:bookmarkEnd w:id="1811"/>
      <w:r>
        <w:rPr>
          <w:rFonts w:hint="eastAsia" w:ascii="宋体" w:hAnsi="宋体" w:eastAsia="宋体" w:cs="Times New Roman"/>
          <w:kern w:val="0"/>
          <w:szCs w:val="24"/>
        </w:rPr>
        <w:t>发承包双方完成交验后，发包人仍应对由其提供的材料与工程设备承担有关质量责任。</w:t>
      </w:r>
    </w:p>
    <w:p w14:paraId="099C4750">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(3)发包人对其供应的材料与工程设备履行完毕本款第(2)项约定验交程序，且承包人接收后，由承包人负责保管，因承包人原因发生的丢失、盗失、毁损等由承包人负责赔偿。发包人按第7</w:t>
      </w:r>
      <w:r>
        <w:rPr>
          <w:rFonts w:ascii="宋体" w:hAnsi="宋体" w:eastAsia="宋体" w:cs="Times New Roman"/>
          <w:kern w:val="0"/>
          <w:szCs w:val="24"/>
        </w:rPr>
        <w:t>.2</w:t>
      </w:r>
      <w:r>
        <w:rPr>
          <w:rFonts w:hint="eastAsia" w:ascii="宋体" w:hAnsi="宋体" w:eastAsia="宋体" w:cs="Times New Roman"/>
          <w:kern w:val="0"/>
          <w:szCs w:val="24"/>
        </w:rPr>
        <w:t>款【总承包服务费】约定向承包人支付发包人供应材料设备保管费。</w:t>
      </w:r>
    </w:p>
    <w:p w14:paraId="6DA458BA">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(4)如发包人未履行本款第(2)项约定的验交程序，则承包人不负责保管，发生的丢失、盗失、毁损等由发包人负责，但承包人没有提出异议，且已收取发包人支付的相应保管费用的除外。承包人</w:t>
      </w:r>
      <w:r>
        <w:rPr>
          <w:rFonts w:ascii="Times New Roman" w:hAnsi="宋体" w:eastAsia="宋体" w:cs="Times New Roman"/>
          <w:szCs w:val="24"/>
        </w:rPr>
        <w:t>未</w:t>
      </w:r>
      <w:r>
        <w:rPr>
          <w:rFonts w:hint="eastAsia" w:ascii="Times New Roman" w:hAnsi="宋体" w:eastAsia="宋体" w:cs="Times New Roman"/>
          <w:szCs w:val="24"/>
        </w:rPr>
        <w:t>按发包人通知要求参加</w:t>
      </w:r>
      <w:r>
        <w:rPr>
          <w:rFonts w:ascii="Times New Roman" w:hAnsi="宋体" w:eastAsia="宋体" w:cs="Times New Roman"/>
          <w:szCs w:val="24"/>
        </w:rPr>
        <w:t>验收的，视为承包人已验收合格，相应的保管责任由承包人承担。</w:t>
      </w:r>
    </w:p>
    <w:p w14:paraId="3670BEC4">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812" w:name="_Toc31801"/>
      <w:bookmarkStart w:id="1813" w:name="_Toc22446"/>
      <w:bookmarkStart w:id="1814" w:name="_Toc17386"/>
      <w:bookmarkStart w:id="1815" w:name="_Toc10973"/>
      <w:bookmarkStart w:id="1816" w:name="_Toc305331307"/>
      <w:bookmarkStart w:id="1817" w:name="_Toc1080"/>
      <w:bookmarkStart w:id="1818" w:name="_Toc201735331"/>
      <w:bookmarkStart w:id="1819" w:name="_Toc9639"/>
      <w:bookmarkStart w:id="1820" w:name="_Toc1016909933"/>
      <w:bookmarkStart w:id="1821" w:name="_Toc29255"/>
      <w:bookmarkStart w:id="1822" w:name="_Toc302635787"/>
      <w:bookmarkStart w:id="1823" w:name="_Toc26106"/>
      <w:bookmarkStart w:id="1824" w:name="_Toc11187"/>
      <w:bookmarkStart w:id="1825" w:name="_Toc208587539"/>
      <w:bookmarkStart w:id="1826" w:name="_Toc24065"/>
      <w:bookmarkStart w:id="1827" w:name="_Toc34909049"/>
      <w:r>
        <w:rPr>
          <w:rFonts w:hint="eastAsia" w:ascii="宋体" w:hAnsi="宋体" w:eastAsia="宋体" w:cs="Times New Roman"/>
          <w:b/>
          <w:bCs/>
          <w:kern w:val="0"/>
          <w:sz w:val="24"/>
          <w:szCs w:val="24"/>
          <w:lang w:val="en-US" w:eastAsia="zh-CN" w:bidi="ar-SA"/>
        </w:rPr>
        <w:t>发包人供应材料与工程设备的结算</w:t>
      </w:r>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p>
    <w:bookmarkEnd w:id="1827"/>
    <w:p w14:paraId="1A55AC37">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除非</w:t>
      </w:r>
      <w:r>
        <w:rPr>
          <w:rFonts w:hint="eastAsia" w:ascii="宋体" w:hAnsi="宋体" w:eastAsia="宋体" w:cs="Times New Roman"/>
          <w:b/>
          <w:i/>
          <w:kern w:val="0"/>
          <w:szCs w:val="24"/>
        </w:rPr>
        <w:t>专用条款</w:t>
      </w:r>
      <w:r>
        <w:rPr>
          <w:rFonts w:hint="eastAsia" w:ascii="宋体" w:hAnsi="宋体" w:eastAsia="宋体" w:cs="Times New Roman"/>
          <w:kern w:val="0"/>
          <w:szCs w:val="24"/>
        </w:rPr>
        <w:t>中另有约定，</w:t>
      </w:r>
      <w:r>
        <w:rPr>
          <w:rFonts w:ascii="宋体" w:hAnsi="宋体" w:eastAsia="宋体" w:cs="Times New Roman"/>
          <w:kern w:val="0"/>
          <w:szCs w:val="24"/>
        </w:rPr>
        <w:t>本工程发包</w:t>
      </w:r>
      <w:r>
        <w:rPr>
          <w:rFonts w:hint="eastAsia" w:ascii="宋体" w:hAnsi="宋体" w:eastAsia="宋体" w:cs="Times New Roman"/>
          <w:kern w:val="0"/>
          <w:szCs w:val="24"/>
        </w:rPr>
        <w:t>人供应材料与工程设备</w:t>
      </w:r>
      <w:r>
        <w:rPr>
          <w:rFonts w:ascii="宋体" w:hAnsi="宋体" w:eastAsia="宋体" w:cs="Times New Roman"/>
          <w:kern w:val="0"/>
          <w:szCs w:val="24"/>
        </w:rPr>
        <w:t>按如下方式结算：</w:t>
      </w:r>
    </w:p>
    <w:p w14:paraId="0311A479">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(1)承包人</w:t>
      </w:r>
      <w:r>
        <w:rPr>
          <w:rFonts w:ascii="宋体" w:hAnsi="宋体" w:eastAsia="宋体" w:cs="Times New Roman"/>
          <w:kern w:val="0"/>
          <w:szCs w:val="24"/>
        </w:rPr>
        <w:t>按发包人要求、竣工图纸和</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约定的有效损耗率</w:t>
      </w:r>
      <w:r>
        <w:rPr>
          <w:rFonts w:ascii="宋体" w:hAnsi="宋体" w:eastAsia="宋体" w:cs="Times New Roman"/>
          <w:kern w:val="0"/>
          <w:szCs w:val="24"/>
        </w:rPr>
        <w:t>计算本工程需用的发包</w:t>
      </w:r>
      <w:r>
        <w:rPr>
          <w:rFonts w:hint="eastAsia" w:ascii="宋体" w:hAnsi="宋体" w:eastAsia="宋体" w:cs="Times New Roman"/>
          <w:kern w:val="0"/>
          <w:szCs w:val="24"/>
        </w:rPr>
        <w:t>人供应材料与工程设备的</w:t>
      </w:r>
      <w:r>
        <w:rPr>
          <w:rFonts w:ascii="宋体" w:hAnsi="宋体" w:eastAsia="宋体" w:cs="Times New Roman"/>
          <w:kern w:val="0"/>
          <w:szCs w:val="24"/>
        </w:rPr>
        <w:t>合理数量</w:t>
      </w:r>
      <w:r>
        <w:rPr>
          <w:rFonts w:hint="eastAsia" w:ascii="宋体" w:hAnsi="宋体" w:eastAsia="宋体" w:cs="Times New Roman"/>
          <w:kern w:val="0"/>
          <w:szCs w:val="24"/>
        </w:rPr>
        <w:t>（工程设备不计损耗），经</w:t>
      </w:r>
      <w:r>
        <w:rPr>
          <w:rFonts w:ascii="宋体" w:hAnsi="宋体" w:eastAsia="宋体" w:cs="Times New Roman"/>
          <w:kern w:val="0"/>
          <w:szCs w:val="24"/>
        </w:rPr>
        <w:t>监理人</w:t>
      </w:r>
      <w:r>
        <w:rPr>
          <w:rFonts w:hint="eastAsia" w:ascii="宋体" w:hAnsi="宋体" w:eastAsia="宋体" w:cs="Times New Roman"/>
          <w:kern w:val="0"/>
          <w:szCs w:val="24"/>
        </w:rPr>
        <w:t>审核后报发包人确认</w:t>
      </w:r>
      <w:r>
        <w:rPr>
          <w:rFonts w:ascii="宋体" w:hAnsi="宋体" w:eastAsia="宋体" w:cs="Times New Roman"/>
          <w:kern w:val="0"/>
          <w:szCs w:val="24"/>
        </w:rPr>
        <w:t>；</w:t>
      </w:r>
    </w:p>
    <w:p w14:paraId="618D1FEE">
      <w:pPr>
        <w:tabs>
          <w:tab w:val="left" w:pos="1620"/>
          <w:tab w:val="left" w:pos="2340"/>
        </w:tabs>
        <w:ind w:left="869" w:leftChars="414"/>
        <w:jc w:val="left"/>
        <w:rPr>
          <w:rFonts w:hint="eastAsia"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发包</w:t>
      </w:r>
      <w:r>
        <w:rPr>
          <w:rFonts w:hint="eastAsia" w:ascii="宋体" w:hAnsi="宋体" w:eastAsia="宋体" w:cs="Times New Roman"/>
          <w:kern w:val="0"/>
          <w:szCs w:val="24"/>
        </w:rPr>
        <w:t>人供应材料与工程设备</w:t>
      </w:r>
      <w:r>
        <w:rPr>
          <w:rFonts w:ascii="宋体" w:hAnsi="宋体" w:eastAsia="宋体" w:cs="Times New Roman"/>
          <w:kern w:val="0"/>
          <w:szCs w:val="24"/>
        </w:rPr>
        <w:t>的结算单价按照发包人通过招标</w:t>
      </w:r>
      <w:r>
        <w:rPr>
          <w:rFonts w:hint="eastAsia" w:ascii="宋体" w:hAnsi="宋体" w:eastAsia="宋体" w:cs="Times New Roman"/>
          <w:kern w:val="0"/>
          <w:szCs w:val="24"/>
        </w:rPr>
        <w:t>或询价采购等</w:t>
      </w:r>
      <w:r>
        <w:rPr>
          <w:rFonts w:ascii="宋体" w:hAnsi="宋体" w:eastAsia="宋体" w:cs="Times New Roman"/>
          <w:kern w:val="0"/>
          <w:szCs w:val="24"/>
        </w:rPr>
        <w:t>方式确定的</w:t>
      </w:r>
      <w:r>
        <w:rPr>
          <w:rFonts w:hint="eastAsia" w:ascii="宋体" w:hAnsi="宋体" w:eastAsia="宋体" w:cs="Times New Roman"/>
          <w:kern w:val="0"/>
          <w:szCs w:val="24"/>
        </w:rPr>
        <w:t>材料与工程设备</w:t>
      </w:r>
      <w:r>
        <w:rPr>
          <w:rFonts w:ascii="宋体" w:hAnsi="宋体" w:eastAsia="宋体" w:cs="Times New Roman"/>
          <w:kern w:val="0"/>
          <w:szCs w:val="24"/>
        </w:rPr>
        <w:t>单价计算</w:t>
      </w:r>
      <w:r>
        <w:rPr>
          <w:rFonts w:hint="eastAsia" w:ascii="宋体" w:hAnsi="宋体" w:eastAsia="宋体" w:cs="Times New Roman"/>
          <w:kern w:val="0"/>
          <w:szCs w:val="24"/>
        </w:rPr>
        <w:t xml:space="preserve">； </w:t>
      </w:r>
    </w:p>
    <w:p w14:paraId="6E8CBCCC">
      <w:pPr>
        <w:tabs>
          <w:tab w:val="left" w:pos="1620"/>
          <w:tab w:val="left" w:pos="2340"/>
        </w:tabs>
        <w:ind w:left="869" w:leftChars="414"/>
        <w:jc w:val="left"/>
        <w:rPr>
          <w:rFonts w:hint="eastAsia"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承包人实际</w:t>
      </w:r>
      <w:r>
        <w:rPr>
          <w:rFonts w:hint="eastAsia" w:ascii="宋体" w:hAnsi="宋体" w:eastAsia="宋体" w:cs="Times New Roman"/>
          <w:kern w:val="0"/>
          <w:szCs w:val="24"/>
        </w:rPr>
        <w:t>使用</w:t>
      </w:r>
      <w:r>
        <w:rPr>
          <w:rFonts w:ascii="宋体" w:hAnsi="宋体" w:eastAsia="宋体" w:cs="Times New Roman"/>
          <w:kern w:val="0"/>
          <w:szCs w:val="24"/>
        </w:rPr>
        <w:t>发包</w:t>
      </w:r>
      <w:r>
        <w:rPr>
          <w:rFonts w:hint="eastAsia" w:ascii="宋体" w:hAnsi="宋体" w:eastAsia="宋体" w:cs="Times New Roman"/>
          <w:kern w:val="0"/>
          <w:szCs w:val="24"/>
        </w:rPr>
        <w:t>人供应材料与工程设备的</w:t>
      </w:r>
      <w:r>
        <w:rPr>
          <w:rFonts w:ascii="宋体" w:hAnsi="宋体" w:eastAsia="宋体" w:cs="Times New Roman"/>
          <w:kern w:val="0"/>
          <w:szCs w:val="24"/>
        </w:rPr>
        <w:t>数量</w:t>
      </w:r>
      <w:r>
        <w:rPr>
          <w:rFonts w:hint="eastAsia" w:ascii="宋体" w:hAnsi="宋体" w:eastAsia="宋体" w:cs="Times New Roman"/>
          <w:kern w:val="0"/>
          <w:szCs w:val="24"/>
        </w:rPr>
        <w:t>超过本款第(1)项确认的</w:t>
      </w:r>
      <w:r>
        <w:rPr>
          <w:rFonts w:ascii="宋体" w:hAnsi="宋体" w:eastAsia="宋体" w:cs="Times New Roman"/>
          <w:kern w:val="0"/>
          <w:szCs w:val="24"/>
        </w:rPr>
        <w:t>合理数量</w:t>
      </w:r>
      <w:r>
        <w:rPr>
          <w:rFonts w:hint="eastAsia" w:ascii="宋体" w:hAnsi="宋体" w:eastAsia="宋体" w:cs="Times New Roman"/>
          <w:kern w:val="0"/>
          <w:szCs w:val="24"/>
        </w:rPr>
        <w:t>，超出部分的费用由承包人承担；承包人实际使用</w:t>
      </w:r>
      <w:r>
        <w:rPr>
          <w:rFonts w:ascii="宋体" w:hAnsi="宋体" w:eastAsia="宋体" w:cs="Times New Roman"/>
          <w:kern w:val="0"/>
          <w:szCs w:val="24"/>
        </w:rPr>
        <w:t>发包</w:t>
      </w:r>
      <w:r>
        <w:rPr>
          <w:rFonts w:hint="eastAsia" w:ascii="宋体" w:hAnsi="宋体" w:eastAsia="宋体" w:cs="Times New Roman"/>
          <w:kern w:val="0"/>
          <w:szCs w:val="24"/>
        </w:rPr>
        <w:t>人供应材料与工程设备的数量小于本款第(1)项确认的</w:t>
      </w:r>
      <w:r>
        <w:rPr>
          <w:rFonts w:ascii="宋体" w:hAnsi="宋体" w:eastAsia="宋体" w:cs="Times New Roman"/>
          <w:kern w:val="0"/>
          <w:szCs w:val="24"/>
        </w:rPr>
        <w:t>合理数量</w:t>
      </w:r>
      <w:r>
        <w:rPr>
          <w:rFonts w:hint="eastAsia" w:ascii="宋体" w:hAnsi="宋体" w:eastAsia="宋体" w:cs="Times New Roman"/>
          <w:kern w:val="0"/>
          <w:szCs w:val="24"/>
        </w:rPr>
        <w:t>，节约的费用按</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约定进行分配；</w:t>
      </w:r>
    </w:p>
    <w:p w14:paraId="13C27D09">
      <w:pPr>
        <w:tabs>
          <w:tab w:val="left" w:pos="1620"/>
          <w:tab w:val="left" w:pos="2340"/>
        </w:tabs>
        <w:ind w:left="869" w:leftChars="414"/>
        <w:jc w:val="left"/>
        <w:rPr>
          <w:rFonts w:hint="eastAsia" w:ascii="宋体" w:hAnsi="宋体" w:eastAsia="宋体" w:cs="Times New Roman"/>
          <w:kern w:val="0"/>
          <w:szCs w:val="24"/>
        </w:rPr>
      </w:pPr>
      <w:r>
        <w:rPr>
          <w:rFonts w:hint="eastAsia" w:ascii="宋体" w:hAnsi="宋体" w:eastAsia="宋体" w:cs="Times New Roman"/>
          <w:kern w:val="0"/>
          <w:szCs w:val="24"/>
        </w:rPr>
        <w:t>(4)</w:t>
      </w:r>
      <w:r>
        <w:rPr>
          <w:rFonts w:ascii="宋体" w:hAnsi="宋体" w:eastAsia="宋体" w:cs="Times New Roman"/>
          <w:kern w:val="0"/>
          <w:szCs w:val="24"/>
        </w:rPr>
        <w:t>承包人</w:t>
      </w:r>
      <w:r>
        <w:rPr>
          <w:rFonts w:hint="eastAsia" w:ascii="宋体" w:hAnsi="宋体" w:eastAsia="宋体" w:cs="Times New Roman"/>
          <w:kern w:val="0"/>
          <w:szCs w:val="24"/>
        </w:rPr>
        <w:t>的投标报价中已包括</w:t>
      </w:r>
      <w:r>
        <w:rPr>
          <w:rFonts w:ascii="宋体" w:hAnsi="宋体" w:eastAsia="宋体" w:cs="Times New Roman"/>
          <w:kern w:val="0"/>
          <w:szCs w:val="24"/>
        </w:rPr>
        <w:t>发包人供应材料</w:t>
      </w:r>
      <w:r>
        <w:rPr>
          <w:rFonts w:hint="eastAsia" w:ascii="宋体" w:hAnsi="宋体" w:eastAsia="宋体" w:cs="Times New Roman"/>
          <w:kern w:val="0"/>
          <w:szCs w:val="24"/>
        </w:rPr>
        <w:t>与工程</w:t>
      </w:r>
      <w:r>
        <w:rPr>
          <w:rFonts w:ascii="宋体" w:hAnsi="宋体" w:eastAsia="宋体" w:cs="Times New Roman"/>
          <w:kern w:val="0"/>
          <w:szCs w:val="24"/>
        </w:rPr>
        <w:t>设备</w:t>
      </w:r>
      <w:r>
        <w:rPr>
          <w:rFonts w:hint="eastAsia" w:ascii="宋体" w:hAnsi="宋体" w:eastAsia="宋体" w:cs="Times New Roman"/>
          <w:kern w:val="0"/>
          <w:szCs w:val="24"/>
        </w:rPr>
        <w:t>的场内运输费、</w:t>
      </w:r>
      <w:r>
        <w:rPr>
          <w:rFonts w:ascii="宋体" w:hAnsi="宋体" w:eastAsia="宋体" w:cs="Times New Roman"/>
          <w:kern w:val="0"/>
          <w:szCs w:val="24"/>
        </w:rPr>
        <w:t>安装</w:t>
      </w:r>
      <w:r>
        <w:rPr>
          <w:rFonts w:hint="eastAsia" w:ascii="宋体" w:hAnsi="宋体" w:eastAsia="宋体" w:cs="Times New Roman"/>
          <w:kern w:val="0"/>
          <w:szCs w:val="24"/>
        </w:rPr>
        <w:t>费，</w:t>
      </w:r>
      <w:r>
        <w:rPr>
          <w:rFonts w:ascii="宋体" w:hAnsi="宋体" w:eastAsia="宋体" w:cs="Times New Roman"/>
          <w:kern w:val="0"/>
          <w:szCs w:val="24"/>
        </w:rPr>
        <w:t>结算时不因发包人供应材料</w:t>
      </w:r>
      <w:r>
        <w:rPr>
          <w:rFonts w:hint="eastAsia" w:ascii="宋体" w:hAnsi="宋体" w:eastAsia="宋体" w:cs="Times New Roman"/>
          <w:kern w:val="0"/>
          <w:szCs w:val="24"/>
        </w:rPr>
        <w:t>与工程</w:t>
      </w:r>
      <w:r>
        <w:rPr>
          <w:rFonts w:ascii="宋体" w:hAnsi="宋体" w:eastAsia="宋体" w:cs="Times New Roman"/>
          <w:kern w:val="0"/>
          <w:szCs w:val="24"/>
        </w:rPr>
        <w:t>设备</w:t>
      </w:r>
      <w:r>
        <w:rPr>
          <w:rFonts w:hint="eastAsia" w:ascii="宋体" w:hAnsi="宋体" w:eastAsia="宋体" w:cs="Times New Roman"/>
          <w:kern w:val="0"/>
          <w:szCs w:val="24"/>
        </w:rPr>
        <w:t>单价的</w:t>
      </w:r>
      <w:r>
        <w:rPr>
          <w:rFonts w:ascii="宋体" w:hAnsi="宋体" w:eastAsia="宋体" w:cs="Times New Roman"/>
          <w:kern w:val="0"/>
          <w:szCs w:val="24"/>
        </w:rPr>
        <w:t>变化而调整。</w:t>
      </w:r>
    </w:p>
    <w:p w14:paraId="403A49E9">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828" w:name="_Toc208587540"/>
      <w:bookmarkStart w:id="1829" w:name="_Toc2967"/>
      <w:bookmarkStart w:id="1830" w:name="_Toc7747"/>
      <w:bookmarkStart w:id="1831" w:name="_Toc1248769148"/>
      <w:bookmarkStart w:id="1832" w:name="_Toc29127"/>
      <w:bookmarkStart w:id="1833" w:name="_Toc305331308"/>
      <w:bookmarkStart w:id="1834" w:name="_Toc302635788"/>
      <w:bookmarkStart w:id="1835" w:name="_Toc19264"/>
      <w:bookmarkStart w:id="1836" w:name="_Toc201735332"/>
      <w:bookmarkStart w:id="1837" w:name="_Toc31539"/>
      <w:bookmarkStart w:id="1838" w:name="_Toc24583"/>
      <w:bookmarkStart w:id="1839" w:name="_Toc18310"/>
      <w:bookmarkStart w:id="1840" w:name="_Toc18524"/>
      <w:bookmarkStart w:id="1841" w:name="_Toc4965"/>
      <w:bookmarkStart w:id="1842" w:name="_Toc4198"/>
      <w:bookmarkStart w:id="1843" w:name="_Toc34909047"/>
      <w:r>
        <w:rPr>
          <w:rFonts w:hint="eastAsia" w:ascii="宋体" w:hAnsi="宋体" w:eastAsia="宋体" w:cs="Times New Roman"/>
          <w:b/>
          <w:bCs/>
          <w:kern w:val="0"/>
          <w:sz w:val="24"/>
          <w:szCs w:val="24"/>
          <w:lang w:val="en-US" w:eastAsia="zh-CN" w:bidi="ar-SA"/>
        </w:rPr>
        <w:t>发包人供应材料与工程设备承担的责任</w:t>
      </w:r>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p>
    <w:p w14:paraId="4D2CC850">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发包人供应的材料与工程设备与专用条款14.1款(1)项发包人供应材料与工程设备清单中的约定不符时，发包人承担相关责任，具体如下：</w:t>
      </w:r>
      <w:bookmarkEnd w:id="1843"/>
    </w:p>
    <w:p w14:paraId="643CB126">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(1)材料与工程设备单价不符合约定，由发包人承担第1</w:t>
      </w:r>
      <w:r>
        <w:rPr>
          <w:rFonts w:ascii="宋体" w:hAnsi="宋体" w:eastAsia="宋体" w:cs="Times New Roman"/>
          <w:kern w:val="0"/>
          <w:szCs w:val="24"/>
        </w:rPr>
        <w:t>4.2</w:t>
      </w:r>
      <w:r>
        <w:rPr>
          <w:rFonts w:hint="eastAsia" w:ascii="宋体" w:hAnsi="宋体" w:eastAsia="宋体" w:cs="Times New Roman"/>
          <w:kern w:val="0"/>
          <w:szCs w:val="24"/>
        </w:rPr>
        <w:t>款(</w:t>
      </w:r>
      <w:r>
        <w:rPr>
          <w:rFonts w:ascii="宋体" w:hAnsi="宋体" w:eastAsia="宋体" w:cs="Times New Roman"/>
          <w:kern w:val="0"/>
          <w:szCs w:val="24"/>
        </w:rPr>
        <w:t>1)</w:t>
      </w:r>
      <w:r>
        <w:rPr>
          <w:rFonts w:hint="eastAsia" w:ascii="宋体" w:hAnsi="宋体" w:eastAsia="宋体" w:cs="Times New Roman"/>
          <w:kern w:val="0"/>
          <w:szCs w:val="24"/>
        </w:rPr>
        <w:t>项</w:t>
      </w:r>
      <w:r>
        <w:rPr>
          <w:rFonts w:ascii="宋体" w:hAnsi="宋体" w:eastAsia="宋体" w:cs="Times New Roman"/>
          <w:kern w:val="0"/>
          <w:szCs w:val="24"/>
        </w:rPr>
        <w:t>合理数量</w:t>
      </w:r>
      <w:r>
        <w:rPr>
          <w:rFonts w:hint="eastAsia" w:ascii="宋体" w:hAnsi="宋体" w:eastAsia="宋体" w:cs="Times New Roman"/>
          <w:kern w:val="0"/>
          <w:szCs w:val="24"/>
        </w:rPr>
        <w:t>部分的所有价差；</w:t>
      </w:r>
    </w:p>
    <w:p w14:paraId="249E6815">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(2)材料与工程设备的品种、规格、型号、质量等级不符合约定，承包人可拒绝接收、保管，由发包人负责运出施工场地并重新采购；</w:t>
      </w:r>
    </w:p>
    <w:p w14:paraId="729D895F">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(3)材料与工程设备的到货地点不符合约定，由发包人负责运至材料与工程设备清单约定的地点；</w:t>
      </w:r>
    </w:p>
    <w:p w14:paraId="4D93FE17">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(4)材料与工程设备供应数量不符合约定，多于清单中约定的数量时由发包人负责运出施工场地，少于清单中约定数量时由发包人负责补齐；</w:t>
      </w:r>
    </w:p>
    <w:p w14:paraId="01A3942C">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(5)材料与工程设备到货交接时间不符合约定，早于约定时间的由发包人承担因此增加的保管费用，迟于约定时间导致工期延误和（或）费用增加的，由发包人承担由此延误的工期和（或）增加的费用，且发包人应支付承包人合理的利润。</w:t>
      </w:r>
    </w:p>
    <w:p w14:paraId="50BF705D">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844" w:name="_Toc201735333"/>
      <w:bookmarkStart w:id="1845" w:name="_Toc35656985"/>
      <w:bookmarkStart w:id="1846" w:name="_Toc6261"/>
      <w:bookmarkStart w:id="1847" w:name="_Toc20769"/>
      <w:bookmarkStart w:id="1848" w:name="_Toc6576"/>
      <w:bookmarkStart w:id="1849" w:name="_Toc20445"/>
      <w:bookmarkStart w:id="1850" w:name="_Toc2701"/>
      <w:bookmarkStart w:id="1851" w:name="_Toc34909050"/>
      <w:bookmarkStart w:id="1852" w:name="_Toc35656483"/>
      <w:bookmarkStart w:id="1853" w:name="_Toc29753"/>
      <w:bookmarkStart w:id="1854" w:name="_Toc2119946897"/>
      <w:bookmarkStart w:id="1855" w:name="_Toc30516"/>
      <w:bookmarkStart w:id="1856" w:name="_Toc297"/>
      <w:bookmarkStart w:id="1857" w:name="_Toc25464"/>
      <w:bookmarkStart w:id="1858" w:name="_Toc15574"/>
      <w:bookmarkStart w:id="1859" w:name="_Toc305331309"/>
      <w:bookmarkStart w:id="1860" w:name="_Toc302635789"/>
      <w:bookmarkStart w:id="1861" w:name="_Toc208587541"/>
      <w:r>
        <w:rPr>
          <w:rFonts w:hint="eastAsia" w:ascii="宋体" w:hAnsi="宋体" w:eastAsia="宋体" w:cs="Times New Roman"/>
          <w:b/>
          <w:bCs/>
          <w:kern w:val="0"/>
          <w:sz w:val="24"/>
          <w:szCs w:val="24"/>
          <w:lang w:val="en-US" w:eastAsia="zh-CN" w:bidi="ar-SA"/>
        </w:rPr>
        <w:t>承包人采购材料与工程设备</w:t>
      </w:r>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p>
    <w:p w14:paraId="337B3FA6">
      <w:pPr>
        <w:tabs>
          <w:tab w:val="left" w:pos="1620"/>
          <w:tab w:val="left" w:pos="2340"/>
        </w:tabs>
        <w:spacing w:after="156"/>
        <w:ind w:left="899"/>
        <w:jc w:val="left"/>
        <w:rPr>
          <w:rFonts w:hint="eastAsia" w:ascii="宋体" w:hAnsi="宋体" w:eastAsia="宋体" w:cs="Times New Roman"/>
          <w:kern w:val="0"/>
          <w:szCs w:val="24"/>
        </w:rPr>
      </w:pPr>
      <w:bookmarkStart w:id="1862" w:name="_Toc34909051"/>
      <w:r>
        <w:rPr>
          <w:rFonts w:hint="eastAsia" w:ascii="宋体" w:hAnsi="宋体" w:eastAsia="宋体" w:cs="Times New Roman"/>
          <w:kern w:val="0"/>
          <w:szCs w:val="24"/>
        </w:rPr>
        <w:t>承包人负责采购的材料与工程设备，应符合设计、标准、规范和技术要求、招标文件、</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约定的要求以及投标文件的承诺，并提供产品质量合格证明，承包人对材料与工程设备质量负责。</w:t>
      </w:r>
      <w:r>
        <w:rPr>
          <w:rFonts w:ascii="宋体" w:hAnsi="宋体" w:eastAsia="宋体" w:cs="Times New Roman"/>
          <w:kern w:val="0"/>
          <w:szCs w:val="24"/>
        </w:rPr>
        <w:t>合同约定由承包人采购的材料、工程设备，发包人不得指定生产厂家或供应商，发包人违反本款约定指定生产厂家或供应商的，承包人有权拒绝。</w:t>
      </w:r>
    </w:p>
    <w:p w14:paraId="7ED80CD6">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承包人应负责其采购的所有材料与工程设备的包装、运输、接收、装卸、存储和保护，并承担因货物运输引起的民事和(或)刑事责任。承包人应在材料设备到货前24小时通知监理人检验。</w:t>
      </w:r>
      <w:bookmarkEnd w:id="1862"/>
      <w:bookmarkStart w:id="1863" w:name="_Toc34909054"/>
    </w:p>
    <w:bookmarkEnd w:id="1863"/>
    <w:p w14:paraId="029203C7">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864" w:name="_Toc26985"/>
      <w:bookmarkStart w:id="1865" w:name="_Toc24472"/>
      <w:bookmarkStart w:id="1866" w:name="_Toc5094"/>
      <w:bookmarkStart w:id="1867" w:name="_Toc11115"/>
      <w:bookmarkStart w:id="1868" w:name="_Toc14647"/>
      <w:bookmarkStart w:id="1869" w:name="_Toc201735334"/>
      <w:bookmarkStart w:id="1870" w:name="_Toc19402"/>
      <w:bookmarkStart w:id="1871" w:name="_Toc15143"/>
      <w:bookmarkStart w:id="1872" w:name="_Toc302635790"/>
      <w:bookmarkStart w:id="1873" w:name="_Toc26043"/>
      <w:bookmarkStart w:id="1874" w:name="_Toc5239"/>
      <w:bookmarkStart w:id="1875" w:name="_Toc305331310"/>
      <w:bookmarkStart w:id="1876" w:name="_Toc484440077"/>
      <w:bookmarkStart w:id="1877" w:name="_Toc208587542"/>
      <w:bookmarkStart w:id="1878" w:name="_Toc8737"/>
      <w:bookmarkStart w:id="1879" w:name="_Toc34909052"/>
      <w:r>
        <w:rPr>
          <w:rFonts w:hint="eastAsia" w:ascii="宋体" w:hAnsi="宋体" w:eastAsia="宋体" w:cs="Times New Roman"/>
          <w:b/>
          <w:bCs/>
          <w:kern w:val="0"/>
          <w:sz w:val="24"/>
          <w:szCs w:val="24"/>
          <w:lang w:val="en-US" w:eastAsia="zh-CN" w:bidi="ar-SA"/>
        </w:rPr>
        <w:t>承包人采购材料与工程设备承担的责任</w:t>
      </w:r>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p>
    <w:p w14:paraId="4015EA8C">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(1)承包人采购的材料与工程设备与14.4款约定的要求不符时，承包人应按</w:t>
      </w:r>
      <w:r>
        <w:rPr>
          <w:rFonts w:ascii="宋体" w:hAnsi="宋体" w:eastAsia="宋体" w:cs="Times New Roman"/>
          <w:kern w:val="0"/>
          <w:szCs w:val="24"/>
        </w:rPr>
        <w:t>监理人</w:t>
      </w:r>
      <w:r>
        <w:rPr>
          <w:rFonts w:hint="eastAsia" w:ascii="宋体" w:hAnsi="宋体" w:eastAsia="宋体" w:cs="Times New Roman"/>
          <w:kern w:val="0"/>
          <w:szCs w:val="24"/>
        </w:rPr>
        <w:t>要求的时间运出施工场地，重新采购符合要求的材料与工程设备，承担因此产生的费用，由此延误的工期不予顺延。</w:t>
      </w:r>
    </w:p>
    <w:p w14:paraId="4DA880AD">
      <w:pPr>
        <w:tabs>
          <w:tab w:val="left" w:pos="1620"/>
          <w:tab w:val="left" w:pos="2340"/>
        </w:tabs>
        <w:spacing w:after="156"/>
        <w:ind w:left="899"/>
        <w:jc w:val="left"/>
        <w:rPr>
          <w:rFonts w:hint="eastAsia" w:ascii="Times New Roman" w:hAnsi="Times New Roman" w:eastAsia="宋体" w:cs="Times New Roman"/>
          <w:kern w:val="0"/>
          <w:szCs w:val="24"/>
        </w:rPr>
      </w:pPr>
      <w:r>
        <w:rPr>
          <w:rFonts w:hint="eastAsia" w:ascii="Times New Roman" w:hAnsi="Times New Roman" w:eastAsia="宋体" w:cs="Times New Roman"/>
          <w:kern w:val="0"/>
          <w:szCs w:val="24"/>
        </w:rPr>
        <w:t>(2)承包人使用了不符合</w:t>
      </w:r>
      <w:r>
        <w:rPr>
          <w:rFonts w:hint="eastAsia" w:ascii="宋体" w:hAnsi="宋体" w:eastAsia="宋体" w:cs="Times New Roman"/>
          <w:kern w:val="0"/>
          <w:szCs w:val="24"/>
        </w:rPr>
        <w:t>14.4</w:t>
      </w:r>
      <w:r>
        <w:rPr>
          <w:rFonts w:hint="eastAsia" w:ascii="Times New Roman" w:hAnsi="Times New Roman" w:eastAsia="宋体" w:cs="Times New Roman"/>
          <w:kern w:val="0"/>
          <w:szCs w:val="24"/>
        </w:rPr>
        <w:t>款约定要求的材料</w:t>
      </w:r>
      <w:r>
        <w:rPr>
          <w:rFonts w:hint="eastAsia" w:ascii="宋体" w:hAnsi="宋体" w:eastAsia="宋体" w:cs="Times New Roman"/>
          <w:kern w:val="0"/>
          <w:szCs w:val="24"/>
        </w:rPr>
        <w:t>与工程</w:t>
      </w:r>
      <w:r>
        <w:rPr>
          <w:rFonts w:hint="eastAsia" w:ascii="Times New Roman" w:hAnsi="Times New Roman" w:eastAsia="宋体" w:cs="Times New Roman"/>
          <w:kern w:val="0"/>
          <w:szCs w:val="24"/>
        </w:rPr>
        <w:t>设备，则应按</w:t>
      </w:r>
      <w:r>
        <w:rPr>
          <w:rFonts w:ascii="Times New Roman" w:hAnsi="Times New Roman" w:eastAsia="宋体" w:cs="Times New Roman"/>
          <w:kern w:val="0"/>
          <w:szCs w:val="24"/>
        </w:rPr>
        <w:t>监理人</w:t>
      </w:r>
      <w:r>
        <w:rPr>
          <w:rFonts w:hint="eastAsia" w:ascii="Times New Roman" w:hAnsi="Times New Roman" w:eastAsia="宋体" w:cs="Times New Roman"/>
          <w:kern w:val="0"/>
          <w:szCs w:val="24"/>
        </w:rPr>
        <w:t>的指令负责修复、拆除或重新采购，并承担因此产生的费用，由此延误的工期不予顺延。</w:t>
      </w:r>
    </w:p>
    <w:p w14:paraId="35AAC567">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880" w:name="_Toc8895"/>
      <w:bookmarkStart w:id="1881" w:name="_Toc302635791"/>
      <w:bookmarkStart w:id="1882" w:name="_Toc1577353736"/>
      <w:bookmarkStart w:id="1883" w:name="_Toc4020"/>
      <w:bookmarkStart w:id="1884" w:name="_Toc8514"/>
      <w:bookmarkStart w:id="1885" w:name="_Toc3669"/>
      <w:bookmarkStart w:id="1886" w:name="_Toc13598"/>
      <w:bookmarkStart w:id="1887" w:name="_Toc201735335"/>
      <w:bookmarkStart w:id="1888" w:name="_Toc208587543"/>
      <w:bookmarkStart w:id="1889" w:name="_Toc11228"/>
      <w:bookmarkStart w:id="1890" w:name="_Toc6816"/>
      <w:bookmarkStart w:id="1891" w:name="_Toc17230"/>
      <w:bookmarkStart w:id="1892" w:name="_Toc28023"/>
      <w:bookmarkStart w:id="1893" w:name="_Toc4940"/>
      <w:r>
        <w:rPr>
          <w:rFonts w:hint="eastAsia" w:ascii="宋体" w:hAnsi="宋体" w:eastAsia="宋体" w:cs="Times New Roman"/>
          <w:b/>
          <w:bCs/>
          <w:kern w:val="0"/>
          <w:sz w:val="24"/>
          <w:szCs w:val="24"/>
          <w:lang w:val="en-US" w:eastAsia="zh-CN" w:bidi="ar-SA"/>
        </w:rPr>
        <w:t>材料和工程设备的替代</w:t>
      </w:r>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p>
    <w:p w14:paraId="100E4BB1">
      <w:pPr>
        <w:tabs>
          <w:tab w:val="left" w:pos="1620"/>
          <w:tab w:val="left" w:pos="2340"/>
        </w:tabs>
        <w:spacing w:after="156"/>
        <w:ind w:left="850" w:leftChars="405" w:firstLine="92" w:firstLineChars="44"/>
        <w:jc w:val="left"/>
        <w:rPr>
          <w:rFonts w:ascii="Times New Roman" w:hAnsi="Times New Roman" w:eastAsia="宋体" w:cs="Times New Roman"/>
          <w:kern w:val="0"/>
          <w:szCs w:val="24"/>
        </w:rPr>
      </w:pPr>
      <w:r>
        <w:rPr>
          <w:rFonts w:hint="eastAsia" w:ascii="宋体" w:hAnsi="宋体" w:eastAsia="宋体" w:cs="Times New Roman"/>
          <w:kern w:val="0"/>
          <w:szCs w:val="24"/>
        </w:rPr>
        <w:t>(1)</w:t>
      </w:r>
      <w:r>
        <w:rPr>
          <w:rFonts w:ascii="Times New Roman" w:hAnsi="Times New Roman" w:eastAsia="宋体" w:cs="Times New Roman"/>
          <w:kern w:val="0"/>
          <w:szCs w:val="24"/>
        </w:rPr>
        <w:t>出现下列情况需要使用替代材料和工程设备的，承包人应按照</w:t>
      </w:r>
      <w:r>
        <w:rPr>
          <w:rFonts w:hint="eastAsia" w:ascii="Times New Roman" w:hAnsi="Times New Roman" w:eastAsia="宋体" w:cs="Times New Roman"/>
          <w:kern w:val="0"/>
          <w:szCs w:val="24"/>
        </w:rPr>
        <w:t>本款第</w:t>
      </w:r>
      <w:r>
        <w:rPr>
          <w:rFonts w:hint="eastAsia" w:ascii="宋体" w:hAnsi="宋体" w:eastAsia="宋体" w:cs="Times New Roman"/>
          <w:kern w:val="0"/>
          <w:szCs w:val="24"/>
        </w:rPr>
        <w:t>(2)</w:t>
      </w:r>
      <w:r>
        <w:rPr>
          <w:rFonts w:ascii="Times New Roman" w:hAnsi="Times New Roman" w:eastAsia="宋体" w:cs="Times New Roman"/>
          <w:kern w:val="0"/>
          <w:szCs w:val="24"/>
        </w:rPr>
        <w:t>项约定的程序执行：</w:t>
      </w:r>
    </w:p>
    <w:p w14:paraId="06EABECC">
      <w:pPr>
        <w:tabs>
          <w:tab w:val="left" w:pos="1620"/>
          <w:tab w:val="left" w:pos="2340"/>
        </w:tabs>
        <w:spacing w:after="156"/>
        <w:ind w:left="1109" w:leftChars="528"/>
        <w:jc w:val="left"/>
        <w:rPr>
          <w:rFonts w:ascii="Times New Roman" w:hAnsi="Times New Roman" w:eastAsia="宋体" w:cs="Times New Roman"/>
          <w:kern w:val="0"/>
          <w:szCs w:val="24"/>
        </w:rPr>
      </w:pPr>
      <w:r>
        <w:rPr>
          <w:rFonts w:hint="eastAsia" w:ascii="宋体" w:hAnsi="宋体" w:eastAsia="宋体" w:cs="Times New Roman"/>
          <w:kern w:val="0"/>
          <w:szCs w:val="24"/>
        </w:rPr>
        <w:t>①</w:t>
      </w:r>
      <w:r>
        <w:rPr>
          <w:rFonts w:ascii="Times New Roman" w:hAnsi="Times New Roman" w:eastAsia="宋体" w:cs="Times New Roman"/>
          <w:kern w:val="0"/>
          <w:szCs w:val="24"/>
        </w:rPr>
        <w:t>基准日</w:t>
      </w:r>
      <w:r>
        <w:rPr>
          <w:rFonts w:hint="eastAsia" w:ascii="Times New Roman" w:hAnsi="Times New Roman" w:eastAsia="宋体" w:cs="Times New Roman"/>
          <w:kern w:val="0"/>
          <w:szCs w:val="24"/>
        </w:rPr>
        <w:t>期</w:t>
      </w:r>
      <w:r>
        <w:rPr>
          <w:rFonts w:ascii="Times New Roman" w:hAnsi="Times New Roman" w:eastAsia="宋体" w:cs="Times New Roman"/>
          <w:kern w:val="0"/>
          <w:szCs w:val="24"/>
        </w:rPr>
        <w:t>后生效的法律规定禁止使用的；</w:t>
      </w:r>
    </w:p>
    <w:p w14:paraId="07D1BF98">
      <w:pPr>
        <w:tabs>
          <w:tab w:val="left" w:pos="1620"/>
          <w:tab w:val="left" w:pos="2340"/>
        </w:tabs>
        <w:spacing w:after="156"/>
        <w:ind w:left="1109" w:leftChars="528"/>
        <w:jc w:val="left"/>
        <w:rPr>
          <w:rFonts w:ascii="Times New Roman" w:hAnsi="Times New Roman" w:eastAsia="宋体" w:cs="Times New Roman"/>
          <w:kern w:val="0"/>
          <w:szCs w:val="24"/>
        </w:rPr>
      </w:pPr>
      <w:r>
        <w:rPr>
          <w:rFonts w:hint="eastAsia" w:ascii="宋体" w:hAnsi="宋体" w:eastAsia="宋体" w:cs="Times New Roman"/>
          <w:kern w:val="0"/>
          <w:szCs w:val="24"/>
        </w:rPr>
        <w:t>②</w:t>
      </w:r>
      <w:r>
        <w:rPr>
          <w:rFonts w:ascii="Times New Roman" w:hAnsi="Times New Roman" w:eastAsia="宋体" w:cs="Times New Roman"/>
          <w:kern w:val="0"/>
          <w:szCs w:val="24"/>
        </w:rPr>
        <w:t>发包人要求使用替代品的；</w:t>
      </w:r>
    </w:p>
    <w:p w14:paraId="409A38AA">
      <w:pPr>
        <w:tabs>
          <w:tab w:val="left" w:pos="1620"/>
          <w:tab w:val="left" w:pos="2340"/>
        </w:tabs>
        <w:spacing w:after="156"/>
        <w:ind w:left="1109" w:leftChars="528"/>
        <w:jc w:val="left"/>
        <w:rPr>
          <w:rFonts w:hint="eastAsia" w:ascii="Times New Roman" w:hAnsi="Times New Roman" w:eastAsia="宋体" w:cs="Times New Roman"/>
          <w:kern w:val="0"/>
          <w:szCs w:val="24"/>
        </w:rPr>
      </w:pPr>
      <w:r>
        <w:rPr>
          <w:rFonts w:hint="eastAsia" w:ascii="宋体" w:hAnsi="宋体" w:eastAsia="宋体" w:cs="Times New Roman"/>
          <w:kern w:val="0"/>
          <w:szCs w:val="24"/>
        </w:rPr>
        <w:t>③</w:t>
      </w:r>
      <w:r>
        <w:rPr>
          <w:rFonts w:ascii="Times New Roman" w:hAnsi="Times New Roman" w:eastAsia="宋体" w:cs="Times New Roman"/>
          <w:kern w:val="0"/>
          <w:szCs w:val="24"/>
        </w:rPr>
        <w:t>因其他原因必须使用替代品的。</w:t>
      </w:r>
    </w:p>
    <w:p w14:paraId="1B88E937">
      <w:pPr>
        <w:tabs>
          <w:tab w:val="left" w:pos="1620"/>
          <w:tab w:val="left" w:pos="2340"/>
        </w:tabs>
        <w:spacing w:after="156"/>
        <w:ind w:left="899"/>
        <w:jc w:val="left"/>
        <w:rPr>
          <w:rFonts w:ascii="Times New Roman" w:hAnsi="Times New Roman" w:eastAsia="宋体" w:cs="Times New Roman"/>
          <w:kern w:val="0"/>
          <w:szCs w:val="24"/>
        </w:rPr>
      </w:pPr>
      <w:r>
        <w:rPr>
          <w:rFonts w:hint="eastAsia" w:ascii="Times New Roman" w:hAnsi="Times New Roman" w:eastAsia="宋体" w:cs="Times New Roman"/>
          <w:kern w:val="0"/>
          <w:szCs w:val="24"/>
        </w:rPr>
        <w:t>(2)承包人需要使用替代材料和</w:t>
      </w:r>
      <w:r>
        <w:rPr>
          <w:rFonts w:hint="eastAsia" w:ascii="宋体" w:hAnsi="宋体" w:eastAsia="宋体" w:cs="Times New Roman"/>
          <w:kern w:val="0"/>
          <w:szCs w:val="24"/>
        </w:rPr>
        <w:t>工程</w:t>
      </w:r>
      <w:r>
        <w:rPr>
          <w:rFonts w:hint="eastAsia" w:ascii="Times New Roman" w:hAnsi="Times New Roman" w:eastAsia="宋体" w:cs="Times New Roman"/>
          <w:kern w:val="0"/>
          <w:szCs w:val="24"/>
        </w:rPr>
        <w:t>设备的，应在</w:t>
      </w:r>
      <w:r>
        <w:rPr>
          <w:rFonts w:hint="eastAsia" w:ascii="Times New Roman" w:hAnsi="Times New Roman" w:eastAsia="宋体" w:cs="Times New Roman"/>
          <w:b/>
          <w:i/>
          <w:kern w:val="0"/>
          <w:szCs w:val="24"/>
        </w:rPr>
        <w:t>专用条款</w:t>
      </w:r>
      <w:r>
        <w:rPr>
          <w:rFonts w:hint="eastAsia" w:ascii="Times New Roman" w:hAnsi="Times New Roman" w:eastAsia="宋体" w:cs="Times New Roman"/>
          <w:kern w:val="0"/>
          <w:szCs w:val="24"/>
        </w:rPr>
        <w:t>约定的时限前向</w:t>
      </w:r>
      <w:r>
        <w:rPr>
          <w:rFonts w:ascii="Times New Roman" w:hAnsi="Times New Roman" w:eastAsia="宋体" w:cs="Times New Roman"/>
          <w:kern w:val="0"/>
          <w:szCs w:val="24"/>
        </w:rPr>
        <w:t>监理人</w:t>
      </w:r>
      <w:r>
        <w:rPr>
          <w:rFonts w:hint="eastAsia" w:ascii="Times New Roman" w:hAnsi="Times New Roman" w:eastAsia="宋体" w:cs="Times New Roman"/>
          <w:kern w:val="0"/>
          <w:szCs w:val="24"/>
        </w:rPr>
        <w:t>提出申请，</w:t>
      </w:r>
      <w:r>
        <w:rPr>
          <w:rFonts w:ascii="Times New Roman" w:hAnsi="Times New Roman" w:eastAsia="宋体" w:cs="Times New Roman"/>
          <w:kern w:val="0"/>
          <w:szCs w:val="24"/>
        </w:rPr>
        <w:t>监理人</w:t>
      </w:r>
      <w:r>
        <w:rPr>
          <w:rFonts w:hint="eastAsia" w:ascii="Times New Roman" w:hAnsi="Times New Roman" w:eastAsia="宋体" w:cs="Times New Roman"/>
          <w:kern w:val="0"/>
          <w:szCs w:val="24"/>
        </w:rPr>
        <w:t>应在</w:t>
      </w:r>
      <w:r>
        <w:rPr>
          <w:rFonts w:hint="eastAsia" w:ascii="Times New Roman" w:hAnsi="Times New Roman" w:eastAsia="宋体" w:cs="Times New Roman"/>
          <w:b/>
          <w:i/>
          <w:kern w:val="0"/>
          <w:szCs w:val="24"/>
        </w:rPr>
        <w:t>专用条款</w:t>
      </w:r>
      <w:r>
        <w:rPr>
          <w:rFonts w:hint="eastAsia" w:ascii="Times New Roman" w:hAnsi="Times New Roman" w:eastAsia="宋体" w:cs="Times New Roman"/>
          <w:kern w:val="0"/>
          <w:szCs w:val="24"/>
        </w:rPr>
        <w:t>约定的时限内发出书面指示报发包人</w:t>
      </w:r>
      <w:bookmarkEnd w:id="1879"/>
      <w:r>
        <w:rPr>
          <w:rFonts w:hint="eastAsia" w:ascii="Times New Roman" w:hAnsi="Times New Roman" w:eastAsia="宋体" w:cs="Times New Roman"/>
          <w:kern w:val="0"/>
          <w:szCs w:val="24"/>
        </w:rPr>
        <w:t>，</w:t>
      </w:r>
      <w:r>
        <w:rPr>
          <w:rFonts w:ascii="Times New Roman" w:hAnsi="Times New Roman" w:eastAsia="宋体" w:cs="Times New Roman"/>
          <w:kern w:val="0"/>
          <w:szCs w:val="24"/>
        </w:rPr>
        <w:t>监理人逾期发出书面指示的，视为发包人和监理人同意使用替代品。</w:t>
      </w:r>
      <w:r>
        <w:rPr>
          <w:rFonts w:hint="eastAsia" w:ascii="Times New Roman" w:hAnsi="Times New Roman" w:eastAsia="宋体" w:cs="Times New Roman"/>
          <w:kern w:val="0"/>
          <w:szCs w:val="24"/>
        </w:rPr>
        <w:t>替代</w:t>
      </w:r>
      <w:r>
        <w:rPr>
          <w:rFonts w:ascii="Times New Roman" w:hAnsi="Times New Roman" w:eastAsia="宋体" w:cs="Times New Roman"/>
          <w:kern w:val="0"/>
          <w:szCs w:val="24"/>
        </w:rPr>
        <w:t>材料</w:t>
      </w:r>
      <w:r>
        <w:rPr>
          <w:rFonts w:hint="eastAsia" w:ascii="Times New Roman" w:hAnsi="Times New Roman" w:eastAsia="宋体" w:cs="Times New Roman"/>
          <w:kern w:val="0"/>
          <w:szCs w:val="24"/>
        </w:rPr>
        <w:t>和</w:t>
      </w:r>
      <w:r>
        <w:rPr>
          <w:rFonts w:hint="eastAsia" w:ascii="宋体" w:hAnsi="宋体" w:eastAsia="宋体" w:cs="Times New Roman"/>
          <w:kern w:val="0"/>
          <w:szCs w:val="24"/>
        </w:rPr>
        <w:t>工程</w:t>
      </w:r>
      <w:r>
        <w:rPr>
          <w:rFonts w:hint="eastAsia" w:ascii="Times New Roman" w:hAnsi="Times New Roman" w:eastAsia="宋体" w:cs="Times New Roman"/>
          <w:kern w:val="0"/>
          <w:szCs w:val="24"/>
        </w:rPr>
        <w:t>设备的</w:t>
      </w:r>
      <w:r>
        <w:rPr>
          <w:rFonts w:ascii="Times New Roman" w:hAnsi="Times New Roman" w:eastAsia="宋体" w:cs="Times New Roman"/>
          <w:kern w:val="0"/>
          <w:szCs w:val="24"/>
        </w:rPr>
        <w:t>品质</w:t>
      </w:r>
      <w:r>
        <w:rPr>
          <w:rFonts w:hint="eastAsia" w:ascii="Times New Roman" w:hAnsi="Times New Roman" w:eastAsia="宋体" w:cs="Times New Roman"/>
          <w:kern w:val="0"/>
          <w:szCs w:val="24"/>
        </w:rPr>
        <w:t>、</w:t>
      </w:r>
      <w:r>
        <w:rPr>
          <w:rFonts w:ascii="Times New Roman" w:hAnsi="Times New Roman" w:eastAsia="宋体" w:cs="Times New Roman"/>
          <w:kern w:val="0"/>
          <w:szCs w:val="24"/>
        </w:rPr>
        <w:t>标准、性能不能低于被</w:t>
      </w:r>
      <w:r>
        <w:rPr>
          <w:rFonts w:hint="eastAsia" w:ascii="Times New Roman" w:hAnsi="Times New Roman" w:eastAsia="宋体" w:cs="Times New Roman"/>
          <w:kern w:val="0"/>
          <w:szCs w:val="24"/>
        </w:rPr>
        <w:t>替代</w:t>
      </w:r>
      <w:r>
        <w:rPr>
          <w:rFonts w:ascii="Times New Roman" w:hAnsi="Times New Roman" w:eastAsia="宋体" w:cs="Times New Roman"/>
          <w:kern w:val="0"/>
          <w:szCs w:val="24"/>
        </w:rPr>
        <w:t>材料</w:t>
      </w:r>
      <w:r>
        <w:rPr>
          <w:rFonts w:hint="eastAsia" w:ascii="宋体" w:hAnsi="宋体" w:eastAsia="宋体" w:cs="Times New Roman"/>
          <w:kern w:val="0"/>
          <w:szCs w:val="24"/>
        </w:rPr>
        <w:t>和工程设备</w:t>
      </w:r>
      <w:r>
        <w:rPr>
          <w:rFonts w:ascii="Times New Roman" w:hAnsi="Times New Roman" w:eastAsia="宋体" w:cs="Times New Roman"/>
          <w:kern w:val="0"/>
          <w:szCs w:val="24"/>
        </w:rPr>
        <w:t>，</w:t>
      </w:r>
      <w:r>
        <w:rPr>
          <w:rFonts w:hint="eastAsia" w:ascii="Times New Roman" w:hAnsi="Times New Roman" w:eastAsia="宋体" w:cs="Times New Roman"/>
          <w:kern w:val="0"/>
          <w:szCs w:val="24"/>
        </w:rPr>
        <w:t>因此增减的合同价格和产生的费用的承担，发承包双方在</w:t>
      </w:r>
      <w:r>
        <w:rPr>
          <w:rFonts w:hint="eastAsia" w:ascii="Times New Roman" w:hAnsi="Times New Roman" w:eastAsia="宋体" w:cs="Times New Roman"/>
          <w:b/>
          <w:i/>
          <w:kern w:val="0"/>
          <w:szCs w:val="24"/>
        </w:rPr>
        <w:t>专用条款</w:t>
      </w:r>
      <w:r>
        <w:rPr>
          <w:rFonts w:hint="eastAsia" w:ascii="Times New Roman" w:hAnsi="Times New Roman" w:eastAsia="宋体" w:cs="Times New Roman"/>
          <w:kern w:val="0"/>
          <w:szCs w:val="24"/>
        </w:rPr>
        <w:t>中约定。</w:t>
      </w:r>
    </w:p>
    <w:p w14:paraId="73AADD60">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894" w:name="_Toc34909031"/>
      <w:bookmarkStart w:id="1895" w:name="_Toc35656481"/>
      <w:bookmarkStart w:id="1896" w:name="_Toc35656983"/>
      <w:bookmarkStart w:id="1897" w:name="_Toc241"/>
      <w:bookmarkStart w:id="1898" w:name="_Toc7388"/>
      <w:bookmarkStart w:id="1899" w:name="_Toc22324"/>
      <w:bookmarkStart w:id="1900" w:name="_Toc22741"/>
      <w:bookmarkStart w:id="1901" w:name="_Toc208587544"/>
      <w:bookmarkStart w:id="1902" w:name="_Toc21702"/>
      <w:bookmarkStart w:id="1903" w:name="_Toc11109"/>
      <w:bookmarkStart w:id="1904" w:name="_Toc29377"/>
      <w:bookmarkStart w:id="1905" w:name="_Toc305331312"/>
      <w:bookmarkStart w:id="1906" w:name="_Toc20442"/>
      <w:bookmarkStart w:id="1907" w:name="_Toc302635792"/>
      <w:bookmarkStart w:id="1908" w:name="_Toc161731969"/>
      <w:bookmarkStart w:id="1909" w:name="_Toc32153"/>
      <w:bookmarkStart w:id="1910" w:name="_Toc201735336"/>
      <w:bookmarkStart w:id="1911" w:name="_Toc13275"/>
      <w:r>
        <w:rPr>
          <w:rFonts w:hint="eastAsia" w:ascii="宋体" w:hAnsi="宋体" w:eastAsia="宋体" w:cs="Times New Roman"/>
          <w:b/>
          <w:bCs/>
          <w:kern w:val="0"/>
          <w:sz w:val="24"/>
          <w:szCs w:val="24"/>
          <w:lang w:val="en-US" w:eastAsia="zh-CN" w:bidi="ar-SA"/>
        </w:rPr>
        <w:t>材料与工程设备</w:t>
      </w:r>
      <w:bookmarkEnd w:id="1894"/>
      <w:bookmarkEnd w:id="1895"/>
      <w:bookmarkEnd w:id="1896"/>
      <w:r>
        <w:rPr>
          <w:rFonts w:hint="eastAsia" w:ascii="宋体" w:hAnsi="宋体" w:eastAsia="宋体" w:cs="Times New Roman"/>
          <w:b/>
          <w:bCs/>
          <w:kern w:val="0"/>
          <w:sz w:val="24"/>
          <w:szCs w:val="24"/>
          <w:lang w:val="en-US" w:eastAsia="zh-CN" w:bidi="ar-SA"/>
        </w:rPr>
        <w:t>的检验</w:t>
      </w:r>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p>
    <w:p w14:paraId="2D9B0CBF">
      <w:pPr>
        <w:tabs>
          <w:tab w:val="left" w:pos="1620"/>
          <w:tab w:val="left" w:pos="2340"/>
        </w:tabs>
        <w:spacing w:after="156"/>
        <w:ind w:left="899"/>
        <w:jc w:val="left"/>
        <w:rPr>
          <w:rFonts w:ascii="Times New Roman" w:hAnsi="Times New Roman" w:eastAsia="宋体" w:cs="Times New Roman"/>
          <w:kern w:val="0"/>
          <w:szCs w:val="24"/>
        </w:rPr>
      </w:pPr>
      <w:bookmarkStart w:id="1912" w:name="_Toc34909032"/>
      <w:r>
        <w:rPr>
          <w:rFonts w:hint="eastAsia" w:ascii="宋体" w:hAnsi="宋体" w:eastAsia="宋体" w:cs="Times New Roman"/>
          <w:kern w:val="0"/>
          <w:szCs w:val="24"/>
        </w:rPr>
        <w:t>(1)承包人应按照</w:t>
      </w:r>
      <w:r>
        <w:rPr>
          <w:rFonts w:hint="eastAsia" w:ascii="Times New Roman" w:hAnsi="Times New Roman" w:eastAsia="宋体" w:cs="Times New Roman"/>
          <w:kern w:val="0"/>
          <w:szCs w:val="24"/>
        </w:rPr>
        <w:t>法律、法规、规章和有关标准、规范</w:t>
      </w:r>
      <w:r>
        <w:rPr>
          <w:rFonts w:hint="eastAsia" w:ascii="宋体" w:hAnsi="宋体" w:eastAsia="宋体" w:cs="Times New Roman"/>
          <w:kern w:val="0"/>
          <w:szCs w:val="24"/>
        </w:rPr>
        <w:t>和技术要求</w:t>
      </w:r>
      <w:r>
        <w:rPr>
          <w:rFonts w:hint="eastAsia" w:ascii="宋体" w:hAnsi="宋体" w:eastAsia="宋体" w:cs="宋体"/>
          <w:szCs w:val="21"/>
        </w:rPr>
        <w:t>的规定在本工程开工前编制</w:t>
      </w:r>
      <w:r>
        <w:rPr>
          <w:rFonts w:ascii="Times New Roman" w:hAnsi="Times New Roman" w:eastAsia="宋体" w:cs="Times New Roman"/>
          <w:szCs w:val="24"/>
        </w:rPr>
        <w:t>材料、构配件</w:t>
      </w:r>
      <w:r>
        <w:rPr>
          <w:rFonts w:hint="eastAsia" w:ascii="Times New Roman" w:hAnsi="Times New Roman" w:eastAsia="宋体" w:cs="Times New Roman"/>
          <w:szCs w:val="24"/>
        </w:rPr>
        <w:t>与工程</w:t>
      </w:r>
      <w:r>
        <w:rPr>
          <w:rFonts w:ascii="Times New Roman" w:hAnsi="Times New Roman" w:eastAsia="宋体" w:cs="Times New Roman"/>
          <w:szCs w:val="24"/>
        </w:rPr>
        <w:t>设备的第三方检测方案</w:t>
      </w:r>
      <w:r>
        <w:rPr>
          <w:rFonts w:hint="eastAsia" w:ascii="Times New Roman" w:hAnsi="Times New Roman" w:eastAsia="宋体" w:cs="Times New Roman"/>
          <w:szCs w:val="24"/>
        </w:rPr>
        <w:t>，并报监理人审核确认。</w:t>
      </w:r>
      <w:r>
        <w:rPr>
          <w:rFonts w:hint="eastAsia" w:ascii="Times New Roman" w:hAnsi="Times New Roman" w:eastAsia="宋体" w:cs="Times New Roman"/>
          <w:kern w:val="0"/>
          <w:szCs w:val="24"/>
        </w:rPr>
        <w:t>本工程一切材料设备在</w:t>
      </w:r>
      <w:bookmarkEnd w:id="1912"/>
      <w:bookmarkStart w:id="1913" w:name="_Toc34909033"/>
      <w:r>
        <w:rPr>
          <w:rFonts w:hint="eastAsia" w:ascii="Times New Roman" w:hAnsi="Times New Roman" w:eastAsia="宋体" w:cs="Times New Roman"/>
          <w:kern w:val="0"/>
          <w:szCs w:val="24"/>
        </w:rPr>
        <w:t>用于本工程之前，均应按照检测方案要求，在</w:t>
      </w:r>
      <w:r>
        <w:rPr>
          <w:rFonts w:ascii="Times New Roman" w:hAnsi="Times New Roman" w:eastAsia="宋体" w:cs="Times New Roman"/>
          <w:kern w:val="0"/>
          <w:szCs w:val="24"/>
        </w:rPr>
        <w:t>监理人</w:t>
      </w:r>
      <w:r>
        <w:rPr>
          <w:rFonts w:hint="eastAsia" w:ascii="Times New Roman" w:hAnsi="Times New Roman" w:eastAsia="宋体" w:cs="Times New Roman"/>
          <w:kern w:val="0"/>
          <w:szCs w:val="24"/>
        </w:rPr>
        <w:t>的监督、见证下，由承包人负责取样并送发包人指定的检测机构进行检验，不合格的不得使用。</w:t>
      </w:r>
      <w:bookmarkEnd w:id="1913"/>
      <w:r>
        <w:rPr>
          <w:rFonts w:hint="eastAsia" w:ascii="Times New Roman" w:hAnsi="Times New Roman" w:eastAsia="宋体" w:cs="Times New Roman"/>
          <w:kern w:val="0"/>
          <w:szCs w:val="24"/>
        </w:rPr>
        <w:t>承包人</w:t>
      </w:r>
      <w:r>
        <w:rPr>
          <w:rFonts w:hint="eastAsia" w:ascii="宋体" w:hAnsi="宋体" w:eastAsia="宋体" w:cs="宋体"/>
          <w:szCs w:val="21"/>
        </w:rPr>
        <w:t>对建筑材料、构配件与工程设备等试样的制作、封样、送达所发生的费用</w:t>
      </w:r>
      <w:r>
        <w:rPr>
          <w:rFonts w:hint="eastAsia" w:ascii="宋体" w:hAnsi="宋体" w:eastAsia="宋体" w:cs="Times New Roman"/>
          <w:kern w:val="0"/>
          <w:szCs w:val="24"/>
        </w:rPr>
        <w:t>已含在相应分部分项工程的</w:t>
      </w:r>
      <w:r>
        <w:rPr>
          <w:rFonts w:hint="eastAsia" w:ascii="宋体" w:hAnsi="宋体" w:eastAsia="宋体" w:cs="Times New Roman"/>
          <w:kern w:val="0"/>
          <w:szCs w:val="24"/>
          <w:lang w:eastAsia="zh-CN"/>
        </w:rPr>
        <w:t>合同单价</w:t>
      </w:r>
      <w:r>
        <w:rPr>
          <w:rFonts w:hint="eastAsia" w:ascii="宋体" w:hAnsi="宋体" w:eastAsia="宋体" w:cs="Times New Roman"/>
          <w:kern w:val="0"/>
          <w:szCs w:val="24"/>
        </w:rPr>
        <w:t>中，由承包人承担。</w:t>
      </w:r>
    </w:p>
    <w:p w14:paraId="272B5048">
      <w:pPr>
        <w:tabs>
          <w:tab w:val="left" w:pos="1620"/>
          <w:tab w:val="left" w:pos="2340"/>
        </w:tabs>
        <w:spacing w:after="156"/>
        <w:ind w:left="899"/>
        <w:jc w:val="left"/>
        <w:rPr>
          <w:rFonts w:ascii="Times New Roman" w:hAnsi="Times New Roman" w:eastAsia="宋体" w:cs="Times New Roman"/>
          <w:kern w:val="0"/>
          <w:szCs w:val="24"/>
        </w:rPr>
      </w:pPr>
      <w:bookmarkStart w:id="1914" w:name="_Toc34909035"/>
      <w:r>
        <w:rPr>
          <w:rFonts w:hint="eastAsia" w:ascii="宋体" w:hAnsi="宋体" w:eastAsia="宋体" w:cs="Times New Roman"/>
          <w:kern w:val="0"/>
          <w:szCs w:val="24"/>
        </w:rPr>
        <w:t>(</w:t>
      </w:r>
      <w:r>
        <w:rPr>
          <w:rFonts w:ascii="宋体" w:hAnsi="宋体" w:eastAsia="宋体" w:cs="Times New Roman"/>
          <w:kern w:val="0"/>
          <w:szCs w:val="24"/>
        </w:rPr>
        <w:t>2</w:t>
      </w:r>
      <w:r>
        <w:rPr>
          <w:rFonts w:hint="eastAsia" w:ascii="宋体" w:hAnsi="宋体" w:eastAsia="宋体" w:cs="Times New Roman"/>
          <w:kern w:val="0"/>
          <w:szCs w:val="24"/>
        </w:rPr>
        <w:t>)</w:t>
      </w:r>
      <w:r>
        <w:rPr>
          <w:rFonts w:hint="eastAsia" w:ascii="Times New Roman" w:hAnsi="Times New Roman" w:eastAsia="宋体" w:cs="Times New Roman"/>
          <w:kern w:val="0"/>
          <w:szCs w:val="24"/>
        </w:rPr>
        <w:t>发包人</w:t>
      </w:r>
      <w:r>
        <w:rPr>
          <w:rFonts w:hint="eastAsia" w:ascii="宋体" w:hAnsi="宋体" w:eastAsia="宋体" w:cs="宋体"/>
          <w:szCs w:val="21"/>
        </w:rPr>
        <w:t>根据国家标准和施工验收规范要求对材料、构配件、工程设备发生的第三方检测费用，新结构、新材料的试验费以及对构件（如幕墙、预制桩、门窗）做破坏性试验所发生的试样费用</w:t>
      </w:r>
      <w:r>
        <w:rPr>
          <w:rFonts w:hint="eastAsia" w:ascii="Times New Roman" w:hAnsi="Times New Roman" w:eastAsia="宋体" w:cs="Times New Roman"/>
          <w:kern w:val="0"/>
          <w:szCs w:val="24"/>
        </w:rPr>
        <w:t>，如经检测和试验合格的，此类检测和试验发生的费用由发包人承担</w:t>
      </w:r>
      <w:bookmarkEnd w:id="1914"/>
      <w:r>
        <w:rPr>
          <w:rFonts w:hint="eastAsia" w:ascii="Times New Roman" w:hAnsi="Times New Roman" w:eastAsia="宋体" w:cs="Times New Roman"/>
          <w:kern w:val="0"/>
          <w:szCs w:val="24"/>
        </w:rPr>
        <w:t>；</w:t>
      </w:r>
      <w:bookmarkStart w:id="1915" w:name="_Toc34909036"/>
      <w:r>
        <w:rPr>
          <w:rFonts w:hint="eastAsia" w:ascii="宋体" w:hAnsi="宋体" w:eastAsia="宋体" w:cs="宋体"/>
          <w:szCs w:val="21"/>
        </w:rPr>
        <w:t>对承包人提供的材料与工程设备进行检测和试验不合格的</w:t>
      </w:r>
      <w:r>
        <w:rPr>
          <w:rFonts w:hint="eastAsia" w:ascii="Times New Roman" w:hAnsi="Times New Roman" w:eastAsia="宋体" w:cs="Times New Roman"/>
          <w:kern w:val="0"/>
          <w:szCs w:val="24"/>
        </w:rPr>
        <w:t>，此类检测和试验发生的费用由承包人承担。</w:t>
      </w:r>
    </w:p>
    <w:p w14:paraId="02269F30">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916" w:name="_Toc6695"/>
      <w:bookmarkStart w:id="1917" w:name="_Toc15803"/>
      <w:bookmarkStart w:id="1918" w:name="_Toc7131"/>
      <w:bookmarkStart w:id="1919" w:name="_Toc3324"/>
      <w:bookmarkStart w:id="1920" w:name="_Toc22260"/>
      <w:bookmarkStart w:id="1921" w:name="_Toc305331313"/>
      <w:bookmarkStart w:id="1922" w:name="_Toc20575"/>
      <w:bookmarkStart w:id="1923" w:name="_Toc208587545"/>
      <w:bookmarkStart w:id="1924" w:name="_Toc302635793"/>
      <w:bookmarkStart w:id="1925" w:name="_Toc23633"/>
      <w:bookmarkStart w:id="1926" w:name="_Toc17873"/>
      <w:bookmarkStart w:id="1927" w:name="_Toc1786394472"/>
      <w:bookmarkStart w:id="1928" w:name="_Toc26885"/>
      <w:bookmarkStart w:id="1929" w:name="_Toc201735337"/>
      <w:bookmarkStart w:id="1930" w:name="_Toc24403"/>
      <w:r>
        <w:rPr>
          <w:rFonts w:hint="eastAsia" w:ascii="宋体" w:hAnsi="宋体" w:eastAsia="宋体" w:cs="Times New Roman"/>
          <w:b/>
          <w:bCs/>
          <w:kern w:val="0"/>
          <w:sz w:val="24"/>
          <w:szCs w:val="24"/>
          <w:lang w:val="en-US" w:eastAsia="zh-CN" w:bidi="ar-SA"/>
        </w:rPr>
        <w:t>材料与工程设备的再次检验和随时检查</w:t>
      </w:r>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p>
    <w:p w14:paraId="4DD85607">
      <w:pPr>
        <w:tabs>
          <w:tab w:val="left" w:pos="1620"/>
          <w:tab w:val="left" w:pos="2340"/>
        </w:tabs>
        <w:spacing w:after="156"/>
        <w:ind w:left="899"/>
        <w:jc w:val="left"/>
        <w:rPr>
          <w:rFonts w:ascii="Times New Roman" w:hAnsi="Times New Roman" w:eastAsia="宋体" w:cs="Times New Roman"/>
          <w:kern w:val="0"/>
          <w:szCs w:val="24"/>
        </w:rPr>
      </w:pPr>
      <w:r>
        <w:rPr>
          <w:rFonts w:hint="eastAsia" w:ascii="宋体" w:hAnsi="宋体" w:eastAsia="宋体" w:cs="Times New Roman"/>
          <w:kern w:val="0"/>
          <w:szCs w:val="24"/>
        </w:rPr>
        <w:t>(1)</w:t>
      </w:r>
      <w:r>
        <w:rPr>
          <w:rFonts w:hint="eastAsia" w:ascii="Times New Roman" w:hAnsi="Times New Roman" w:eastAsia="宋体" w:cs="Times New Roman"/>
          <w:kern w:val="0"/>
          <w:szCs w:val="24"/>
        </w:rPr>
        <w:t>如</w:t>
      </w:r>
      <w:r>
        <w:rPr>
          <w:rFonts w:ascii="Times New Roman" w:hAnsi="Times New Roman" w:eastAsia="宋体" w:cs="Times New Roman"/>
          <w:kern w:val="0"/>
          <w:szCs w:val="24"/>
        </w:rPr>
        <w:t>监理人</w:t>
      </w:r>
      <w:r>
        <w:rPr>
          <w:rFonts w:hint="eastAsia" w:ascii="Times New Roman" w:hAnsi="Times New Roman" w:eastAsia="宋体" w:cs="Times New Roman"/>
          <w:kern w:val="0"/>
          <w:szCs w:val="24"/>
        </w:rPr>
        <w:t>认为需要，可要求对材料</w:t>
      </w:r>
      <w:r>
        <w:rPr>
          <w:rFonts w:hint="eastAsia" w:ascii="宋体" w:hAnsi="宋体" w:eastAsia="宋体" w:cs="Times New Roman"/>
          <w:kern w:val="0"/>
          <w:szCs w:val="24"/>
        </w:rPr>
        <w:t>与工程</w:t>
      </w:r>
      <w:r>
        <w:rPr>
          <w:rFonts w:hint="eastAsia" w:ascii="Times New Roman" w:hAnsi="Times New Roman" w:eastAsia="宋体" w:cs="Times New Roman"/>
          <w:kern w:val="0"/>
          <w:szCs w:val="24"/>
        </w:rPr>
        <w:t>设备进行再次检验。发包人供应的材料</w:t>
      </w:r>
      <w:r>
        <w:rPr>
          <w:rFonts w:hint="eastAsia" w:ascii="宋体" w:hAnsi="宋体" w:eastAsia="宋体" w:cs="Times New Roman"/>
          <w:kern w:val="0"/>
          <w:szCs w:val="24"/>
        </w:rPr>
        <w:t>与工程</w:t>
      </w:r>
      <w:r>
        <w:rPr>
          <w:rFonts w:hint="eastAsia" w:ascii="Times New Roman" w:hAnsi="Times New Roman" w:eastAsia="宋体" w:cs="Times New Roman"/>
          <w:kern w:val="0"/>
          <w:szCs w:val="24"/>
        </w:rPr>
        <w:t>设备，再次检验费用由发包人承担。承包人采购的材料</w:t>
      </w:r>
      <w:r>
        <w:rPr>
          <w:rFonts w:hint="eastAsia" w:ascii="宋体" w:hAnsi="宋体" w:eastAsia="宋体" w:cs="Times New Roman"/>
          <w:kern w:val="0"/>
          <w:szCs w:val="24"/>
        </w:rPr>
        <w:t>与工程</w:t>
      </w:r>
      <w:r>
        <w:rPr>
          <w:rFonts w:hint="eastAsia" w:ascii="Times New Roman" w:hAnsi="Times New Roman" w:eastAsia="宋体" w:cs="Times New Roman"/>
          <w:kern w:val="0"/>
          <w:szCs w:val="24"/>
        </w:rPr>
        <w:t>设备，如再次检验结果表明该材料</w:t>
      </w:r>
      <w:r>
        <w:rPr>
          <w:rFonts w:hint="eastAsia" w:ascii="宋体" w:hAnsi="宋体" w:eastAsia="宋体" w:cs="Times New Roman"/>
          <w:kern w:val="0"/>
          <w:szCs w:val="24"/>
        </w:rPr>
        <w:t>与工程</w:t>
      </w:r>
      <w:r>
        <w:rPr>
          <w:rFonts w:hint="eastAsia" w:ascii="Times New Roman" w:hAnsi="Times New Roman" w:eastAsia="宋体" w:cs="Times New Roman"/>
          <w:kern w:val="0"/>
          <w:szCs w:val="24"/>
        </w:rPr>
        <w:t>设备不符合有关标准、规范</w:t>
      </w:r>
      <w:r>
        <w:rPr>
          <w:rFonts w:hint="eastAsia" w:ascii="宋体" w:hAnsi="宋体" w:eastAsia="宋体" w:cs="Times New Roman"/>
          <w:kern w:val="0"/>
          <w:szCs w:val="24"/>
        </w:rPr>
        <w:t>和技术要求</w:t>
      </w:r>
      <w:r>
        <w:rPr>
          <w:rFonts w:hint="eastAsia" w:ascii="Times New Roman" w:hAnsi="Times New Roman" w:eastAsia="宋体" w:cs="Times New Roman"/>
          <w:kern w:val="0"/>
          <w:szCs w:val="24"/>
        </w:rPr>
        <w:t>的规定或本合同的约定，检验费用由承包人承担，否则由发包人承担。</w:t>
      </w:r>
      <w:bookmarkEnd w:id="1915"/>
    </w:p>
    <w:p w14:paraId="2EF21272">
      <w:pPr>
        <w:tabs>
          <w:tab w:val="left" w:pos="1620"/>
          <w:tab w:val="left" w:pos="2340"/>
        </w:tabs>
        <w:spacing w:after="156"/>
        <w:ind w:left="899"/>
        <w:jc w:val="left"/>
        <w:rPr>
          <w:rFonts w:ascii="Times New Roman" w:hAnsi="Times New Roman" w:eastAsia="宋体" w:cs="Times New Roman"/>
          <w:kern w:val="0"/>
          <w:szCs w:val="24"/>
        </w:rPr>
      </w:pPr>
      <w:bookmarkStart w:id="1931" w:name="_Toc34909037"/>
      <w:r>
        <w:rPr>
          <w:rFonts w:hint="eastAsia" w:ascii="宋体" w:hAnsi="宋体" w:eastAsia="宋体" w:cs="Times New Roman"/>
          <w:kern w:val="0"/>
          <w:szCs w:val="24"/>
        </w:rPr>
        <w:t>(2)</w:t>
      </w:r>
      <w:r>
        <w:rPr>
          <w:rFonts w:ascii="Times New Roman" w:hAnsi="Times New Roman" w:eastAsia="宋体" w:cs="Times New Roman"/>
          <w:kern w:val="0"/>
          <w:szCs w:val="24"/>
        </w:rPr>
        <w:t>监理人</w:t>
      </w:r>
      <w:r>
        <w:rPr>
          <w:rFonts w:hint="eastAsia" w:ascii="Times New Roman" w:hAnsi="Times New Roman" w:eastAsia="宋体" w:cs="Times New Roman"/>
          <w:kern w:val="0"/>
          <w:szCs w:val="24"/>
        </w:rPr>
        <w:t>在一切合理的时间内均应能进入施工现场以及半成品的制造、加工或制配的所有车间和场所，承包人应为其进入上述场所提供一切便利和协助。</w:t>
      </w:r>
      <w:bookmarkEnd w:id="1931"/>
    </w:p>
    <w:p w14:paraId="2B46CA7C">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1932" w:name="_Toc201735338"/>
      <w:bookmarkStart w:id="1933" w:name="_Toc25243"/>
      <w:bookmarkStart w:id="1934" w:name="_Toc31496"/>
      <w:bookmarkStart w:id="1935" w:name="_Toc3235"/>
      <w:bookmarkStart w:id="1936" w:name="_Toc305331314"/>
      <w:bookmarkStart w:id="1937" w:name="_Toc31847"/>
      <w:bookmarkStart w:id="1938" w:name="_Toc1249308244"/>
      <w:bookmarkStart w:id="1939" w:name="_Toc208587546"/>
      <w:bookmarkStart w:id="1940" w:name="_Toc4281"/>
      <w:bookmarkStart w:id="1941" w:name="_Toc5514"/>
      <w:bookmarkStart w:id="1942" w:name="_Toc7663"/>
      <w:bookmarkStart w:id="1943" w:name="_Toc35656987"/>
      <w:bookmarkStart w:id="1944" w:name="_Toc4978"/>
      <w:bookmarkStart w:id="1945" w:name="_Toc10865"/>
      <w:bookmarkStart w:id="1946" w:name="_Toc34909056"/>
      <w:bookmarkStart w:id="1947" w:name="_Toc302635794"/>
      <w:bookmarkStart w:id="1948" w:name="_Toc35656485"/>
      <w:bookmarkStart w:id="1949" w:name="_Toc28438"/>
      <w:r>
        <w:rPr>
          <w:rFonts w:hint="eastAsia" w:ascii="华文细黑" w:hAnsi="宋体" w:eastAsia="宋体" w:cs="Times New Roman"/>
          <w:b/>
          <w:bCs/>
          <w:snapToGrid w:val="0"/>
          <w:kern w:val="0"/>
          <w:sz w:val="28"/>
          <w:szCs w:val="44"/>
          <w:lang w:val="en-US" w:eastAsia="zh-CN" w:bidi="ar-SA"/>
        </w:rPr>
        <w:t>工程质量和检测</w:t>
      </w:r>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p>
    <w:p w14:paraId="75B81423">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950" w:name="_Toc30990"/>
      <w:bookmarkStart w:id="1951" w:name="_Toc29891"/>
      <w:bookmarkStart w:id="1952" w:name="_Toc1434"/>
      <w:bookmarkStart w:id="1953" w:name="_Toc742768262"/>
      <w:bookmarkStart w:id="1954" w:name="_Toc29863"/>
      <w:bookmarkStart w:id="1955" w:name="_Toc208587547"/>
      <w:bookmarkStart w:id="1956" w:name="_Toc13014"/>
      <w:bookmarkStart w:id="1957" w:name="_Toc11781"/>
      <w:bookmarkStart w:id="1958" w:name="_Toc305331315"/>
      <w:bookmarkStart w:id="1959" w:name="_Toc302635795"/>
      <w:bookmarkStart w:id="1960" w:name="_Toc30202"/>
      <w:bookmarkStart w:id="1961" w:name="_Toc16213"/>
      <w:bookmarkStart w:id="1962" w:name="_Toc18460"/>
      <w:bookmarkStart w:id="1963" w:name="_Toc201735339"/>
      <w:bookmarkStart w:id="1964" w:name="_Toc5275"/>
      <w:bookmarkStart w:id="1965" w:name="_Toc34909057"/>
      <w:r>
        <w:rPr>
          <w:rFonts w:hint="eastAsia" w:ascii="宋体" w:hAnsi="宋体" w:eastAsia="宋体" w:cs="Times New Roman"/>
          <w:b/>
          <w:bCs/>
          <w:kern w:val="0"/>
          <w:sz w:val="24"/>
          <w:szCs w:val="24"/>
          <w:lang w:val="en-US" w:eastAsia="zh-CN" w:bidi="ar-SA"/>
        </w:rPr>
        <w:t>工程质量</w:t>
      </w:r>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p>
    <w:p w14:paraId="59EEB37D">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(1)工程质量应达到本合同协议书中约定的质量标准，工程质量标准的评定应以本合同约定的标准、规范和技术要求为依据</w:t>
      </w:r>
      <w:bookmarkEnd w:id="1965"/>
      <w:r>
        <w:rPr>
          <w:rFonts w:hint="eastAsia" w:ascii="宋体" w:hAnsi="宋体" w:eastAsia="宋体" w:cs="Times New Roman"/>
          <w:kern w:val="0"/>
          <w:szCs w:val="24"/>
        </w:rPr>
        <w:t>，</w:t>
      </w:r>
      <w:r>
        <w:rPr>
          <w:rFonts w:hint="eastAsia" w:ascii="宋体" w:hAnsi="宋体" w:eastAsia="宋体" w:cs="Times New Roman"/>
          <w:caps/>
          <w:szCs w:val="21"/>
        </w:rPr>
        <w:t>合同没有约定的，以国家或行业的质量检验评定标准为依据。</w:t>
      </w:r>
    </w:p>
    <w:p w14:paraId="464EE859">
      <w:pPr>
        <w:tabs>
          <w:tab w:val="left" w:pos="1620"/>
          <w:tab w:val="left" w:pos="2340"/>
        </w:tabs>
        <w:spacing w:after="156"/>
        <w:ind w:left="899"/>
        <w:jc w:val="left"/>
        <w:rPr>
          <w:rFonts w:hint="eastAsia" w:ascii="宋体" w:hAnsi="宋体" w:eastAsia="宋体" w:cs="Times New Roman"/>
          <w:kern w:val="0"/>
          <w:szCs w:val="24"/>
        </w:rPr>
      </w:pPr>
      <w:bookmarkStart w:id="1966" w:name="_Toc34909058"/>
      <w:r>
        <w:rPr>
          <w:rFonts w:hint="eastAsia" w:ascii="宋体" w:hAnsi="宋体" w:eastAsia="宋体" w:cs="Times New Roman"/>
          <w:kern w:val="0"/>
          <w:szCs w:val="24"/>
        </w:rPr>
        <w:t>(2)承包人应建立质量保证体系，</w:t>
      </w:r>
      <w:r>
        <w:rPr>
          <w:rFonts w:ascii="宋体" w:hAnsi="宋体" w:eastAsia="宋体" w:cs="Times New Roman"/>
          <w:kern w:val="0"/>
          <w:szCs w:val="24"/>
        </w:rPr>
        <w:t>监理人</w:t>
      </w:r>
      <w:r>
        <w:rPr>
          <w:rFonts w:hint="eastAsia" w:ascii="宋体" w:hAnsi="宋体" w:eastAsia="宋体" w:cs="Times New Roman"/>
          <w:kern w:val="0"/>
          <w:szCs w:val="24"/>
        </w:rPr>
        <w:t>有权对体系的任何方面进行审查。遵守质量保证体系不应解除合同约定的承包人的任何义务和职责。</w:t>
      </w:r>
      <w:bookmarkEnd w:id="1966"/>
    </w:p>
    <w:p w14:paraId="0B8E70E2">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因发包人原因造成工程质量未达到合同约定标准的，由发包人承担由此增加的费用和（或）延误的工期。</w:t>
      </w:r>
    </w:p>
    <w:p w14:paraId="589C05C5">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w:t>
      </w:r>
      <w:r>
        <w:rPr>
          <w:rFonts w:ascii="宋体" w:hAnsi="宋体" w:eastAsia="宋体" w:cs="Times New Roman"/>
          <w:kern w:val="0"/>
          <w:szCs w:val="24"/>
        </w:rPr>
        <w:t>因承包人原因造成工程质量未达到合同约定标准的，发包人有权要求承包人返工直至工程质量达到合同约定的标准为止，并由承包人承担由此增加的费用和（或）延误的工期。</w:t>
      </w:r>
    </w:p>
    <w:p w14:paraId="3C9D720E">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967" w:name="_Toc27160"/>
      <w:bookmarkStart w:id="1968" w:name="_Toc23885"/>
      <w:bookmarkStart w:id="1969" w:name="_Toc7568"/>
      <w:bookmarkStart w:id="1970" w:name="_Toc9694"/>
      <w:bookmarkStart w:id="1971" w:name="_Toc24072"/>
      <w:bookmarkStart w:id="1972" w:name="_Toc9216"/>
      <w:bookmarkStart w:id="1973" w:name="_Toc1556136060"/>
      <w:bookmarkStart w:id="1974" w:name="_Toc15050"/>
      <w:bookmarkStart w:id="1975" w:name="_Toc31373"/>
      <w:bookmarkStart w:id="1976" w:name="_Toc208587548"/>
      <w:bookmarkStart w:id="1977" w:name="_Toc26004"/>
      <w:bookmarkStart w:id="1978" w:name="_Toc302635796"/>
      <w:bookmarkStart w:id="1979" w:name="_Toc201735340"/>
      <w:bookmarkStart w:id="1980" w:name="_Toc3490"/>
      <w:bookmarkStart w:id="1981" w:name="_Toc305331316"/>
      <w:bookmarkStart w:id="1982" w:name="_Toc34909059"/>
      <w:r>
        <w:rPr>
          <w:rFonts w:hint="eastAsia" w:ascii="宋体" w:hAnsi="宋体" w:eastAsia="宋体" w:cs="Times New Roman"/>
          <w:b/>
          <w:bCs/>
          <w:kern w:val="0"/>
          <w:sz w:val="24"/>
          <w:szCs w:val="24"/>
          <w:lang w:val="en-US" w:eastAsia="zh-CN" w:bidi="ar-SA"/>
        </w:rPr>
        <w:t>发包人质量控制责任</w:t>
      </w:r>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p>
    <w:p w14:paraId="52F5375D">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发包人应按照法律规定及合同约定完成与工程质量有关的各项工作</w:t>
      </w:r>
      <w:r>
        <w:rPr>
          <w:rFonts w:hint="eastAsia" w:ascii="宋体" w:hAnsi="宋体" w:eastAsia="宋体" w:cs="Times New Roman"/>
          <w:kern w:val="0"/>
          <w:szCs w:val="24"/>
        </w:rPr>
        <w:t>，其职责包括但不限于下列内容：</w:t>
      </w:r>
    </w:p>
    <w:p w14:paraId="56022968">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(1)向承包人提供与本工程有关的原始资料。原始资料必须真实、准确、齐全。</w:t>
      </w:r>
    </w:p>
    <w:p w14:paraId="2E05E955">
      <w:pPr>
        <w:tabs>
          <w:tab w:val="left" w:pos="1620"/>
          <w:tab w:val="left" w:pos="2340"/>
        </w:tabs>
        <w:ind w:left="899"/>
        <w:jc w:val="left"/>
        <w:rPr>
          <w:rFonts w:hint="eastAsia" w:ascii="Times New Roman" w:hAnsi="Times New Roman" w:eastAsia="宋体" w:cs="Times New Roman"/>
          <w:szCs w:val="24"/>
        </w:rPr>
      </w:pPr>
      <w:r>
        <w:rPr>
          <w:rFonts w:hint="eastAsia" w:ascii="宋体" w:hAnsi="宋体" w:eastAsia="宋体" w:cs="Times New Roman"/>
          <w:kern w:val="0"/>
          <w:szCs w:val="24"/>
        </w:rPr>
        <w:t>(2)不得迫使承包人以低于成本的价格竞标，不得任意压缩合理工期。</w:t>
      </w:r>
    </w:p>
    <w:p w14:paraId="533F649B">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(3)将施工图设计文件报建设行政主管部门或者其他有关部门审查或备案。</w:t>
      </w:r>
    </w:p>
    <w:p w14:paraId="2D322AE5">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(4)按照合同约定，由发包人采购材料、工程设备的，应保证其符合设计文件和合同要求。</w:t>
      </w:r>
    </w:p>
    <w:p w14:paraId="3ED435B9">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(5)收到建设工程竣工报告后，组织设计、施工、工程监理等有关单位进行竣工验收。经验收合格的，方可交付使用。</w:t>
      </w:r>
    </w:p>
    <w:p w14:paraId="71A24FBE">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(6)应严格按照国家有关档案管理的规定，及时收集、整理建设项目各环节的文件资料，建立、健全建设项目档案，并在建设工程竣工验收后，及时向建设行政主管部门或者其他有关部门移交建设项目档案。</w:t>
      </w:r>
    </w:p>
    <w:p w14:paraId="4623A5B7">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1983" w:name="_Toc5550"/>
      <w:bookmarkStart w:id="1984" w:name="_Toc11883"/>
      <w:bookmarkStart w:id="1985" w:name="_Toc1815"/>
      <w:bookmarkStart w:id="1986" w:name="_Toc208587549"/>
      <w:bookmarkStart w:id="1987" w:name="_Toc201735341"/>
      <w:bookmarkStart w:id="1988" w:name="_Toc600008244"/>
      <w:bookmarkStart w:id="1989" w:name="_Toc29505"/>
      <w:bookmarkStart w:id="1990" w:name="_Toc18814"/>
      <w:bookmarkStart w:id="1991" w:name="_Toc22223"/>
      <w:bookmarkStart w:id="1992" w:name="_Toc302635797"/>
      <w:bookmarkStart w:id="1993" w:name="_Toc22302"/>
      <w:bookmarkStart w:id="1994" w:name="_Toc21135"/>
      <w:bookmarkStart w:id="1995" w:name="_Toc13332"/>
      <w:bookmarkStart w:id="1996" w:name="_Toc12411"/>
      <w:r>
        <w:rPr>
          <w:rFonts w:hint="eastAsia" w:ascii="宋体" w:hAnsi="宋体" w:eastAsia="宋体" w:cs="Times New Roman"/>
          <w:b/>
          <w:bCs/>
          <w:kern w:val="0"/>
          <w:sz w:val="24"/>
          <w:szCs w:val="24"/>
          <w:lang w:val="en-US" w:eastAsia="zh-CN" w:bidi="ar-SA"/>
        </w:rPr>
        <w:t>承包人质量控制责任</w:t>
      </w:r>
      <w:bookmarkEnd w:id="1981"/>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p>
    <w:p w14:paraId="45809648">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承包人就本工程的工程质量向发包人负责，其职责包括但不限于下列内容：</w:t>
      </w:r>
      <w:bookmarkEnd w:id="1982"/>
    </w:p>
    <w:p w14:paraId="489C4484">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(1)编制和审查施工技术方案，确定特殊工程的施工技术措施，制定工程质量保证体系；</w:t>
      </w:r>
    </w:p>
    <w:p w14:paraId="54084089">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(2)提供和组织足够的工程质量控制和检测人员，检查和控制工程施工质量；</w:t>
      </w:r>
    </w:p>
    <w:p w14:paraId="174EF2B3">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(3)控制施工所用的材料、工程设备，包括承包人、分包人采购的材料、工程设备，使其不低于标准、规范和技术要求、设计文件和合同约定的标准；</w:t>
      </w:r>
    </w:p>
    <w:p w14:paraId="0B5F05A5">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(4)参加所有工程的验收工作，包括隐蔽验收、中间验收和竣工验收，并组织分包人参加工程竣工验收；</w:t>
      </w:r>
    </w:p>
    <w:p w14:paraId="788D3ECE">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(5)按照有关信息化管理的要求，在深圳市质量安全相关监管平台及时上传、报送有关质量检查、监测和整改情况；</w:t>
      </w:r>
    </w:p>
    <w:p w14:paraId="23E29A58">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(6)承担工程保修责任。</w:t>
      </w:r>
    </w:p>
    <w:p w14:paraId="27FA87F4">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1997" w:name="_Toc21372"/>
      <w:bookmarkStart w:id="1998" w:name="_Toc302635798"/>
      <w:bookmarkStart w:id="1999" w:name="_Toc16148"/>
      <w:bookmarkStart w:id="2000" w:name="_Toc10997"/>
      <w:bookmarkStart w:id="2001" w:name="_Toc15894"/>
      <w:bookmarkStart w:id="2002" w:name="_Toc24896"/>
      <w:bookmarkStart w:id="2003" w:name="_Toc1067579231"/>
      <w:bookmarkStart w:id="2004" w:name="_Toc13766"/>
      <w:bookmarkStart w:id="2005" w:name="_Toc208587550"/>
      <w:bookmarkStart w:id="2006" w:name="_Toc201735342"/>
      <w:bookmarkStart w:id="2007" w:name="_Toc3787"/>
      <w:bookmarkStart w:id="2008" w:name="_Toc21411"/>
      <w:bookmarkStart w:id="2009" w:name="_Toc22400"/>
      <w:bookmarkStart w:id="2010" w:name="_Toc16504"/>
      <w:r>
        <w:rPr>
          <w:rFonts w:ascii="宋体" w:hAnsi="宋体" w:eastAsia="宋体" w:cs="Times New Roman"/>
          <w:b/>
          <w:bCs/>
          <w:kern w:val="0"/>
          <w:sz w:val="24"/>
          <w:szCs w:val="24"/>
          <w:lang w:val="en-US" w:eastAsia="zh-CN" w:bidi="ar-SA"/>
        </w:rPr>
        <w:t>监理人</w:t>
      </w:r>
      <w:r>
        <w:rPr>
          <w:rFonts w:hint="eastAsia" w:ascii="宋体" w:hAnsi="宋体" w:eastAsia="宋体" w:cs="Times New Roman"/>
          <w:b/>
          <w:bCs/>
          <w:kern w:val="0"/>
          <w:sz w:val="24"/>
          <w:szCs w:val="24"/>
          <w:lang w:val="en-US" w:eastAsia="zh-CN" w:bidi="ar-SA"/>
        </w:rPr>
        <w:t>质量控制责任</w:t>
      </w:r>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p>
    <w:p w14:paraId="49564892">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监理</w:t>
      </w:r>
      <w:r>
        <w:rPr>
          <w:rFonts w:ascii="宋体" w:hAnsi="宋体" w:eastAsia="宋体" w:cs="Times New Roman"/>
          <w:kern w:val="0"/>
          <w:szCs w:val="24"/>
        </w:rPr>
        <w:t>人应按照法律规定及合同约定完成与工程质量有关的各项工作</w:t>
      </w:r>
      <w:r>
        <w:rPr>
          <w:rFonts w:hint="eastAsia" w:ascii="宋体" w:hAnsi="宋体" w:eastAsia="宋体" w:cs="Times New Roman"/>
          <w:kern w:val="0"/>
          <w:szCs w:val="24"/>
        </w:rPr>
        <w:t>，其职责包括但不限于下列内容：</w:t>
      </w:r>
    </w:p>
    <w:p w14:paraId="25C56785">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w:t>
      </w:r>
      <w:r>
        <w:rPr>
          <w:rFonts w:hint="eastAsia" w:ascii="宋体" w:hAnsi="宋体" w:eastAsia="宋体" w:cs="Times New Roman"/>
          <w:kern w:val="0"/>
          <w:szCs w:val="24"/>
        </w:rPr>
        <w:t>。</w:t>
      </w:r>
      <w:r>
        <w:rPr>
          <w:rFonts w:ascii="宋体" w:hAnsi="宋体" w:eastAsia="宋体" w:cs="Times New Roman"/>
          <w:kern w:val="0"/>
          <w:szCs w:val="24"/>
        </w:rPr>
        <w:t>监理人为此进行的检查和检验，不免除或减轻承包人按照合同约定应当承担的责任。</w:t>
      </w:r>
    </w:p>
    <w:p w14:paraId="719E02CD">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监理人的检查和检验影响施工正常进行的，且经检查检验不合格的，影响正常施工的费用由承包人承担，工期不予顺延；经检查检验合格的，由此增加的费用和（或）延误的工期由发包人承担。</w:t>
      </w:r>
    </w:p>
    <w:p w14:paraId="56C72B31">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011" w:name="_Toc1393385314"/>
      <w:bookmarkStart w:id="2012" w:name="_Toc22364"/>
      <w:bookmarkStart w:id="2013" w:name="_Toc201735343"/>
      <w:bookmarkStart w:id="2014" w:name="_Toc3588"/>
      <w:bookmarkStart w:id="2015" w:name="_Toc21748"/>
      <w:bookmarkStart w:id="2016" w:name="_Toc305331318"/>
      <w:bookmarkStart w:id="2017" w:name="_Toc1011"/>
      <w:bookmarkStart w:id="2018" w:name="_Toc13834"/>
      <w:bookmarkStart w:id="2019" w:name="_Toc302635800"/>
      <w:bookmarkStart w:id="2020" w:name="_Toc27987"/>
      <w:bookmarkStart w:id="2021" w:name="_Toc24543"/>
      <w:bookmarkStart w:id="2022" w:name="_Toc29290"/>
      <w:bookmarkStart w:id="2023" w:name="_Toc208587551"/>
      <w:bookmarkStart w:id="2024" w:name="_Toc26988"/>
      <w:bookmarkStart w:id="2025" w:name="_Toc8282"/>
      <w:bookmarkStart w:id="2026" w:name="_Toc34909061"/>
      <w:r>
        <w:rPr>
          <w:rFonts w:hint="eastAsia" w:ascii="宋体" w:hAnsi="宋体" w:eastAsia="宋体" w:cs="Times New Roman"/>
          <w:b/>
          <w:bCs/>
          <w:kern w:val="0"/>
          <w:sz w:val="24"/>
          <w:szCs w:val="24"/>
          <w:lang w:val="en-US" w:eastAsia="zh-CN" w:bidi="ar-SA"/>
        </w:rPr>
        <w:t>工程隐蔽前的验收</w:t>
      </w:r>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p>
    <w:p w14:paraId="719D5B2D">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承包人应当对工程隐蔽部位进行自检，并经自检确认是否具备覆盖条件。</w:t>
      </w:r>
    </w:p>
    <w:p w14:paraId="1F8B6E1B">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(2)没有</w:t>
      </w:r>
      <w:r>
        <w:rPr>
          <w:rFonts w:ascii="宋体" w:hAnsi="宋体" w:eastAsia="宋体" w:cs="Times New Roman"/>
          <w:kern w:val="0"/>
          <w:szCs w:val="24"/>
        </w:rPr>
        <w:t>监理人</w:t>
      </w:r>
      <w:r>
        <w:rPr>
          <w:rFonts w:hint="eastAsia" w:ascii="宋体" w:hAnsi="宋体" w:eastAsia="宋体" w:cs="Times New Roman"/>
          <w:kern w:val="0"/>
          <w:szCs w:val="24"/>
        </w:rPr>
        <w:t>的批准，任何工程均不得隐蔽。当本工程任何部分具备隐蔽条件时，承包人应提前24小时通知</w:t>
      </w:r>
      <w:r>
        <w:rPr>
          <w:rFonts w:ascii="宋体" w:hAnsi="宋体" w:eastAsia="宋体" w:cs="Times New Roman"/>
          <w:kern w:val="0"/>
          <w:szCs w:val="24"/>
        </w:rPr>
        <w:t>监理人</w:t>
      </w:r>
      <w:r>
        <w:rPr>
          <w:rFonts w:hint="eastAsia" w:ascii="宋体" w:hAnsi="宋体" w:eastAsia="宋体" w:cs="Times New Roman"/>
          <w:kern w:val="0"/>
          <w:szCs w:val="24"/>
        </w:rPr>
        <w:t>，告知验收的时间、内容和地点，保证</w:t>
      </w:r>
      <w:r>
        <w:rPr>
          <w:rFonts w:ascii="宋体" w:hAnsi="宋体" w:eastAsia="宋体" w:cs="Times New Roman"/>
          <w:kern w:val="0"/>
          <w:szCs w:val="24"/>
        </w:rPr>
        <w:t>监理人</w:t>
      </w:r>
      <w:r>
        <w:rPr>
          <w:rFonts w:hint="eastAsia" w:ascii="宋体" w:hAnsi="宋体" w:eastAsia="宋体" w:cs="Times New Roman"/>
          <w:kern w:val="0"/>
          <w:szCs w:val="24"/>
        </w:rPr>
        <w:t>有充分的时间对隐蔽工程进行验收，并为</w:t>
      </w:r>
      <w:r>
        <w:rPr>
          <w:rFonts w:ascii="宋体" w:hAnsi="宋体" w:eastAsia="宋体" w:cs="Times New Roman"/>
          <w:kern w:val="0"/>
          <w:szCs w:val="24"/>
        </w:rPr>
        <w:t>监理人</w:t>
      </w:r>
      <w:r>
        <w:rPr>
          <w:rFonts w:hint="eastAsia" w:ascii="宋体" w:hAnsi="宋体" w:eastAsia="宋体" w:cs="Times New Roman"/>
          <w:kern w:val="0"/>
          <w:szCs w:val="24"/>
        </w:rPr>
        <w:t>提供一切必要的资料和协助。</w:t>
      </w:r>
      <w:r>
        <w:rPr>
          <w:rFonts w:ascii="宋体" w:hAnsi="宋体" w:eastAsia="宋体" w:cs="Times New Roman"/>
          <w:kern w:val="0"/>
          <w:szCs w:val="24"/>
        </w:rPr>
        <w:t>监理人</w:t>
      </w:r>
      <w:r>
        <w:rPr>
          <w:rFonts w:hint="eastAsia" w:ascii="宋体" w:hAnsi="宋体" w:eastAsia="宋体" w:cs="Times New Roman"/>
          <w:kern w:val="0"/>
          <w:szCs w:val="24"/>
        </w:rPr>
        <w:t>应按时参加隐蔽工程的验收，不得无故拖延，除非认为没有必要验收，并就此通知承包人。</w:t>
      </w:r>
      <w:r>
        <w:rPr>
          <w:rFonts w:ascii="宋体" w:hAnsi="宋体" w:eastAsia="宋体" w:cs="Times New Roman"/>
          <w:kern w:val="0"/>
          <w:szCs w:val="24"/>
        </w:rPr>
        <w:t>监理人</w:t>
      </w:r>
      <w:r>
        <w:rPr>
          <w:rFonts w:hint="eastAsia" w:ascii="宋体" w:hAnsi="宋体" w:eastAsia="宋体" w:cs="Times New Roman"/>
          <w:kern w:val="0"/>
          <w:szCs w:val="24"/>
        </w:rPr>
        <w:t>在组织隐蔽工程验收时，应通知发包人及政府有关部门（如需）派人参加。</w:t>
      </w:r>
      <w:bookmarkEnd w:id="2026"/>
    </w:p>
    <w:p w14:paraId="571F60F3">
      <w:pPr>
        <w:tabs>
          <w:tab w:val="left" w:pos="1620"/>
          <w:tab w:val="left" w:pos="2340"/>
        </w:tabs>
        <w:spacing w:after="156"/>
        <w:ind w:left="899"/>
        <w:jc w:val="left"/>
        <w:rPr>
          <w:rFonts w:hint="eastAsia" w:ascii="宋体" w:hAnsi="宋体" w:eastAsia="宋体" w:cs="Times New Roman"/>
          <w:kern w:val="0"/>
          <w:szCs w:val="24"/>
        </w:rPr>
      </w:pPr>
      <w:bookmarkStart w:id="2027" w:name="_Toc34909062"/>
      <w:r>
        <w:rPr>
          <w:rFonts w:ascii="宋体" w:hAnsi="宋体" w:eastAsia="宋体" w:cs="Times New Roman"/>
          <w:kern w:val="0"/>
          <w:szCs w:val="24"/>
        </w:rPr>
        <w:t>(3)</w:t>
      </w:r>
      <w:r>
        <w:rPr>
          <w:rFonts w:hint="eastAsia" w:ascii="宋体" w:hAnsi="宋体" w:eastAsia="宋体" w:cs="Times New Roman"/>
          <w:kern w:val="0"/>
          <w:szCs w:val="24"/>
        </w:rPr>
        <w:t>无论</w:t>
      </w:r>
      <w:r>
        <w:rPr>
          <w:rFonts w:ascii="宋体" w:hAnsi="宋体" w:eastAsia="宋体" w:cs="Times New Roman"/>
          <w:kern w:val="0"/>
          <w:szCs w:val="24"/>
        </w:rPr>
        <w:t>监理人</w:t>
      </w:r>
      <w:r>
        <w:rPr>
          <w:rFonts w:hint="eastAsia" w:ascii="宋体" w:hAnsi="宋体" w:eastAsia="宋体" w:cs="Times New Roman"/>
          <w:kern w:val="0"/>
          <w:szCs w:val="24"/>
        </w:rPr>
        <w:t>是否进行验收，当其要求对已经隐蔽的工程重新验收时，承包人应按要求进行剥离或开孔，并在验收后重新隐蔽。如验收合格，则发包人承担由此增加的费用和（或）延误的工期；如验收不合格，则承包人应按</w:t>
      </w:r>
      <w:r>
        <w:rPr>
          <w:rFonts w:ascii="宋体" w:hAnsi="宋体" w:eastAsia="宋体" w:cs="Times New Roman"/>
          <w:kern w:val="0"/>
          <w:szCs w:val="24"/>
        </w:rPr>
        <w:t>监理人</w:t>
      </w:r>
      <w:r>
        <w:rPr>
          <w:rFonts w:hint="eastAsia" w:ascii="宋体" w:hAnsi="宋体" w:eastAsia="宋体" w:cs="Times New Roman"/>
          <w:kern w:val="0"/>
          <w:szCs w:val="24"/>
        </w:rPr>
        <w:t>的指令重新施工，直到验收合格，并承担由此发生的全部费用，工期不予顺延。</w:t>
      </w:r>
      <w:bookmarkEnd w:id="2027"/>
    </w:p>
    <w:p w14:paraId="5D9491B4">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(4)监理人不能按时进行检查的，应在检查前24小时向承包人提交书面延期要求，但延期不能超过48小时，由此导致工期延误的，工期应予以顺延。监理人未按时进行检查，也未提出延期要求的，</w:t>
      </w:r>
      <w:r>
        <w:rPr>
          <w:rFonts w:hint="eastAsia" w:ascii="宋体" w:hAnsi="宋体" w:eastAsia="宋体" w:cs="Times New Roman"/>
          <w:kern w:val="0"/>
          <w:szCs w:val="24"/>
        </w:rPr>
        <w:t>经检查工程质量符合合同要求的，发包人应承担由此增加的费用和（或）延误的工期；经检查工程质量不符合合同要求的（由于监理人未及时检查直接导致工程质量不符合合同要求的情况除外），承包人应承担由此增加的费用和（或）延误的工期</w:t>
      </w:r>
      <w:r>
        <w:rPr>
          <w:rFonts w:ascii="宋体" w:hAnsi="宋体" w:eastAsia="宋体" w:cs="Times New Roman"/>
          <w:kern w:val="0"/>
          <w:szCs w:val="24"/>
        </w:rPr>
        <w:t>。</w:t>
      </w:r>
    </w:p>
    <w:p w14:paraId="7B365F09">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028" w:name="_Toc28607"/>
      <w:bookmarkStart w:id="2029" w:name="_Toc302635801"/>
      <w:bookmarkStart w:id="2030" w:name="_Toc3632"/>
      <w:bookmarkStart w:id="2031" w:name="_Toc201735344"/>
      <w:bookmarkStart w:id="2032" w:name="_Toc7645"/>
      <w:bookmarkStart w:id="2033" w:name="_Toc29568"/>
      <w:bookmarkStart w:id="2034" w:name="_Toc305331319"/>
      <w:bookmarkStart w:id="2035" w:name="_Toc924"/>
      <w:bookmarkStart w:id="2036" w:name="_Toc28744"/>
      <w:bookmarkStart w:id="2037" w:name="_Toc208587552"/>
      <w:bookmarkStart w:id="2038" w:name="_Toc1579355190"/>
      <w:bookmarkStart w:id="2039" w:name="_Toc13248"/>
      <w:bookmarkStart w:id="2040" w:name="_Toc25121"/>
      <w:bookmarkStart w:id="2041" w:name="_Toc3218"/>
      <w:bookmarkStart w:id="2042" w:name="_Toc18034"/>
      <w:r>
        <w:rPr>
          <w:rFonts w:hint="eastAsia" w:ascii="宋体" w:hAnsi="宋体" w:eastAsia="宋体" w:cs="Times New Roman"/>
          <w:b/>
          <w:bCs/>
          <w:kern w:val="0"/>
          <w:sz w:val="24"/>
          <w:szCs w:val="24"/>
          <w:lang w:val="en-US" w:eastAsia="zh-CN" w:bidi="ar-SA"/>
        </w:rPr>
        <w:t>防水检测</w:t>
      </w:r>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p>
    <w:p w14:paraId="78C37AD9">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本工程有防水要求的部位，在下道工序施工进行前，需按要求进行闭水试验，费用已含在相应分部分项工程的</w:t>
      </w:r>
      <w:r>
        <w:rPr>
          <w:rFonts w:hint="eastAsia" w:ascii="宋体" w:hAnsi="宋体" w:eastAsia="宋体" w:cs="Times New Roman"/>
          <w:kern w:val="0"/>
          <w:szCs w:val="24"/>
          <w:lang w:eastAsia="zh-CN"/>
        </w:rPr>
        <w:t>合同单价</w:t>
      </w:r>
      <w:r>
        <w:rPr>
          <w:rFonts w:hint="eastAsia" w:ascii="宋体" w:hAnsi="宋体" w:eastAsia="宋体" w:cs="Times New Roman"/>
          <w:kern w:val="0"/>
          <w:szCs w:val="24"/>
        </w:rPr>
        <w:t>中，由承包人承担。未发现渗漏水的才可进行下道工序施工，如发现渗漏水，承包人应限期自费进行整改直到符合防水要求，由此延误的工期不予顺延。</w:t>
      </w:r>
    </w:p>
    <w:p w14:paraId="6D17B275">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043" w:name="_Toc302635804"/>
      <w:bookmarkStart w:id="2044" w:name="_Toc10376"/>
      <w:bookmarkStart w:id="2045" w:name="_Toc12619"/>
      <w:bookmarkStart w:id="2046" w:name="_Toc16334"/>
      <w:bookmarkStart w:id="2047" w:name="_Toc32207"/>
      <w:bookmarkStart w:id="2048" w:name="_Toc15166"/>
      <w:bookmarkStart w:id="2049" w:name="_Toc201735345"/>
      <w:bookmarkStart w:id="2050" w:name="_Toc714"/>
      <w:bookmarkStart w:id="2051" w:name="_Toc1783267375"/>
      <w:bookmarkStart w:id="2052" w:name="_Toc305331321"/>
      <w:bookmarkStart w:id="2053" w:name="_Toc2139"/>
      <w:bookmarkStart w:id="2054" w:name="_Toc12391"/>
      <w:bookmarkStart w:id="2055" w:name="_Toc6130"/>
      <w:bookmarkStart w:id="2056" w:name="_Toc29033"/>
      <w:bookmarkStart w:id="2057" w:name="_Toc208587553"/>
      <w:r>
        <w:rPr>
          <w:rFonts w:hint="eastAsia" w:ascii="宋体" w:hAnsi="宋体" w:eastAsia="宋体" w:cs="Times New Roman"/>
          <w:b/>
          <w:bCs/>
          <w:kern w:val="0"/>
          <w:sz w:val="24"/>
          <w:szCs w:val="24"/>
          <w:lang w:val="en-US" w:eastAsia="zh-CN" w:bidi="ar-SA"/>
        </w:rPr>
        <w:t>工程质量检测费用</w:t>
      </w:r>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p>
    <w:p w14:paraId="5E01CC12">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承包人在合同工期已充分预估检测机构开展检测工作对工程进度的影响，检测机构不合理拖延且由此导致工程关键线路工期受到影响的情况除外</w:t>
      </w:r>
      <w:r>
        <w:rPr>
          <w:rFonts w:hint="eastAsia" w:ascii="宋体" w:hAnsi="宋体" w:eastAsia="宋体" w:cs="Times New Roman"/>
          <w:kern w:val="0"/>
          <w:szCs w:val="24"/>
        </w:rPr>
        <w:t>。</w:t>
      </w:r>
    </w:p>
    <w:p w14:paraId="06C853A5">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对于现场检测工作，承包人应通知监理人协调检测机构进场事宜，并为检测机构的工作开展提供必要的现场条件及配合，相应</w:t>
      </w:r>
      <w:r>
        <w:rPr>
          <w:rFonts w:hint="eastAsia" w:ascii="宋体" w:hAnsi="宋体" w:eastAsia="宋体" w:cs="Times New Roman"/>
          <w:kern w:val="0"/>
          <w:szCs w:val="24"/>
        </w:rPr>
        <w:t>的配合工作内容及</w:t>
      </w:r>
      <w:r>
        <w:rPr>
          <w:rFonts w:ascii="宋体" w:hAnsi="宋体" w:eastAsia="宋体" w:cs="Times New Roman"/>
          <w:kern w:val="0"/>
          <w:szCs w:val="24"/>
        </w:rPr>
        <w:t>费用承担</w:t>
      </w:r>
      <w:r>
        <w:rPr>
          <w:rFonts w:hint="eastAsia" w:ascii="宋体" w:hAnsi="宋体" w:eastAsia="宋体" w:cs="Times New Roman"/>
          <w:kern w:val="0"/>
          <w:szCs w:val="24"/>
        </w:rPr>
        <w:t>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w:t>
      </w:r>
    </w:p>
    <w:p w14:paraId="74D3DBF9">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发包人应承担根据国家标准和施工验收规范要求对建筑物工程质量检测检验发生的第三方检测费用。</w:t>
      </w:r>
      <w:r>
        <w:rPr>
          <w:rFonts w:ascii="宋体" w:hAnsi="宋体" w:eastAsia="宋体" w:cs="Times New Roman"/>
          <w:kern w:val="0"/>
          <w:szCs w:val="24"/>
        </w:rPr>
        <w:t>检测结果证明质量不符合合同要求的，监理人应组织各方分析确定责任人及后续实施方</w:t>
      </w:r>
      <w:r>
        <w:rPr>
          <w:rFonts w:hint="eastAsia" w:ascii="宋体" w:hAnsi="宋体" w:eastAsia="宋体" w:cs="Times New Roman"/>
          <w:kern w:val="0"/>
          <w:szCs w:val="24"/>
        </w:rPr>
        <w:t>案，由责任人承担由此增加的费用（含本次检测费用）和（或）延误的工期。</w:t>
      </w:r>
      <w:r>
        <w:rPr>
          <w:rFonts w:ascii="宋体" w:hAnsi="宋体" w:eastAsia="宋体" w:cs="Times New Roman"/>
          <w:kern w:val="0"/>
          <w:szCs w:val="24"/>
        </w:rPr>
        <w:t>对检测结果存在争议的，</w:t>
      </w:r>
      <w:r>
        <w:rPr>
          <w:rFonts w:hint="eastAsia" w:ascii="宋体" w:hAnsi="宋体" w:eastAsia="宋体" w:cs="Times New Roman"/>
          <w:kern w:val="0"/>
          <w:szCs w:val="24"/>
        </w:rPr>
        <w:t>按照第1</w:t>
      </w:r>
      <w:r>
        <w:rPr>
          <w:rFonts w:ascii="宋体" w:hAnsi="宋体" w:eastAsia="宋体" w:cs="Times New Roman"/>
          <w:kern w:val="0"/>
          <w:szCs w:val="24"/>
        </w:rPr>
        <w:t>5.8</w:t>
      </w:r>
      <w:r>
        <w:rPr>
          <w:rFonts w:hint="eastAsia" w:ascii="宋体" w:hAnsi="宋体" w:eastAsia="宋体" w:cs="Times New Roman"/>
          <w:kern w:val="0"/>
          <w:szCs w:val="24"/>
        </w:rPr>
        <w:t>条【质量争议检测】执行。</w:t>
      </w:r>
    </w:p>
    <w:p w14:paraId="48377075">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058" w:name="_Toc29707"/>
      <w:bookmarkStart w:id="2059" w:name="_Toc3645"/>
      <w:bookmarkStart w:id="2060" w:name="_Toc208587554"/>
      <w:bookmarkStart w:id="2061" w:name="_Toc21316"/>
      <w:bookmarkStart w:id="2062" w:name="_Toc1354608782"/>
      <w:bookmarkStart w:id="2063" w:name="_Toc14937"/>
      <w:bookmarkStart w:id="2064" w:name="_Toc5588"/>
      <w:bookmarkStart w:id="2065" w:name="_Toc27577"/>
      <w:bookmarkStart w:id="2066" w:name="_Toc24575"/>
      <w:bookmarkStart w:id="2067" w:name="_Toc11595"/>
      <w:bookmarkStart w:id="2068" w:name="_Toc16506"/>
      <w:bookmarkStart w:id="2069" w:name="_Toc201735346"/>
      <w:bookmarkStart w:id="2070" w:name="_Toc302635805"/>
      <w:bookmarkStart w:id="2071" w:name="_Toc8598"/>
      <w:r>
        <w:rPr>
          <w:rFonts w:hint="eastAsia" w:ascii="宋体" w:hAnsi="宋体" w:eastAsia="宋体" w:cs="Times New Roman"/>
          <w:b/>
          <w:bCs/>
          <w:kern w:val="0"/>
          <w:sz w:val="24"/>
          <w:szCs w:val="24"/>
          <w:lang w:val="en-US" w:eastAsia="zh-CN" w:bidi="ar-SA"/>
        </w:rPr>
        <w:t>质量争议检测</w:t>
      </w:r>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p>
    <w:p w14:paraId="7D9A6160">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发承包双方对工程质量有争议的，由双方协商确定的工程质量检测机构鉴定，由此产生的费用及因此造成的损失，由责任方承担。发承包双方均有责任的，由双方根据其责任分别承担。</w:t>
      </w:r>
    </w:p>
    <w:p w14:paraId="101DF86B">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2072" w:name="_Toc16461"/>
      <w:bookmarkStart w:id="2073" w:name="_Toc31707"/>
      <w:bookmarkStart w:id="2074" w:name="_Toc201735347"/>
      <w:bookmarkStart w:id="2075" w:name="_Toc19085"/>
      <w:bookmarkStart w:id="2076" w:name="_Toc3609"/>
      <w:bookmarkStart w:id="2077" w:name="_Toc771"/>
      <w:bookmarkStart w:id="2078" w:name="_Toc29944"/>
      <w:bookmarkStart w:id="2079" w:name="_Toc1034285634"/>
      <w:bookmarkStart w:id="2080" w:name="_Toc9673"/>
      <w:bookmarkStart w:id="2081" w:name="_Toc302635806"/>
      <w:bookmarkStart w:id="2082" w:name="_Toc20576"/>
      <w:bookmarkStart w:id="2083" w:name="_Toc14329"/>
      <w:bookmarkStart w:id="2084" w:name="_Toc305331322"/>
      <w:bookmarkStart w:id="2085" w:name="_Toc208587555"/>
      <w:bookmarkStart w:id="2086" w:name="_Toc26505"/>
      <w:r>
        <w:rPr>
          <w:rFonts w:hint="eastAsia" w:ascii="华文细黑" w:hAnsi="宋体" w:eastAsia="宋体" w:cs="Times New Roman"/>
          <w:b/>
          <w:bCs/>
          <w:snapToGrid w:val="0"/>
          <w:kern w:val="0"/>
          <w:sz w:val="28"/>
          <w:szCs w:val="44"/>
          <w:lang w:val="en-US" w:eastAsia="zh-CN" w:bidi="ar-SA"/>
        </w:rPr>
        <w:t>工程试运行</w:t>
      </w:r>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p>
    <w:p w14:paraId="6A11ECB9">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087" w:name="_Toc5424"/>
      <w:bookmarkStart w:id="2088" w:name="_Toc26145"/>
      <w:bookmarkStart w:id="2089" w:name="_Toc305331323"/>
      <w:bookmarkStart w:id="2090" w:name="_Toc201735348"/>
      <w:bookmarkStart w:id="2091" w:name="_Toc31092"/>
      <w:bookmarkStart w:id="2092" w:name="_Toc22163"/>
      <w:bookmarkStart w:id="2093" w:name="_Toc397050670"/>
      <w:bookmarkStart w:id="2094" w:name="_Toc4663"/>
      <w:bookmarkStart w:id="2095" w:name="_Toc1091"/>
      <w:bookmarkStart w:id="2096" w:name="_Toc25505"/>
      <w:bookmarkStart w:id="2097" w:name="_Toc9727"/>
      <w:bookmarkStart w:id="2098" w:name="_Toc302635807"/>
      <w:bookmarkStart w:id="2099" w:name="_Toc30927"/>
      <w:bookmarkStart w:id="2100" w:name="_Toc208587556"/>
      <w:bookmarkStart w:id="2101" w:name="_Toc17520"/>
      <w:r>
        <w:rPr>
          <w:rFonts w:hint="eastAsia" w:ascii="宋体" w:hAnsi="宋体" w:eastAsia="宋体" w:cs="Times New Roman"/>
          <w:b/>
          <w:bCs/>
          <w:kern w:val="0"/>
          <w:sz w:val="24"/>
          <w:szCs w:val="24"/>
          <w:lang w:val="en-US" w:eastAsia="zh-CN" w:bidi="ar-SA"/>
        </w:rPr>
        <w:t>工程试运行内容和程序</w:t>
      </w:r>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p>
    <w:p w14:paraId="24D58803">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本工程试运行应按如下程序进行：</w:t>
      </w:r>
    </w:p>
    <w:p w14:paraId="4383D66F">
      <w:pPr>
        <w:tabs>
          <w:tab w:val="left" w:pos="1620"/>
          <w:tab w:val="left" w:pos="2340"/>
        </w:tabs>
        <w:ind w:left="869" w:leftChars="414"/>
        <w:jc w:val="left"/>
        <w:rPr>
          <w:rFonts w:ascii="宋体" w:hAnsi="宋体" w:eastAsia="宋体" w:cs="Times New Roman"/>
          <w:kern w:val="0"/>
          <w:szCs w:val="24"/>
        </w:rPr>
      </w:pPr>
      <w:r>
        <w:rPr>
          <w:rFonts w:ascii="宋体" w:hAnsi="宋体" w:eastAsia="宋体" w:cs="Times New Roman"/>
          <w:kern w:val="0"/>
          <w:szCs w:val="24"/>
        </w:rPr>
        <w:t>(1)</w:t>
      </w:r>
      <w:r>
        <w:rPr>
          <w:rFonts w:hint="eastAsia" w:ascii="宋体" w:hAnsi="宋体" w:eastAsia="宋体" w:cs="Times New Roman"/>
          <w:kern w:val="0"/>
          <w:szCs w:val="24"/>
        </w:rPr>
        <w:t>具备单机无负荷试运行条件，承包人组织试运行，费用已含在相应分部分项工程的</w:t>
      </w:r>
      <w:r>
        <w:rPr>
          <w:rFonts w:hint="eastAsia" w:ascii="宋体" w:hAnsi="宋体" w:eastAsia="宋体" w:cs="Times New Roman"/>
          <w:kern w:val="0"/>
          <w:szCs w:val="24"/>
          <w:lang w:eastAsia="zh-CN"/>
        </w:rPr>
        <w:t>合同单价</w:t>
      </w:r>
      <w:r>
        <w:rPr>
          <w:rFonts w:hint="eastAsia" w:ascii="宋体" w:hAnsi="宋体" w:eastAsia="宋体" w:cs="Times New Roman"/>
          <w:kern w:val="0"/>
          <w:szCs w:val="24"/>
        </w:rPr>
        <w:t>中，由承包人承担。承包人应在试运行前48小时通知</w:t>
      </w:r>
      <w:r>
        <w:rPr>
          <w:rFonts w:ascii="宋体" w:hAnsi="宋体" w:eastAsia="宋体" w:cs="Times New Roman"/>
          <w:kern w:val="0"/>
          <w:szCs w:val="24"/>
        </w:rPr>
        <w:t>监理人</w:t>
      </w:r>
      <w:r>
        <w:rPr>
          <w:rFonts w:hint="eastAsia" w:ascii="宋体" w:hAnsi="宋体" w:eastAsia="宋体" w:cs="Times New Roman"/>
          <w:kern w:val="0"/>
          <w:szCs w:val="24"/>
        </w:rPr>
        <w:t>，告知试运行的时间、内容和地点。承包人准备试运行记录，发包人应为试运行提供必要条件。</w:t>
      </w:r>
      <w:r>
        <w:rPr>
          <w:rFonts w:ascii="宋体" w:hAnsi="宋体" w:eastAsia="宋体" w:cs="Times New Roman"/>
          <w:kern w:val="0"/>
          <w:szCs w:val="24"/>
        </w:rPr>
        <w:t>监理人</w:t>
      </w:r>
      <w:r>
        <w:rPr>
          <w:rFonts w:hint="eastAsia" w:ascii="宋体" w:hAnsi="宋体" w:eastAsia="宋体" w:cs="Times New Roman"/>
          <w:kern w:val="0"/>
          <w:szCs w:val="24"/>
        </w:rPr>
        <w:t>应按时参加试运行，试运行合格，</w:t>
      </w:r>
      <w:r>
        <w:rPr>
          <w:rFonts w:ascii="宋体" w:hAnsi="宋体" w:eastAsia="宋体" w:cs="Times New Roman"/>
          <w:kern w:val="0"/>
          <w:szCs w:val="24"/>
        </w:rPr>
        <w:t>监理人</w:t>
      </w:r>
      <w:r>
        <w:rPr>
          <w:rFonts w:hint="eastAsia" w:ascii="宋体" w:hAnsi="宋体" w:eastAsia="宋体" w:cs="Times New Roman"/>
          <w:kern w:val="0"/>
          <w:szCs w:val="24"/>
        </w:rPr>
        <w:t>在试运行记录上签字。如在上述约定时间后12小时内，</w:t>
      </w:r>
      <w:r>
        <w:rPr>
          <w:rFonts w:ascii="宋体" w:hAnsi="宋体" w:eastAsia="宋体" w:cs="Times New Roman"/>
          <w:kern w:val="0"/>
          <w:szCs w:val="24"/>
        </w:rPr>
        <w:t>监理人</w:t>
      </w:r>
      <w:r>
        <w:rPr>
          <w:rFonts w:hint="eastAsia" w:ascii="宋体" w:hAnsi="宋体" w:eastAsia="宋体" w:cs="Times New Roman"/>
          <w:kern w:val="0"/>
          <w:szCs w:val="24"/>
        </w:rPr>
        <w:t>未能到场参加试运行，承包人可自行试运行，事后</w:t>
      </w:r>
      <w:r>
        <w:rPr>
          <w:rFonts w:ascii="宋体" w:hAnsi="宋体" w:eastAsia="宋体" w:cs="Times New Roman"/>
          <w:kern w:val="0"/>
          <w:szCs w:val="24"/>
        </w:rPr>
        <w:t>监理人</w:t>
      </w:r>
      <w:r>
        <w:rPr>
          <w:rFonts w:hint="eastAsia" w:ascii="宋体" w:hAnsi="宋体" w:eastAsia="宋体" w:cs="Times New Roman"/>
          <w:kern w:val="0"/>
          <w:szCs w:val="24"/>
        </w:rPr>
        <w:t>应认可承包人所作的试运行记录。</w:t>
      </w:r>
    </w:p>
    <w:p w14:paraId="2D3B2161">
      <w:pPr>
        <w:tabs>
          <w:tab w:val="left" w:pos="1620"/>
          <w:tab w:val="left" w:pos="2340"/>
        </w:tabs>
        <w:ind w:left="869" w:leftChars="414"/>
        <w:jc w:val="left"/>
        <w:rPr>
          <w:rFonts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除</w:t>
      </w:r>
      <w:r>
        <w:rPr>
          <w:rFonts w:hint="eastAsia" w:ascii="宋体" w:hAnsi="宋体" w:eastAsia="宋体" w:cs="Times New Roman"/>
          <w:b/>
          <w:i/>
          <w:kern w:val="0"/>
          <w:szCs w:val="24"/>
        </w:rPr>
        <w:t>专用条款</w:t>
      </w:r>
      <w:r>
        <w:rPr>
          <w:rFonts w:hint="eastAsia" w:ascii="宋体" w:hAnsi="宋体" w:eastAsia="宋体" w:cs="Times New Roman"/>
          <w:kern w:val="0"/>
          <w:szCs w:val="24"/>
        </w:rPr>
        <w:t>另有约定外，具备无负荷联动试运行条件，发包人组织试运行，相应费用由发包人承担。发包人应在试运行前48小时通知承包人，告知试运行的时间、内容、地点和对承包人的要求，承包人按要求做好准备工作。试运行合格，双方在试运行记录上签字。</w:t>
      </w:r>
    </w:p>
    <w:p w14:paraId="18C8E425">
      <w:pPr>
        <w:tabs>
          <w:tab w:val="left" w:pos="1620"/>
          <w:tab w:val="left" w:pos="2340"/>
        </w:tabs>
        <w:ind w:left="869" w:leftChars="414"/>
        <w:jc w:val="left"/>
        <w:rPr>
          <w:rFonts w:hint="eastAsia" w:ascii="宋体" w:hAnsi="宋体" w:eastAsia="宋体" w:cs="Times New Roman"/>
          <w:kern w:val="0"/>
          <w:szCs w:val="24"/>
        </w:rPr>
      </w:pPr>
      <w:r>
        <w:rPr>
          <w:rFonts w:ascii="宋体" w:hAnsi="宋体" w:eastAsia="宋体" w:cs="Times New Roman"/>
          <w:kern w:val="0"/>
          <w:szCs w:val="24"/>
        </w:rPr>
        <w:t>(3)</w:t>
      </w:r>
      <w:r>
        <w:rPr>
          <w:rFonts w:hint="eastAsia" w:ascii="宋体" w:hAnsi="宋体" w:eastAsia="宋体" w:cs="Times New Roman"/>
          <w:kern w:val="0"/>
          <w:szCs w:val="24"/>
        </w:rPr>
        <w:t>投料试运行应在工程竣工验收后由发包人负责，相应费用由发包人承担。如发包人要求在工程竣工验收前进行或需要承包人配合时，应征得承包人同意，并在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中约定有关事项。</w:t>
      </w:r>
    </w:p>
    <w:p w14:paraId="4D73616F">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102" w:name="_Toc14022"/>
      <w:bookmarkStart w:id="2103" w:name="_Toc305331324"/>
      <w:bookmarkStart w:id="2104" w:name="_Toc201735349"/>
      <w:bookmarkStart w:id="2105" w:name="_Toc11450"/>
      <w:bookmarkStart w:id="2106" w:name="_Toc30471"/>
      <w:bookmarkStart w:id="2107" w:name="_Toc1018776251"/>
      <w:bookmarkStart w:id="2108" w:name="_Toc302635808"/>
      <w:bookmarkStart w:id="2109" w:name="_Toc32168"/>
      <w:bookmarkStart w:id="2110" w:name="_Toc5478"/>
      <w:bookmarkStart w:id="2111" w:name="_Toc23819"/>
      <w:bookmarkStart w:id="2112" w:name="_Toc17199"/>
      <w:bookmarkStart w:id="2113" w:name="_Toc208587557"/>
      <w:bookmarkStart w:id="2114" w:name="_Toc21667"/>
      <w:bookmarkStart w:id="2115" w:name="_Toc25493"/>
      <w:bookmarkStart w:id="2116" w:name="_Toc25625"/>
      <w:r>
        <w:rPr>
          <w:rFonts w:hint="eastAsia" w:ascii="宋体" w:hAnsi="宋体" w:eastAsia="宋体" w:cs="Times New Roman"/>
          <w:b/>
          <w:bCs/>
          <w:kern w:val="0"/>
          <w:sz w:val="24"/>
          <w:szCs w:val="24"/>
          <w:lang w:val="en-US" w:eastAsia="zh-CN" w:bidi="ar-SA"/>
        </w:rPr>
        <w:t>工程试运行中双方的责任</w:t>
      </w:r>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p>
    <w:p w14:paraId="5A6DA5AA">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(1)</w:t>
      </w:r>
      <w:r>
        <w:rPr>
          <w:rFonts w:hint="eastAsia" w:ascii="宋体" w:hAnsi="宋体" w:eastAsia="宋体" w:cs="Times New Roman"/>
          <w:kern w:val="0"/>
          <w:szCs w:val="24"/>
        </w:rPr>
        <w:t>由于设计原因试运行达不到验收要求，发包人应要求</w:t>
      </w:r>
      <w:r>
        <w:rPr>
          <w:rFonts w:ascii="宋体" w:hAnsi="宋体" w:eastAsia="宋体" w:cs="Times New Roman"/>
          <w:kern w:val="0"/>
          <w:szCs w:val="24"/>
        </w:rPr>
        <w:t>设计人</w:t>
      </w:r>
      <w:r>
        <w:rPr>
          <w:rFonts w:hint="eastAsia" w:ascii="宋体" w:hAnsi="宋体" w:eastAsia="宋体" w:cs="Times New Roman"/>
          <w:kern w:val="0"/>
          <w:szCs w:val="24"/>
        </w:rPr>
        <w:t>修改设计，承包人按修改后的设计重新安装。发包人承担修改、拆除及重新安装的费用，工期相应顺延。</w:t>
      </w:r>
    </w:p>
    <w:p w14:paraId="59C501CA">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由于工程设备制造原因试运行达不到验收要求，如该工程设备由承包人采购的，则承包人负责修理或重新购置、拆除和重新安装并承担有关费用，工期不予顺延；如该工程设备由发包人采购的，则发包人负责修理或重新购置，并由承包人进行拆除和重新安装，发包人承担有关费用，工期相应顺延。</w:t>
      </w:r>
    </w:p>
    <w:p w14:paraId="6E0C3001">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(3)</w:t>
      </w:r>
      <w:r>
        <w:rPr>
          <w:rFonts w:hint="eastAsia" w:ascii="宋体" w:hAnsi="宋体" w:eastAsia="宋体" w:cs="Times New Roman"/>
          <w:kern w:val="0"/>
          <w:szCs w:val="24"/>
        </w:rPr>
        <w:t>由于承包人施工原因试运行达不到验收要求，承包人应按</w:t>
      </w:r>
      <w:r>
        <w:rPr>
          <w:rFonts w:ascii="宋体" w:hAnsi="宋体" w:eastAsia="宋体" w:cs="Times New Roman"/>
          <w:kern w:val="0"/>
          <w:szCs w:val="24"/>
        </w:rPr>
        <w:t>监理人</w:t>
      </w:r>
      <w:r>
        <w:rPr>
          <w:rFonts w:hint="eastAsia" w:ascii="宋体" w:hAnsi="宋体" w:eastAsia="宋体" w:cs="Times New Roman"/>
          <w:kern w:val="0"/>
          <w:szCs w:val="24"/>
        </w:rPr>
        <w:t>要求重新安装和试运行，并承担有关费用，工期不予顺延。</w:t>
      </w:r>
    </w:p>
    <w:p w14:paraId="2EFCC0E2">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(4)监理人</w:t>
      </w:r>
      <w:r>
        <w:rPr>
          <w:rFonts w:hint="eastAsia" w:ascii="宋体" w:hAnsi="宋体" w:eastAsia="宋体" w:cs="Times New Roman"/>
          <w:kern w:val="0"/>
          <w:szCs w:val="24"/>
        </w:rPr>
        <w:t>在试运行合格后不在试运行记录上签字，试运行结束24小时后，视为</w:t>
      </w:r>
      <w:r>
        <w:rPr>
          <w:rFonts w:ascii="宋体" w:hAnsi="宋体" w:eastAsia="宋体" w:cs="Times New Roman"/>
          <w:kern w:val="0"/>
          <w:szCs w:val="24"/>
        </w:rPr>
        <w:t>监理人</w:t>
      </w:r>
      <w:r>
        <w:rPr>
          <w:rFonts w:hint="eastAsia" w:ascii="宋体" w:hAnsi="宋体" w:eastAsia="宋体" w:cs="Times New Roman"/>
          <w:kern w:val="0"/>
          <w:szCs w:val="24"/>
        </w:rPr>
        <w:t>已认可试运行记录，承包人可继续施工或办理竣工手续。</w:t>
      </w:r>
    </w:p>
    <w:p w14:paraId="31907C29">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2117" w:name="_Toc305331325"/>
      <w:bookmarkStart w:id="2118" w:name="_Toc34909063"/>
      <w:bookmarkStart w:id="2119" w:name="_Toc35656486"/>
      <w:bookmarkStart w:id="2120" w:name="_Toc35656988"/>
      <w:bookmarkStart w:id="2121" w:name="_Toc208587559"/>
      <w:bookmarkStart w:id="2122" w:name="_Toc22219"/>
      <w:bookmarkStart w:id="2123" w:name="_Toc5075"/>
      <w:bookmarkStart w:id="2124" w:name="_Toc21926"/>
      <w:bookmarkStart w:id="2125" w:name="_Toc10519"/>
      <w:bookmarkStart w:id="2126" w:name="_Toc20030"/>
      <w:bookmarkStart w:id="2127" w:name="_Toc12908"/>
      <w:bookmarkStart w:id="2128" w:name="_Toc6116"/>
      <w:bookmarkStart w:id="2129" w:name="_Toc12442"/>
      <w:bookmarkStart w:id="2130" w:name="_Toc201735350"/>
      <w:bookmarkStart w:id="2131" w:name="_Toc302635809"/>
      <w:bookmarkStart w:id="2132" w:name="_Toc821450064"/>
      <w:bookmarkStart w:id="2133" w:name="_Toc26819"/>
      <w:bookmarkStart w:id="2134" w:name="_Toc3911"/>
      <w:r>
        <w:rPr>
          <w:rFonts w:hint="eastAsia" w:ascii="华文细黑" w:hAnsi="宋体" w:eastAsia="宋体" w:cs="Times New Roman"/>
          <w:b/>
          <w:bCs/>
          <w:snapToGrid w:val="0"/>
          <w:kern w:val="0"/>
          <w:sz w:val="28"/>
          <w:szCs w:val="44"/>
          <w:lang w:val="en-US" w:eastAsia="zh-CN" w:bidi="ar-SA"/>
        </w:rPr>
        <w:t>安全文明施工</w:t>
      </w:r>
      <w:bookmarkEnd w:id="2117"/>
      <w:bookmarkEnd w:id="2118"/>
      <w:bookmarkEnd w:id="2119"/>
      <w:bookmarkEnd w:id="2120"/>
      <w:r>
        <w:rPr>
          <w:rFonts w:hint="eastAsia" w:ascii="华文细黑" w:hAnsi="宋体" w:eastAsia="宋体" w:cs="Times New Roman"/>
          <w:b/>
          <w:bCs/>
          <w:snapToGrid w:val="0"/>
          <w:kern w:val="0"/>
          <w:sz w:val="28"/>
          <w:szCs w:val="44"/>
          <w:lang w:val="en-US" w:eastAsia="zh-CN" w:bidi="ar-SA"/>
        </w:rPr>
        <w:t>与环境保护</w:t>
      </w:r>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p>
    <w:p w14:paraId="5A3A2B1D">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135" w:name="_Toc302635810"/>
      <w:bookmarkStart w:id="2136" w:name="_Toc27126"/>
      <w:bookmarkStart w:id="2137" w:name="_Toc18565"/>
      <w:bookmarkStart w:id="2138" w:name="_Toc5815"/>
      <w:bookmarkStart w:id="2139" w:name="_Toc29275"/>
      <w:bookmarkStart w:id="2140" w:name="_Toc27202"/>
      <w:bookmarkStart w:id="2141" w:name="_Toc24246"/>
      <w:bookmarkStart w:id="2142" w:name="_Toc201735351"/>
      <w:bookmarkStart w:id="2143" w:name="_Toc28524"/>
      <w:bookmarkStart w:id="2144" w:name="_Toc18180"/>
      <w:bookmarkStart w:id="2145" w:name="_Toc10475"/>
      <w:bookmarkStart w:id="2146" w:name="_Toc305331326"/>
      <w:bookmarkStart w:id="2147" w:name="_Toc208587560"/>
      <w:bookmarkStart w:id="2148" w:name="_Toc27849"/>
      <w:bookmarkStart w:id="2149" w:name="_Toc300493831"/>
      <w:bookmarkStart w:id="2150" w:name="_Toc34909065"/>
      <w:bookmarkStart w:id="2151" w:name="_Toc34909064"/>
      <w:r>
        <w:rPr>
          <w:rFonts w:hint="eastAsia" w:ascii="宋体" w:hAnsi="宋体" w:eastAsia="宋体" w:cs="Times New Roman"/>
          <w:b/>
          <w:bCs/>
          <w:kern w:val="0"/>
          <w:sz w:val="24"/>
          <w:szCs w:val="24"/>
          <w:lang w:val="en-US" w:eastAsia="zh-CN" w:bidi="ar-SA"/>
        </w:rPr>
        <w:t>发包人的安全文明施工管理责任</w:t>
      </w:r>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p>
    <w:p w14:paraId="4521C2D2">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(1)</w:t>
      </w:r>
      <w:r>
        <w:rPr>
          <w:rFonts w:hint="eastAsia" w:ascii="宋体" w:hAnsi="宋体" w:eastAsia="宋体" w:cs="Times New Roman"/>
          <w:kern w:val="0"/>
          <w:szCs w:val="24"/>
        </w:rPr>
        <w:t>发包人应按照深圳市建设行政主管部门发布的相关规定，编制安全文明施工费清单并向承包人按时足额支付安全文明施工费。</w:t>
      </w:r>
    </w:p>
    <w:p w14:paraId="67F4B9DC">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发包人应督促承包人落实安全文明施工标准化管理的相关措施和要求，对安全文明施工费的专款专用进行核查。</w:t>
      </w:r>
    </w:p>
    <w:p w14:paraId="60D39E45">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(3)</w:t>
      </w:r>
      <w:r>
        <w:rPr>
          <w:rFonts w:hint="eastAsia" w:ascii="宋体" w:hAnsi="宋体" w:eastAsia="宋体" w:cs="Times New Roman"/>
          <w:kern w:val="0"/>
          <w:szCs w:val="24"/>
        </w:rPr>
        <w:t>发包人应对其在施工现场的工作人员进行安全教育，并对他们的安全负责。</w:t>
      </w:r>
    </w:p>
    <w:p w14:paraId="2A2C8DF7">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(4)</w:t>
      </w:r>
      <w:r>
        <w:rPr>
          <w:rFonts w:hint="eastAsia" w:ascii="宋体" w:hAnsi="宋体" w:eastAsia="宋体" w:cs="Times New Roman"/>
          <w:kern w:val="0"/>
          <w:szCs w:val="24"/>
        </w:rPr>
        <w:t>发包人不得要求承包人违反安全文明施工的规定进行施工。</w:t>
      </w:r>
    </w:p>
    <w:p w14:paraId="61067B8B">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(5)由于发包人原因造成的安全事故，由发包人承担相应责任及发生的费用</w:t>
      </w:r>
      <w:bookmarkEnd w:id="2150"/>
      <w:r>
        <w:rPr>
          <w:rFonts w:hint="eastAsia" w:ascii="宋体" w:hAnsi="宋体" w:eastAsia="宋体" w:cs="Times New Roman"/>
          <w:kern w:val="0"/>
          <w:szCs w:val="24"/>
        </w:rPr>
        <w:t>，并顺延延误的工期。</w:t>
      </w:r>
    </w:p>
    <w:p w14:paraId="45D19DC5">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(6)</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约定的安全文明施工管理责任。</w:t>
      </w:r>
    </w:p>
    <w:p w14:paraId="608FA875">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152" w:name="_Toc8148"/>
      <w:bookmarkStart w:id="2153" w:name="_Toc25203"/>
      <w:bookmarkStart w:id="2154" w:name="_Toc28574"/>
      <w:bookmarkStart w:id="2155" w:name="_Toc201735352"/>
      <w:bookmarkStart w:id="2156" w:name="_Toc1713458954"/>
      <w:bookmarkStart w:id="2157" w:name="_Toc305331327"/>
      <w:bookmarkStart w:id="2158" w:name="_Toc30644"/>
      <w:bookmarkStart w:id="2159" w:name="_Toc10889"/>
      <w:bookmarkStart w:id="2160" w:name="_Toc208587561"/>
      <w:bookmarkStart w:id="2161" w:name="_Toc302635811"/>
      <w:bookmarkStart w:id="2162" w:name="_Toc21203"/>
      <w:bookmarkStart w:id="2163" w:name="_Toc2315"/>
      <w:bookmarkStart w:id="2164" w:name="_Toc27773"/>
      <w:bookmarkStart w:id="2165" w:name="_Toc14360"/>
      <w:bookmarkStart w:id="2166" w:name="_Toc12926"/>
      <w:r>
        <w:rPr>
          <w:rFonts w:hint="eastAsia" w:ascii="宋体" w:hAnsi="宋体" w:eastAsia="宋体" w:cs="Times New Roman"/>
          <w:b/>
          <w:bCs/>
          <w:kern w:val="0"/>
          <w:sz w:val="24"/>
          <w:szCs w:val="24"/>
          <w:lang w:val="en-US" w:eastAsia="zh-CN" w:bidi="ar-SA"/>
        </w:rPr>
        <w:t>承包人的安全文明施工责任</w:t>
      </w:r>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p>
    <w:p w14:paraId="601A70CE">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(1)</w:t>
      </w:r>
      <w:r>
        <w:rPr>
          <w:rFonts w:hint="eastAsia" w:ascii="宋体" w:hAnsi="宋体" w:eastAsia="宋体" w:cs="Times New Roman"/>
          <w:kern w:val="0"/>
          <w:szCs w:val="24"/>
        </w:rPr>
        <w:t>承包人应按照深圳市建设工程安全文明施工相关规范、标准，以及发包人提供的安全文明施工费清单，编制安全施工专项方案及文明施工专项方案，落实安全防护用品和设施配备、施工风险源管控、安全教育培训、应急管理、文明形象、环境保护、现场卫生、职业健康、信息化管理等方面的安全文明施工标准化。安全施工专项方案及文明施工专项方案应以书面形式提交给监理人。对监理人要求需采取特殊安全防护措施的分项工程施工前，应编制专项安全施工组织设计，并采取安全技术措施；报请监理人和发包人批准后，方可施工。</w:t>
      </w:r>
    </w:p>
    <w:p w14:paraId="735F5394">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承包人应按照安全施工专项方案及文明施工专项方案组织施工，采取必要的安全防护措施，消除事故隐患，并随时接受行业安全检查人员依法实施的监督检查。承包人安全生产管理机构和专职安全生产管理人员负责对现场安全文明措施的组织实施进行现场监督检查，并及时向</w:t>
      </w:r>
      <w:r>
        <w:rPr>
          <w:rFonts w:ascii="宋体" w:hAnsi="宋体" w:eastAsia="宋体" w:cs="Times New Roman"/>
          <w:kern w:val="0"/>
          <w:szCs w:val="24"/>
        </w:rPr>
        <w:t>监理人</w:t>
      </w:r>
      <w:r>
        <w:rPr>
          <w:rFonts w:hint="eastAsia" w:ascii="宋体" w:hAnsi="宋体" w:eastAsia="宋体" w:cs="Times New Roman"/>
          <w:kern w:val="0"/>
          <w:szCs w:val="24"/>
        </w:rPr>
        <w:t>、发包人和建设行政主管部门反映情况。</w:t>
      </w:r>
    </w:p>
    <w:p w14:paraId="179F9751">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(3)</w:t>
      </w:r>
      <w:r>
        <w:rPr>
          <w:rFonts w:ascii="宋体" w:hAnsi="宋体" w:eastAsia="宋体" w:cs="Times New Roman"/>
          <w:szCs w:val="24"/>
        </w:rPr>
        <w:t>承包人</w:t>
      </w:r>
      <w:r>
        <w:rPr>
          <w:rFonts w:hint="eastAsia" w:ascii="宋体" w:hAnsi="宋体" w:eastAsia="宋体" w:cs="Times New Roman"/>
          <w:szCs w:val="24"/>
        </w:rPr>
        <w:t>施工现场应</w:t>
      </w:r>
      <w:r>
        <w:rPr>
          <w:rFonts w:ascii="宋体" w:hAnsi="宋体" w:eastAsia="宋体" w:cs="Times New Roman"/>
          <w:szCs w:val="24"/>
        </w:rPr>
        <w:t>配置必要的安全、文明施工设施与保护器材，设立安全警告标志牌，并为</w:t>
      </w:r>
      <w:r>
        <w:rPr>
          <w:rFonts w:hint="eastAsia" w:ascii="宋体" w:hAnsi="宋体" w:eastAsia="宋体" w:cs="Times New Roman"/>
          <w:szCs w:val="24"/>
        </w:rPr>
        <w:t>施工</w:t>
      </w:r>
      <w:r>
        <w:rPr>
          <w:rFonts w:ascii="宋体" w:hAnsi="宋体" w:eastAsia="宋体" w:cs="Times New Roman"/>
          <w:szCs w:val="24"/>
        </w:rPr>
        <w:t>现场</w:t>
      </w:r>
      <w:r>
        <w:rPr>
          <w:rFonts w:hint="eastAsia" w:ascii="宋体" w:hAnsi="宋体" w:eastAsia="宋体" w:cs="Times New Roman"/>
          <w:szCs w:val="24"/>
        </w:rPr>
        <w:t>人员</w:t>
      </w:r>
      <w:r>
        <w:rPr>
          <w:rFonts w:ascii="宋体" w:hAnsi="宋体" w:eastAsia="宋体" w:cs="Times New Roman"/>
          <w:szCs w:val="24"/>
        </w:rPr>
        <w:t>提供必要的安全防护和劳动保护用品</w:t>
      </w:r>
      <w:r>
        <w:rPr>
          <w:rFonts w:hint="eastAsia" w:ascii="宋体" w:hAnsi="宋体" w:eastAsia="宋体" w:cs="Times New Roman"/>
          <w:b/>
          <w:bCs/>
          <w:szCs w:val="24"/>
        </w:rPr>
        <w:t>。</w:t>
      </w:r>
      <w:r>
        <w:rPr>
          <w:rFonts w:ascii="宋体" w:hAnsi="宋体" w:eastAsia="宋体" w:cs="Times New Roman"/>
          <w:szCs w:val="24"/>
        </w:rPr>
        <w:t>施工作业人员未经安全生产教育培训，不得上岗作业。承包人有责任管制无关人员进入施工现场。</w:t>
      </w:r>
    </w:p>
    <w:p w14:paraId="58FD9D42">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(4)</w:t>
      </w:r>
      <w:r>
        <w:rPr>
          <w:rFonts w:hint="eastAsia" w:ascii="宋体" w:hAnsi="宋体" w:eastAsia="宋体" w:cs="Times New Roman"/>
          <w:kern w:val="0"/>
          <w:szCs w:val="24"/>
        </w:rPr>
        <w:t>国有资金投资项目，承包人应建立本工程安全生产情况与项目经理、安全负责人、安全员薪酬相关联的制度，并将该制度报发包人确认。承包人未建立相关制度或未按制度履行的，应承担</w:t>
      </w:r>
      <w:r>
        <w:rPr>
          <w:rFonts w:hint="eastAsia" w:ascii="宋体" w:hAnsi="宋体" w:eastAsia="宋体" w:cs="Times New Roman"/>
          <w:b/>
          <w:bCs/>
          <w:i/>
          <w:iCs/>
          <w:kern w:val="0"/>
          <w:szCs w:val="24"/>
        </w:rPr>
        <w:t>专用条款</w:t>
      </w:r>
      <w:r>
        <w:rPr>
          <w:rFonts w:hint="eastAsia" w:ascii="宋体" w:hAnsi="宋体" w:eastAsia="宋体" w:cs="Times New Roman"/>
          <w:kern w:val="0"/>
          <w:szCs w:val="24"/>
        </w:rPr>
        <w:t>约定的违约责任。发包人应将承包人履行该制度情况纳入第27.7款约定的履约评价内容中。</w:t>
      </w:r>
    </w:p>
    <w:p w14:paraId="1FD7EB9E">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(5)承包人与分包人应当在分包合同中明确施工现场安全文明施工费由承包人统一管理，并对其使用负责。施工现场安全文明措施由分包人实施的，由分包人提出专项安全文明措施和方案，经承包人批准后及时支付所需费用。</w:t>
      </w:r>
    </w:p>
    <w:bookmarkEnd w:id="2151"/>
    <w:p w14:paraId="356D9DA4">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(6)发生重大伤亡及其他安全事故，承包人应通知</w:t>
      </w:r>
      <w:r>
        <w:rPr>
          <w:rFonts w:ascii="宋体" w:hAnsi="宋体" w:eastAsia="宋体" w:cs="Times New Roman"/>
          <w:kern w:val="0"/>
          <w:szCs w:val="24"/>
        </w:rPr>
        <w:t>监理人</w:t>
      </w:r>
      <w:r>
        <w:rPr>
          <w:rFonts w:hint="eastAsia" w:ascii="宋体" w:hAnsi="宋体" w:eastAsia="宋体" w:cs="Times New Roman"/>
          <w:kern w:val="0"/>
          <w:szCs w:val="24"/>
        </w:rPr>
        <w:t>并按相关规定立即上报政府有关部门，同时按政府有关部门要求处理。发包人和承包人对事故责任有争议时，由政府有关部门认定。由于承包人原因造成的安全事故，由承包人承担相应责任及发生的费用，工期不予顺延。</w:t>
      </w:r>
    </w:p>
    <w:p w14:paraId="3F69A967">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(7)</w:t>
      </w:r>
      <w:r>
        <w:rPr>
          <w:rFonts w:ascii="宋体" w:hAnsi="宋体" w:eastAsia="宋体" w:cs="Times New Roman"/>
          <w:kern w:val="0"/>
          <w:szCs w:val="24"/>
        </w:rPr>
        <w:t>承包人有责任维护发包人</w:t>
      </w:r>
      <w:r>
        <w:rPr>
          <w:rFonts w:hint="eastAsia" w:ascii="宋体" w:hAnsi="宋体" w:eastAsia="宋体" w:cs="Times New Roman"/>
          <w:kern w:val="0"/>
          <w:szCs w:val="24"/>
        </w:rPr>
        <w:t>的社会</w:t>
      </w:r>
      <w:r>
        <w:rPr>
          <w:rFonts w:ascii="宋体" w:hAnsi="宋体" w:eastAsia="宋体" w:cs="Times New Roman"/>
          <w:kern w:val="0"/>
          <w:szCs w:val="24"/>
        </w:rPr>
        <w:t>形象，避免由于施工引起安全、文明施工和环境保护问题而造成对发包人的索赔。由于上述问题造成的索赔由承包人承担全部责任</w:t>
      </w:r>
      <w:r>
        <w:rPr>
          <w:rFonts w:hint="eastAsia" w:ascii="宋体" w:hAnsi="宋体" w:eastAsia="宋体" w:cs="Times New Roman"/>
          <w:kern w:val="0"/>
          <w:szCs w:val="24"/>
        </w:rPr>
        <w:t>。</w:t>
      </w:r>
    </w:p>
    <w:p w14:paraId="21B8F2CA">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(8)</w:t>
      </w:r>
      <w:r>
        <w:rPr>
          <w:rFonts w:ascii="宋体" w:hAnsi="宋体" w:eastAsia="宋体" w:cs="Times New Roman"/>
          <w:kern w:val="0"/>
          <w:szCs w:val="24"/>
        </w:rPr>
        <w:t>在施工过程中，如遇到突发的地质变动、事先未知的地下施工障碍等影响施工安全的紧急情况，</w:t>
      </w:r>
      <w:r>
        <w:rPr>
          <w:rFonts w:hint="eastAsia" w:ascii="宋体" w:hAnsi="宋体" w:eastAsia="宋体" w:cs="Times New Roman"/>
          <w:kern w:val="0"/>
          <w:szCs w:val="24"/>
        </w:rPr>
        <w:t>承包人应及时报告</w:t>
      </w:r>
      <w:r>
        <w:rPr>
          <w:rFonts w:ascii="宋体" w:hAnsi="宋体" w:eastAsia="宋体" w:cs="Times New Roman"/>
          <w:kern w:val="0"/>
          <w:szCs w:val="24"/>
        </w:rPr>
        <w:t>监理人</w:t>
      </w:r>
      <w:r>
        <w:rPr>
          <w:rFonts w:hint="eastAsia" w:ascii="宋体" w:hAnsi="宋体" w:eastAsia="宋体" w:cs="Times New Roman"/>
          <w:kern w:val="0"/>
          <w:szCs w:val="24"/>
        </w:rPr>
        <w:t>和发包人，按相关</w:t>
      </w:r>
      <w:r>
        <w:rPr>
          <w:rFonts w:ascii="宋体" w:hAnsi="宋体" w:eastAsia="宋体" w:cs="Times New Roman"/>
          <w:kern w:val="0"/>
          <w:szCs w:val="24"/>
        </w:rPr>
        <w:t>部门</w:t>
      </w:r>
      <w:r>
        <w:rPr>
          <w:rFonts w:hint="eastAsia" w:ascii="宋体" w:hAnsi="宋体" w:eastAsia="宋体" w:cs="Times New Roman"/>
          <w:kern w:val="0"/>
          <w:szCs w:val="24"/>
        </w:rPr>
        <w:t>要求</w:t>
      </w:r>
      <w:r>
        <w:rPr>
          <w:rFonts w:ascii="宋体" w:hAnsi="宋体" w:eastAsia="宋体" w:cs="Times New Roman"/>
          <w:kern w:val="0"/>
          <w:szCs w:val="24"/>
        </w:rPr>
        <w:t>采取应急措施。</w:t>
      </w:r>
    </w:p>
    <w:p w14:paraId="43C12C24">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(9)承包人应按照有关信息化管理的要求，在深圳市质量安全相关监管平台及时上传、报送有关安全隐患检查和安全隐患整改情况。</w:t>
      </w:r>
    </w:p>
    <w:p w14:paraId="12029E15">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(10)</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约定的安全文明施工责任。</w:t>
      </w:r>
    </w:p>
    <w:p w14:paraId="4ED30964">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167" w:name="_Toc22766"/>
      <w:bookmarkStart w:id="2168" w:name="_Toc5097"/>
      <w:bookmarkStart w:id="2169" w:name="_Toc201735353"/>
      <w:bookmarkStart w:id="2170" w:name="_Toc26548"/>
      <w:bookmarkStart w:id="2171" w:name="_Toc8310"/>
      <w:bookmarkStart w:id="2172" w:name="_Toc208587562"/>
      <w:bookmarkStart w:id="2173" w:name="_Toc305331328"/>
      <w:bookmarkStart w:id="2174" w:name="_Toc302635812"/>
      <w:bookmarkStart w:id="2175" w:name="_Toc2140503983"/>
      <w:bookmarkStart w:id="2176" w:name="_Toc22176"/>
      <w:bookmarkStart w:id="2177" w:name="_Toc30443"/>
      <w:bookmarkStart w:id="2178" w:name="_Toc30635"/>
      <w:bookmarkStart w:id="2179" w:name="_Toc22937"/>
      <w:bookmarkStart w:id="2180" w:name="_Toc5358"/>
      <w:bookmarkStart w:id="2181" w:name="_Toc6301"/>
      <w:bookmarkStart w:id="2182" w:name="_Toc34909067"/>
      <w:r>
        <w:rPr>
          <w:rFonts w:ascii="宋体" w:hAnsi="宋体" w:eastAsia="宋体" w:cs="Times New Roman"/>
          <w:b/>
          <w:bCs/>
          <w:kern w:val="0"/>
          <w:sz w:val="24"/>
          <w:szCs w:val="24"/>
          <w:lang w:val="en-US" w:eastAsia="zh-CN" w:bidi="ar-SA"/>
        </w:rPr>
        <w:t>监理人</w:t>
      </w:r>
      <w:r>
        <w:rPr>
          <w:rFonts w:hint="eastAsia" w:ascii="宋体" w:hAnsi="宋体" w:eastAsia="宋体" w:cs="Times New Roman"/>
          <w:b/>
          <w:bCs/>
          <w:kern w:val="0"/>
          <w:sz w:val="24"/>
          <w:szCs w:val="24"/>
          <w:lang w:val="en-US" w:eastAsia="zh-CN" w:bidi="ar-SA"/>
        </w:rPr>
        <w:t>对安全文明的监督</w:t>
      </w:r>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p>
    <w:p w14:paraId="4632CCBA">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监理人</w:t>
      </w:r>
      <w:r>
        <w:rPr>
          <w:rFonts w:hint="eastAsia" w:ascii="宋体" w:hAnsi="宋体" w:eastAsia="宋体" w:cs="Times New Roman"/>
          <w:kern w:val="0"/>
          <w:szCs w:val="24"/>
        </w:rPr>
        <w:t>应当对承包人落实施工现场安全文明措施情况进行现场监督。对承包人已经落实的安全文明措施，</w:t>
      </w:r>
      <w:r>
        <w:rPr>
          <w:rFonts w:ascii="宋体" w:hAnsi="宋体" w:eastAsia="宋体" w:cs="Times New Roman"/>
          <w:kern w:val="0"/>
          <w:szCs w:val="24"/>
        </w:rPr>
        <w:t>监理人</w:t>
      </w:r>
      <w:r>
        <w:rPr>
          <w:rFonts w:hint="eastAsia" w:ascii="宋体" w:hAnsi="宋体" w:eastAsia="宋体" w:cs="Times New Roman"/>
          <w:kern w:val="0"/>
          <w:szCs w:val="24"/>
        </w:rPr>
        <w:t>应当及时审查确认。</w:t>
      </w:r>
      <w:r>
        <w:rPr>
          <w:rFonts w:ascii="宋体" w:hAnsi="宋体" w:eastAsia="宋体" w:cs="Times New Roman"/>
          <w:kern w:val="0"/>
          <w:szCs w:val="24"/>
        </w:rPr>
        <w:t>监理人</w:t>
      </w:r>
      <w:r>
        <w:rPr>
          <w:rFonts w:hint="eastAsia" w:ascii="宋体" w:hAnsi="宋体" w:eastAsia="宋体" w:cs="Times New Roman"/>
          <w:kern w:val="0"/>
          <w:szCs w:val="24"/>
        </w:rPr>
        <w:t>发现承包人未落实施工组织设计及专项施工方案中安全防护和文明施工措施的，有权责令其立即整改，承包人拒不整改或未按期限要求完成整改的，</w:t>
      </w:r>
      <w:r>
        <w:rPr>
          <w:rFonts w:ascii="宋体" w:hAnsi="宋体" w:eastAsia="宋体" w:cs="Times New Roman"/>
          <w:kern w:val="0"/>
          <w:szCs w:val="24"/>
        </w:rPr>
        <w:t>监理人</w:t>
      </w:r>
      <w:r>
        <w:rPr>
          <w:rFonts w:hint="eastAsia" w:ascii="宋体" w:hAnsi="宋体" w:eastAsia="宋体" w:cs="Times New Roman"/>
          <w:kern w:val="0"/>
          <w:szCs w:val="24"/>
        </w:rPr>
        <w:t>应当及时向发包人和建设行政主管部门报告，必要时责令其暂停施工。</w:t>
      </w:r>
    </w:p>
    <w:p w14:paraId="183B4E50">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183" w:name="_Toc19537"/>
      <w:bookmarkStart w:id="2184" w:name="_Toc201735354"/>
      <w:bookmarkStart w:id="2185" w:name="_Toc7478"/>
      <w:bookmarkStart w:id="2186" w:name="_Toc9230"/>
      <w:bookmarkStart w:id="2187" w:name="_Toc25614"/>
      <w:bookmarkStart w:id="2188" w:name="_Toc26325"/>
      <w:bookmarkStart w:id="2189" w:name="_Toc305331329"/>
      <w:bookmarkStart w:id="2190" w:name="_Toc3484"/>
      <w:bookmarkStart w:id="2191" w:name="_Toc11851"/>
      <w:bookmarkStart w:id="2192" w:name="_Toc614484250"/>
      <w:bookmarkStart w:id="2193" w:name="_Toc9810"/>
      <w:bookmarkStart w:id="2194" w:name="_Toc302635813"/>
      <w:bookmarkStart w:id="2195" w:name="_Toc8976"/>
      <w:bookmarkStart w:id="2196" w:name="_Toc208587563"/>
      <w:bookmarkStart w:id="2197" w:name="_Toc1620"/>
      <w:r>
        <w:rPr>
          <w:rFonts w:hint="eastAsia" w:ascii="宋体" w:hAnsi="宋体" w:eastAsia="宋体" w:cs="Times New Roman"/>
          <w:b/>
          <w:bCs/>
          <w:kern w:val="0"/>
          <w:sz w:val="24"/>
          <w:szCs w:val="24"/>
          <w:lang w:val="en-US" w:eastAsia="zh-CN" w:bidi="ar-SA"/>
        </w:rPr>
        <w:t>安全文明施工费的专款专用</w:t>
      </w:r>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p>
    <w:p w14:paraId="26372B93">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(1)承包人应确保施工现场安全文明施工费专款专用，在财务管理中单独列出安全文明施工措施项目费用清单及金额备查，接受发包人的监管。</w:t>
      </w:r>
    </w:p>
    <w:p w14:paraId="360C4137">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(2)承包人应当按照分包合同约定及时向分包人支付施工现场安全文明施工费。承包人不按约定支付费用，造成分包人不能及时落实安全防护措施导致发生事故的，由承包人负主要责任。</w:t>
      </w:r>
    </w:p>
    <w:p w14:paraId="1E21CB66">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198" w:name="_Toc3597"/>
      <w:bookmarkStart w:id="2199" w:name="_Toc305331330"/>
      <w:bookmarkStart w:id="2200" w:name="_Toc4806"/>
      <w:bookmarkStart w:id="2201" w:name="_Toc1181946238"/>
      <w:bookmarkStart w:id="2202" w:name="_Toc1069"/>
      <w:bookmarkStart w:id="2203" w:name="_Toc1252"/>
      <w:bookmarkStart w:id="2204" w:name="_Toc23411"/>
      <w:bookmarkStart w:id="2205" w:name="_Toc302635814"/>
      <w:bookmarkStart w:id="2206" w:name="_Toc201735355"/>
      <w:bookmarkStart w:id="2207" w:name="_Toc6625"/>
      <w:bookmarkStart w:id="2208" w:name="_Toc208587564"/>
      <w:bookmarkStart w:id="2209" w:name="_Toc32760"/>
      <w:bookmarkStart w:id="2210" w:name="_Toc31507"/>
      <w:bookmarkStart w:id="2211" w:name="_Toc3251"/>
      <w:bookmarkStart w:id="2212" w:name="_Toc13058"/>
      <w:r>
        <w:rPr>
          <w:rFonts w:hint="eastAsia" w:ascii="宋体" w:hAnsi="宋体" w:eastAsia="宋体" w:cs="Times New Roman"/>
          <w:b/>
          <w:bCs/>
          <w:kern w:val="0"/>
          <w:sz w:val="24"/>
          <w:szCs w:val="24"/>
          <w:lang w:val="en-US" w:eastAsia="zh-CN" w:bidi="ar-SA"/>
        </w:rPr>
        <w:t>承包人的安全防护和现场作业</w:t>
      </w:r>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p>
    <w:p w14:paraId="59AECE69">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705DEE99">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(2)承包人在动力设备、输电线路、地下管道、密封防震车间、易燃易爆地段、临街交通要道附近、放射毒害性环境中施工以及实施爆破作业、使用毒害性腐蚀性物品施工时，施工前应向</w:t>
      </w:r>
      <w:r>
        <w:rPr>
          <w:rFonts w:ascii="宋体" w:hAnsi="宋体" w:eastAsia="宋体" w:cs="Times New Roman"/>
          <w:kern w:val="0"/>
          <w:szCs w:val="24"/>
        </w:rPr>
        <w:t>监理人</w:t>
      </w:r>
      <w:r>
        <w:rPr>
          <w:rFonts w:hint="eastAsia" w:ascii="宋体" w:hAnsi="宋体" w:eastAsia="宋体" w:cs="Times New Roman"/>
          <w:kern w:val="0"/>
          <w:szCs w:val="24"/>
        </w:rPr>
        <w:t>提出安全防护措施，经</w:t>
      </w:r>
      <w:r>
        <w:rPr>
          <w:rFonts w:ascii="宋体" w:hAnsi="宋体" w:eastAsia="宋体" w:cs="Times New Roman"/>
          <w:kern w:val="0"/>
          <w:szCs w:val="24"/>
        </w:rPr>
        <w:t>监理人</w:t>
      </w:r>
      <w:r>
        <w:rPr>
          <w:rFonts w:hint="eastAsia" w:ascii="宋体" w:hAnsi="宋体" w:eastAsia="宋体" w:cs="Times New Roman"/>
          <w:kern w:val="0"/>
          <w:szCs w:val="24"/>
        </w:rPr>
        <w:t>认可后实施，由发包人承担相应安全防护措施费用。</w:t>
      </w:r>
    </w:p>
    <w:p w14:paraId="447B76FE">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(3)承包人应将其作业限制在现场内。在施工期间，承包人应保持现场没有障碍物，妥善存放和处理材料设备和承包人装备，及时从现场清除并运走任何残物、垃圾和不再需要的临时工程。</w:t>
      </w:r>
      <w:bookmarkEnd w:id="2182"/>
    </w:p>
    <w:p w14:paraId="42E26C4A">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承包人应按照深圳市相关要求并根据工程性质规模，建立现场视频采集系统，开展实时监控。承包人应当按照建筑从业人员实名制管理的相关要求，利用人脸、虹膜等生物活体信息技术，在工地出入口设立实名闸机通道，实行联网运行。</w:t>
      </w:r>
    </w:p>
    <w:p w14:paraId="5A845B88">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213" w:name="_Toc4022"/>
      <w:bookmarkStart w:id="2214" w:name="_Toc208587565"/>
      <w:bookmarkStart w:id="2215" w:name="_Toc201735356"/>
      <w:bookmarkStart w:id="2216" w:name="_Toc23115"/>
      <w:bookmarkStart w:id="2217" w:name="_Toc23070"/>
      <w:bookmarkStart w:id="2218" w:name="_Toc4461"/>
      <w:bookmarkStart w:id="2219" w:name="_Toc20874"/>
      <w:bookmarkStart w:id="2220" w:name="_Toc13252"/>
      <w:bookmarkStart w:id="2221" w:name="_Toc26921"/>
      <w:bookmarkStart w:id="2222" w:name="_Toc8631"/>
      <w:bookmarkStart w:id="2223" w:name="_Toc1743"/>
      <w:bookmarkStart w:id="2224" w:name="_Toc30122"/>
      <w:bookmarkStart w:id="2225" w:name="_Toc302635815"/>
      <w:bookmarkStart w:id="2226" w:name="_Toc366714364"/>
      <w:r>
        <w:rPr>
          <w:rFonts w:ascii="宋体" w:hAnsi="宋体" w:eastAsia="宋体" w:cs="Times New Roman"/>
          <w:b/>
          <w:bCs/>
          <w:kern w:val="0"/>
          <w:sz w:val="24"/>
          <w:szCs w:val="24"/>
          <w:lang w:val="en-US" w:eastAsia="zh-CN" w:bidi="ar-SA"/>
        </w:rPr>
        <w:t>紧急情况</w:t>
      </w:r>
      <w:r>
        <w:rPr>
          <w:rFonts w:hint="eastAsia" w:ascii="宋体" w:hAnsi="宋体" w:eastAsia="宋体" w:cs="Times New Roman"/>
          <w:b/>
          <w:bCs/>
          <w:kern w:val="0"/>
          <w:sz w:val="24"/>
          <w:szCs w:val="24"/>
          <w:lang w:val="en-US" w:eastAsia="zh-CN" w:bidi="ar-SA"/>
        </w:rPr>
        <w:t>处理</w:t>
      </w:r>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p>
    <w:p w14:paraId="05B2C669">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41F3886E">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227" w:name="_Toc13743"/>
      <w:bookmarkStart w:id="2228" w:name="_Toc20894"/>
      <w:bookmarkStart w:id="2229" w:name="_Toc28800"/>
      <w:bookmarkStart w:id="2230" w:name="_Toc527"/>
      <w:bookmarkStart w:id="2231" w:name="_Toc16386"/>
      <w:bookmarkStart w:id="2232" w:name="_Toc201735357"/>
      <w:bookmarkStart w:id="2233" w:name="_Toc302635816"/>
      <w:bookmarkStart w:id="2234" w:name="_Toc208587566"/>
      <w:bookmarkStart w:id="2235" w:name="_Toc1820445104"/>
      <w:bookmarkStart w:id="2236" w:name="_Toc10967"/>
      <w:bookmarkStart w:id="2237" w:name="_Toc9681"/>
      <w:bookmarkStart w:id="2238" w:name="_Toc17749"/>
      <w:bookmarkStart w:id="2239" w:name="_Toc10904"/>
      <w:r>
        <w:rPr>
          <w:rFonts w:hint="eastAsia" w:ascii="宋体" w:hAnsi="宋体" w:eastAsia="宋体" w:cs="Times New Roman"/>
          <w:b/>
          <w:bCs/>
          <w:kern w:val="0"/>
          <w:sz w:val="24"/>
          <w:szCs w:val="24"/>
          <w:lang w:val="en-US" w:eastAsia="zh-CN" w:bidi="ar-SA"/>
        </w:rPr>
        <w:t>事故处理</w:t>
      </w:r>
      <w:bookmarkEnd w:id="2227"/>
      <w:bookmarkEnd w:id="2228"/>
      <w:bookmarkEnd w:id="2229"/>
      <w:bookmarkEnd w:id="2230"/>
      <w:bookmarkEnd w:id="2231"/>
      <w:bookmarkEnd w:id="2232"/>
      <w:bookmarkEnd w:id="2233"/>
      <w:bookmarkEnd w:id="2234"/>
      <w:bookmarkEnd w:id="2235"/>
      <w:bookmarkEnd w:id="2236"/>
      <w:bookmarkEnd w:id="2237"/>
      <w:bookmarkEnd w:id="2238"/>
      <w:bookmarkEnd w:id="2239"/>
    </w:p>
    <w:p w14:paraId="4D91CF59">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050756A6">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240" w:name="_Toc208587567"/>
      <w:bookmarkStart w:id="2241" w:name="_Toc9439"/>
      <w:bookmarkStart w:id="2242" w:name="_Toc201735358"/>
      <w:bookmarkStart w:id="2243" w:name="_Toc15396"/>
      <w:bookmarkStart w:id="2244" w:name="_Toc302635817"/>
      <w:bookmarkStart w:id="2245" w:name="_Toc4532"/>
      <w:bookmarkStart w:id="2246" w:name="_Toc1162982185"/>
      <w:bookmarkStart w:id="2247" w:name="_Toc9201"/>
      <w:bookmarkStart w:id="2248" w:name="_Toc4832"/>
      <w:bookmarkStart w:id="2249" w:name="_Toc4266"/>
      <w:bookmarkStart w:id="2250" w:name="_Toc305331331"/>
      <w:bookmarkStart w:id="2251" w:name="_Toc18208"/>
      <w:bookmarkStart w:id="2252" w:name="_Toc14845"/>
      <w:bookmarkStart w:id="2253" w:name="_Toc18719"/>
      <w:bookmarkStart w:id="2254" w:name="_Toc32094"/>
      <w:r>
        <w:rPr>
          <w:rFonts w:hint="eastAsia" w:ascii="宋体" w:hAnsi="宋体" w:eastAsia="宋体" w:cs="Times New Roman"/>
          <w:b/>
          <w:bCs/>
          <w:kern w:val="0"/>
          <w:sz w:val="24"/>
          <w:szCs w:val="24"/>
          <w:lang w:val="en-US" w:eastAsia="zh-CN" w:bidi="ar-SA"/>
        </w:rPr>
        <w:t>承包人的环境保护责任</w:t>
      </w:r>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p>
    <w:p w14:paraId="4C3BA343">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(1)发包人和承包人应按照《广东省建筑垃圾管理条例》《深圳市建筑废弃物管理办法》等有关规定，在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施工现场建筑废弃物减量化目标、要求和措施，明确承包人在施工现场建筑废弃物规范排放、分类处理、禁止混合排放等方面的要求和措施，以及建筑废弃物综合利用产品的相关使用要求，并约定相应违约责任。承包人向施工现场外排放建筑废弃物的，应按规定在排放前向建设、交通运输或水务部门申请建筑废弃物排放核准，并执行电子联单管理制度。</w:t>
      </w:r>
    </w:p>
    <w:p w14:paraId="610F1ED1">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承包人应确保施工活动产生的扬尘、噪声、废气、废水、废渣等污染，不超过相关规范要求。承包人应编制相关的污染防治专项方案，采取一切适当措施，保护施工现场内外环境，限制由其施工作业引起的污染对公众和财产造成的损害和妨害。</w:t>
      </w:r>
    </w:p>
    <w:p w14:paraId="7423DF4F">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承包人在施工期间，应</w:t>
      </w:r>
      <w:r>
        <w:rPr>
          <w:rFonts w:hint="eastAsia" w:ascii="宋体" w:hAnsi="宋体" w:eastAsia="宋体" w:cs="Times New Roman"/>
          <w:kern w:val="0"/>
          <w:szCs w:val="24"/>
        </w:rPr>
        <w:t>严格</w:t>
      </w:r>
      <w:r>
        <w:rPr>
          <w:rFonts w:ascii="宋体" w:hAnsi="宋体" w:eastAsia="宋体" w:cs="Times New Roman"/>
          <w:kern w:val="0"/>
          <w:szCs w:val="24"/>
        </w:rPr>
        <w:t>执行《深圳经济特区</w:t>
      </w:r>
      <w:r>
        <w:rPr>
          <w:rFonts w:hint="eastAsia" w:ascii="宋体" w:hAnsi="宋体" w:eastAsia="宋体" w:cs="Times New Roman"/>
          <w:kern w:val="0"/>
          <w:szCs w:val="24"/>
        </w:rPr>
        <w:t>生态</w:t>
      </w:r>
      <w:r>
        <w:rPr>
          <w:rFonts w:ascii="宋体" w:hAnsi="宋体" w:eastAsia="宋体" w:cs="Times New Roman"/>
          <w:kern w:val="0"/>
          <w:szCs w:val="24"/>
        </w:rPr>
        <w:t>环境保护条例》和《深圳经济特区环境噪声污染防治条例》等有关法规的规定，依法文明施工，尽可能减少施工对居民生活的影响。</w:t>
      </w:r>
    </w:p>
    <w:p w14:paraId="3F3CE78B">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w:t>
      </w:r>
      <w:r>
        <w:rPr>
          <w:rFonts w:ascii="宋体" w:hAnsi="宋体" w:eastAsia="宋体" w:cs="Times New Roman"/>
          <w:kern w:val="0"/>
          <w:szCs w:val="24"/>
        </w:rPr>
        <w:t>承包人在开工前应向</w:t>
      </w:r>
      <w:r>
        <w:rPr>
          <w:rFonts w:hint="eastAsia" w:ascii="宋体" w:hAnsi="宋体" w:eastAsia="宋体" w:cs="Times New Roman"/>
          <w:kern w:val="0"/>
          <w:szCs w:val="24"/>
        </w:rPr>
        <w:t>政府</w:t>
      </w:r>
      <w:r>
        <w:rPr>
          <w:rFonts w:ascii="宋体" w:hAnsi="宋体" w:eastAsia="宋体" w:cs="Times New Roman"/>
          <w:kern w:val="0"/>
          <w:szCs w:val="24"/>
        </w:rPr>
        <w:t>环保部门申报施工期的环保方案。如需夜间连续施工，必须提前到</w:t>
      </w:r>
      <w:r>
        <w:rPr>
          <w:rFonts w:hint="eastAsia" w:ascii="宋体" w:hAnsi="宋体" w:eastAsia="宋体" w:cs="Times New Roman"/>
          <w:kern w:val="0"/>
          <w:szCs w:val="24"/>
        </w:rPr>
        <w:t>政府</w:t>
      </w:r>
      <w:r>
        <w:rPr>
          <w:rFonts w:ascii="宋体" w:hAnsi="宋体" w:eastAsia="宋体" w:cs="Times New Roman"/>
          <w:kern w:val="0"/>
          <w:szCs w:val="24"/>
        </w:rPr>
        <w:t>环保部门申请核准手续。</w:t>
      </w:r>
    </w:p>
    <w:p w14:paraId="724BCD5C">
      <w:pPr>
        <w:tabs>
          <w:tab w:val="left" w:pos="1620"/>
          <w:tab w:val="left" w:pos="2340"/>
        </w:tabs>
        <w:spacing w:after="156"/>
        <w:ind w:left="899"/>
        <w:rPr>
          <w:rFonts w:hint="eastAsia" w:ascii="宋体" w:hAnsi="宋体" w:eastAsia="宋体" w:cs="Times New Roman"/>
          <w:kern w:val="0"/>
          <w:szCs w:val="24"/>
        </w:rPr>
      </w:pPr>
      <w:r>
        <w:rPr>
          <w:rFonts w:hint="eastAsia" w:ascii="宋体" w:hAnsi="宋体" w:eastAsia="宋体" w:cs="Times New Roman"/>
          <w:kern w:val="0"/>
          <w:szCs w:val="24"/>
        </w:rPr>
        <w:t>(5)承包人应使用符合</w:t>
      </w:r>
      <w:r>
        <w:rPr>
          <w:rFonts w:hint="eastAsia" w:ascii="Times New Roman" w:hAnsi="Times New Roman" w:eastAsia="宋体" w:cs="Times New Roman"/>
          <w:szCs w:val="24"/>
        </w:rPr>
        <w:t>《非道路移动柴油机械排气烟度限值及测量方法》</w:t>
      </w:r>
      <w:r>
        <w:rPr>
          <w:rFonts w:hint="eastAsia" w:ascii="宋体" w:hAnsi="宋体" w:eastAsia="宋体" w:cs="Times New Roman"/>
          <w:kern w:val="0"/>
          <w:szCs w:val="24"/>
        </w:rPr>
        <w:t>等技术规范要求的非道路移动机械。</w:t>
      </w:r>
    </w:p>
    <w:p w14:paraId="5B5330D6">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2255" w:name="_Toc302635820"/>
      <w:bookmarkStart w:id="2256" w:name="_Toc3407"/>
      <w:bookmarkStart w:id="2257" w:name="_Toc208587568"/>
      <w:bookmarkStart w:id="2258" w:name="_Toc5891"/>
      <w:bookmarkStart w:id="2259" w:name="_Toc30066"/>
      <w:bookmarkStart w:id="2260" w:name="_Toc5790"/>
      <w:bookmarkStart w:id="2261" w:name="_Toc1287210506"/>
      <w:bookmarkStart w:id="2262" w:name="_Toc19585"/>
      <w:bookmarkStart w:id="2263" w:name="_Toc3534"/>
      <w:bookmarkStart w:id="2264" w:name="_Toc201735359"/>
      <w:bookmarkStart w:id="2265" w:name="_Toc23737"/>
      <w:bookmarkStart w:id="2266" w:name="_Toc305331333"/>
      <w:bookmarkStart w:id="2267" w:name="_Toc8842"/>
      <w:bookmarkStart w:id="2268" w:name="_Toc15249"/>
      <w:bookmarkStart w:id="2269" w:name="_Toc12509"/>
      <w:bookmarkStart w:id="2270" w:name="_Toc305331341"/>
      <w:bookmarkStart w:id="2271" w:name="_Toc35656989"/>
      <w:bookmarkStart w:id="2272" w:name="_Toc35656487"/>
      <w:bookmarkStart w:id="2273" w:name="_Toc34909070"/>
      <w:r>
        <w:rPr>
          <w:rFonts w:hint="eastAsia" w:ascii="华文细黑" w:hAnsi="宋体" w:eastAsia="宋体" w:cs="Times New Roman"/>
          <w:b/>
          <w:bCs/>
          <w:snapToGrid w:val="0"/>
          <w:kern w:val="0"/>
          <w:sz w:val="28"/>
          <w:szCs w:val="44"/>
          <w:lang w:val="en-US" w:eastAsia="zh-CN" w:bidi="ar-SA"/>
        </w:rPr>
        <w:t>建筑废弃物运输</w:t>
      </w:r>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p>
    <w:p w14:paraId="292F8C2E">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274" w:name="_Toc302635821"/>
      <w:bookmarkStart w:id="2275" w:name="_Toc14621"/>
      <w:bookmarkStart w:id="2276" w:name="_Toc27037"/>
      <w:bookmarkStart w:id="2277" w:name="_Toc25693"/>
      <w:bookmarkStart w:id="2278" w:name="_Toc1469489189"/>
      <w:bookmarkStart w:id="2279" w:name="_Toc22864"/>
      <w:bookmarkStart w:id="2280" w:name="_Toc12162"/>
      <w:bookmarkStart w:id="2281" w:name="_Toc7058"/>
      <w:bookmarkStart w:id="2282" w:name="_Toc31943"/>
      <w:bookmarkStart w:id="2283" w:name="_Toc305331334"/>
      <w:bookmarkStart w:id="2284" w:name="_Toc201735360"/>
      <w:bookmarkStart w:id="2285" w:name="_Toc19120"/>
      <w:bookmarkStart w:id="2286" w:name="_Toc25863"/>
      <w:bookmarkStart w:id="2287" w:name="_Toc208587569"/>
      <w:bookmarkStart w:id="2288" w:name="_Toc31776"/>
      <w:r>
        <w:rPr>
          <w:rFonts w:hint="eastAsia" w:ascii="宋体" w:hAnsi="宋体" w:eastAsia="宋体" w:cs="Times New Roman"/>
          <w:b/>
          <w:bCs/>
          <w:kern w:val="0"/>
          <w:sz w:val="24"/>
          <w:szCs w:val="24"/>
          <w:lang w:val="en-US" w:eastAsia="zh-CN" w:bidi="ar-SA"/>
        </w:rPr>
        <w:t>建筑废弃物</w:t>
      </w:r>
      <w:r>
        <w:rPr>
          <w:rFonts w:ascii="宋体" w:hAnsi="宋体" w:eastAsia="宋体" w:cs="Times New Roman"/>
          <w:b/>
          <w:bCs/>
          <w:kern w:val="0"/>
          <w:sz w:val="24"/>
          <w:szCs w:val="24"/>
          <w:lang w:val="en-US" w:eastAsia="zh-CN" w:bidi="ar-SA"/>
        </w:rPr>
        <w:t>运输车辆</w:t>
      </w:r>
      <w:r>
        <w:rPr>
          <w:rFonts w:hint="eastAsia" w:ascii="宋体" w:hAnsi="宋体" w:eastAsia="宋体" w:cs="Times New Roman"/>
          <w:b/>
          <w:bCs/>
          <w:kern w:val="0"/>
          <w:sz w:val="24"/>
          <w:szCs w:val="24"/>
          <w:lang w:val="en-US" w:eastAsia="zh-CN" w:bidi="ar-SA"/>
        </w:rPr>
        <w:t>证件要求</w:t>
      </w:r>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p>
    <w:p w14:paraId="5E7C4A5E">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承担本工程</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运输任务的运输单位及车辆应当持有相关职能部门核发的有效证件，符合《深圳市建筑废弃物管理办法》</w:t>
      </w:r>
      <w:r>
        <w:rPr>
          <w:rFonts w:hint="eastAsia" w:ascii="宋体" w:hAnsi="宋体" w:eastAsia="宋体" w:cs="Times New Roman"/>
          <w:kern w:val="0"/>
          <w:szCs w:val="24"/>
        </w:rPr>
        <w:t>等有关规定</w:t>
      </w:r>
      <w:r>
        <w:rPr>
          <w:rFonts w:ascii="宋体" w:hAnsi="宋体" w:eastAsia="宋体" w:cs="Times New Roman"/>
          <w:kern w:val="0"/>
          <w:szCs w:val="24"/>
        </w:rPr>
        <w:t>。</w:t>
      </w:r>
    </w:p>
    <w:p w14:paraId="098E26FE">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289" w:name="_Toc12078"/>
      <w:bookmarkStart w:id="2290" w:name="_Toc20858"/>
      <w:bookmarkStart w:id="2291" w:name="_Toc2940"/>
      <w:bookmarkStart w:id="2292" w:name="_Toc208587570"/>
      <w:bookmarkStart w:id="2293" w:name="_Toc15941"/>
      <w:bookmarkStart w:id="2294" w:name="_Toc302635822"/>
      <w:bookmarkStart w:id="2295" w:name="_Toc5706"/>
      <w:bookmarkStart w:id="2296" w:name="_Toc22770"/>
      <w:bookmarkStart w:id="2297" w:name="_Toc201735361"/>
      <w:bookmarkStart w:id="2298" w:name="_Toc1028"/>
      <w:bookmarkStart w:id="2299" w:name="_Toc1265164577"/>
      <w:bookmarkStart w:id="2300" w:name="_Toc6430"/>
      <w:bookmarkStart w:id="2301" w:name="_Toc26639"/>
      <w:bookmarkStart w:id="2302" w:name="_Toc3148"/>
      <w:bookmarkStart w:id="2303" w:name="_Toc305331335"/>
      <w:r>
        <w:rPr>
          <w:rFonts w:hint="eastAsia" w:ascii="宋体" w:hAnsi="宋体" w:eastAsia="宋体" w:cs="Times New Roman"/>
          <w:b/>
          <w:bCs/>
          <w:kern w:val="0"/>
          <w:sz w:val="24"/>
          <w:szCs w:val="24"/>
          <w:lang w:val="en-US" w:eastAsia="zh-CN" w:bidi="ar-SA"/>
        </w:rPr>
        <w:t>承包人自行运输</w:t>
      </w:r>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p>
    <w:p w14:paraId="4CE866F2">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承包人</w:t>
      </w:r>
      <w:r>
        <w:rPr>
          <w:rFonts w:hint="eastAsia" w:ascii="宋体" w:hAnsi="宋体" w:eastAsia="宋体" w:cs="Times New Roman"/>
          <w:kern w:val="0"/>
          <w:szCs w:val="24"/>
        </w:rPr>
        <w:t>持有</w:t>
      </w:r>
      <w:r>
        <w:rPr>
          <w:rFonts w:ascii="宋体" w:hAnsi="宋体" w:eastAsia="宋体" w:cs="Times New Roman"/>
          <w:kern w:val="0"/>
          <w:szCs w:val="24"/>
        </w:rPr>
        <w:t>第</w:t>
      </w:r>
      <w:r>
        <w:rPr>
          <w:rFonts w:hint="eastAsia" w:ascii="宋体" w:hAnsi="宋体" w:eastAsia="宋体" w:cs="Times New Roman"/>
          <w:kern w:val="0"/>
          <w:szCs w:val="24"/>
        </w:rPr>
        <w:t>18</w:t>
      </w:r>
      <w:r>
        <w:rPr>
          <w:rFonts w:ascii="宋体" w:hAnsi="宋体" w:eastAsia="宋体" w:cs="Times New Roman"/>
          <w:kern w:val="0"/>
          <w:szCs w:val="24"/>
        </w:rPr>
        <w:t>.1款</w:t>
      </w:r>
      <w:r>
        <w:rPr>
          <w:rFonts w:hint="eastAsia" w:ascii="宋体" w:hAnsi="宋体" w:eastAsia="宋体" w:cs="Times New Roman"/>
          <w:kern w:val="0"/>
          <w:szCs w:val="24"/>
        </w:rPr>
        <w:t>相关</w:t>
      </w:r>
      <w:r>
        <w:rPr>
          <w:rFonts w:ascii="宋体" w:hAnsi="宋体" w:eastAsia="宋体" w:cs="Times New Roman"/>
          <w:kern w:val="0"/>
          <w:szCs w:val="24"/>
        </w:rPr>
        <w:t>证件，</w:t>
      </w:r>
      <w:r>
        <w:rPr>
          <w:rFonts w:hint="eastAsia" w:ascii="宋体" w:hAnsi="宋体" w:eastAsia="宋体" w:cs="Times New Roman"/>
          <w:kern w:val="0"/>
          <w:szCs w:val="24"/>
        </w:rPr>
        <w:t>具备</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运输任务</w:t>
      </w:r>
      <w:r>
        <w:rPr>
          <w:rFonts w:hint="eastAsia" w:ascii="宋体" w:hAnsi="宋体" w:eastAsia="宋体" w:cs="Times New Roman"/>
          <w:kern w:val="0"/>
          <w:szCs w:val="24"/>
        </w:rPr>
        <w:t>能力的，</w:t>
      </w:r>
      <w:r>
        <w:rPr>
          <w:rFonts w:ascii="宋体" w:hAnsi="宋体" w:eastAsia="宋体" w:cs="Times New Roman"/>
          <w:kern w:val="0"/>
          <w:szCs w:val="24"/>
        </w:rPr>
        <w:t>可自行组织完成本合同约定的</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运输任务。</w:t>
      </w:r>
    </w:p>
    <w:p w14:paraId="2D28908B">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承包人不</w:t>
      </w:r>
      <w:r>
        <w:rPr>
          <w:rFonts w:hint="eastAsia" w:ascii="宋体" w:hAnsi="宋体" w:eastAsia="宋体" w:cs="Times New Roman"/>
          <w:kern w:val="0"/>
          <w:szCs w:val="24"/>
        </w:rPr>
        <w:t>持有</w:t>
      </w:r>
      <w:r>
        <w:rPr>
          <w:rFonts w:ascii="宋体" w:hAnsi="宋体" w:eastAsia="宋体" w:cs="Times New Roman"/>
          <w:kern w:val="0"/>
          <w:szCs w:val="24"/>
        </w:rPr>
        <w:t>第</w:t>
      </w:r>
      <w:r>
        <w:rPr>
          <w:rFonts w:hint="eastAsia" w:ascii="宋体" w:hAnsi="宋体" w:eastAsia="宋体" w:cs="Times New Roman"/>
          <w:kern w:val="0"/>
          <w:szCs w:val="24"/>
        </w:rPr>
        <w:t>18</w:t>
      </w:r>
      <w:r>
        <w:rPr>
          <w:rFonts w:ascii="宋体" w:hAnsi="宋体" w:eastAsia="宋体" w:cs="Times New Roman"/>
          <w:kern w:val="0"/>
          <w:szCs w:val="24"/>
        </w:rPr>
        <w:t>.1款</w:t>
      </w:r>
      <w:r>
        <w:rPr>
          <w:rFonts w:hint="eastAsia" w:ascii="宋体" w:hAnsi="宋体" w:eastAsia="宋体" w:cs="Times New Roman"/>
          <w:kern w:val="0"/>
          <w:szCs w:val="24"/>
        </w:rPr>
        <w:t>相关</w:t>
      </w:r>
      <w:r>
        <w:rPr>
          <w:rFonts w:ascii="宋体" w:hAnsi="宋体" w:eastAsia="宋体" w:cs="Times New Roman"/>
          <w:kern w:val="0"/>
          <w:szCs w:val="24"/>
        </w:rPr>
        <w:t>证件</w:t>
      </w:r>
      <w:r>
        <w:rPr>
          <w:rFonts w:hint="eastAsia" w:ascii="宋体" w:hAnsi="宋体" w:eastAsia="宋体" w:cs="Times New Roman"/>
          <w:kern w:val="0"/>
          <w:szCs w:val="24"/>
        </w:rPr>
        <w:t>，不具备</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运输任务</w:t>
      </w:r>
      <w:r>
        <w:rPr>
          <w:rFonts w:hint="eastAsia" w:ascii="宋体" w:hAnsi="宋体" w:eastAsia="宋体" w:cs="Times New Roman"/>
          <w:kern w:val="0"/>
          <w:szCs w:val="24"/>
        </w:rPr>
        <w:t>能力</w:t>
      </w:r>
      <w:r>
        <w:rPr>
          <w:rFonts w:ascii="宋体" w:hAnsi="宋体" w:eastAsia="宋体" w:cs="Times New Roman"/>
          <w:kern w:val="0"/>
          <w:szCs w:val="24"/>
        </w:rPr>
        <w:t>而自行承担</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运输任务，应按照</w:t>
      </w:r>
      <w:r>
        <w:rPr>
          <w:rFonts w:ascii="宋体" w:hAnsi="宋体" w:eastAsia="宋体" w:cs="Times New Roman"/>
          <w:b/>
          <w:i/>
          <w:kern w:val="0"/>
          <w:szCs w:val="24"/>
        </w:rPr>
        <w:t>专用条款</w:t>
      </w:r>
      <w:r>
        <w:rPr>
          <w:rFonts w:ascii="宋体" w:hAnsi="宋体" w:eastAsia="宋体" w:cs="Times New Roman"/>
          <w:kern w:val="0"/>
          <w:szCs w:val="24"/>
        </w:rPr>
        <w:t>的约定承担违约责任。同时，</w:t>
      </w:r>
      <w:r>
        <w:rPr>
          <w:rFonts w:hint="eastAsia" w:ascii="宋体" w:hAnsi="宋体" w:eastAsia="宋体" w:cs="Times New Roman"/>
          <w:kern w:val="0"/>
          <w:szCs w:val="24"/>
        </w:rPr>
        <w:t>上述</w:t>
      </w:r>
      <w:r>
        <w:rPr>
          <w:rFonts w:ascii="宋体" w:hAnsi="宋体" w:eastAsia="宋体" w:cs="Times New Roman"/>
          <w:kern w:val="0"/>
          <w:szCs w:val="24"/>
        </w:rPr>
        <w:t>违约行为导致的工期延误和</w:t>
      </w:r>
      <w:r>
        <w:rPr>
          <w:rFonts w:hint="eastAsia" w:ascii="宋体" w:hAnsi="宋体" w:eastAsia="宋体" w:cs="Times New Roman"/>
          <w:kern w:val="0"/>
          <w:szCs w:val="24"/>
        </w:rPr>
        <w:t>(</w:t>
      </w:r>
      <w:r>
        <w:rPr>
          <w:rFonts w:ascii="宋体" w:hAnsi="宋体" w:eastAsia="宋体" w:cs="Times New Roman"/>
          <w:kern w:val="0"/>
          <w:szCs w:val="24"/>
        </w:rPr>
        <w:t>或</w:t>
      </w:r>
      <w:r>
        <w:rPr>
          <w:rFonts w:hint="eastAsia" w:ascii="宋体" w:hAnsi="宋体" w:eastAsia="宋体" w:cs="Times New Roman"/>
          <w:kern w:val="0"/>
          <w:szCs w:val="24"/>
        </w:rPr>
        <w:t>)</w:t>
      </w:r>
      <w:r>
        <w:rPr>
          <w:rFonts w:ascii="宋体" w:hAnsi="宋体" w:eastAsia="宋体" w:cs="Times New Roman"/>
          <w:kern w:val="0"/>
          <w:szCs w:val="24"/>
        </w:rPr>
        <w:t>费用增加，</w:t>
      </w:r>
      <w:r>
        <w:rPr>
          <w:rFonts w:hint="eastAsia" w:ascii="宋体" w:hAnsi="宋体" w:eastAsia="宋体" w:cs="Times New Roman"/>
          <w:kern w:val="0"/>
          <w:szCs w:val="24"/>
        </w:rPr>
        <w:t>由</w:t>
      </w:r>
      <w:r>
        <w:rPr>
          <w:rFonts w:ascii="宋体" w:hAnsi="宋体" w:eastAsia="宋体" w:cs="Times New Roman"/>
          <w:kern w:val="0"/>
          <w:szCs w:val="24"/>
        </w:rPr>
        <w:t>承包人</w:t>
      </w:r>
      <w:r>
        <w:rPr>
          <w:rFonts w:hint="eastAsia" w:ascii="宋体" w:hAnsi="宋体" w:eastAsia="宋体" w:cs="Times New Roman"/>
          <w:kern w:val="0"/>
          <w:szCs w:val="24"/>
        </w:rPr>
        <w:t>承担</w:t>
      </w:r>
      <w:r>
        <w:rPr>
          <w:rFonts w:ascii="宋体" w:hAnsi="宋体" w:eastAsia="宋体" w:cs="Times New Roman"/>
          <w:kern w:val="0"/>
          <w:szCs w:val="24"/>
        </w:rPr>
        <w:t>责任。</w:t>
      </w:r>
    </w:p>
    <w:p w14:paraId="337BDDA2">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304" w:name="_Toc208587571"/>
      <w:bookmarkStart w:id="2305" w:name="_Toc25405"/>
      <w:bookmarkStart w:id="2306" w:name="_Toc7948"/>
      <w:bookmarkStart w:id="2307" w:name="_Toc30512"/>
      <w:bookmarkStart w:id="2308" w:name="_Toc156636791"/>
      <w:bookmarkStart w:id="2309" w:name="_Toc29368"/>
      <w:bookmarkStart w:id="2310" w:name="_Toc27036"/>
      <w:bookmarkStart w:id="2311" w:name="_Toc32233"/>
      <w:bookmarkStart w:id="2312" w:name="_Toc201735362"/>
      <w:bookmarkStart w:id="2313" w:name="_Toc1845"/>
      <w:bookmarkStart w:id="2314" w:name="_Toc26765"/>
      <w:bookmarkStart w:id="2315" w:name="_Toc28465"/>
      <w:bookmarkStart w:id="2316" w:name="_Toc32644"/>
      <w:bookmarkStart w:id="2317" w:name="_Toc302635823"/>
      <w:r>
        <w:rPr>
          <w:rFonts w:hint="eastAsia" w:ascii="宋体" w:hAnsi="宋体" w:eastAsia="宋体" w:cs="Times New Roman"/>
          <w:b/>
          <w:bCs/>
          <w:kern w:val="0"/>
          <w:sz w:val="24"/>
          <w:szCs w:val="24"/>
          <w:lang w:val="en-US" w:eastAsia="zh-CN" w:bidi="ar-SA"/>
        </w:rPr>
        <w:t>建筑废弃物</w:t>
      </w:r>
      <w:r>
        <w:rPr>
          <w:rFonts w:ascii="宋体" w:hAnsi="宋体" w:eastAsia="宋体" w:cs="Times New Roman"/>
          <w:b/>
          <w:bCs/>
          <w:kern w:val="0"/>
          <w:sz w:val="24"/>
          <w:szCs w:val="24"/>
          <w:lang w:val="en-US" w:eastAsia="zh-CN" w:bidi="ar-SA"/>
        </w:rPr>
        <w:t>运输</w:t>
      </w:r>
      <w:r>
        <w:rPr>
          <w:rFonts w:hint="eastAsia" w:ascii="宋体" w:hAnsi="宋体" w:eastAsia="宋体" w:cs="Times New Roman"/>
          <w:b/>
          <w:bCs/>
          <w:kern w:val="0"/>
          <w:sz w:val="24"/>
          <w:szCs w:val="24"/>
          <w:lang w:val="en-US" w:eastAsia="zh-CN" w:bidi="ar-SA"/>
        </w:rPr>
        <w:t>分包</w:t>
      </w:r>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p>
    <w:p w14:paraId="422E167F">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承包人不</w:t>
      </w:r>
      <w:r>
        <w:rPr>
          <w:rFonts w:hint="eastAsia" w:ascii="宋体" w:hAnsi="宋体" w:eastAsia="宋体" w:cs="Times New Roman"/>
          <w:kern w:val="0"/>
          <w:szCs w:val="24"/>
        </w:rPr>
        <w:t>持有</w:t>
      </w:r>
      <w:r>
        <w:rPr>
          <w:rFonts w:ascii="宋体" w:hAnsi="宋体" w:eastAsia="宋体" w:cs="Times New Roman"/>
          <w:kern w:val="0"/>
          <w:szCs w:val="24"/>
        </w:rPr>
        <w:t>第</w:t>
      </w:r>
      <w:r>
        <w:rPr>
          <w:rFonts w:hint="eastAsia" w:ascii="宋体" w:hAnsi="宋体" w:eastAsia="宋体" w:cs="Times New Roman"/>
          <w:kern w:val="0"/>
          <w:szCs w:val="24"/>
        </w:rPr>
        <w:t>18</w:t>
      </w:r>
      <w:r>
        <w:rPr>
          <w:rFonts w:ascii="宋体" w:hAnsi="宋体" w:eastAsia="宋体" w:cs="Times New Roman"/>
          <w:kern w:val="0"/>
          <w:szCs w:val="24"/>
        </w:rPr>
        <w:t>.1款</w:t>
      </w:r>
      <w:r>
        <w:rPr>
          <w:rFonts w:hint="eastAsia" w:ascii="宋体" w:hAnsi="宋体" w:eastAsia="宋体" w:cs="Times New Roman"/>
          <w:kern w:val="0"/>
          <w:szCs w:val="24"/>
        </w:rPr>
        <w:t>相关</w:t>
      </w:r>
      <w:r>
        <w:rPr>
          <w:rFonts w:ascii="宋体" w:hAnsi="宋体" w:eastAsia="宋体" w:cs="Times New Roman"/>
          <w:kern w:val="0"/>
          <w:szCs w:val="24"/>
        </w:rPr>
        <w:t>证件，</w:t>
      </w:r>
      <w:r>
        <w:rPr>
          <w:rFonts w:hint="eastAsia" w:ascii="宋体" w:hAnsi="宋体" w:eastAsia="宋体" w:cs="Times New Roman"/>
          <w:kern w:val="0"/>
          <w:szCs w:val="24"/>
        </w:rPr>
        <w:t>不具备</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运输任务</w:t>
      </w:r>
      <w:r>
        <w:rPr>
          <w:rFonts w:hint="eastAsia" w:ascii="宋体" w:hAnsi="宋体" w:eastAsia="宋体" w:cs="Times New Roman"/>
          <w:kern w:val="0"/>
          <w:szCs w:val="24"/>
        </w:rPr>
        <w:t>能力的，</w:t>
      </w:r>
      <w:r>
        <w:rPr>
          <w:rFonts w:ascii="宋体" w:hAnsi="宋体" w:eastAsia="宋体" w:cs="Times New Roman"/>
          <w:kern w:val="0"/>
          <w:szCs w:val="24"/>
        </w:rPr>
        <w:t>经发包人同意，承包人应将</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运输任务分包给符合第</w:t>
      </w:r>
      <w:r>
        <w:rPr>
          <w:rFonts w:hint="eastAsia" w:ascii="宋体" w:hAnsi="宋体" w:eastAsia="宋体" w:cs="Times New Roman"/>
          <w:kern w:val="0"/>
          <w:szCs w:val="24"/>
        </w:rPr>
        <w:t>18</w:t>
      </w:r>
      <w:r>
        <w:rPr>
          <w:rFonts w:ascii="宋体" w:hAnsi="宋体" w:eastAsia="宋体" w:cs="Times New Roman"/>
          <w:kern w:val="0"/>
          <w:szCs w:val="24"/>
        </w:rPr>
        <w:t>.1款</w:t>
      </w:r>
      <w:r>
        <w:rPr>
          <w:rFonts w:hint="eastAsia" w:ascii="宋体" w:hAnsi="宋体" w:eastAsia="宋体" w:cs="Times New Roman"/>
          <w:kern w:val="0"/>
          <w:szCs w:val="24"/>
        </w:rPr>
        <w:t>相关</w:t>
      </w:r>
      <w:r>
        <w:rPr>
          <w:rFonts w:ascii="宋体" w:hAnsi="宋体" w:eastAsia="宋体" w:cs="Times New Roman"/>
          <w:kern w:val="0"/>
          <w:szCs w:val="24"/>
        </w:rPr>
        <w:t>证件要求的专业运输单位</w:t>
      </w:r>
      <w:r>
        <w:rPr>
          <w:rFonts w:hint="eastAsia" w:ascii="宋体" w:hAnsi="宋体" w:eastAsia="宋体" w:cs="Times New Roman"/>
          <w:kern w:val="0"/>
          <w:szCs w:val="24"/>
        </w:rPr>
        <w:t>，并报</w:t>
      </w:r>
      <w:r>
        <w:rPr>
          <w:rFonts w:ascii="宋体" w:hAnsi="宋体" w:eastAsia="宋体" w:cs="Times New Roman"/>
          <w:kern w:val="0"/>
          <w:szCs w:val="24"/>
        </w:rPr>
        <w:t>监理人</w:t>
      </w:r>
      <w:r>
        <w:rPr>
          <w:rFonts w:hint="eastAsia" w:ascii="宋体" w:hAnsi="宋体" w:eastAsia="宋体" w:cs="Times New Roman"/>
          <w:kern w:val="0"/>
          <w:szCs w:val="24"/>
        </w:rPr>
        <w:t>审核和</w:t>
      </w:r>
      <w:r>
        <w:rPr>
          <w:rFonts w:ascii="宋体" w:hAnsi="宋体" w:eastAsia="宋体" w:cs="Times New Roman"/>
          <w:kern w:val="0"/>
          <w:szCs w:val="24"/>
        </w:rPr>
        <w:t>发包人</w:t>
      </w:r>
      <w:r>
        <w:rPr>
          <w:rFonts w:hint="eastAsia" w:ascii="宋体" w:hAnsi="宋体" w:eastAsia="宋体" w:cs="Times New Roman"/>
          <w:kern w:val="0"/>
          <w:szCs w:val="24"/>
        </w:rPr>
        <w:t>批准</w:t>
      </w:r>
      <w:r>
        <w:rPr>
          <w:rFonts w:ascii="宋体" w:hAnsi="宋体" w:eastAsia="宋体" w:cs="Times New Roman"/>
          <w:kern w:val="0"/>
          <w:szCs w:val="24"/>
        </w:rPr>
        <w:t>。</w:t>
      </w:r>
    </w:p>
    <w:p w14:paraId="0570C3F6">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承包人应将</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运输分包合同</w:t>
      </w:r>
      <w:r>
        <w:rPr>
          <w:rFonts w:hint="eastAsia" w:ascii="宋体" w:hAnsi="宋体" w:eastAsia="宋体" w:cs="Times New Roman"/>
          <w:kern w:val="0"/>
          <w:szCs w:val="24"/>
        </w:rPr>
        <w:t>、专业运输单位和</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w:t>
      </w:r>
      <w:r>
        <w:rPr>
          <w:rFonts w:hint="eastAsia" w:ascii="宋体" w:hAnsi="宋体" w:eastAsia="宋体" w:cs="Times New Roman"/>
          <w:kern w:val="0"/>
          <w:szCs w:val="24"/>
        </w:rPr>
        <w:t>车辆的</w:t>
      </w:r>
      <w:r>
        <w:rPr>
          <w:rFonts w:ascii="宋体" w:hAnsi="宋体" w:eastAsia="宋体" w:cs="Times New Roman"/>
          <w:kern w:val="0"/>
          <w:szCs w:val="24"/>
        </w:rPr>
        <w:t>相关资料送发包人和监理人</w:t>
      </w:r>
      <w:r>
        <w:rPr>
          <w:rFonts w:hint="eastAsia" w:ascii="宋体" w:hAnsi="宋体" w:eastAsia="宋体" w:cs="Times New Roman"/>
          <w:kern w:val="0"/>
          <w:szCs w:val="24"/>
        </w:rPr>
        <w:t>备案</w:t>
      </w:r>
      <w:r>
        <w:rPr>
          <w:rFonts w:ascii="宋体" w:hAnsi="宋体" w:eastAsia="宋体" w:cs="Times New Roman"/>
          <w:kern w:val="0"/>
          <w:szCs w:val="24"/>
        </w:rPr>
        <w:t>。此审核并不免除承包人应承担的本合同</w:t>
      </w:r>
      <w:r>
        <w:rPr>
          <w:rFonts w:hint="eastAsia" w:ascii="宋体" w:hAnsi="宋体" w:eastAsia="宋体" w:cs="Times New Roman"/>
          <w:kern w:val="0"/>
          <w:szCs w:val="24"/>
        </w:rPr>
        <w:t>约定</w:t>
      </w:r>
      <w:r>
        <w:rPr>
          <w:rFonts w:ascii="宋体" w:hAnsi="宋体" w:eastAsia="宋体" w:cs="Times New Roman"/>
          <w:kern w:val="0"/>
          <w:szCs w:val="24"/>
        </w:rPr>
        <w:t>义务。</w:t>
      </w:r>
    </w:p>
    <w:p w14:paraId="1421B100">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承包人将</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运输任务分包给不符合第</w:t>
      </w:r>
      <w:r>
        <w:rPr>
          <w:rFonts w:hint="eastAsia" w:ascii="宋体" w:hAnsi="宋体" w:eastAsia="宋体" w:cs="Times New Roman"/>
          <w:kern w:val="0"/>
          <w:szCs w:val="24"/>
        </w:rPr>
        <w:t>18</w:t>
      </w:r>
      <w:r>
        <w:rPr>
          <w:rFonts w:ascii="宋体" w:hAnsi="宋体" w:eastAsia="宋体" w:cs="Times New Roman"/>
          <w:kern w:val="0"/>
          <w:szCs w:val="24"/>
        </w:rPr>
        <w:t>.1款</w:t>
      </w:r>
      <w:r>
        <w:rPr>
          <w:rFonts w:hint="eastAsia" w:ascii="宋体" w:hAnsi="宋体" w:eastAsia="宋体" w:cs="Times New Roman"/>
          <w:kern w:val="0"/>
          <w:szCs w:val="24"/>
        </w:rPr>
        <w:t>相关</w:t>
      </w:r>
      <w:r>
        <w:rPr>
          <w:rFonts w:ascii="宋体" w:hAnsi="宋体" w:eastAsia="宋体" w:cs="Times New Roman"/>
          <w:kern w:val="0"/>
          <w:szCs w:val="24"/>
        </w:rPr>
        <w:t>证件要求的专业运输单位，应按照</w:t>
      </w:r>
      <w:r>
        <w:rPr>
          <w:rFonts w:ascii="宋体" w:hAnsi="宋体" w:eastAsia="宋体" w:cs="Times New Roman"/>
          <w:b/>
          <w:i/>
          <w:kern w:val="0"/>
          <w:szCs w:val="24"/>
        </w:rPr>
        <w:t>专用条款</w:t>
      </w:r>
      <w:r>
        <w:rPr>
          <w:rFonts w:ascii="宋体" w:hAnsi="宋体" w:eastAsia="宋体" w:cs="Times New Roman"/>
          <w:kern w:val="0"/>
          <w:szCs w:val="24"/>
        </w:rPr>
        <w:t>的约定承担违约责任。同时，上述违约行为导致的工期延误和</w:t>
      </w:r>
      <w:r>
        <w:rPr>
          <w:rFonts w:hint="eastAsia" w:ascii="宋体" w:hAnsi="宋体" w:eastAsia="宋体" w:cs="Times New Roman"/>
          <w:kern w:val="0"/>
          <w:szCs w:val="24"/>
        </w:rPr>
        <w:t>(</w:t>
      </w:r>
      <w:r>
        <w:rPr>
          <w:rFonts w:ascii="宋体" w:hAnsi="宋体" w:eastAsia="宋体" w:cs="Times New Roman"/>
          <w:kern w:val="0"/>
          <w:szCs w:val="24"/>
        </w:rPr>
        <w:t>或</w:t>
      </w:r>
      <w:r>
        <w:rPr>
          <w:rFonts w:hint="eastAsia" w:ascii="宋体" w:hAnsi="宋体" w:eastAsia="宋体" w:cs="Times New Roman"/>
          <w:kern w:val="0"/>
          <w:szCs w:val="24"/>
        </w:rPr>
        <w:t>)</w:t>
      </w:r>
      <w:r>
        <w:rPr>
          <w:rFonts w:ascii="宋体" w:hAnsi="宋体" w:eastAsia="宋体" w:cs="Times New Roman"/>
          <w:kern w:val="0"/>
          <w:szCs w:val="24"/>
        </w:rPr>
        <w:t>费用增加，</w:t>
      </w:r>
      <w:r>
        <w:rPr>
          <w:rFonts w:hint="eastAsia" w:ascii="宋体" w:hAnsi="宋体" w:eastAsia="宋体" w:cs="Times New Roman"/>
          <w:kern w:val="0"/>
          <w:szCs w:val="24"/>
        </w:rPr>
        <w:t>由</w:t>
      </w:r>
      <w:r>
        <w:rPr>
          <w:rFonts w:ascii="宋体" w:hAnsi="宋体" w:eastAsia="宋体" w:cs="Times New Roman"/>
          <w:kern w:val="0"/>
          <w:szCs w:val="24"/>
        </w:rPr>
        <w:t>承包人</w:t>
      </w:r>
      <w:r>
        <w:rPr>
          <w:rFonts w:hint="eastAsia" w:ascii="宋体" w:hAnsi="宋体" w:eastAsia="宋体" w:cs="Times New Roman"/>
          <w:kern w:val="0"/>
          <w:szCs w:val="24"/>
        </w:rPr>
        <w:t>承担</w:t>
      </w:r>
      <w:r>
        <w:rPr>
          <w:rFonts w:ascii="宋体" w:hAnsi="宋体" w:eastAsia="宋体" w:cs="Times New Roman"/>
          <w:kern w:val="0"/>
          <w:szCs w:val="24"/>
        </w:rPr>
        <w:t>责任。</w:t>
      </w:r>
    </w:p>
    <w:p w14:paraId="03C63393">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318" w:name="_Toc302635824"/>
      <w:bookmarkStart w:id="2319" w:name="_Toc29781"/>
      <w:bookmarkStart w:id="2320" w:name="_Toc14033"/>
      <w:bookmarkStart w:id="2321" w:name="_Toc6718"/>
      <w:bookmarkStart w:id="2322" w:name="_Toc305331336"/>
      <w:bookmarkStart w:id="2323" w:name="_Toc15311"/>
      <w:bookmarkStart w:id="2324" w:name="_Toc16500"/>
      <w:bookmarkStart w:id="2325" w:name="_Toc201735363"/>
      <w:bookmarkStart w:id="2326" w:name="_Toc570774690"/>
      <w:bookmarkStart w:id="2327" w:name="_Toc9551"/>
      <w:bookmarkStart w:id="2328" w:name="_Toc17115"/>
      <w:bookmarkStart w:id="2329" w:name="_Toc208587572"/>
      <w:bookmarkStart w:id="2330" w:name="_Toc14080"/>
      <w:bookmarkStart w:id="2331" w:name="_Toc21467"/>
      <w:bookmarkStart w:id="2332" w:name="_Toc31495"/>
      <w:r>
        <w:rPr>
          <w:rFonts w:hint="eastAsia" w:ascii="宋体" w:hAnsi="宋体" w:eastAsia="宋体" w:cs="Times New Roman"/>
          <w:b/>
          <w:bCs/>
          <w:kern w:val="0"/>
          <w:sz w:val="24"/>
          <w:szCs w:val="24"/>
          <w:lang w:val="en-US" w:eastAsia="zh-CN" w:bidi="ar-SA"/>
        </w:rPr>
        <w:t>建筑废弃物</w:t>
      </w:r>
      <w:r>
        <w:rPr>
          <w:rFonts w:ascii="宋体" w:hAnsi="宋体" w:eastAsia="宋体" w:cs="Times New Roman"/>
          <w:b/>
          <w:bCs/>
          <w:kern w:val="0"/>
          <w:sz w:val="24"/>
          <w:szCs w:val="24"/>
          <w:lang w:val="en-US" w:eastAsia="zh-CN" w:bidi="ar-SA"/>
        </w:rPr>
        <w:t>运输</w:t>
      </w:r>
      <w:r>
        <w:rPr>
          <w:rFonts w:hint="eastAsia" w:ascii="宋体" w:hAnsi="宋体" w:eastAsia="宋体" w:cs="Times New Roman"/>
          <w:b/>
          <w:bCs/>
          <w:kern w:val="0"/>
          <w:sz w:val="24"/>
          <w:szCs w:val="24"/>
          <w:lang w:val="en-US" w:eastAsia="zh-CN" w:bidi="ar-SA"/>
        </w:rPr>
        <w:t>车辆保险</w:t>
      </w:r>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p>
    <w:p w14:paraId="0BB7CF07">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(1)承担本工程</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w:t>
      </w:r>
      <w:r>
        <w:rPr>
          <w:rFonts w:hint="eastAsia" w:ascii="宋体" w:hAnsi="宋体" w:eastAsia="宋体" w:cs="Times New Roman"/>
          <w:kern w:val="0"/>
          <w:szCs w:val="24"/>
        </w:rPr>
        <w:t>任务的</w:t>
      </w:r>
      <w:r>
        <w:rPr>
          <w:rFonts w:ascii="宋体" w:hAnsi="宋体" w:eastAsia="宋体" w:cs="Times New Roman"/>
          <w:kern w:val="0"/>
          <w:szCs w:val="24"/>
        </w:rPr>
        <w:t>车辆</w:t>
      </w:r>
      <w:r>
        <w:rPr>
          <w:rFonts w:hint="eastAsia" w:ascii="宋体" w:hAnsi="宋体" w:eastAsia="宋体" w:cs="Times New Roman"/>
          <w:kern w:val="0"/>
          <w:szCs w:val="24"/>
        </w:rPr>
        <w:t>应当向有关保险公司投保，并取得车辆保险单。如因未投保的</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运输车辆</w:t>
      </w:r>
      <w:r>
        <w:rPr>
          <w:rFonts w:hint="eastAsia" w:ascii="宋体" w:hAnsi="宋体" w:eastAsia="宋体" w:cs="Times New Roman"/>
          <w:kern w:val="0"/>
          <w:szCs w:val="24"/>
        </w:rPr>
        <w:t>造成第三人财产损失和(或)人身伤亡，</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运输车辆</w:t>
      </w:r>
      <w:r>
        <w:rPr>
          <w:rFonts w:hint="eastAsia" w:ascii="宋体" w:hAnsi="宋体" w:eastAsia="宋体" w:cs="Times New Roman"/>
          <w:kern w:val="0"/>
          <w:szCs w:val="24"/>
        </w:rPr>
        <w:t>所属专业运输单位应承担连带责任。</w:t>
      </w:r>
    </w:p>
    <w:p w14:paraId="72335C2B">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(2)承包人</w:t>
      </w:r>
      <w:r>
        <w:rPr>
          <w:rFonts w:ascii="宋体" w:hAnsi="宋体" w:eastAsia="宋体" w:cs="Times New Roman"/>
          <w:kern w:val="0"/>
          <w:szCs w:val="24"/>
        </w:rPr>
        <w:t>将</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运输任务分包</w:t>
      </w:r>
      <w:r>
        <w:rPr>
          <w:rFonts w:hint="eastAsia" w:ascii="宋体" w:hAnsi="宋体" w:eastAsia="宋体" w:cs="Times New Roman"/>
          <w:kern w:val="0"/>
          <w:szCs w:val="24"/>
        </w:rPr>
        <w:t>时</w:t>
      </w:r>
      <w:r>
        <w:rPr>
          <w:rFonts w:ascii="宋体" w:hAnsi="宋体" w:eastAsia="宋体" w:cs="Times New Roman"/>
          <w:kern w:val="0"/>
          <w:szCs w:val="24"/>
        </w:rPr>
        <w:t>，承包人和车辆运输分包人应在</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运输分包合同中明确</w:t>
      </w:r>
      <w:r>
        <w:rPr>
          <w:rFonts w:hint="eastAsia" w:ascii="宋体" w:hAnsi="宋体" w:eastAsia="宋体" w:cs="Times New Roman"/>
          <w:kern w:val="0"/>
          <w:szCs w:val="24"/>
        </w:rPr>
        <w:t>本款所述的连带责任</w:t>
      </w:r>
      <w:r>
        <w:rPr>
          <w:rFonts w:ascii="宋体" w:hAnsi="宋体" w:eastAsia="宋体" w:cs="Times New Roman"/>
          <w:kern w:val="0"/>
          <w:szCs w:val="24"/>
        </w:rPr>
        <w:t>。</w:t>
      </w:r>
    </w:p>
    <w:p w14:paraId="693FB564">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333" w:name="_Toc305331337"/>
      <w:bookmarkStart w:id="2334" w:name="_Toc3638"/>
      <w:bookmarkStart w:id="2335" w:name="_Toc636"/>
      <w:bookmarkStart w:id="2336" w:name="_Toc302635825"/>
      <w:bookmarkStart w:id="2337" w:name="_Toc28976"/>
      <w:bookmarkStart w:id="2338" w:name="_Toc14599"/>
      <w:bookmarkStart w:id="2339" w:name="_Toc17464"/>
      <w:bookmarkStart w:id="2340" w:name="_Toc201735364"/>
      <w:bookmarkStart w:id="2341" w:name="_Toc208587573"/>
      <w:bookmarkStart w:id="2342" w:name="_Toc2772"/>
      <w:bookmarkStart w:id="2343" w:name="_Toc15660"/>
      <w:bookmarkStart w:id="2344" w:name="_Toc16517"/>
      <w:bookmarkStart w:id="2345" w:name="_Toc12947"/>
      <w:bookmarkStart w:id="2346" w:name="_Toc1665"/>
      <w:bookmarkStart w:id="2347" w:name="_Toc1237627826"/>
      <w:r>
        <w:rPr>
          <w:rFonts w:hint="eastAsia" w:ascii="宋体" w:hAnsi="宋体" w:eastAsia="宋体" w:cs="Times New Roman"/>
          <w:b/>
          <w:bCs/>
          <w:kern w:val="0"/>
          <w:sz w:val="24"/>
          <w:szCs w:val="24"/>
          <w:lang w:val="en-US" w:eastAsia="zh-CN" w:bidi="ar-SA"/>
        </w:rPr>
        <w:t>建筑废弃物</w:t>
      </w:r>
      <w:r>
        <w:rPr>
          <w:rFonts w:ascii="宋体" w:hAnsi="宋体" w:eastAsia="宋体" w:cs="Times New Roman"/>
          <w:b/>
          <w:bCs/>
          <w:kern w:val="0"/>
          <w:sz w:val="24"/>
          <w:szCs w:val="24"/>
          <w:lang w:val="en-US" w:eastAsia="zh-CN" w:bidi="ar-SA"/>
        </w:rPr>
        <w:t>运输车辆和</w:t>
      </w:r>
      <w:bookmarkEnd w:id="2333"/>
      <w:r>
        <w:rPr>
          <w:rFonts w:hint="eastAsia" w:ascii="宋体" w:hAnsi="宋体" w:eastAsia="宋体" w:cs="Times New Roman"/>
          <w:b/>
          <w:bCs/>
          <w:kern w:val="0"/>
          <w:sz w:val="24"/>
          <w:szCs w:val="24"/>
          <w:lang w:val="en-US" w:eastAsia="zh-CN" w:bidi="ar-SA"/>
        </w:rPr>
        <w:t>驾驶员</w:t>
      </w:r>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p>
    <w:p w14:paraId="7574D10E">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承担本工程</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运输任务的车辆</w:t>
      </w:r>
      <w:r>
        <w:rPr>
          <w:rFonts w:hint="eastAsia" w:ascii="宋体" w:hAnsi="宋体" w:eastAsia="宋体" w:cs="Times New Roman"/>
          <w:kern w:val="0"/>
          <w:szCs w:val="24"/>
        </w:rPr>
        <w:t>和驾驶员</w:t>
      </w:r>
      <w:r>
        <w:rPr>
          <w:rFonts w:ascii="宋体" w:hAnsi="宋体" w:eastAsia="宋体" w:cs="Times New Roman"/>
          <w:kern w:val="0"/>
          <w:szCs w:val="24"/>
        </w:rPr>
        <w:t>应当符合第</w:t>
      </w:r>
      <w:r>
        <w:rPr>
          <w:rFonts w:hint="eastAsia" w:ascii="宋体" w:hAnsi="宋体" w:eastAsia="宋体" w:cs="Times New Roman"/>
          <w:kern w:val="0"/>
          <w:szCs w:val="24"/>
        </w:rPr>
        <w:t>18</w:t>
      </w:r>
      <w:r>
        <w:rPr>
          <w:rFonts w:ascii="宋体" w:hAnsi="宋体" w:eastAsia="宋体" w:cs="Times New Roman"/>
          <w:kern w:val="0"/>
          <w:szCs w:val="24"/>
        </w:rPr>
        <w:t>.1款</w:t>
      </w:r>
      <w:r>
        <w:rPr>
          <w:rFonts w:hint="eastAsia" w:ascii="宋体" w:hAnsi="宋体" w:eastAsia="宋体" w:cs="Times New Roman"/>
          <w:kern w:val="0"/>
          <w:szCs w:val="24"/>
        </w:rPr>
        <w:t>相关</w:t>
      </w:r>
      <w:r>
        <w:rPr>
          <w:rFonts w:ascii="宋体" w:hAnsi="宋体" w:eastAsia="宋体" w:cs="Times New Roman"/>
          <w:kern w:val="0"/>
          <w:szCs w:val="24"/>
        </w:rPr>
        <w:t>证件要求</w:t>
      </w:r>
      <w:r>
        <w:rPr>
          <w:rFonts w:hint="eastAsia" w:ascii="宋体" w:hAnsi="宋体" w:eastAsia="宋体" w:cs="Times New Roman"/>
          <w:kern w:val="0"/>
          <w:szCs w:val="24"/>
        </w:rPr>
        <w:t>，同时车辆还应具有第18.4款(1)项所要求的车辆保险单。</w:t>
      </w:r>
    </w:p>
    <w:p w14:paraId="0313F7A6">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(2)承包人按18.2款自行完成</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运输任务</w:t>
      </w:r>
      <w:r>
        <w:rPr>
          <w:rFonts w:hint="eastAsia" w:ascii="宋体" w:hAnsi="宋体" w:eastAsia="宋体" w:cs="Times New Roman"/>
          <w:kern w:val="0"/>
          <w:szCs w:val="24"/>
        </w:rPr>
        <w:t>时</w:t>
      </w:r>
      <w:r>
        <w:rPr>
          <w:rFonts w:ascii="宋体" w:hAnsi="宋体" w:eastAsia="宋体" w:cs="Times New Roman"/>
          <w:kern w:val="0"/>
          <w:szCs w:val="24"/>
        </w:rPr>
        <w:t>，发包人和承包人应在</w:t>
      </w:r>
      <w:r>
        <w:rPr>
          <w:rFonts w:ascii="宋体" w:hAnsi="宋体" w:eastAsia="宋体" w:cs="Times New Roman"/>
          <w:b/>
          <w:i/>
          <w:kern w:val="0"/>
          <w:szCs w:val="24"/>
        </w:rPr>
        <w:t>专用条款</w:t>
      </w:r>
      <w:r>
        <w:rPr>
          <w:rFonts w:ascii="宋体" w:hAnsi="宋体" w:eastAsia="宋体" w:cs="Times New Roman"/>
          <w:kern w:val="0"/>
          <w:szCs w:val="24"/>
        </w:rPr>
        <w:t>中</w:t>
      </w:r>
      <w:r>
        <w:rPr>
          <w:rFonts w:hint="eastAsia" w:ascii="宋体" w:hAnsi="宋体" w:eastAsia="宋体" w:cs="Times New Roman"/>
          <w:kern w:val="0"/>
          <w:szCs w:val="24"/>
        </w:rPr>
        <w:t>载明所有参加本工程</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运输车辆</w:t>
      </w:r>
      <w:r>
        <w:rPr>
          <w:rFonts w:hint="eastAsia" w:ascii="宋体" w:hAnsi="宋体" w:eastAsia="宋体" w:cs="Times New Roman"/>
          <w:kern w:val="0"/>
          <w:szCs w:val="24"/>
        </w:rPr>
        <w:t>的数量、证件、车牌号码、驾驶员姓名、驾驶证件等信息</w:t>
      </w:r>
      <w:r>
        <w:rPr>
          <w:rFonts w:ascii="宋体" w:hAnsi="宋体" w:eastAsia="宋体" w:cs="Times New Roman"/>
          <w:kern w:val="0"/>
          <w:szCs w:val="24"/>
        </w:rPr>
        <w:t>。</w:t>
      </w:r>
    </w:p>
    <w:p w14:paraId="359A0192">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(3)承包人按18.3款</w:t>
      </w:r>
      <w:r>
        <w:rPr>
          <w:rFonts w:ascii="宋体" w:hAnsi="宋体" w:eastAsia="宋体" w:cs="Times New Roman"/>
          <w:kern w:val="0"/>
          <w:szCs w:val="24"/>
        </w:rPr>
        <w:t>将</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运输任务分包</w:t>
      </w:r>
      <w:r>
        <w:rPr>
          <w:rFonts w:hint="eastAsia" w:ascii="宋体" w:hAnsi="宋体" w:eastAsia="宋体" w:cs="Times New Roman"/>
          <w:kern w:val="0"/>
          <w:szCs w:val="24"/>
        </w:rPr>
        <w:t>时</w:t>
      </w:r>
      <w:r>
        <w:rPr>
          <w:rFonts w:ascii="宋体" w:hAnsi="宋体" w:eastAsia="宋体" w:cs="Times New Roman"/>
          <w:kern w:val="0"/>
          <w:szCs w:val="24"/>
        </w:rPr>
        <w:t>，承包人和运输分包人应在</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运输分包合同中</w:t>
      </w:r>
      <w:r>
        <w:rPr>
          <w:rFonts w:hint="eastAsia" w:ascii="宋体" w:hAnsi="宋体" w:eastAsia="宋体" w:cs="Times New Roman"/>
          <w:kern w:val="0"/>
          <w:szCs w:val="24"/>
        </w:rPr>
        <w:t>载明所有参加本工程</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运输车辆</w:t>
      </w:r>
      <w:r>
        <w:rPr>
          <w:rFonts w:hint="eastAsia" w:ascii="宋体" w:hAnsi="宋体" w:eastAsia="宋体" w:cs="Times New Roman"/>
          <w:kern w:val="0"/>
          <w:szCs w:val="24"/>
        </w:rPr>
        <w:t>的数量、证件、车牌号码、驾驶员姓名、驾驶证件等信息，并将名单报</w:t>
      </w:r>
      <w:r>
        <w:rPr>
          <w:rFonts w:ascii="宋体" w:hAnsi="宋体" w:eastAsia="宋体" w:cs="Times New Roman"/>
          <w:kern w:val="0"/>
          <w:szCs w:val="24"/>
        </w:rPr>
        <w:t>监理人</w:t>
      </w:r>
      <w:r>
        <w:rPr>
          <w:rFonts w:hint="eastAsia" w:ascii="宋体" w:hAnsi="宋体" w:eastAsia="宋体" w:cs="Times New Roman"/>
          <w:kern w:val="0"/>
          <w:szCs w:val="24"/>
        </w:rPr>
        <w:t>备案。</w:t>
      </w:r>
    </w:p>
    <w:p w14:paraId="390E79D9">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(4)</w:t>
      </w:r>
      <w:r>
        <w:rPr>
          <w:rFonts w:ascii="宋体" w:hAnsi="宋体" w:eastAsia="宋体" w:cs="Times New Roman"/>
          <w:kern w:val="0"/>
          <w:szCs w:val="24"/>
        </w:rPr>
        <w:t>对上述情形，如需改变已提交的车辆和驾驶员名单，承包人或运输分包人应在确定改变前7</w:t>
      </w:r>
      <w:r>
        <w:rPr>
          <w:rFonts w:hint="eastAsia" w:ascii="宋体" w:hAnsi="宋体" w:eastAsia="宋体" w:cs="Times New Roman"/>
          <w:kern w:val="0"/>
          <w:szCs w:val="24"/>
        </w:rPr>
        <w:t>天</w:t>
      </w:r>
      <w:r>
        <w:rPr>
          <w:rFonts w:ascii="宋体" w:hAnsi="宋体" w:eastAsia="宋体" w:cs="Times New Roman"/>
          <w:kern w:val="0"/>
          <w:szCs w:val="24"/>
        </w:rPr>
        <w:t>将拟改变的名单提交监理人审核确认。</w:t>
      </w:r>
    </w:p>
    <w:p w14:paraId="409E746D">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(5)</w:t>
      </w:r>
      <w:r>
        <w:rPr>
          <w:rFonts w:ascii="宋体" w:hAnsi="宋体" w:eastAsia="宋体" w:cs="Times New Roman"/>
          <w:kern w:val="0"/>
          <w:szCs w:val="24"/>
        </w:rPr>
        <w:t>若承包人违反</w:t>
      </w:r>
      <w:r>
        <w:rPr>
          <w:rFonts w:hint="eastAsia" w:ascii="宋体" w:hAnsi="宋体" w:eastAsia="宋体" w:cs="Times New Roman"/>
          <w:kern w:val="0"/>
          <w:szCs w:val="24"/>
        </w:rPr>
        <w:t>本款</w:t>
      </w:r>
      <w:r>
        <w:rPr>
          <w:rFonts w:ascii="宋体" w:hAnsi="宋体" w:eastAsia="宋体" w:cs="Times New Roman"/>
          <w:kern w:val="0"/>
          <w:szCs w:val="24"/>
        </w:rPr>
        <w:t>规定，应承担</w:t>
      </w:r>
      <w:r>
        <w:rPr>
          <w:rFonts w:ascii="宋体" w:hAnsi="宋体" w:eastAsia="宋体" w:cs="Times New Roman"/>
          <w:b/>
          <w:i/>
          <w:kern w:val="0"/>
          <w:szCs w:val="24"/>
        </w:rPr>
        <w:t>专用条款</w:t>
      </w:r>
      <w:r>
        <w:rPr>
          <w:rFonts w:ascii="宋体" w:hAnsi="宋体" w:eastAsia="宋体" w:cs="Times New Roman"/>
          <w:kern w:val="0"/>
          <w:szCs w:val="24"/>
        </w:rPr>
        <w:t>中约定的违约责任；对于车辆运输分包人违反上述规定，承包人亦应在运输分包合同中约定此违约责任</w:t>
      </w:r>
      <w:r>
        <w:rPr>
          <w:rFonts w:hint="eastAsia" w:ascii="宋体" w:hAnsi="宋体" w:eastAsia="宋体" w:cs="Times New Roman"/>
          <w:kern w:val="0"/>
          <w:szCs w:val="24"/>
        </w:rPr>
        <w:t>，并承担连带责任</w:t>
      </w:r>
      <w:r>
        <w:rPr>
          <w:rFonts w:ascii="宋体" w:hAnsi="宋体" w:eastAsia="宋体" w:cs="Times New Roman"/>
          <w:kern w:val="0"/>
          <w:szCs w:val="24"/>
        </w:rPr>
        <w:t>。</w:t>
      </w:r>
    </w:p>
    <w:p w14:paraId="28D8330D">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348" w:name="_Toc302635826"/>
      <w:bookmarkStart w:id="2349" w:name="_Toc15496"/>
      <w:bookmarkStart w:id="2350" w:name="_Toc641076868"/>
      <w:bookmarkStart w:id="2351" w:name="_Toc9360"/>
      <w:bookmarkStart w:id="2352" w:name="_Toc8299"/>
      <w:bookmarkStart w:id="2353" w:name="_Toc10780"/>
      <w:bookmarkStart w:id="2354" w:name="_Toc13839"/>
      <w:bookmarkStart w:id="2355" w:name="_Toc15576"/>
      <w:bookmarkStart w:id="2356" w:name="_Toc20945"/>
      <w:bookmarkStart w:id="2357" w:name="_Toc13391"/>
      <w:bookmarkStart w:id="2358" w:name="_Toc201735365"/>
      <w:bookmarkStart w:id="2359" w:name="_Toc305331338"/>
      <w:bookmarkStart w:id="2360" w:name="_Toc21730"/>
      <w:bookmarkStart w:id="2361" w:name="_Toc30795"/>
      <w:bookmarkStart w:id="2362" w:name="_Toc208587574"/>
      <w:r>
        <w:rPr>
          <w:rFonts w:hint="eastAsia" w:ascii="宋体" w:hAnsi="宋体" w:eastAsia="宋体" w:cs="Times New Roman"/>
          <w:b/>
          <w:bCs/>
          <w:kern w:val="0"/>
          <w:sz w:val="24"/>
          <w:szCs w:val="24"/>
          <w:lang w:val="en-US" w:eastAsia="zh-CN" w:bidi="ar-SA"/>
        </w:rPr>
        <w:t>专职检查人员</w:t>
      </w:r>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p>
    <w:p w14:paraId="5F299A3C">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承包人应安排专职检查人员对</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运输车辆和专职驾驶员依</w:t>
      </w:r>
      <w:r>
        <w:rPr>
          <w:rFonts w:hint="eastAsia" w:ascii="宋体" w:hAnsi="宋体" w:eastAsia="宋体" w:cs="Times New Roman"/>
          <w:kern w:val="0"/>
          <w:szCs w:val="24"/>
        </w:rPr>
        <w:t>本</w:t>
      </w:r>
      <w:r>
        <w:rPr>
          <w:rFonts w:ascii="宋体" w:hAnsi="宋体" w:eastAsia="宋体" w:cs="Times New Roman"/>
          <w:kern w:val="0"/>
          <w:szCs w:val="24"/>
        </w:rPr>
        <w:t>合同约定的内容进行检查。对违反合同约定的检查结果，承包人应责令相关方限期整改。整改期间，整改所涉</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运输车辆不得承担本工程约定的运输任务。承包人安排的专职检查人员和检查内容在</w:t>
      </w:r>
      <w:r>
        <w:rPr>
          <w:rFonts w:ascii="宋体" w:hAnsi="宋体" w:eastAsia="宋体" w:cs="Times New Roman"/>
          <w:b/>
          <w:i/>
          <w:kern w:val="0"/>
          <w:szCs w:val="24"/>
        </w:rPr>
        <w:t>专用条款</w:t>
      </w:r>
      <w:r>
        <w:rPr>
          <w:rFonts w:ascii="宋体" w:hAnsi="宋体" w:eastAsia="宋体" w:cs="Times New Roman"/>
          <w:kern w:val="0"/>
          <w:szCs w:val="24"/>
        </w:rPr>
        <w:t>中明确。</w:t>
      </w:r>
    </w:p>
    <w:p w14:paraId="4D6A49BB">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363" w:name="_Toc24715"/>
      <w:bookmarkStart w:id="2364" w:name="_Toc28710"/>
      <w:bookmarkStart w:id="2365" w:name="_Toc208587575"/>
      <w:bookmarkStart w:id="2366" w:name="_Toc26310"/>
      <w:bookmarkStart w:id="2367" w:name="_Toc31039"/>
      <w:bookmarkStart w:id="2368" w:name="_Toc18692"/>
      <w:bookmarkStart w:id="2369" w:name="_Toc22352"/>
      <w:bookmarkStart w:id="2370" w:name="_Toc28805"/>
      <w:bookmarkStart w:id="2371" w:name="_Toc302635827"/>
      <w:bookmarkStart w:id="2372" w:name="_Toc28380"/>
      <w:bookmarkStart w:id="2373" w:name="_Toc28786"/>
      <w:bookmarkStart w:id="2374" w:name="_Toc3459"/>
      <w:bookmarkStart w:id="2375" w:name="_Toc305331339"/>
      <w:bookmarkStart w:id="2376" w:name="_Toc201735366"/>
      <w:bookmarkStart w:id="2377" w:name="_Toc644778"/>
      <w:r>
        <w:rPr>
          <w:rFonts w:hint="eastAsia" w:ascii="宋体" w:hAnsi="宋体" w:eastAsia="宋体" w:cs="Times New Roman"/>
          <w:b/>
          <w:bCs/>
          <w:kern w:val="0"/>
          <w:sz w:val="24"/>
          <w:szCs w:val="24"/>
          <w:lang w:val="en-US" w:eastAsia="zh-CN" w:bidi="ar-SA"/>
        </w:rPr>
        <w:t>建筑废弃物安全文明运输</w:t>
      </w:r>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p>
    <w:p w14:paraId="77903817">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承包人对</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车辆在离开施工现场前核查是否存在超载、车盖密封不严等违反城市道路管理、环境保护等相关规定及安全隐患的问题。如发现上述问题，承包人应指派专职检查人员责令相关方采取纠正措施至符合相关规定和(或)合同约定。对存在问题拒不纠正或纠正仍不符合相关规定和(或)合同约定的，该专职检查人员不得放行其离开施工现场，并立即通知项目经理和</w:t>
      </w:r>
      <w:r>
        <w:rPr>
          <w:rFonts w:hint="eastAsia" w:ascii="宋体" w:hAnsi="宋体" w:eastAsia="宋体" w:cs="Times New Roman"/>
          <w:kern w:val="0"/>
          <w:szCs w:val="24"/>
          <w:lang w:eastAsia="zh-CN"/>
        </w:rPr>
        <w:t>建筑废弃物</w:t>
      </w:r>
      <w:r>
        <w:rPr>
          <w:rFonts w:ascii="宋体" w:hAnsi="宋体" w:eastAsia="宋体" w:cs="Times New Roman"/>
          <w:kern w:val="0"/>
          <w:szCs w:val="24"/>
        </w:rPr>
        <w:t>运输分包人(如有)。若承包人对本款发现的问题拒不履行合同义务，将承担</w:t>
      </w:r>
      <w:r>
        <w:rPr>
          <w:rFonts w:ascii="宋体" w:hAnsi="宋体" w:eastAsia="宋体" w:cs="Times New Roman"/>
          <w:b/>
          <w:i/>
          <w:kern w:val="0"/>
          <w:szCs w:val="24"/>
        </w:rPr>
        <w:t>专用条款</w:t>
      </w:r>
      <w:r>
        <w:rPr>
          <w:rFonts w:ascii="宋体" w:hAnsi="宋体" w:eastAsia="宋体" w:cs="Times New Roman"/>
          <w:kern w:val="0"/>
          <w:szCs w:val="24"/>
        </w:rPr>
        <w:t>约定的违约责任</w:t>
      </w:r>
      <w:r>
        <w:rPr>
          <w:rFonts w:hint="eastAsia" w:ascii="宋体" w:hAnsi="宋体" w:eastAsia="宋体" w:cs="Times New Roman"/>
          <w:kern w:val="0"/>
          <w:szCs w:val="24"/>
        </w:rPr>
        <w:t>。</w:t>
      </w:r>
    </w:p>
    <w:p w14:paraId="06C6D138">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378" w:name="_Toc27671"/>
      <w:bookmarkStart w:id="2379" w:name="_Toc15106"/>
      <w:bookmarkStart w:id="2380" w:name="_Toc13971"/>
      <w:bookmarkStart w:id="2381" w:name="_Toc302635828"/>
      <w:bookmarkStart w:id="2382" w:name="_Toc208587576"/>
      <w:bookmarkStart w:id="2383" w:name="_Toc3206"/>
      <w:bookmarkStart w:id="2384" w:name="_Toc7293"/>
      <w:bookmarkStart w:id="2385" w:name="_Toc1399359795"/>
      <w:bookmarkStart w:id="2386" w:name="_Toc18026"/>
      <w:bookmarkStart w:id="2387" w:name="_Toc11072"/>
      <w:bookmarkStart w:id="2388" w:name="_Toc201735367"/>
      <w:bookmarkStart w:id="2389" w:name="_Toc305331340"/>
      <w:bookmarkStart w:id="2390" w:name="_Toc20817"/>
      <w:bookmarkStart w:id="2391" w:name="_Toc612"/>
      <w:bookmarkStart w:id="2392" w:name="_Toc987"/>
      <w:r>
        <w:rPr>
          <w:rFonts w:hint="eastAsia" w:ascii="宋体" w:hAnsi="宋体" w:eastAsia="宋体" w:cs="Times New Roman"/>
          <w:b/>
          <w:bCs/>
          <w:kern w:val="0"/>
          <w:sz w:val="24"/>
          <w:szCs w:val="24"/>
          <w:lang w:val="en-US" w:eastAsia="zh-CN" w:bidi="ar-SA"/>
        </w:rPr>
        <w:t>检查纠正责任</w:t>
      </w:r>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p>
    <w:p w14:paraId="51806FA5">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承包人应对</w:t>
      </w:r>
      <w:r>
        <w:rPr>
          <w:rFonts w:hint="eastAsia" w:ascii="宋体" w:hAnsi="宋体" w:eastAsia="宋体" w:cs="Times New Roman"/>
          <w:kern w:val="0"/>
          <w:szCs w:val="24"/>
        </w:rPr>
        <w:t>18</w:t>
      </w:r>
      <w:r>
        <w:rPr>
          <w:rFonts w:ascii="宋体" w:hAnsi="宋体" w:eastAsia="宋体" w:cs="Times New Roman"/>
          <w:kern w:val="0"/>
          <w:szCs w:val="24"/>
        </w:rPr>
        <w:t>.</w:t>
      </w:r>
      <w:r>
        <w:rPr>
          <w:rFonts w:hint="eastAsia" w:ascii="宋体" w:hAnsi="宋体" w:eastAsia="宋体" w:cs="Times New Roman"/>
          <w:kern w:val="0"/>
          <w:szCs w:val="24"/>
        </w:rPr>
        <w:t>6</w:t>
      </w:r>
      <w:r>
        <w:rPr>
          <w:rFonts w:ascii="宋体" w:hAnsi="宋体" w:eastAsia="宋体" w:cs="Times New Roman"/>
          <w:kern w:val="0"/>
          <w:szCs w:val="24"/>
        </w:rPr>
        <w:t>款和</w:t>
      </w:r>
      <w:r>
        <w:rPr>
          <w:rFonts w:hint="eastAsia" w:ascii="宋体" w:hAnsi="宋体" w:eastAsia="宋体" w:cs="Times New Roman"/>
          <w:kern w:val="0"/>
          <w:szCs w:val="24"/>
        </w:rPr>
        <w:t>18</w:t>
      </w:r>
      <w:r>
        <w:rPr>
          <w:rFonts w:ascii="宋体" w:hAnsi="宋体" w:eastAsia="宋体" w:cs="Times New Roman"/>
          <w:kern w:val="0"/>
          <w:szCs w:val="24"/>
        </w:rPr>
        <w:t>.</w:t>
      </w:r>
      <w:r>
        <w:rPr>
          <w:rFonts w:hint="eastAsia" w:ascii="宋体" w:hAnsi="宋体" w:eastAsia="宋体" w:cs="Times New Roman"/>
          <w:kern w:val="0"/>
          <w:szCs w:val="24"/>
        </w:rPr>
        <w:t>7</w:t>
      </w:r>
      <w:r>
        <w:rPr>
          <w:rFonts w:ascii="宋体" w:hAnsi="宋体" w:eastAsia="宋体" w:cs="Times New Roman"/>
          <w:kern w:val="0"/>
          <w:szCs w:val="24"/>
        </w:rPr>
        <w:t>款约定的检查纠正工作制定专项工作程序，并监督和督促专职检查人员认真履行合同约定的职责。此项监督和督促并不免除承包人应承担的本合同义务。若承包人指定的专职检查人员</w:t>
      </w:r>
      <w:r>
        <w:rPr>
          <w:rFonts w:hint="eastAsia" w:ascii="宋体" w:hAnsi="宋体" w:eastAsia="宋体" w:cs="Times New Roman"/>
          <w:kern w:val="0"/>
          <w:szCs w:val="24"/>
        </w:rPr>
        <w:t>未履行</w:t>
      </w:r>
      <w:r>
        <w:rPr>
          <w:rFonts w:ascii="宋体" w:hAnsi="宋体" w:eastAsia="宋体" w:cs="Times New Roman"/>
          <w:kern w:val="0"/>
          <w:szCs w:val="24"/>
        </w:rPr>
        <w:t>合同约定的检查纠正职责，承包人应承担</w:t>
      </w:r>
      <w:r>
        <w:rPr>
          <w:rFonts w:ascii="宋体" w:hAnsi="宋体" w:eastAsia="宋体" w:cs="Times New Roman"/>
          <w:b/>
          <w:i/>
          <w:kern w:val="0"/>
          <w:szCs w:val="24"/>
        </w:rPr>
        <w:t>专用条款</w:t>
      </w:r>
      <w:r>
        <w:rPr>
          <w:rFonts w:ascii="宋体" w:hAnsi="宋体" w:eastAsia="宋体" w:cs="Times New Roman"/>
          <w:kern w:val="0"/>
          <w:szCs w:val="24"/>
        </w:rPr>
        <w:t>约定的违约责任。</w:t>
      </w:r>
    </w:p>
    <w:p w14:paraId="5198464B">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2393" w:name="_Toc28998"/>
      <w:bookmarkStart w:id="2394" w:name="_Toc11715"/>
      <w:bookmarkStart w:id="2395" w:name="_Toc17598"/>
      <w:bookmarkStart w:id="2396" w:name="_Toc16093"/>
      <w:bookmarkStart w:id="2397" w:name="_Toc279987693"/>
      <w:bookmarkStart w:id="2398" w:name="_Toc1371"/>
      <w:bookmarkStart w:id="2399" w:name="_Toc8026"/>
      <w:bookmarkStart w:id="2400" w:name="_Toc9650"/>
      <w:bookmarkStart w:id="2401" w:name="_Toc11290"/>
      <w:bookmarkStart w:id="2402" w:name="_Toc12881"/>
      <w:bookmarkStart w:id="2403" w:name="_Toc302635829"/>
      <w:bookmarkStart w:id="2404" w:name="_Toc208587577"/>
      <w:bookmarkStart w:id="2405" w:name="_Toc16792"/>
      <w:bookmarkStart w:id="2406" w:name="_Toc201735368"/>
      <w:r>
        <w:rPr>
          <w:rFonts w:hint="eastAsia" w:ascii="华文细黑" w:hAnsi="宋体" w:eastAsia="宋体" w:cs="Times New Roman"/>
          <w:b/>
          <w:bCs/>
          <w:snapToGrid w:val="0"/>
          <w:kern w:val="0"/>
          <w:sz w:val="28"/>
          <w:szCs w:val="44"/>
          <w:lang w:val="en-US" w:eastAsia="zh-CN" w:bidi="ar-SA"/>
        </w:rPr>
        <w:t>工程的照管</w:t>
      </w:r>
      <w:bookmarkEnd w:id="2270"/>
      <w:bookmarkEnd w:id="2271"/>
      <w:bookmarkEnd w:id="2272"/>
      <w:bookmarkEnd w:id="2273"/>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p>
    <w:p w14:paraId="3B2435C2">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407" w:name="_Toc9445"/>
      <w:bookmarkStart w:id="2408" w:name="_Toc201735369"/>
      <w:bookmarkStart w:id="2409" w:name="_Toc305331342"/>
      <w:bookmarkStart w:id="2410" w:name="_Toc18750"/>
      <w:bookmarkStart w:id="2411" w:name="_Toc302635830"/>
      <w:bookmarkStart w:id="2412" w:name="_Toc25288"/>
      <w:bookmarkStart w:id="2413" w:name="_Toc24838"/>
      <w:bookmarkStart w:id="2414" w:name="_Toc16544"/>
      <w:bookmarkStart w:id="2415" w:name="_Toc12187"/>
      <w:bookmarkStart w:id="2416" w:name="_Toc15034"/>
      <w:bookmarkStart w:id="2417" w:name="_Toc12879"/>
      <w:bookmarkStart w:id="2418" w:name="_Toc1249953022"/>
      <w:bookmarkStart w:id="2419" w:name="_Toc11274"/>
      <w:bookmarkStart w:id="2420" w:name="_Toc12660"/>
      <w:bookmarkStart w:id="2421" w:name="_Toc208587578"/>
      <w:bookmarkStart w:id="2422" w:name="_Toc34909071"/>
      <w:r>
        <w:rPr>
          <w:rFonts w:hint="eastAsia" w:ascii="宋体" w:hAnsi="宋体" w:eastAsia="宋体" w:cs="Times New Roman"/>
          <w:b/>
          <w:bCs/>
          <w:kern w:val="0"/>
          <w:sz w:val="24"/>
          <w:szCs w:val="24"/>
          <w:lang w:val="en-US" w:eastAsia="zh-CN" w:bidi="ar-SA"/>
        </w:rPr>
        <w:t>工程的</w:t>
      </w:r>
      <w:bookmarkEnd w:id="2407"/>
      <w:bookmarkEnd w:id="2408"/>
      <w:bookmarkEnd w:id="2409"/>
      <w:bookmarkEnd w:id="2410"/>
      <w:bookmarkEnd w:id="2411"/>
      <w:bookmarkEnd w:id="2412"/>
      <w:bookmarkEnd w:id="2413"/>
      <w:bookmarkEnd w:id="2414"/>
      <w:bookmarkEnd w:id="2415"/>
      <w:r>
        <w:rPr>
          <w:rFonts w:hint="eastAsia" w:ascii="宋体" w:hAnsi="宋体" w:eastAsia="宋体" w:cs="Times New Roman"/>
          <w:b/>
          <w:bCs/>
          <w:kern w:val="0"/>
          <w:sz w:val="24"/>
          <w:szCs w:val="24"/>
          <w:lang w:val="en-US" w:eastAsia="zh-CN" w:bidi="ar-SA"/>
        </w:rPr>
        <w:t>照管</w:t>
      </w:r>
      <w:bookmarkEnd w:id="2416"/>
      <w:bookmarkEnd w:id="2417"/>
      <w:bookmarkEnd w:id="2418"/>
      <w:bookmarkEnd w:id="2419"/>
      <w:bookmarkEnd w:id="2420"/>
      <w:bookmarkEnd w:id="2421"/>
    </w:p>
    <w:p w14:paraId="1287CC01">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从开工之日起，承包人应全面负责照管本工程及将用于和安装在本工程中的材料、工程设备，直到本工程接收证书签发之日止。此后，上述照管责任即交给发包人。如在整个工程接收证书颁发前，已就其中任何单位工程颁发了接收证书，则从接收证书签发之日起承包人无须对该单位工程负责照管，而转由发包人负责。但是，承包人对其在缺陷责任期内承担的尚未完成的工程和将用于安装在工程中的材料、工程设备的照管负责，直到该工程完工为止。</w:t>
      </w:r>
    </w:p>
    <w:p w14:paraId="26ABD050">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(2)本款所述照管责任是指照管责任人应对因丢失、盗失、毁损等行为引起的材料、工程设备使用状态和存在状态不符合合同约定承担修复、赔偿、损失自担等责任。</w:t>
      </w:r>
      <w:bookmarkEnd w:id="2422"/>
    </w:p>
    <w:p w14:paraId="094CCDF7">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423" w:name="_Toc302635831"/>
      <w:bookmarkStart w:id="2424" w:name="_Toc11426"/>
      <w:bookmarkStart w:id="2425" w:name="_Toc201735370"/>
      <w:bookmarkStart w:id="2426" w:name="_Toc2142128057"/>
      <w:bookmarkStart w:id="2427" w:name="_Toc29313"/>
      <w:bookmarkStart w:id="2428" w:name="_Toc5260"/>
      <w:bookmarkStart w:id="2429" w:name="_Toc17761"/>
      <w:bookmarkStart w:id="2430" w:name="_Toc8676"/>
      <w:bookmarkStart w:id="2431" w:name="_Toc6904"/>
      <w:bookmarkStart w:id="2432" w:name="_Toc208587579"/>
      <w:bookmarkStart w:id="2433" w:name="_Toc31833"/>
      <w:bookmarkStart w:id="2434" w:name="_Toc4715"/>
      <w:bookmarkStart w:id="2435" w:name="_Toc305331343"/>
      <w:bookmarkStart w:id="2436" w:name="_Toc2257"/>
      <w:bookmarkStart w:id="2437" w:name="_Toc20052"/>
      <w:bookmarkStart w:id="2438" w:name="_Toc34909073"/>
      <w:bookmarkStart w:id="2439" w:name="_Toc34909072"/>
      <w:r>
        <w:rPr>
          <w:rFonts w:hint="eastAsia" w:ascii="宋体" w:hAnsi="宋体" w:eastAsia="宋体" w:cs="Times New Roman"/>
          <w:b/>
          <w:bCs/>
          <w:kern w:val="0"/>
          <w:sz w:val="24"/>
          <w:szCs w:val="24"/>
          <w:lang w:val="en-US" w:eastAsia="zh-CN" w:bidi="ar-SA"/>
        </w:rPr>
        <w:t>成品、半成品保护</w:t>
      </w:r>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p>
    <w:p w14:paraId="46C7EE84">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对工程中分期完成的成品、半成品，在工程竣工移交前，承包人负保护责任，任何专业工程承包人对其使用或在其基础上施工，必须得到承包人的许可。对</w:t>
      </w:r>
      <w:r>
        <w:rPr>
          <w:rFonts w:ascii="宋体" w:hAnsi="宋体" w:eastAsia="宋体" w:cs="Times New Roman"/>
          <w:kern w:val="0"/>
          <w:szCs w:val="24"/>
        </w:rPr>
        <w:t>监理人</w:t>
      </w:r>
      <w:r>
        <w:rPr>
          <w:rFonts w:hint="eastAsia" w:ascii="宋体" w:hAnsi="宋体" w:eastAsia="宋体" w:cs="Times New Roman"/>
          <w:kern w:val="0"/>
          <w:szCs w:val="24"/>
        </w:rPr>
        <w:t>确认因承包人保护措施不当造成的损坏，由承包人负责修复；对专业工程承包人在施工过程中造成的损坏由专业工程承包人负责修复。</w:t>
      </w:r>
      <w:bookmarkEnd w:id="2438"/>
    </w:p>
    <w:p w14:paraId="5CC8B0F1">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440" w:name="_Toc9242"/>
      <w:bookmarkStart w:id="2441" w:name="_Toc305331344"/>
      <w:bookmarkStart w:id="2442" w:name="_Toc14278"/>
      <w:bookmarkStart w:id="2443" w:name="_Toc9615"/>
      <w:bookmarkStart w:id="2444" w:name="_Toc12370"/>
      <w:bookmarkStart w:id="2445" w:name="_Toc17968"/>
      <w:bookmarkStart w:id="2446" w:name="_Toc10593"/>
      <w:bookmarkStart w:id="2447" w:name="_Toc208587580"/>
      <w:bookmarkStart w:id="2448" w:name="_Toc29564"/>
      <w:bookmarkStart w:id="2449" w:name="_Toc302635832"/>
      <w:bookmarkStart w:id="2450" w:name="_Toc201735371"/>
      <w:bookmarkStart w:id="2451" w:name="_Toc1836123753"/>
      <w:bookmarkStart w:id="2452" w:name="_Toc1888"/>
      <w:bookmarkStart w:id="2453" w:name="_Toc31416"/>
      <w:bookmarkStart w:id="2454" w:name="_Toc2862"/>
      <w:r>
        <w:rPr>
          <w:rFonts w:hint="eastAsia" w:ascii="宋体" w:hAnsi="宋体" w:eastAsia="宋体" w:cs="Times New Roman"/>
          <w:b/>
          <w:bCs/>
          <w:kern w:val="0"/>
          <w:sz w:val="24"/>
          <w:szCs w:val="24"/>
          <w:lang w:val="en-US" w:eastAsia="zh-CN" w:bidi="ar-SA"/>
        </w:rPr>
        <w:t>工程的修复</w:t>
      </w:r>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p>
    <w:p w14:paraId="57C4A8C4">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承包人在负责照管期间，如因承包人自身或(和)第三方原因造成本工程或其任何部分，以及材料、工程设备、装备、临时工程的毁损，承包人均应自费弥补上述损坏、损失或损伤，以使工程在各方面都符合合同约定的标准。</w:t>
      </w:r>
      <w:bookmarkEnd w:id="2439"/>
    </w:p>
    <w:p w14:paraId="621075CF">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2455" w:name="_Toc34909075"/>
      <w:bookmarkStart w:id="2456" w:name="_Toc35656489"/>
      <w:bookmarkStart w:id="2457" w:name="_Toc35656991"/>
      <w:bookmarkStart w:id="2458" w:name="_Toc7473"/>
      <w:bookmarkStart w:id="2459" w:name="_Toc16530"/>
      <w:bookmarkStart w:id="2460" w:name="_Toc302635833"/>
      <w:bookmarkStart w:id="2461" w:name="_Toc16402"/>
      <w:bookmarkStart w:id="2462" w:name="_Toc24092"/>
      <w:bookmarkStart w:id="2463" w:name="_Toc2358"/>
      <w:bookmarkStart w:id="2464" w:name="_Toc1849961267"/>
      <w:bookmarkStart w:id="2465" w:name="_Toc25874"/>
      <w:bookmarkStart w:id="2466" w:name="_Toc11506"/>
      <w:bookmarkStart w:id="2467" w:name="_Toc305331345"/>
      <w:bookmarkStart w:id="2468" w:name="_Toc11310"/>
      <w:bookmarkStart w:id="2469" w:name="_Toc208587581"/>
      <w:bookmarkStart w:id="2470" w:name="_Toc201735372"/>
      <w:bookmarkStart w:id="2471" w:name="_Toc4963"/>
      <w:bookmarkStart w:id="2472" w:name="_Toc31970"/>
      <w:r>
        <w:rPr>
          <w:rFonts w:hint="eastAsia" w:ascii="华文细黑" w:hAnsi="宋体" w:eastAsia="宋体" w:cs="Times New Roman"/>
          <w:b/>
          <w:bCs/>
          <w:snapToGrid w:val="0"/>
          <w:kern w:val="0"/>
          <w:sz w:val="28"/>
          <w:szCs w:val="44"/>
          <w:lang w:val="en-US" w:eastAsia="zh-CN" w:bidi="ar-SA"/>
        </w:rPr>
        <w:t>合同</w:t>
      </w:r>
      <w:bookmarkEnd w:id="2455"/>
      <w:bookmarkEnd w:id="2456"/>
      <w:bookmarkEnd w:id="2457"/>
      <w:r>
        <w:rPr>
          <w:rFonts w:hint="eastAsia" w:ascii="华文细黑" w:hAnsi="宋体" w:eastAsia="宋体" w:cs="Times New Roman"/>
          <w:b/>
          <w:bCs/>
          <w:snapToGrid w:val="0"/>
          <w:kern w:val="0"/>
          <w:sz w:val="28"/>
          <w:szCs w:val="44"/>
          <w:lang w:val="en-US" w:eastAsia="zh-CN" w:bidi="ar-SA"/>
        </w:rPr>
        <w:t>价格的确定和调整</w:t>
      </w:r>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p>
    <w:p w14:paraId="79528784">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473" w:name="_Toc30899"/>
      <w:bookmarkStart w:id="2474" w:name="_Toc6658"/>
      <w:bookmarkStart w:id="2475" w:name="_Toc302635834"/>
      <w:bookmarkStart w:id="2476" w:name="_Toc23192"/>
      <w:bookmarkStart w:id="2477" w:name="_Toc305331346"/>
      <w:bookmarkStart w:id="2478" w:name="_Toc24313"/>
      <w:bookmarkStart w:id="2479" w:name="_Toc15055"/>
      <w:bookmarkStart w:id="2480" w:name="_Toc201735373"/>
      <w:bookmarkStart w:id="2481" w:name="_Toc1062223640"/>
      <w:bookmarkStart w:id="2482" w:name="_Toc208587582"/>
      <w:bookmarkStart w:id="2483" w:name="_Toc8693"/>
      <w:bookmarkStart w:id="2484" w:name="_Toc31063"/>
      <w:bookmarkStart w:id="2485" w:name="_Toc14423"/>
      <w:bookmarkStart w:id="2486" w:name="_Toc23652"/>
      <w:bookmarkStart w:id="2487" w:name="_Toc11418"/>
      <w:bookmarkStart w:id="2488" w:name="_Toc34909076"/>
      <w:r>
        <w:rPr>
          <w:rFonts w:hint="eastAsia" w:ascii="宋体" w:hAnsi="宋体" w:eastAsia="宋体" w:cs="Times New Roman"/>
          <w:b/>
          <w:bCs/>
          <w:kern w:val="0"/>
          <w:sz w:val="24"/>
          <w:szCs w:val="24"/>
          <w:lang w:val="en-US" w:eastAsia="zh-CN" w:bidi="ar-SA"/>
        </w:rPr>
        <w:t>签约合同价的确定</w:t>
      </w:r>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p>
    <w:p w14:paraId="53A897C8">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(1)本工程签约合同价由发包人和承包人依据中标通知书中的中标价(即承包人的投标报价)在本合同协议书中约定。签约合同价在本合同协议书中约定后，任何一方不得擅自改变。</w:t>
      </w:r>
    </w:p>
    <w:p w14:paraId="66AD29FC">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(2)本合同采用</w:t>
      </w:r>
      <w:r>
        <w:rPr>
          <w:rFonts w:hint="eastAsia" w:ascii="宋体" w:hAnsi="宋体" w:eastAsia="宋体" w:cs="Times New Roman"/>
          <w:b/>
          <w:kern w:val="0"/>
          <w:szCs w:val="24"/>
        </w:rPr>
        <w:t>固定单价</w:t>
      </w:r>
      <w:r>
        <w:rPr>
          <w:rFonts w:hint="eastAsia" w:ascii="宋体" w:hAnsi="宋体" w:eastAsia="宋体" w:cs="Times New Roman"/>
          <w:kern w:val="0"/>
          <w:szCs w:val="24"/>
        </w:rPr>
        <w:t>的合同形式。承包人投标报价中的</w:t>
      </w:r>
      <w:r>
        <w:rPr>
          <w:rFonts w:hint="eastAsia" w:ascii="Times New Roman" w:hAnsi="Times New Roman" w:eastAsia="宋体" w:cs="Times New Roman"/>
          <w:szCs w:val="21"/>
        </w:rPr>
        <w:t>工程量清单项目单价</w:t>
      </w:r>
      <w:r>
        <w:rPr>
          <w:rFonts w:hint="eastAsia" w:ascii="宋体" w:hAnsi="宋体" w:eastAsia="宋体" w:cs="Times New Roman"/>
          <w:kern w:val="0"/>
          <w:szCs w:val="24"/>
        </w:rPr>
        <w:t>即为构成签约合同价的项目单价。除本合同另有约定，构成签约合同价的项目单价一经发包人和承包人签订合同确定后不作调整。</w:t>
      </w:r>
    </w:p>
    <w:p w14:paraId="3BA38299">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发承包双方应在</w:t>
      </w:r>
      <w:r>
        <w:rPr>
          <w:rFonts w:ascii="宋体" w:hAnsi="宋体" w:eastAsia="宋体" w:cs="Times New Roman"/>
          <w:b/>
          <w:i/>
          <w:kern w:val="0"/>
          <w:szCs w:val="24"/>
        </w:rPr>
        <w:t>专用条款</w:t>
      </w:r>
      <w:r>
        <w:rPr>
          <w:rFonts w:ascii="宋体" w:hAnsi="宋体" w:eastAsia="宋体" w:cs="Times New Roman"/>
          <w:kern w:val="0"/>
          <w:szCs w:val="24"/>
        </w:rPr>
        <w:t>中约定</w:t>
      </w:r>
      <w:r>
        <w:rPr>
          <w:rFonts w:hint="eastAsia" w:ascii="宋体" w:hAnsi="宋体" w:eastAsia="宋体" w:cs="Times New Roman"/>
          <w:kern w:val="0"/>
          <w:szCs w:val="24"/>
          <w:lang w:eastAsia="zh-CN"/>
        </w:rPr>
        <w:t>合同单价</w:t>
      </w:r>
      <w:r>
        <w:rPr>
          <w:rFonts w:ascii="宋体" w:hAnsi="宋体" w:eastAsia="宋体" w:cs="Times New Roman"/>
          <w:kern w:val="0"/>
          <w:szCs w:val="24"/>
        </w:rPr>
        <w:t>包含的风险范围</w:t>
      </w:r>
      <w:r>
        <w:rPr>
          <w:rFonts w:hint="eastAsia" w:ascii="宋体" w:hAnsi="宋体" w:eastAsia="宋体" w:cs="Times New Roman"/>
          <w:kern w:val="0"/>
          <w:szCs w:val="24"/>
        </w:rPr>
        <w:t>。</w:t>
      </w:r>
    </w:p>
    <w:p w14:paraId="32346508">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(4)除合同另有约定以外，按照国家现行税法和有关部门现行规定，承包人或其分包人需缴纳的一切税金和费用，均应由承包人或其分包人承担并支付。</w:t>
      </w:r>
      <w:bookmarkEnd w:id="2488"/>
    </w:p>
    <w:p w14:paraId="5B09700D">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489" w:name="_Toc12392"/>
      <w:bookmarkStart w:id="2490" w:name="_Toc302635835"/>
      <w:bookmarkStart w:id="2491" w:name="_Toc208587583"/>
      <w:bookmarkStart w:id="2492" w:name="_Toc13570"/>
      <w:bookmarkStart w:id="2493" w:name="_Toc30087"/>
      <w:bookmarkStart w:id="2494" w:name="_Toc305331347"/>
      <w:bookmarkStart w:id="2495" w:name="_Toc23667"/>
      <w:bookmarkStart w:id="2496" w:name="_Toc201735374"/>
      <w:bookmarkStart w:id="2497" w:name="_Toc27262"/>
      <w:bookmarkStart w:id="2498" w:name="_Toc18979"/>
      <w:bookmarkStart w:id="2499" w:name="_Toc7074"/>
      <w:bookmarkStart w:id="2500" w:name="_Toc18366"/>
      <w:bookmarkStart w:id="2501" w:name="_Toc30773"/>
      <w:bookmarkStart w:id="2502" w:name="_Toc19282"/>
      <w:bookmarkStart w:id="2503" w:name="_Toc1082025419"/>
      <w:r>
        <w:rPr>
          <w:rFonts w:hint="eastAsia" w:ascii="宋体" w:hAnsi="宋体" w:eastAsia="宋体" w:cs="Times New Roman"/>
          <w:b/>
          <w:bCs/>
          <w:kern w:val="0"/>
          <w:sz w:val="24"/>
          <w:szCs w:val="24"/>
          <w:lang w:val="en-US" w:eastAsia="zh-CN" w:bidi="ar-SA"/>
        </w:rPr>
        <w:t>合同价格的调整</w:t>
      </w:r>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p>
    <w:p w14:paraId="032FE276">
      <w:pPr>
        <w:tabs>
          <w:tab w:val="left" w:pos="1620"/>
          <w:tab w:val="left" w:pos="2340"/>
        </w:tabs>
        <w:ind w:left="902"/>
        <w:jc w:val="left"/>
        <w:rPr>
          <w:rFonts w:hint="eastAsia" w:ascii="宋体" w:hAnsi="宋体" w:eastAsia="宋体" w:cs="Times New Roman"/>
          <w:kern w:val="0"/>
          <w:szCs w:val="24"/>
        </w:rPr>
      </w:pPr>
      <w:r>
        <w:rPr>
          <w:rFonts w:hint="eastAsia" w:ascii="宋体" w:hAnsi="宋体" w:eastAsia="宋体" w:cs="Times New Roman"/>
          <w:kern w:val="0"/>
          <w:szCs w:val="24"/>
        </w:rPr>
        <w:t xml:space="preserve">发生以下情形，合同价格可作调整： </w:t>
      </w:r>
    </w:p>
    <w:p w14:paraId="2D3BB962">
      <w:pPr>
        <w:tabs>
          <w:tab w:val="left" w:pos="1620"/>
          <w:tab w:val="left" w:pos="2340"/>
        </w:tabs>
        <w:ind w:left="902"/>
        <w:jc w:val="left"/>
        <w:rPr>
          <w:rFonts w:hint="eastAsia" w:ascii="宋体" w:hAnsi="宋体" w:eastAsia="宋体" w:cs="Times New Roman"/>
          <w:kern w:val="0"/>
          <w:szCs w:val="24"/>
        </w:rPr>
      </w:pPr>
      <w:r>
        <w:rPr>
          <w:rFonts w:hint="eastAsia" w:ascii="宋体" w:hAnsi="宋体" w:eastAsia="宋体" w:cs="Times New Roman"/>
          <w:kern w:val="0"/>
          <w:szCs w:val="24"/>
        </w:rPr>
        <w:t>(1)第</w:t>
      </w:r>
      <w:r>
        <w:rPr>
          <w:rFonts w:ascii="宋体" w:hAnsi="宋体" w:eastAsia="宋体" w:cs="Times New Roman"/>
          <w:kern w:val="0"/>
          <w:szCs w:val="24"/>
        </w:rPr>
        <w:t>7.2</w:t>
      </w:r>
      <w:r>
        <w:rPr>
          <w:rFonts w:hint="eastAsia" w:ascii="宋体" w:hAnsi="宋体" w:eastAsia="宋体" w:cs="Times New Roman"/>
          <w:kern w:val="0"/>
          <w:szCs w:val="24"/>
        </w:rPr>
        <w:t>款约定的总承包服务费；</w:t>
      </w:r>
      <w:r>
        <w:rPr>
          <w:rFonts w:ascii="宋体" w:hAnsi="宋体" w:eastAsia="宋体" w:cs="Times New Roman"/>
          <w:kern w:val="0"/>
          <w:szCs w:val="24"/>
        </w:rPr>
        <w:br w:type="textWrapping"/>
      </w:r>
      <w:r>
        <w:rPr>
          <w:rFonts w:hint="eastAsia" w:ascii="宋体" w:hAnsi="宋体" w:eastAsia="宋体" w:cs="Times New Roman"/>
          <w:kern w:val="0"/>
          <w:szCs w:val="24"/>
        </w:rPr>
        <w:t>(</w:t>
      </w:r>
      <w:r>
        <w:rPr>
          <w:rFonts w:ascii="宋体" w:hAnsi="宋体" w:eastAsia="宋体" w:cs="Times New Roman"/>
          <w:kern w:val="0"/>
          <w:szCs w:val="24"/>
        </w:rPr>
        <w:t>2)</w:t>
      </w:r>
      <w:r>
        <w:rPr>
          <w:rFonts w:hint="eastAsia" w:ascii="宋体" w:hAnsi="宋体" w:eastAsia="宋体" w:cs="Times New Roman"/>
          <w:kern w:val="0"/>
          <w:szCs w:val="24"/>
        </w:rPr>
        <w:t>第2</w:t>
      </w:r>
      <w:r>
        <w:rPr>
          <w:rFonts w:ascii="宋体" w:hAnsi="宋体" w:eastAsia="宋体" w:cs="Times New Roman"/>
          <w:kern w:val="0"/>
          <w:szCs w:val="24"/>
        </w:rPr>
        <w:t>0.3</w:t>
      </w:r>
      <w:r>
        <w:rPr>
          <w:rFonts w:hint="eastAsia" w:ascii="宋体" w:hAnsi="宋体" w:eastAsia="宋体" w:cs="Times New Roman"/>
          <w:kern w:val="0"/>
          <w:szCs w:val="24"/>
        </w:rPr>
        <w:t>款约定的法律法规变化；</w:t>
      </w:r>
    </w:p>
    <w:p w14:paraId="3034459F">
      <w:pPr>
        <w:tabs>
          <w:tab w:val="left" w:pos="1620"/>
          <w:tab w:val="left" w:pos="2340"/>
        </w:tabs>
        <w:ind w:left="902"/>
        <w:jc w:val="left"/>
        <w:rPr>
          <w:rFonts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3)</w:t>
      </w:r>
      <w:r>
        <w:rPr>
          <w:rFonts w:hint="eastAsia" w:ascii="宋体" w:hAnsi="宋体" w:eastAsia="宋体" w:cs="Times New Roman"/>
          <w:kern w:val="0"/>
          <w:szCs w:val="24"/>
        </w:rPr>
        <w:t>第2</w:t>
      </w:r>
      <w:r>
        <w:rPr>
          <w:rFonts w:ascii="宋体" w:hAnsi="宋体" w:eastAsia="宋体" w:cs="Times New Roman"/>
          <w:kern w:val="0"/>
          <w:szCs w:val="24"/>
        </w:rPr>
        <w:t>0.4</w:t>
      </w:r>
      <w:r>
        <w:rPr>
          <w:rFonts w:hint="eastAsia" w:ascii="宋体" w:hAnsi="宋体" w:eastAsia="宋体" w:cs="Times New Roman"/>
          <w:kern w:val="0"/>
          <w:szCs w:val="24"/>
        </w:rPr>
        <w:t>款、第2</w:t>
      </w:r>
      <w:r>
        <w:rPr>
          <w:rFonts w:ascii="宋体" w:hAnsi="宋体" w:eastAsia="宋体" w:cs="Times New Roman"/>
          <w:kern w:val="0"/>
          <w:szCs w:val="24"/>
        </w:rPr>
        <w:t>0.5</w:t>
      </w:r>
      <w:r>
        <w:rPr>
          <w:rFonts w:hint="eastAsia" w:ascii="宋体" w:hAnsi="宋体" w:eastAsia="宋体" w:cs="Times New Roman"/>
          <w:kern w:val="0"/>
          <w:szCs w:val="24"/>
        </w:rPr>
        <w:t>款、第2</w:t>
      </w:r>
      <w:r>
        <w:rPr>
          <w:rFonts w:ascii="宋体" w:hAnsi="宋体" w:eastAsia="宋体" w:cs="Times New Roman"/>
          <w:kern w:val="0"/>
          <w:szCs w:val="24"/>
        </w:rPr>
        <w:t>0.6</w:t>
      </w:r>
      <w:r>
        <w:rPr>
          <w:rFonts w:hint="eastAsia" w:ascii="宋体" w:hAnsi="宋体" w:eastAsia="宋体" w:cs="Times New Roman"/>
          <w:kern w:val="0"/>
          <w:szCs w:val="24"/>
        </w:rPr>
        <w:t>款约定的物价变化；</w:t>
      </w:r>
      <w:r>
        <w:rPr>
          <w:rFonts w:ascii="宋体" w:hAnsi="宋体" w:eastAsia="宋体" w:cs="Times New Roman"/>
          <w:kern w:val="0"/>
          <w:szCs w:val="24"/>
        </w:rPr>
        <w:br w:type="textWrapping"/>
      </w:r>
      <w:r>
        <w:rPr>
          <w:rFonts w:hint="eastAsia" w:ascii="宋体" w:hAnsi="宋体" w:eastAsia="宋体" w:cs="Times New Roman"/>
          <w:kern w:val="0"/>
          <w:szCs w:val="24"/>
        </w:rPr>
        <w:t>(</w:t>
      </w:r>
      <w:r>
        <w:rPr>
          <w:rFonts w:ascii="宋体" w:hAnsi="宋体" w:eastAsia="宋体" w:cs="Times New Roman"/>
          <w:kern w:val="0"/>
          <w:szCs w:val="24"/>
        </w:rPr>
        <w:t>4)</w:t>
      </w:r>
      <w:r>
        <w:rPr>
          <w:rFonts w:hint="eastAsia" w:ascii="宋体" w:hAnsi="宋体" w:eastAsia="宋体" w:cs="Times New Roman"/>
          <w:kern w:val="0"/>
          <w:szCs w:val="24"/>
        </w:rPr>
        <w:t>第21条约定的暂估价和暂列金额；</w:t>
      </w:r>
    </w:p>
    <w:p w14:paraId="4B5D2547">
      <w:pPr>
        <w:tabs>
          <w:tab w:val="left" w:pos="1620"/>
          <w:tab w:val="left" w:pos="2340"/>
        </w:tabs>
        <w:ind w:left="902"/>
        <w:jc w:val="left"/>
        <w:rPr>
          <w:rFonts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5)</w:t>
      </w:r>
      <w:r>
        <w:rPr>
          <w:rFonts w:hint="eastAsia" w:ascii="宋体" w:hAnsi="宋体" w:eastAsia="宋体" w:cs="Times New Roman"/>
          <w:kern w:val="0"/>
          <w:szCs w:val="24"/>
        </w:rPr>
        <w:t>第2</w:t>
      </w:r>
      <w:r>
        <w:rPr>
          <w:rFonts w:ascii="宋体" w:hAnsi="宋体" w:eastAsia="宋体" w:cs="Times New Roman"/>
          <w:kern w:val="0"/>
          <w:szCs w:val="24"/>
        </w:rPr>
        <w:t>2.2</w:t>
      </w:r>
      <w:r>
        <w:rPr>
          <w:rFonts w:hint="eastAsia" w:ascii="宋体" w:hAnsi="宋体" w:eastAsia="宋体" w:cs="Times New Roman"/>
          <w:kern w:val="0"/>
          <w:szCs w:val="24"/>
        </w:rPr>
        <w:t>款约定的工程量清单缺陷；</w:t>
      </w:r>
    </w:p>
    <w:p w14:paraId="39A330E9">
      <w:pPr>
        <w:tabs>
          <w:tab w:val="left" w:pos="1620"/>
          <w:tab w:val="left" w:pos="2340"/>
        </w:tabs>
        <w:ind w:left="902"/>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6)</w:t>
      </w:r>
      <w:r>
        <w:rPr>
          <w:rFonts w:hint="eastAsia" w:ascii="宋体" w:hAnsi="宋体" w:eastAsia="宋体" w:cs="Times New Roman"/>
          <w:kern w:val="0"/>
          <w:szCs w:val="24"/>
        </w:rPr>
        <w:t>第2</w:t>
      </w:r>
      <w:r>
        <w:rPr>
          <w:rFonts w:ascii="宋体" w:hAnsi="宋体" w:eastAsia="宋体" w:cs="Times New Roman"/>
          <w:kern w:val="0"/>
          <w:szCs w:val="24"/>
        </w:rPr>
        <w:t>4.5</w:t>
      </w:r>
      <w:r>
        <w:rPr>
          <w:rFonts w:hint="eastAsia" w:ascii="宋体" w:hAnsi="宋体" w:eastAsia="宋体" w:cs="Times New Roman"/>
          <w:kern w:val="0"/>
          <w:szCs w:val="24"/>
        </w:rPr>
        <w:t>款约定的计日工；</w:t>
      </w:r>
    </w:p>
    <w:p w14:paraId="2449083A">
      <w:pPr>
        <w:tabs>
          <w:tab w:val="left" w:pos="1620"/>
          <w:tab w:val="left" w:pos="2340"/>
        </w:tabs>
        <w:ind w:left="902"/>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7)</w:t>
      </w:r>
      <w:r>
        <w:rPr>
          <w:rFonts w:hint="eastAsia" w:ascii="宋体" w:hAnsi="宋体" w:eastAsia="宋体" w:cs="Times New Roman"/>
          <w:kern w:val="0"/>
          <w:szCs w:val="24"/>
        </w:rPr>
        <w:t>第2</w:t>
      </w:r>
      <w:r>
        <w:rPr>
          <w:rFonts w:ascii="宋体" w:hAnsi="宋体" w:eastAsia="宋体" w:cs="Times New Roman"/>
          <w:kern w:val="0"/>
          <w:szCs w:val="24"/>
        </w:rPr>
        <w:t>5</w:t>
      </w:r>
      <w:r>
        <w:rPr>
          <w:rFonts w:hint="eastAsia" w:ascii="宋体" w:hAnsi="宋体" w:eastAsia="宋体" w:cs="Times New Roman"/>
          <w:kern w:val="0"/>
          <w:szCs w:val="24"/>
        </w:rPr>
        <w:t>条约定的工程变更价款；</w:t>
      </w:r>
    </w:p>
    <w:p w14:paraId="5ADEA48B">
      <w:pPr>
        <w:tabs>
          <w:tab w:val="left" w:pos="1620"/>
          <w:tab w:val="left" w:pos="2340"/>
        </w:tabs>
        <w:ind w:left="902"/>
        <w:jc w:val="left"/>
        <w:rPr>
          <w:rFonts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8)</w:t>
      </w:r>
      <w:r>
        <w:rPr>
          <w:rFonts w:hint="eastAsia" w:ascii="宋体" w:hAnsi="宋体" w:eastAsia="宋体" w:cs="Times New Roman"/>
          <w:kern w:val="0"/>
          <w:szCs w:val="24"/>
        </w:rPr>
        <w:t>第</w:t>
      </w:r>
      <w:r>
        <w:rPr>
          <w:rFonts w:ascii="宋体" w:hAnsi="宋体" w:eastAsia="宋体" w:cs="Times New Roman"/>
          <w:kern w:val="0"/>
          <w:szCs w:val="24"/>
        </w:rPr>
        <w:t>30</w:t>
      </w:r>
      <w:r>
        <w:rPr>
          <w:rFonts w:hint="eastAsia" w:ascii="宋体" w:hAnsi="宋体" w:eastAsia="宋体" w:cs="Times New Roman"/>
          <w:kern w:val="0"/>
          <w:szCs w:val="24"/>
        </w:rPr>
        <w:t>条约定的索赔；</w:t>
      </w:r>
    </w:p>
    <w:p w14:paraId="0A95103D">
      <w:pPr>
        <w:tabs>
          <w:tab w:val="left" w:pos="1620"/>
          <w:tab w:val="left" w:pos="2340"/>
        </w:tabs>
        <w:ind w:left="902"/>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9)</w:t>
      </w:r>
      <w:r>
        <w:rPr>
          <w:rFonts w:hint="eastAsia" w:ascii="宋体" w:hAnsi="宋体" w:eastAsia="宋体" w:cs="Times New Roman"/>
          <w:kern w:val="0"/>
          <w:szCs w:val="24"/>
        </w:rPr>
        <w:t>本合同条款以及</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约定的其他调整因素。</w:t>
      </w:r>
    </w:p>
    <w:p w14:paraId="1272CE9B">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504" w:name="_Toc26130"/>
      <w:bookmarkStart w:id="2505" w:name="_Toc3823"/>
      <w:bookmarkStart w:id="2506" w:name="_Toc201735375"/>
      <w:bookmarkStart w:id="2507" w:name="_Toc2926"/>
      <w:bookmarkStart w:id="2508" w:name="_Toc794"/>
      <w:bookmarkStart w:id="2509" w:name="_Toc302635836"/>
      <w:bookmarkStart w:id="2510" w:name="_Toc305331348"/>
      <w:bookmarkStart w:id="2511" w:name="_Toc28148"/>
      <w:bookmarkStart w:id="2512" w:name="_Toc20309"/>
      <w:bookmarkStart w:id="2513" w:name="_Toc28494"/>
      <w:bookmarkStart w:id="2514" w:name="_Toc8615"/>
      <w:bookmarkStart w:id="2515" w:name="_Toc208587595"/>
      <w:bookmarkStart w:id="2516" w:name="_Toc7540"/>
      <w:bookmarkStart w:id="2517" w:name="_Toc21283"/>
      <w:bookmarkStart w:id="2518" w:name="_Toc1281832809"/>
      <w:r>
        <w:rPr>
          <w:rFonts w:hint="eastAsia" w:ascii="宋体" w:hAnsi="宋体" w:eastAsia="宋体" w:cs="Times New Roman"/>
          <w:b/>
          <w:bCs/>
          <w:kern w:val="0"/>
          <w:sz w:val="24"/>
          <w:szCs w:val="24"/>
          <w:lang w:val="en-US" w:eastAsia="zh-CN" w:bidi="ar-SA"/>
        </w:rPr>
        <w:t>法律法规的变</w:t>
      </w:r>
      <w:bookmarkEnd w:id="2504"/>
      <w:bookmarkEnd w:id="2505"/>
      <w:bookmarkEnd w:id="2506"/>
      <w:bookmarkEnd w:id="2507"/>
      <w:bookmarkEnd w:id="2508"/>
      <w:bookmarkEnd w:id="2509"/>
      <w:bookmarkEnd w:id="2510"/>
      <w:bookmarkEnd w:id="2511"/>
      <w:bookmarkEnd w:id="2512"/>
      <w:r>
        <w:rPr>
          <w:rFonts w:hint="eastAsia" w:ascii="宋体" w:hAnsi="宋体" w:eastAsia="宋体" w:cs="Times New Roman"/>
          <w:b/>
          <w:bCs/>
          <w:kern w:val="0"/>
          <w:sz w:val="24"/>
          <w:szCs w:val="24"/>
          <w:lang w:val="en-US" w:eastAsia="zh-CN" w:bidi="ar-SA"/>
        </w:rPr>
        <w:t>化</w:t>
      </w:r>
      <w:bookmarkEnd w:id="2513"/>
      <w:bookmarkEnd w:id="2514"/>
      <w:bookmarkEnd w:id="2515"/>
      <w:bookmarkEnd w:id="2516"/>
      <w:bookmarkEnd w:id="2517"/>
      <w:bookmarkEnd w:id="2518"/>
    </w:p>
    <w:p w14:paraId="7F40D523">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基准日期后，因国家法律、法规、规章和政策的变化对合同价格和（或）工期产生影响的，发包人和承包人应根据法律法规变化造成的实际影响，按照深圳市建设行政主管部门或其授权的工程造价管理机构发布的相应办法对合同价格和（或）工期进行调整。</w:t>
      </w:r>
    </w:p>
    <w:p w14:paraId="37DD43B6">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(2)因承包人原因导致工期延误的，</w:t>
      </w:r>
      <w:r>
        <w:rPr>
          <w:rFonts w:ascii="宋体" w:hAnsi="宋体" w:eastAsia="宋体" w:cs="Times New Roman"/>
          <w:kern w:val="0"/>
          <w:szCs w:val="24"/>
        </w:rPr>
        <w:t>在工期延误期间出现法律</w:t>
      </w:r>
      <w:r>
        <w:rPr>
          <w:rFonts w:hint="eastAsia" w:ascii="宋体" w:hAnsi="宋体" w:eastAsia="宋体" w:cs="Times New Roman"/>
          <w:kern w:val="0"/>
          <w:szCs w:val="24"/>
        </w:rPr>
        <w:t>法规变化</w:t>
      </w:r>
      <w:r>
        <w:rPr>
          <w:rFonts w:ascii="宋体" w:hAnsi="宋体" w:eastAsia="宋体" w:cs="Times New Roman"/>
          <w:kern w:val="0"/>
          <w:szCs w:val="24"/>
        </w:rPr>
        <w:t>的</w:t>
      </w:r>
      <w:r>
        <w:rPr>
          <w:rFonts w:hint="eastAsia" w:ascii="宋体" w:hAnsi="宋体" w:eastAsia="宋体" w:cs="Times New Roman"/>
          <w:kern w:val="0"/>
          <w:szCs w:val="24"/>
        </w:rPr>
        <w:t>，合同价格调增的不予调整，合同价格调减的予以调整。</w:t>
      </w:r>
      <w:r>
        <w:rPr>
          <w:rFonts w:ascii="宋体" w:hAnsi="宋体" w:eastAsia="宋体" w:cs="Times New Roman"/>
          <w:kern w:val="0"/>
          <w:szCs w:val="24"/>
        </w:rPr>
        <w:t xml:space="preserve"> </w:t>
      </w:r>
    </w:p>
    <w:p w14:paraId="1751A80C">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因</w:t>
      </w:r>
      <w:r>
        <w:rPr>
          <w:rFonts w:hint="eastAsia" w:ascii="宋体" w:hAnsi="宋体" w:eastAsia="宋体" w:cs="Times New Roman"/>
          <w:kern w:val="0"/>
          <w:szCs w:val="24"/>
        </w:rPr>
        <w:t>发</w:t>
      </w:r>
      <w:r>
        <w:rPr>
          <w:rFonts w:ascii="宋体" w:hAnsi="宋体" w:eastAsia="宋体" w:cs="Times New Roman"/>
          <w:kern w:val="0"/>
          <w:szCs w:val="24"/>
        </w:rPr>
        <w:t>包人原因造成工期延误，在工期延误期间出现法律</w:t>
      </w:r>
      <w:r>
        <w:rPr>
          <w:rFonts w:hint="eastAsia" w:ascii="宋体" w:hAnsi="宋体" w:eastAsia="宋体" w:cs="Times New Roman"/>
          <w:kern w:val="0"/>
          <w:szCs w:val="24"/>
        </w:rPr>
        <w:t>法规</w:t>
      </w:r>
      <w:r>
        <w:rPr>
          <w:rFonts w:ascii="宋体" w:hAnsi="宋体" w:eastAsia="宋体" w:cs="Times New Roman"/>
          <w:kern w:val="0"/>
          <w:szCs w:val="24"/>
        </w:rPr>
        <w:t>变化的，</w:t>
      </w:r>
      <w:r>
        <w:rPr>
          <w:rFonts w:hint="eastAsia" w:ascii="宋体" w:hAnsi="宋体" w:eastAsia="宋体" w:cs="Times New Roman"/>
          <w:kern w:val="0"/>
          <w:szCs w:val="24"/>
        </w:rPr>
        <w:t>合同价格调减的不予调整，合同价格调增的予以调整</w:t>
      </w:r>
      <w:r>
        <w:rPr>
          <w:rFonts w:ascii="宋体" w:hAnsi="宋体" w:eastAsia="宋体" w:cs="Times New Roman"/>
          <w:kern w:val="0"/>
          <w:szCs w:val="24"/>
        </w:rPr>
        <w:t>。</w:t>
      </w:r>
    </w:p>
    <w:p w14:paraId="675576CA">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w:t>
      </w:r>
      <w:r>
        <w:rPr>
          <w:rFonts w:ascii="宋体" w:hAnsi="宋体" w:eastAsia="宋体" w:cs="Times New Roman"/>
          <w:kern w:val="0"/>
          <w:szCs w:val="24"/>
        </w:rPr>
        <w:t>因</w:t>
      </w:r>
      <w:r>
        <w:rPr>
          <w:rFonts w:hint="eastAsia" w:ascii="宋体" w:hAnsi="宋体" w:eastAsia="宋体" w:cs="Times New Roman"/>
          <w:kern w:val="0"/>
          <w:szCs w:val="24"/>
        </w:rPr>
        <w:t>非发承</w:t>
      </w:r>
      <w:r>
        <w:rPr>
          <w:rFonts w:ascii="宋体" w:hAnsi="宋体" w:eastAsia="宋体" w:cs="Times New Roman"/>
          <w:kern w:val="0"/>
          <w:szCs w:val="24"/>
        </w:rPr>
        <w:t>包</w:t>
      </w:r>
      <w:r>
        <w:rPr>
          <w:rFonts w:hint="eastAsia" w:ascii="宋体" w:hAnsi="宋体" w:eastAsia="宋体" w:cs="Times New Roman"/>
          <w:kern w:val="0"/>
          <w:szCs w:val="24"/>
        </w:rPr>
        <w:t>双方</w:t>
      </w:r>
      <w:r>
        <w:rPr>
          <w:rFonts w:ascii="宋体" w:hAnsi="宋体" w:eastAsia="宋体" w:cs="Times New Roman"/>
          <w:kern w:val="0"/>
          <w:szCs w:val="24"/>
        </w:rPr>
        <w:t>原因造成工期延误，在工期延误期间出现法律</w:t>
      </w:r>
      <w:r>
        <w:rPr>
          <w:rFonts w:hint="eastAsia" w:ascii="宋体" w:hAnsi="宋体" w:eastAsia="宋体" w:cs="Times New Roman"/>
          <w:kern w:val="0"/>
          <w:szCs w:val="24"/>
        </w:rPr>
        <w:t>法规</w:t>
      </w:r>
      <w:r>
        <w:rPr>
          <w:rFonts w:ascii="宋体" w:hAnsi="宋体" w:eastAsia="宋体" w:cs="Times New Roman"/>
          <w:kern w:val="0"/>
          <w:szCs w:val="24"/>
        </w:rPr>
        <w:t>变</w:t>
      </w:r>
      <w:r>
        <w:rPr>
          <w:rFonts w:hint="eastAsia" w:ascii="宋体" w:hAnsi="宋体" w:eastAsia="宋体" w:cs="Times New Roman"/>
          <w:kern w:val="0"/>
          <w:szCs w:val="24"/>
        </w:rPr>
        <w:t>化</w:t>
      </w:r>
      <w:r>
        <w:rPr>
          <w:rFonts w:ascii="宋体" w:hAnsi="宋体" w:eastAsia="宋体" w:cs="Times New Roman"/>
          <w:kern w:val="0"/>
          <w:szCs w:val="24"/>
        </w:rPr>
        <w:t>的，</w:t>
      </w:r>
      <w:r>
        <w:rPr>
          <w:rFonts w:hint="eastAsia" w:ascii="宋体" w:hAnsi="宋体" w:eastAsia="宋体" w:cs="Times New Roman"/>
          <w:kern w:val="0"/>
          <w:szCs w:val="24"/>
        </w:rPr>
        <w:t>合同价格按实调整。</w:t>
      </w:r>
    </w:p>
    <w:p w14:paraId="7D82A559">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(5)因法律法规变化引起的合同价格和工期调整，发承包双方无法达成一致的，按第31条【争议解决】的约定处理。</w:t>
      </w:r>
    </w:p>
    <w:p w14:paraId="7B542769">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519" w:name="_Toc27251"/>
      <w:bookmarkStart w:id="2520" w:name="_Toc27231"/>
      <w:bookmarkStart w:id="2521" w:name="_Toc2583"/>
      <w:bookmarkStart w:id="2522" w:name="_Toc32120"/>
      <w:bookmarkStart w:id="2523" w:name="_Toc208587596"/>
      <w:bookmarkStart w:id="2524" w:name="_Toc15059"/>
      <w:bookmarkStart w:id="2525" w:name="_Toc8437"/>
      <w:bookmarkStart w:id="2526" w:name="_Toc302635837"/>
      <w:bookmarkStart w:id="2527" w:name="_Toc32634"/>
      <w:bookmarkStart w:id="2528" w:name="_Toc15912"/>
      <w:bookmarkStart w:id="2529" w:name="_Toc201735376"/>
      <w:bookmarkStart w:id="2530" w:name="_Toc12012"/>
      <w:bookmarkStart w:id="2531" w:name="_Toc698007367"/>
      <w:bookmarkStart w:id="2532" w:name="_Toc305331349"/>
      <w:bookmarkStart w:id="2533" w:name="_Toc12655"/>
      <w:r>
        <w:rPr>
          <w:rFonts w:hint="eastAsia" w:ascii="宋体" w:hAnsi="宋体" w:eastAsia="宋体" w:cs="Times New Roman"/>
          <w:b/>
          <w:bCs/>
          <w:kern w:val="0"/>
          <w:sz w:val="24"/>
          <w:szCs w:val="24"/>
          <w:lang w:val="en-US" w:eastAsia="zh-CN" w:bidi="ar-SA"/>
        </w:rPr>
        <w:t>工料机调差</w:t>
      </w:r>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p>
    <w:p w14:paraId="77CA4A71">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(1)承包人应充分考虑本工程施工期间因材料或劳务市场价格波动等有可能引起施工成本增加的风险，工料机按合同约定进行调差。</w:t>
      </w:r>
    </w:p>
    <w:p w14:paraId="1B803C2B">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(2)除</w:t>
      </w:r>
      <w:r>
        <w:rPr>
          <w:rFonts w:hint="eastAsia" w:ascii="宋体" w:hAnsi="宋体" w:eastAsia="宋体" w:cs="Times New Roman"/>
          <w:b/>
          <w:i/>
          <w:kern w:val="0"/>
          <w:szCs w:val="24"/>
        </w:rPr>
        <w:t>专用条款</w:t>
      </w:r>
      <w:r>
        <w:rPr>
          <w:rFonts w:hint="eastAsia" w:ascii="宋体" w:hAnsi="宋体" w:eastAsia="宋体" w:cs="Times New Roman"/>
          <w:kern w:val="0"/>
          <w:szCs w:val="24"/>
        </w:rPr>
        <w:t>另有约定外，由于非承包人原因引起的用于本工程的</w:t>
      </w:r>
      <w:r>
        <w:rPr>
          <w:rFonts w:hint="eastAsia" w:ascii="宋体" w:hAnsi="宋体" w:eastAsia="宋体" w:cs="宋体"/>
          <w:szCs w:val="21"/>
        </w:rPr>
        <w:t>人工费（含机械人工费）、主要材料费及施工机具（机械）使用费中的燃料动力</w:t>
      </w:r>
      <w:r>
        <w:rPr>
          <w:rFonts w:hint="eastAsia" w:ascii="宋体" w:hAnsi="宋体" w:eastAsia="宋体" w:cs="Times New Roman"/>
          <w:kern w:val="0"/>
          <w:szCs w:val="24"/>
        </w:rPr>
        <w:t>价格波动超过</w:t>
      </w:r>
      <w:r>
        <w:rPr>
          <w:rFonts w:hint="eastAsia" w:ascii="宋体" w:hAnsi="宋体" w:eastAsia="宋体" w:cs="Times New Roman"/>
          <w:b/>
          <w:kern w:val="0"/>
          <w:szCs w:val="24"/>
        </w:rPr>
        <w:t>±5%</w:t>
      </w:r>
      <w:r>
        <w:rPr>
          <w:rFonts w:hint="eastAsia" w:ascii="宋体" w:hAnsi="宋体" w:eastAsia="宋体" w:cs="Times New Roman"/>
          <w:kern w:val="0"/>
          <w:szCs w:val="24"/>
        </w:rPr>
        <w:t>时，其超过部分的合同价格应按20.5款、20.6款方法</w:t>
      </w:r>
      <w:r>
        <w:rPr>
          <w:rFonts w:hint="eastAsia" w:ascii="宋体" w:hAnsi="宋体" w:eastAsia="宋体" w:cs="Times New Roman"/>
          <w:kern w:val="0"/>
          <w:szCs w:val="21"/>
        </w:rPr>
        <w:t>，</w:t>
      </w:r>
      <w:r>
        <w:rPr>
          <w:rFonts w:hint="eastAsia" w:ascii="宋体" w:hAnsi="宋体" w:eastAsia="宋体" w:cs="Times New Roman"/>
          <w:color w:val="auto"/>
          <w:kern w:val="0"/>
          <w:szCs w:val="21"/>
        </w:rPr>
        <w:t>并按20.4款(5)项约定进行计算和支付。</w:t>
      </w:r>
    </w:p>
    <w:p w14:paraId="1F120913">
      <w:pPr>
        <w:tabs>
          <w:tab w:val="left" w:pos="1620"/>
          <w:tab w:val="left" w:pos="2340"/>
        </w:tabs>
        <w:spacing w:after="156"/>
        <w:ind w:left="899"/>
        <w:jc w:val="left"/>
        <w:rPr>
          <w:rFonts w:hint="eastAsia" w:ascii="宋体" w:hAnsi="宋体" w:eastAsia="宋体" w:cs="Times New Roman"/>
          <w:kern w:val="0"/>
          <w:szCs w:val="24"/>
        </w:rPr>
      </w:pPr>
      <w:bookmarkStart w:id="2534" w:name="_Toc34909079"/>
      <w:r>
        <w:rPr>
          <w:rFonts w:hint="eastAsia" w:ascii="宋体" w:hAnsi="宋体" w:eastAsia="宋体" w:cs="Times New Roman"/>
          <w:kern w:val="0"/>
          <w:szCs w:val="24"/>
        </w:rPr>
        <w:t>(3)主要材料是指用于本工程的某种材料价格总额达到签约合同价</w:t>
      </w:r>
      <w:r>
        <w:rPr>
          <w:rFonts w:hint="eastAsia" w:ascii="宋体" w:hAnsi="宋体" w:eastAsia="宋体" w:cs="Times New Roman"/>
          <w:b/>
          <w:kern w:val="0"/>
          <w:szCs w:val="24"/>
        </w:rPr>
        <w:t>5%</w:t>
      </w:r>
      <w:r>
        <w:rPr>
          <w:rFonts w:hint="eastAsia" w:ascii="宋体" w:hAnsi="宋体" w:eastAsia="宋体" w:cs="Times New Roman"/>
          <w:kern w:val="0"/>
          <w:szCs w:val="24"/>
        </w:rPr>
        <w:t>或</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约定比例及以上的材料。</w:t>
      </w:r>
    </w:p>
    <w:p w14:paraId="7831F642">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(4)发包人和承包人可根据本工程的具体实际，在</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w:t>
      </w:r>
      <w:r>
        <w:rPr>
          <w:rFonts w:hint="eastAsia" w:ascii="宋体" w:hAnsi="宋体" w:eastAsia="宋体" w:cs="Times New Roman"/>
          <w:szCs w:val="24"/>
        </w:rPr>
        <w:t>用于本工程的未达到第20.4款</w:t>
      </w:r>
      <w:r>
        <w:rPr>
          <w:rFonts w:hint="eastAsia" w:ascii="宋体" w:hAnsi="宋体" w:eastAsia="宋体" w:cs="Times New Roman"/>
          <w:kern w:val="0"/>
          <w:szCs w:val="24"/>
        </w:rPr>
        <w:t>(3)项</w:t>
      </w:r>
      <w:r>
        <w:rPr>
          <w:rFonts w:hint="eastAsia" w:ascii="宋体" w:hAnsi="宋体" w:eastAsia="宋体" w:cs="Times New Roman"/>
          <w:szCs w:val="24"/>
        </w:rPr>
        <w:t>约定比例的其他材料中</w:t>
      </w:r>
      <w:r>
        <w:rPr>
          <w:rFonts w:hint="eastAsia" w:ascii="宋体" w:hAnsi="宋体" w:eastAsia="宋体" w:cs="Times New Roman"/>
          <w:kern w:val="0"/>
          <w:szCs w:val="24"/>
        </w:rPr>
        <w:t>可调差的材料种类。</w:t>
      </w:r>
    </w:p>
    <w:p w14:paraId="55D71A4D">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(5)工料机调差费用部分应按《深圳市建设工程工程量清单计价与计算标准应用指引》计取增值税，不计企业管理费、利润</w:t>
      </w:r>
      <w:r>
        <w:rPr>
          <w:rFonts w:hint="eastAsia" w:ascii="宋体" w:hAnsi="宋体" w:eastAsia="宋体" w:cs="宋体"/>
          <w:szCs w:val="21"/>
        </w:rPr>
        <w:t>及安全文明施工费</w:t>
      </w:r>
      <w:r>
        <w:rPr>
          <w:rFonts w:hint="eastAsia" w:ascii="宋体" w:hAnsi="宋体" w:eastAsia="宋体" w:cs="Times New Roman"/>
          <w:kern w:val="0"/>
          <w:szCs w:val="24"/>
        </w:rPr>
        <w:t>。工料机调差费用应按</w:t>
      </w:r>
      <w:r>
        <w:rPr>
          <w:rFonts w:hint="eastAsia" w:ascii="宋体" w:hAnsi="宋体" w:eastAsia="宋体" w:cs="Times New Roman"/>
          <w:b/>
          <w:i/>
          <w:kern w:val="0"/>
          <w:szCs w:val="24"/>
        </w:rPr>
        <w:t>专用条款</w:t>
      </w:r>
      <w:r>
        <w:rPr>
          <w:rFonts w:hint="eastAsia" w:ascii="宋体" w:hAnsi="宋体" w:eastAsia="宋体" w:cs="Times New Roman"/>
          <w:kern w:val="0"/>
          <w:szCs w:val="24"/>
        </w:rPr>
        <w:t>的约定进行计算和支付。</w:t>
      </w:r>
    </w:p>
    <w:p w14:paraId="1DAACFD2">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color w:val="auto"/>
          <w:kern w:val="0"/>
          <w:szCs w:val="21"/>
        </w:rPr>
        <w:t>(6)非承包人原因引起的用于本工程的预制成品构件的价格波动超过±5%或</w:t>
      </w:r>
      <w:r>
        <w:rPr>
          <w:rFonts w:hint="eastAsia" w:ascii="宋体" w:hAnsi="宋体" w:eastAsia="宋体" w:cs="Times New Roman"/>
          <w:b/>
          <w:bCs/>
          <w:i/>
          <w:iCs/>
          <w:color w:val="auto"/>
          <w:kern w:val="0"/>
          <w:szCs w:val="21"/>
        </w:rPr>
        <w:t>专用条款</w:t>
      </w:r>
      <w:r>
        <w:rPr>
          <w:rFonts w:hint="eastAsia" w:ascii="宋体" w:hAnsi="宋体" w:eastAsia="宋体" w:cs="Times New Roman"/>
          <w:color w:val="auto"/>
          <w:kern w:val="0"/>
          <w:szCs w:val="21"/>
        </w:rPr>
        <w:t>约定的幅度时，发包人和承包人应在</w:t>
      </w:r>
      <w:r>
        <w:rPr>
          <w:rFonts w:hint="eastAsia" w:ascii="宋体" w:hAnsi="宋体" w:eastAsia="宋体" w:cs="Times New Roman"/>
          <w:b/>
          <w:bCs/>
          <w:i/>
          <w:iCs/>
          <w:color w:val="auto"/>
          <w:kern w:val="0"/>
          <w:szCs w:val="21"/>
        </w:rPr>
        <w:t>专用条款</w:t>
      </w:r>
      <w:r>
        <w:rPr>
          <w:rFonts w:hint="eastAsia" w:ascii="宋体" w:hAnsi="宋体" w:eastAsia="宋体" w:cs="Times New Roman"/>
          <w:color w:val="auto"/>
          <w:kern w:val="0"/>
          <w:szCs w:val="21"/>
        </w:rPr>
        <w:t>中约定可调差预制成品构件的种类和调差方式，并按20.4款(5</w:t>
      </w:r>
      <w:r>
        <w:rPr>
          <w:rFonts w:ascii="宋体" w:hAnsi="宋体" w:eastAsia="宋体" w:cs="Times New Roman"/>
          <w:color w:val="auto"/>
          <w:kern w:val="0"/>
          <w:szCs w:val="21"/>
        </w:rPr>
        <w:t>)</w:t>
      </w:r>
      <w:r>
        <w:rPr>
          <w:rFonts w:hint="eastAsia" w:ascii="宋体" w:hAnsi="宋体" w:eastAsia="宋体" w:cs="Times New Roman"/>
          <w:color w:val="auto"/>
          <w:kern w:val="0"/>
          <w:szCs w:val="21"/>
        </w:rPr>
        <w:t>项约定进行计算和支付。</w:t>
      </w:r>
    </w:p>
    <w:p w14:paraId="0BFF4B13">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535" w:name="_Toc302635838"/>
      <w:bookmarkStart w:id="2536" w:name="_Toc289150553"/>
      <w:bookmarkStart w:id="2537" w:name="_Toc12667"/>
      <w:bookmarkStart w:id="2538" w:name="_Toc7511"/>
      <w:bookmarkStart w:id="2539" w:name="_Toc5398"/>
      <w:bookmarkStart w:id="2540" w:name="_Toc208587597"/>
      <w:bookmarkStart w:id="2541" w:name="_Toc201735377"/>
      <w:bookmarkStart w:id="2542" w:name="_Toc11209"/>
      <w:bookmarkStart w:id="2543" w:name="_Toc5052"/>
      <w:bookmarkStart w:id="2544" w:name="_Toc2314"/>
      <w:bookmarkStart w:id="2545" w:name="_Toc25986"/>
      <w:bookmarkStart w:id="2546" w:name="_Toc14731"/>
      <w:bookmarkStart w:id="2547" w:name="_Toc14870"/>
      <w:bookmarkStart w:id="2548" w:name="_Toc24235"/>
      <w:r>
        <w:rPr>
          <w:rFonts w:hint="eastAsia" w:ascii="宋体" w:hAnsi="宋体" w:eastAsia="宋体" w:cs="Times New Roman"/>
          <w:b/>
          <w:bCs/>
          <w:kern w:val="0"/>
          <w:sz w:val="24"/>
          <w:szCs w:val="24"/>
          <w:lang w:val="en-US" w:eastAsia="zh-CN" w:bidi="ar-SA"/>
        </w:rPr>
        <w:t>材料调差</w:t>
      </w:r>
      <w:bookmarkEnd w:id="2535"/>
      <w:r>
        <w:rPr>
          <w:rFonts w:hint="eastAsia" w:ascii="宋体" w:hAnsi="宋体" w:eastAsia="宋体" w:cs="Times New Roman"/>
          <w:b/>
          <w:bCs/>
          <w:kern w:val="0"/>
          <w:sz w:val="24"/>
          <w:szCs w:val="24"/>
          <w:lang w:val="en-US" w:eastAsia="zh-CN" w:bidi="ar-SA"/>
        </w:rPr>
        <w:t>方法</w:t>
      </w:r>
      <w:bookmarkEnd w:id="2536"/>
      <w:bookmarkEnd w:id="2537"/>
      <w:bookmarkEnd w:id="2538"/>
      <w:bookmarkEnd w:id="2539"/>
      <w:bookmarkEnd w:id="2540"/>
      <w:bookmarkEnd w:id="2541"/>
      <w:bookmarkEnd w:id="2542"/>
      <w:bookmarkEnd w:id="2543"/>
      <w:bookmarkEnd w:id="2544"/>
      <w:bookmarkEnd w:id="2545"/>
      <w:bookmarkEnd w:id="2546"/>
      <w:bookmarkEnd w:id="2547"/>
      <w:bookmarkEnd w:id="2548"/>
    </w:p>
    <w:p w14:paraId="559EA30D">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按照20.4款(3)、(4)项确定的可调差材料发生价格波动时，可在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中约定一种调差方式：</w:t>
      </w:r>
    </w:p>
    <w:p w14:paraId="5FC46D40">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方式一：</w:t>
      </w:r>
    </w:p>
    <w:p w14:paraId="0251F4F8">
      <w:pPr>
        <w:tabs>
          <w:tab w:val="left" w:pos="1620"/>
          <w:tab w:val="left" w:pos="2340"/>
        </w:tabs>
        <w:snapToGrid w:val="0"/>
        <w:ind w:firstLine="1050" w:firstLineChars="500"/>
        <w:rPr>
          <w:rFonts w:ascii="宋体" w:hAnsi="宋体" w:eastAsia="宋体" w:cs="Times New Roman"/>
          <w:szCs w:val="24"/>
        </w:rPr>
      </w:pPr>
      <w:r>
        <w:rPr>
          <w:rFonts w:hint="eastAsia" w:ascii="宋体" w:hAnsi="宋体" w:eastAsia="宋体" w:cs="Times New Roman"/>
          <w:szCs w:val="24"/>
        </w:rPr>
        <w:t>当</w:t>
      </w:r>
      <w:r>
        <w:rPr>
          <w:rFonts w:ascii="Cambria" w:hAnsi="Cambria" w:eastAsia="宋体" w:cs="Times New Roman"/>
          <w:i/>
          <w:sz w:val="24"/>
          <w:szCs w:val="24"/>
        </w:rPr>
        <w:sym w:font="Symbol" w:char="F060"/>
      </w:r>
      <w:r>
        <w:rPr>
          <w:rFonts w:ascii="Cambria" w:hAnsi="Cambria" w:eastAsia="宋体" w:cs="Times New Roman"/>
          <w:i/>
          <w:sz w:val="24"/>
          <w:szCs w:val="24"/>
        </w:rPr>
        <w:t>P</w:t>
      </w:r>
      <w:r>
        <w:rPr>
          <w:rFonts w:hint="eastAsia" w:ascii="宋体" w:hAnsi="宋体" w:eastAsia="宋体" w:cs="Times New Roman"/>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0</w:t>
      </w:r>
      <w:r>
        <w:rPr>
          <w:rFonts w:hint="eastAsia" w:ascii="宋体" w:hAnsi="宋体" w:eastAsia="宋体" w:cs="Times New Roman"/>
          <w:szCs w:val="24"/>
        </w:rPr>
        <w:t>时：</w:t>
      </w:r>
    </w:p>
    <w:p w14:paraId="6F7857BF">
      <w:pPr>
        <w:tabs>
          <w:tab w:val="left" w:pos="1620"/>
          <w:tab w:val="left" w:pos="2340"/>
        </w:tabs>
        <w:snapToGrid w:val="0"/>
        <w:ind w:firstLine="1200" w:firstLineChars="500"/>
        <w:rPr>
          <w:rFonts w:ascii="宋体" w:hAnsi="宋体" w:eastAsia="宋体" w:cs="Times New Roman"/>
          <w:szCs w:val="24"/>
        </w:rPr>
      </w:pPr>
      <w:r>
        <w:rPr>
          <w:rFonts w:hint="eastAsia" w:ascii="Cambria" w:hAnsi="Cambria" w:eastAsia="宋体" w:cs="Times New Roman"/>
          <w:sz w:val="24"/>
          <w:szCs w:val="24"/>
        </w:rPr>
        <w:t>①</w:t>
      </w:r>
      <w:r>
        <w:rPr>
          <w:rFonts w:ascii="Cambria" w:hAnsi="Cambria" w:eastAsia="宋体" w:cs="Times New Roman"/>
          <w:i/>
          <w:sz w:val="24"/>
          <w:szCs w:val="24"/>
        </w:rPr>
        <w:t>P</w:t>
      </w:r>
      <w:r>
        <w:rPr>
          <w:rFonts w:ascii="Cambria" w:hAnsi="Cambria" w:eastAsia="宋体" w:cs="Times New Roman"/>
          <w:i/>
          <w:sz w:val="24"/>
          <w:szCs w:val="24"/>
          <w:vertAlign w:val="subscript"/>
        </w:rPr>
        <w:t>t</w:t>
      </w:r>
      <w:r>
        <w:rPr>
          <w:rFonts w:hint="eastAsia" w:ascii="Cambria" w:hAnsi="Cambria" w:eastAsia="宋体" w:cs="Times New Roman"/>
          <w:i/>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0</w:t>
      </w:r>
      <w:r>
        <w:rPr>
          <w:rFonts w:hint="eastAsia" w:ascii="Cambria" w:hAnsi="Cambria" w:eastAsia="宋体" w:cs="Times New Roman"/>
          <w:i/>
          <w:sz w:val="24"/>
          <w:szCs w:val="24"/>
        </w:rPr>
        <w:t>，</w:t>
      </w:r>
      <w:r>
        <w:rPr>
          <w:rFonts w:hint="eastAsia" w:ascii="宋体" w:hAnsi="宋体" w:eastAsia="宋体" w:cs="Times New Roman"/>
          <w:szCs w:val="24"/>
        </w:rPr>
        <w:t>且</w:t>
      </w:r>
      <w:r>
        <w:rPr>
          <w:rFonts w:ascii="Cambria" w:hAnsi="Cambria" w:eastAsia="宋体" w:cs="Times New Roman"/>
          <w:i/>
          <w:sz w:val="24"/>
          <w:szCs w:val="24"/>
        </w:rPr>
        <w:sym w:font="Symbol" w:char="F060"/>
      </w:r>
      <w:r>
        <w:rPr>
          <w:rFonts w:ascii="Cambria" w:hAnsi="Cambria" w:eastAsia="宋体" w:cs="Times New Roman"/>
          <w:i/>
          <w:sz w:val="24"/>
          <w:szCs w:val="24"/>
        </w:rPr>
        <w:t xml:space="preserve">P </w:t>
      </w:r>
      <w:r>
        <w:rPr>
          <w:rFonts w:hint="eastAsia" w:ascii="宋体" w:hAnsi="宋体" w:eastAsia="宋体" w:cs="Times New Roman"/>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0</w:t>
      </w:r>
      <w:r>
        <w:rPr>
          <w:rFonts w:hint="eastAsia" w:ascii="宋体" w:hAnsi="宋体" w:eastAsia="宋体" w:cs="Times New Roman"/>
          <w:sz w:val="24"/>
          <w:szCs w:val="24"/>
        </w:rPr>
        <w:t>＞1.05</w:t>
      </w:r>
      <w:r>
        <w:rPr>
          <w:rFonts w:hint="eastAsia" w:ascii="宋体" w:hAnsi="宋体" w:eastAsia="宋体" w:cs="Times New Roman"/>
          <w:szCs w:val="24"/>
        </w:rPr>
        <w:t>，则：</w:t>
      </w:r>
    </w:p>
    <w:p w14:paraId="3A3397CE">
      <w:pPr>
        <w:tabs>
          <w:tab w:val="left" w:pos="1620"/>
          <w:tab w:val="left" w:pos="2340"/>
        </w:tabs>
        <w:snapToGrid w:val="0"/>
        <w:ind w:firstLine="1200" w:firstLineChars="500"/>
        <w:rPr>
          <w:rFonts w:ascii="宋体" w:hAnsi="宋体" w:eastAsia="宋体" w:cs="Times New Roman"/>
          <w:sz w:val="24"/>
          <w:szCs w:val="24"/>
        </w:rPr>
      </w:pPr>
      <w:r>
        <w:rPr>
          <w:rFonts w:hint="eastAsia" w:ascii="宋体" w:hAnsi="宋体" w:eastAsia="宋体" w:cs="Times New Roman"/>
          <w:sz w:val="24"/>
          <w:szCs w:val="24"/>
        </w:rPr>
        <w:t>C</w:t>
      </w:r>
      <w:r>
        <w:rPr>
          <w:rFonts w:hint="eastAsia" w:ascii="宋体" w:hAnsi="宋体" w:eastAsia="宋体" w:cs="Times New Roman"/>
          <w:sz w:val="24"/>
          <w:szCs w:val="24"/>
          <w:vertAlign w:val="subscript"/>
        </w:rPr>
        <w:t>增</w:t>
      </w:r>
      <w:r>
        <w:rPr>
          <w:rFonts w:hint="eastAsia" w:ascii="宋体" w:hAnsi="宋体" w:eastAsia="宋体" w:cs="Times New Roman"/>
          <w:sz w:val="24"/>
          <w:szCs w:val="24"/>
        </w:rPr>
        <w:t>=</w:t>
      </w:r>
      <w:r>
        <w:rPr>
          <w:rFonts w:ascii="Cambria" w:hAnsi="Cambria" w:eastAsia="宋体" w:cs="Times New Roman"/>
          <w:i/>
          <w:sz w:val="24"/>
          <w:szCs w:val="24"/>
        </w:rPr>
        <w:t>Q</w:t>
      </w:r>
      <w:r>
        <w:rPr>
          <w:rFonts w:hint="eastAsia" w:ascii="宋体" w:hAnsi="宋体" w:eastAsia="宋体" w:cs="Times New Roman"/>
          <w:sz w:val="24"/>
          <w:szCs w:val="24"/>
          <w:vertAlign w:val="subscript"/>
        </w:rPr>
        <w:t>总</w:t>
      </w:r>
      <w:r>
        <w:rPr>
          <w:rFonts w:hint="eastAsia" w:ascii="宋体" w:hAnsi="宋体" w:eastAsia="宋体" w:cs="Times New Roman"/>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t</w:t>
      </w:r>
      <w:r>
        <w:rPr>
          <w:rFonts w:hint="eastAsia" w:ascii="宋体" w:hAnsi="宋体" w:eastAsia="宋体" w:cs="Times New Roman"/>
          <w:sz w:val="24"/>
          <w:szCs w:val="24"/>
        </w:rPr>
        <w:t>×(</w:t>
      </w:r>
      <w:r>
        <w:rPr>
          <w:rFonts w:ascii="Cambria" w:hAnsi="Cambria" w:eastAsia="宋体" w:cs="Times New Roman"/>
          <w:i/>
          <w:sz w:val="24"/>
          <w:szCs w:val="24"/>
        </w:rPr>
        <w:sym w:font="Symbol" w:char="F060"/>
      </w:r>
      <w:r>
        <w:rPr>
          <w:rFonts w:ascii="Cambria" w:hAnsi="Cambria" w:eastAsia="宋体" w:cs="Times New Roman"/>
          <w:i/>
          <w:sz w:val="24"/>
          <w:szCs w:val="24"/>
        </w:rPr>
        <w:t xml:space="preserve">P </w:t>
      </w:r>
      <w:r>
        <w:rPr>
          <w:rFonts w:hint="eastAsia" w:ascii="宋体" w:hAnsi="宋体" w:eastAsia="宋体" w:cs="Times New Roman"/>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0</w:t>
      </w:r>
      <w:r>
        <w:rPr>
          <w:rFonts w:hint="eastAsia" w:ascii="宋体" w:hAnsi="宋体" w:eastAsia="宋体" w:cs="Times New Roman"/>
          <w:sz w:val="24"/>
          <w:szCs w:val="24"/>
        </w:rPr>
        <w:t>－1.05)</w:t>
      </w:r>
    </w:p>
    <w:p w14:paraId="67DDF2BE">
      <w:pPr>
        <w:tabs>
          <w:tab w:val="left" w:pos="1620"/>
          <w:tab w:val="left" w:pos="2340"/>
        </w:tabs>
        <w:snapToGrid w:val="0"/>
        <w:ind w:firstLine="1200" w:firstLineChars="500"/>
        <w:rPr>
          <w:rFonts w:ascii="宋体" w:hAnsi="宋体" w:eastAsia="宋体" w:cs="Times New Roman"/>
          <w:szCs w:val="24"/>
        </w:rPr>
      </w:pPr>
      <w:r>
        <w:rPr>
          <w:rFonts w:hint="eastAsia" w:ascii="Cambria" w:hAnsi="Cambria" w:eastAsia="宋体" w:cs="Times New Roman"/>
          <w:sz w:val="24"/>
          <w:szCs w:val="24"/>
        </w:rPr>
        <w:t>②</w:t>
      </w:r>
      <w:r>
        <w:rPr>
          <w:rFonts w:ascii="Cambria" w:hAnsi="Cambria" w:eastAsia="宋体" w:cs="Times New Roman"/>
          <w:i/>
          <w:sz w:val="24"/>
          <w:szCs w:val="24"/>
        </w:rPr>
        <w:t>P</w:t>
      </w:r>
      <w:r>
        <w:rPr>
          <w:rFonts w:ascii="Cambria" w:hAnsi="Cambria" w:eastAsia="宋体" w:cs="Times New Roman"/>
          <w:i/>
          <w:sz w:val="24"/>
          <w:szCs w:val="24"/>
          <w:vertAlign w:val="subscript"/>
        </w:rPr>
        <w:t>t</w:t>
      </w:r>
      <w:r>
        <w:rPr>
          <w:rFonts w:hint="eastAsia" w:ascii="Cambria" w:hAnsi="Cambria" w:eastAsia="宋体" w:cs="Times New Roman"/>
          <w:i/>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0</w:t>
      </w:r>
      <w:r>
        <w:rPr>
          <w:rFonts w:hint="eastAsia" w:ascii="宋体" w:hAnsi="宋体" w:eastAsia="宋体" w:cs="Times New Roman"/>
          <w:szCs w:val="24"/>
        </w:rPr>
        <w:t>，且</w:t>
      </w:r>
      <w:r>
        <w:rPr>
          <w:rFonts w:ascii="Cambria" w:hAnsi="Cambria" w:eastAsia="宋体" w:cs="Times New Roman"/>
          <w:i/>
          <w:sz w:val="24"/>
          <w:szCs w:val="24"/>
        </w:rPr>
        <w:sym w:font="Symbol" w:char="F060"/>
      </w:r>
      <w:r>
        <w:rPr>
          <w:rFonts w:ascii="Cambria" w:hAnsi="Cambria" w:eastAsia="宋体" w:cs="Times New Roman"/>
          <w:i/>
          <w:sz w:val="24"/>
          <w:szCs w:val="24"/>
        </w:rPr>
        <w:t xml:space="preserve">P </w:t>
      </w:r>
      <w:r>
        <w:rPr>
          <w:rFonts w:hint="eastAsia" w:ascii="宋体" w:hAnsi="宋体" w:eastAsia="宋体" w:cs="Times New Roman"/>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t</w:t>
      </w:r>
      <w:r>
        <w:rPr>
          <w:rFonts w:hint="eastAsia" w:ascii="宋体" w:hAnsi="宋体" w:eastAsia="宋体" w:cs="Times New Roman"/>
          <w:sz w:val="24"/>
          <w:szCs w:val="24"/>
        </w:rPr>
        <w:t>＞1.05</w:t>
      </w:r>
      <w:r>
        <w:rPr>
          <w:rFonts w:hint="eastAsia" w:ascii="宋体" w:hAnsi="宋体" w:eastAsia="宋体" w:cs="Times New Roman"/>
          <w:szCs w:val="24"/>
        </w:rPr>
        <w:t>，则：</w:t>
      </w:r>
    </w:p>
    <w:p w14:paraId="63C083CC">
      <w:pPr>
        <w:tabs>
          <w:tab w:val="left" w:pos="1620"/>
          <w:tab w:val="left" w:pos="2340"/>
        </w:tabs>
        <w:snapToGrid w:val="0"/>
        <w:ind w:firstLine="1200" w:firstLineChars="500"/>
        <w:rPr>
          <w:rFonts w:ascii="宋体" w:hAnsi="宋体" w:eastAsia="宋体" w:cs="Times New Roman"/>
          <w:sz w:val="24"/>
          <w:szCs w:val="24"/>
        </w:rPr>
      </w:pPr>
      <w:r>
        <w:rPr>
          <w:rFonts w:hint="eastAsia" w:ascii="宋体" w:hAnsi="宋体" w:eastAsia="宋体" w:cs="Times New Roman"/>
          <w:sz w:val="24"/>
          <w:szCs w:val="24"/>
        </w:rPr>
        <w:t>C</w:t>
      </w:r>
      <w:r>
        <w:rPr>
          <w:rFonts w:hint="eastAsia" w:ascii="宋体" w:hAnsi="宋体" w:eastAsia="宋体" w:cs="Times New Roman"/>
          <w:sz w:val="24"/>
          <w:szCs w:val="24"/>
          <w:vertAlign w:val="subscript"/>
        </w:rPr>
        <w:t>增</w:t>
      </w:r>
      <w:r>
        <w:rPr>
          <w:rFonts w:hint="eastAsia" w:ascii="宋体" w:hAnsi="宋体" w:eastAsia="宋体" w:cs="Times New Roman"/>
          <w:sz w:val="24"/>
          <w:szCs w:val="24"/>
        </w:rPr>
        <w:t>=Q</w:t>
      </w:r>
      <w:r>
        <w:rPr>
          <w:rFonts w:hint="eastAsia" w:ascii="宋体" w:hAnsi="宋体" w:eastAsia="宋体" w:cs="Times New Roman"/>
          <w:sz w:val="24"/>
          <w:szCs w:val="24"/>
          <w:vertAlign w:val="subscript"/>
        </w:rPr>
        <w:t>总</w:t>
      </w:r>
      <w:r>
        <w:rPr>
          <w:rFonts w:hint="eastAsia" w:ascii="宋体" w:hAnsi="宋体" w:eastAsia="宋体" w:cs="Times New Roman"/>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t</w:t>
      </w:r>
      <w:r>
        <w:rPr>
          <w:rFonts w:hint="eastAsia" w:ascii="宋体" w:hAnsi="宋体" w:eastAsia="宋体" w:cs="Times New Roman"/>
          <w:sz w:val="24"/>
          <w:szCs w:val="24"/>
        </w:rPr>
        <w:t>×(</w:t>
      </w:r>
      <w:r>
        <w:rPr>
          <w:rFonts w:ascii="Cambria" w:hAnsi="Cambria" w:eastAsia="宋体" w:cs="Times New Roman"/>
          <w:i/>
          <w:sz w:val="24"/>
          <w:szCs w:val="24"/>
        </w:rPr>
        <w:sym w:font="Symbol" w:char="F060"/>
      </w:r>
      <w:r>
        <w:rPr>
          <w:rFonts w:ascii="Cambria" w:hAnsi="Cambria" w:eastAsia="宋体" w:cs="Times New Roman"/>
          <w:i/>
          <w:sz w:val="24"/>
          <w:szCs w:val="24"/>
        </w:rPr>
        <w:t xml:space="preserve">P </w:t>
      </w:r>
      <w:r>
        <w:rPr>
          <w:rFonts w:hint="eastAsia" w:ascii="宋体" w:hAnsi="宋体" w:eastAsia="宋体" w:cs="Times New Roman"/>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t</w:t>
      </w:r>
      <w:r>
        <w:rPr>
          <w:rFonts w:hint="eastAsia" w:ascii="宋体" w:hAnsi="宋体" w:eastAsia="宋体" w:cs="Times New Roman"/>
          <w:sz w:val="24"/>
          <w:szCs w:val="24"/>
        </w:rPr>
        <w:t>－1.05)</w:t>
      </w:r>
    </w:p>
    <w:p w14:paraId="7B0AF455">
      <w:pPr>
        <w:tabs>
          <w:tab w:val="left" w:pos="1620"/>
          <w:tab w:val="left" w:pos="2340"/>
        </w:tabs>
        <w:snapToGrid w:val="0"/>
        <w:spacing w:before="156"/>
        <w:ind w:firstLine="1050" w:firstLineChars="500"/>
        <w:rPr>
          <w:rFonts w:ascii="宋体" w:hAnsi="宋体" w:eastAsia="宋体" w:cs="Times New Roman"/>
          <w:szCs w:val="24"/>
        </w:rPr>
      </w:pPr>
      <w:r>
        <w:rPr>
          <w:rFonts w:hint="eastAsia" w:ascii="宋体" w:hAnsi="宋体" w:eastAsia="宋体" w:cs="Times New Roman"/>
          <w:szCs w:val="24"/>
        </w:rPr>
        <w:t>当</w:t>
      </w:r>
      <w:r>
        <w:rPr>
          <w:rFonts w:ascii="Cambria" w:hAnsi="Cambria" w:eastAsia="宋体" w:cs="Times New Roman"/>
          <w:i/>
          <w:sz w:val="24"/>
          <w:szCs w:val="24"/>
        </w:rPr>
        <w:sym w:font="Symbol" w:char="F060"/>
      </w:r>
      <w:r>
        <w:rPr>
          <w:rFonts w:ascii="Cambria" w:hAnsi="Cambria" w:eastAsia="宋体" w:cs="Times New Roman"/>
          <w:i/>
          <w:sz w:val="24"/>
          <w:szCs w:val="24"/>
        </w:rPr>
        <w:t>P</w:t>
      </w:r>
      <w:r>
        <w:rPr>
          <w:rFonts w:hint="eastAsia" w:ascii="Cambria" w:hAnsi="Cambria" w:eastAsia="宋体" w:cs="Times New Roman"/>
          <w:i/>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0</w:t>
      </w:r>
      <w:r>
        <w:rPr>
          <w:rFonts w:hint="eastAsia" w:ascii="宋体" w:hAnsi="宋体" w:eastAsia="宋体" w:cs="Times New Roman"/>
          <w:szCs w:val="24"/>
        </w:rPr>
        <w:t>时：</w:t>
      </w:r>
    </w:p>
    <w:p w14:paraId="1B79A399">
      <w:pPr>
        <w:tabs>
          <w:tab w:val="left" w:pos="1620"/>
          <w:tab w:val="left" w:pos="2340"/>
        </w:tabs>
        <w:snapToGrid w:val="0"/>
        <w:ind w:firstLine="1200" w:firstLineChars="500"/>
        <w:rPr>
          <w:rFonts w:ascii="宋体" w:hAnsi="宋体" w:eastAsia="宋体" w:cs="Times New Roman"/>
          <w:szCs w:val="24"/>
        </w:rPr>
      </w:pPr>
      <w:r>
        <w:rPr>
          <w:rFonts w:hint="eastAsia" w:ascii="Cambria" w:hAnsi="Cambria" w:eastAsia="宋体" w:cs="Times New Roman"/>
          <w:sz w:val="24"/>
          <w:szCs w:val="24"/>
        </w:rPr>
        <w:t>①</w:t>
      </w:r>
      <w:r>
        <w:rPr>
          <w:rFonts w:ascii="Cambria" w:hAnsi="Cambria" w:eastAsia="宋体" w:cs="Times New Roman"/>
          <w:i/>
          <w:sz w:val="24"/>
          <w:szCs w:val="24"/>
        </w:rPr>
        <w:t>P</w:t>
      </w:r>
      <w:r>
        <w:rPr>
          <w:rFonts w:ascii="Cambria" w:hAnsi="Cambria" w:eastAsia="宋体" w:cs="Times New Roman"/>
          <w:i/>
          <w:sz w:val="24"/>
          <w:szCs w:val="24"/>
          <w:vertAlign w:val="subscript"/>
        </w:rPr>
        <w:t>t</w:t>
      </w:r>
      <w:r>
        <w:rPr>
          <w:rFonts w:hint="eastAsia" w:ascii="Cambria" w:hAnsi="Cambria" w:eastAsia="宋体" w:cs="Times New Roman"/>
          <w:i/>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0</w:t>
      </w:r>
      <w:r>
        <w:rPr>
          <w:rFonts w:hint="eastAsia" w:ascii="宋体" w:hAnsi="宋体" w:eastAsia="宋体" w:cs="Times New Roman"/>
          <w:szCs w:val="24"/>
        </w:rPr>
        <w:t>，且</w:t>
      </w:r>
      <w:r>
        <w:rPr>
          <w:rFonts w:ascii="Cambria" w:hAnsi="Cambria" w:eastAsia="宋体" w:cs="Times New Roman"/>
          <w:i/>
          <w:sz w:val="24"/>
          <w:szCs w:val="24"/>
        </w:rPr>
        <w:sym w:font="Symbol" w:char="F060"/>
      </w:r>
      <w:r>
        <w:rPr>
          <w:rFonts w:ascii="Cambria" w:hAnsi="Cambria" w:eastAsia="宋体" w:cs="Times New Roman"/>
          <w:i/>
          <w:sz w:val="24"/>
          <w:szCs w:val="24"/>
        </w:rPr>
        <w:t xml:space="preserve">P </w:t>
      </w:r>
      <w:r>
        <w:rPr>
          <w:rFonts w:hint="eastAsia" w:ascii="宋体" w:hAnsi="宋体" w:eastAsia="宋体" w:cs="Times New Roman"/>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t</w:t>
      </w:r>
      <w:r>
        <w:rPr>
          <w:rFonts w:hint="eastAsia" w:ascii="Cambria" w:hAnsi="Cambria" w:eastAsia="宋体" w:cs="Times New Roman"/>
          <w:sz w:val="24"/>
          <w:szCs w:val="24"/>
        </w:rPr>
        <w:t>＜</w:t>
      </w:r>
      <w:r>
        <w:rPr>
          <w:rFonts w:hint="eastAsia" w:ascii="宋体" w:hAnsi="宋体" w:eastAsia="宋体" w:cs="Times New Roman"/>
          <w:sz w:val="24"/>
          <w:szCs w:val="24"/>
        </w:rPr>
        <w:t>0.95</w:t>
      </w:r>
      <w:r>
        <w:rPr>
          <w:rFonts w:hint="eastAsia" w:ascii="宋体" w:hAnsi="宋体" w:eastAsia="宋体" w:cs="Times New Roman"/>
          <w:szCs w:val="24"/>
        </w:rPr>
        <w:t>，则：</w:t>
      </w:r>
    </w:p>
    <w:p w14:paraId="4163827D">
      <w:pPr>
        <w:tabs>
          <w:tab w:val="left" w:pos="1620"/>
          <w:tab w:val="left" w:pos="2340"/>
        </w:tabs>
        <w:snapToGrid w:val="0"/>
        <w:ind w:firstLine="1200" w:firstLineChars="500"/>
        <w:rPr>
          <w:rFonts w:ascii="宋体" w:hAnsi="宋体" w:eastAsia="宋体" w:cs="Times New Roman"/>
          <w:sz w:val="24"/>
          <w:szCs w:val="24"/>
        </w:rPr>
      </w:pPr>
      <w:r>
        <w:rPr>
          <w:rFonts w:hint="eastAsia" w:ascii="宋体" w:hAnsi="宋体" w:eastAsia="宋体" w:cs="Times New Roman"/>
          <w:sz w:val="24"/>
          <w:szCs w:val="24"/>
        </w:rPr>
        <w:t>C</w:t>
      </w:r>
      <w:r>
        <w:rPr>
          <w:rFonts w:hint="eastAsia" w:ascii="宋体" w:hAnsi="宋体" w:eastAsia="宋体" w:cs="Times New Roman"/>
          <w:sz w:val="24"/>
          <w:szCs w:val="24"/>
          <w:vertAlign w:val="subscript"/>
        </w:rPr>
        <w:t>减</w:t>
      </w:r>
      <w:r>
        <w:rPr>
          <w:rFonts w:hint="eastAsia" w:ascii="宋体" w:hAnsi="宋体" w:eastAsia="宋体" w:cs="Times New Roman"/>
          <w:sz w:val="24"/>
          <w:szCs w:val="24"/>
        </w:rPr>
        <w:t>=</w:t>
      </w:r>
      <w:r>
        <w:rPr>
          <w:rFonts w:ascii="Cambria" w:hAnsi="Cambria" w:eastAsia="宋体" w:cs="Times New Roman"/>
          <w:i/>
          <w:sz w:val="24"/>
          <w:szCs w:val="24"/>
        </w:rPr>
        <w:t>Q</w:t>
      </w:r>
      <w:r>
        <w:rPr>
          <w:rFonts w:hint="eastAsia" w:ascii="宋体" w:hAnsi="宋体" w:eastAsia="宋体" w:cs="Times New Roman"/>
          <w:sz w:val="24"/>
          <w:szCs w:val="24"/>
          <w:vertAlign w:val="subscript"/>
        </w:rPr>
        <w:t>总</w:t>
      </w:r>
      <w:r>
        <w:rPr>
          <w:rFonts w:hint="eastAsia" w:ascii="宋体" w:hAnsi="宋体" w:eastAsia="宋体" w:cs="Times New Roman"/>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t</w:t>
      </w:r>
      <w:r>
        <w:rPr>
          <w:rFonts w:hint="eastAsia" w:ascii="宋体" w:hAnsi="宋体" w:eastAsia="宋体" w:cs="Times New Roman"/>
          <w:sz w:val="24"/>
          <w:szCs w:val="24"/>
        </w:rPr>
        <w:t>×(0.95－</w:t>
      </w:r>
      <w:r>
        <w:rPr>
          <w:rFonts w:ascii="Cambria" w:hAnsi="Cambria" w:eastAsia="宋体" w:cs="Times New Roman"/>
          <w:i/>
          <w:sz w:val="24"/>
          <w:szCs w:val="24"/>
        </w:rPr>
        <w:sym w:font="Symbol" w:char="F060"/>
      </w:r>
      <w:r>
        <w:rPr>
          <w:rFonts w:ascii="Cambria" w:hAnsi="Cambria" w:eastAsia="宋体" w:cs="Times New Roman"/>
          <w:i/>
          <w:sz w:val="24"/>
          <w:szCs w:val="24"/>
        </w:rPr>
        <w:t xml:space="preserve">P </w:t>
      </w:r>
      <w:r>
        <w:rPr>
          <w:rFonts w:hint="eastAsia" w:ascii="宋体" w:hAnsi="宋体" w:eastAsia="宋体" w:cs="Times New Roman"/>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t</w:t>
      </w:r>
      <w:r>
        <w:rPr>
          <w:rFonts w:hint="eastAsia" w:ascii="宋体" w:hAnsi="宋体" w:eastAsia="宋体" w:cs="Times New Roman"/>
          <w:sz w:val="24"/>
          <w:szCs w:val="24"/>
        </w:rPr>
        <w:t>)</w:t>
      </w:r>
    </w:p>
    <w:p w14:paraId="69747B4D">
      <w:pPr>
        <w:tabs>
          <w:tab w:val="left" w:pos="1620"/>
          <w:tab w:val="left" w:pos="2340"/>
        </w:tabs>
        <w:snapToGrid w:val="0"/>
        <w:ind w:firstLine="1200" w:firstLineChars="500"/>
        <w:rPr>
          <w:rFonts w:ascii="宋体" w:hAnsi="宋体" w:eastAsia="宋体" w:cs="Times New Roman"/>
          <w:szCs w:val="24"/>
        </w:rPr>
      </w:pPr>
      <w:r>
        <w:rPr>
          <w:rFonts w:hint="eastAsia" w:ascii="Cambria" w:hAnsi="Cambria" w:eastAsia="宋体" w:cs="Times New Roman"/>
          <w:sz w:val="24"/>
          <w:szCs w:val="24"/>
        </w:rPr>
        <w:t>②</w:t>
      </w:r>
      <w:r>
        <w:rPr>
          <w:rFonts w:ascii="Cambria" w:hAnsi="Cambria" w:eastAsia="宋体" w:cs="Times New Roman"/>
          <w:i/>
          <w:sz w:val="24"/>
          <w:szCs w:val="24"/>
        </w:rPr>
        <w:t>P</w:t>
      </w:r>
      <w:r>
        <w:rPr>
          <w:rFonts w:ascii="Cambria" w:hAnsi="Cambria" w:eastAsia="宋体" w:cs="Times New Roman"/>
          <w:i/>
          <w:sz w:val="24"/>
          <w:szCs w:val="24"/>
          <w:vertAlign w:val="subscript"/>
        </w:rPr>
        <w:t>t</w:t>
      </w:r>
      <w:r>
        <w:rPr>
          <w:rFonts w:hint="eastAsia" w:ascii="宋体" w:hAnsi="宋体" w:eastAsia="宋体" w:cs="Times New Roman"/>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0</w:t>
      </w:r>
      <w:r>
        <w:rPr>
          <w:rFonts w:hint="eastAsia" w:ascii="宋体" w:hAnsi="宋体" w:eastAsia="宋体" w:cs="Times New Roman"/>
          <w:szCs w:val="24"/>
        </w:rPr>
        <w:t>，且</w:t>
      </w:r>
      <w:r>
        <w:rPr>
          <w:rFonts w:ascii="Cambria" w:hAnsi="Cambria" w:eastAsia="宋体" w:cs="Times New Roman"/>
          <w:i/>
          <w:sz w:val="24"/>
          <w:szCs w:val="24"/>
        </w:rPr>
        <w:sym w:font="Symbol" w:char="F060"/>
      </w:r>
      <w:r>
        <w:rPr>
          <w:rFonts w:ascii="Cambria" w:hAnsi="Cambria" w:eastAsia="宋体" w:cs="Times New Roman"/>
          <w:i/>
          <w:sz w:val="24"/>
          <w:szCs w:val="24"/>
        </w:rPr>
        <w:t>P</w:t>
      </w:r>
      <w:r>
        <w:rPr>
          <w:rFonts w:ascii="Times New Roman" w:hAnsi="Times New Roman" w:eastAsia="宋体" w:cs="Times New Roman"/>
          <w:szCs w:val="24"/>
        </w:rPr>
        <w:t xml:space="preserve"> </w:t>
      </w:r>
      <w:r>
        <w:rPr>
          <w:rFonts w:hint="eastAsia" w:ascii="宋体" w:hAnsi="宋体" w:eastAsia="宋体" w:cs="Times New Roman"/>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0</w:t>
      </w:r>
      <w:r>
        <w:rPr>
          <w:rFonts w:hint="eastAsia" w:ascii="Cambria" w:hAnsi="Cambria" w:eastAsia="宋体" w:cs="Times New Roman"/>
          <w:sz w:val="24"/>
          <w:szCs w:val="24"/>
        </w:rPr>
        <w:t>＜</w:t>
      </w:r>
      <w:r>
        <w:rPr>
          <w:rFonts w:ascii="宋体" w:hAnsi="宋体" w:eastAsia="宋体" w:cs="Times New Roman"/>
          <w:sz w:val="24"/>
          <w:szCs w:val="24"/>
        </w:rPr>
        <w:t>0.95</w:t>
      </w:r>
      <w:r>
        <w:rPr>
          <w:rFonts w:hint="eastAsia" w:ascii="宋体" w:hAnsi="宋体" w:eastAsia="宋体" w:cs="Times New Roman"/>
          <w:szCs w:val="24"/>
        </w:rPr>
        <w:t>，则：</w:t>
      </w:r>
    </w:p>
    <w:p w14:paraId="035A14DA">
      <w:pPr>
        <w:tabs>
          <w:tab w:val="left" w:pos="1620"/>
          <w:tab w:val="left" w:pos="2340"/>
        </w:tabs>
        <w:snapToGrid w:val="0"/>
        <w:ind w:firstLine="1200" w:firstLineChars="500"/>
        <w:rPr>
          <w:rFonts w:ascii="宋体" w:hAnsi="宋体" w:eastAsia="宋体" w:cs="Times New Roman"/>
          <w:sz w:val="24"/>
          <w:szCs w:val="24"/>
        </w:rPr>
      </w:pPr>
      <w:r>
        <w:rPr>
          <w:rFonts w:hint="eastAsia" w:ascii="宋体" w:hAnsi="宋体" w:eastAsia="宋体" w:cs="Times New Roman"/>
          <w:sz w:val="24"/>
          <w:szCs w:val="24"/>
        </w:rPr>
        <w:t>C</w:t>
      </w:r>
      <w:r>
        <w:rPr>
          <w:rFonts w:hint="eastAsia" w:ascii="宋体" w:hAnsi="宋体" w:eastAsia="宋体" w:cs="Times New Roman"/>
          <w:sz w:val="24"/>
          <w:szCs w:val="24"/>
          <w:vertAlign w:val="subscript"/>
        </w:rPr>
        <w:t>减</w:t>
      </w:r>
      <w:r>
        <w:rPr>
          <w:rFonts w:hint="eastAsia" w:ascii="宋体" w:hAnsi="宋体" w:eastAsia="宋体" w:cs="Times New Roman"/>
          <w:sz w:val="24"/>
          <w:szCs w:val="24"/>
        </w:rPr>
        <w:t>=</w:t>
      </w:r>
      <w:r>
        <w:rPr>
          <w:rFonts w:ascii="Cambria" w:hAnsi="Cambria" w:eastAsia="宋体" w:cs="Times New Roman"/>
          <w:i/>
          <w:sz w:val="24"/>
          <w:szCs w:val="24"/>
        </w:rPr>
        <w:t>Q</w:t>
      </w:r>
      <w:r>
        <w:rPr>
          <w:rFonts w:hint="eastAsia" w:ascii="宋体" w:hAnsi="宋体" w:eastAsia="宋体" w:cs="Times New Roman"/>
          <w:sz w:val="24"/>
          <w:szCs w:val="24"/>
          <w:vertAlign w:val="subscript"/>
        </w:rPr>
        <w:t>总</w:t>
      </w:r>
      <w:r>
        <w:rPr>
          <w:rFonts w:hint="eastAsia" w:ascii="宋体" w:hAnsi="宋体" w:eastAsia="宋体" w:cs="Times New Roman"/>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t</w:t>
      </w:r>
      <w:r>
        <w:rPr>
          <w:rFonts w:hint="eastAsia" w:ascii="宋体" w:hAnsi="宋体" w:eastAsia="宋体" w:cs="Times New Roman"/>
          <w:sz w:val="24"/>
          <w:szCs w:val="24"/>
        </w:rPr>
        <w:t>×(0.95－</w:t>
      </w:r>
      <w:r>
        <w:rPr>
          <w:rFonts w:ascii="Cambria" w:hAnsi="Cambria" w:eastAsia="宋体" w:cs="Times New Roman"/>
          <w:i/>
          <w:sz w:val="24"/>
          <w:szCs w:val="24"/>
        </w:rPr>
        <w:sym w:font="Symbol" w:char="F060"/>
      </w:r>
      <w:r>
        <w:rPr>
          <w:rFonts w:ascii="Cambria" w:hAnsi="Cambria" w:eastAsia="宋体" w:cs="Times New Roman"/>
          <w:i/>
          <w:sz w:val="24"/>
          <w:szCs w:val="24"/>
        </w:rPr>
        <w:t xml:space="preserve">P </w:t>
      </w:r>
      <w:r>
        <w:rPr>
          <w:rFonts w:hint="eastAsia" w:ascii="宋体" w:hAnsi="宋体" w:eastAsia="宋体" w:cs="Times New Roman"/>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0</w:t>
      </w:r>
      <w:r>
        <w:rPr>
          <w:rFonts w:hint="eastAsia" w:ascii="宋体" w:hAnsi="宋体" w:eastAsia="宋体" w:cs="Times New Roman"/>
          <w:sz w:val="24"/>
          <w:szCs w:val="24"/>
        </w:rPr>
        <w:t>)</w:t>
      </w:r>
    </w:p>
    <w:p w14:paraId="5821F8BD">
      <w:pPr>
        <w:tabs>
          <w:tab w:val="left" w:pos="1620"/>
          <w:tab w:val="left" w:pos="2340"/>
        </w:tabs>
        <w:ind w:left="899"/>
        <w:jc w:val="left"/>
        <w:rPr>
          <w:rFonts w:hint="eastAsia" w:ascii="宋体" w:hAnsi="宋体" w:eastAsia="宋体" w:cs="Times New Roman"/>
          <w:kern w:val="0"/>
          <w:szCs w:val="24"/>
        </w:rPr>
      </w:pPr>
    </w:p>
    <w:p w14:paraId="222A64BC">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方式二：</w:t>
      </w:r>
    </w:p>
    <w:p w14:paraId="46890DDE">
      <w:pPr>
        <w:tabs>
          <w:tab w:val="left" w:pos="1620"/>
          <w:tab w:val="left" w:pos="2340"/>
        </w:tabs>
        <w:snapToGrid w:val="0"/>
        <w:ind w:firstLine="1050" w:firstLineChars="500"/>
        <w:rPr>
          <w:rFonts w:ascii="宋体" w:hAnsi="宋体" w:eastAsia="宋体" w:cs="Times New Roman"/>
          <w:szCs w:val="24"/>
        </w:rPr>
      </w:pPr>
      <w:r>
        <w:rPr>
          <w:rFonts w:hint="eastAsia" w:ascii="宋体" w:hAnsi="宋体" w:eastAsia="宋体" w:cs="Times New Roman"/>
          <w:szCs w:val="24"/>
        </w:rPr>
        <w:t>当</w:t>
      </w:r>
      <w:r>
        <w:rPr>
          <w:rFonts w:ascii="Cambria" w:hAnsi="Cambria" w:eastAsia="宋体" w:cs="Times New Roman"/>
          <w:i/>
          <w:sz w:val="24"/>
          <w:szCs w:val="24"/>
        </w:rPr>
        <w:sym w:font="Symbol" w:char="F060"/>
      </w:r>
      <w:r>
        <w:rPr>
          <w:rFonts w:ascii="Cambria" w:hAnsi="Cambria" w:eastAsia="宋体" w:cs="Times New Roman"/>
          <w:i/>
          <w:sz w:val="24"/>
          <w:szCs w:val="24"/>
        </w:rPr>
        <w:t>P</w:t>
      </w:r>
      <w:r>
        <w:rPr>
          <w:rFonts w:hint="eastAsia" w:ascii="宋体" w:hAnsi="宋体" w:eastAsia="宋体" w:cs="Times New Roman"/>
          <w:sz w:val="24"/>
          <w:szCs w:val="24"/>
        </w:rPr>
        <w:t>＞1.05</w:t>
      </w:r>
      <w:r>
        <w:rPr>
          <w:rFonts w:ascii="宋体" w:hAnsi="宋体" w:eastAsia="宋体" w:cs="Times New Roman"/>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0</w:t>
      </w:r>
      <w:r>
        <w:rPr>
          <w:rFonts w:hint="eastAsia" w:ascii="宋体" w:hAnsi="宋体" w:eastAsia="宋体" w:cs="Times New Roman"/>
          <w:szCs w:val="24"/>
        </w:rPr>
        <w:t>时：</w:t>
      </w:r>
    </w:p>
    <w:p w14:paraId="79C268AF">
      <w:pPr>
        <w:tabs>
          <w:tab w:val="left" w:pos="1620"/>
          <w:tab w:val="left" w:pos="2340"/>
        </w:tabs>
        <w:snapToGrid w:val="0"/>
        <w:ind w:firstLine="1200" w:firstLineChars="500"/>
        <w:rPr>
          <w:rFonts w:ascii="宋体" w:hAnsi="宋体" w:eastAsia="宋体" w:cs="Times New Roman"/>
          <w:sz w:val="24"/>
          <w:szCs w:val="24"/>
        </w:rPr>
      </w:pPr>
      <w:r>
        <w:rPr>
          <w:rFonts w:hint="eastAsia" w:ascii="宋体" w:hAnsi="宋体" w:eastAsia="宋体" w:cs="Times New Roman"/>
          <w:sz w:val="24"/>
          <w:szCs w:val="24"/>
        </w:rPr>
        <w:t>C</w:t>
      </w:r>
      <w:r>
        <w:rPr>
          <w:rFonts w:hint="eastAsia" w:ascii="宋体" w:hAnsi="宋体" w:eastAsia="宋体" w:cs="Times New Roman"/>
          <w:sz w:val="24"/>
          <w:szCs w:val="24"/>
          <w:vertAlign w:val="subscript"/>
        </w:rPr>
        <w:t>增</w:t>
      </w:r>
      <w:r>
        <w:rPr>
          <w:rFonts w:hint="eastAsia" w:ascii="宋体" w:hAnsi="宋体" w:eastAsia="宋体" w:cs="Times New Roman"/>
          <w:sz w:val="24"/>
          <w:szCs w:val="24"/>
        </w:rPr>
        <w:t>=</w:t>
      </w:r>
      <w:r>
        <w:rPr>
          <w:rFonts w:ascii="Cambria" w:hAnsi="Cambria" w:eastAsia="宋体" w:cs="Times New Roman"/>
          <w:i/>
          <w:sz w:val="24"/>
          <w:szCs w:val="24"/>
        </w:rPr>
        <w:t>Q</w:t>
      </w:r>
      <w:r>
        <w:rPr>
          <w:rFonts w:hint="eastAsia" w:ascii="宋体" w:hAnsi="宋体" w:eastAsia="宋体" w:cs="Times New Roman"/>
          <w:sz w:val="24"/>
          <w:szCs w:val="24"/>
          <w:vertAlign w:val="subscript"/>
        </w:rPr>
        <w:t>总</w:t>
      </w:r>
      <w:r>
        <w:rPr>
          <w:rFonts w:hint="eastAsia" w:ascii="宋体" w:hAnsi="宋体" w:eastAsia="宋体" w:cs="Times New Roman"/>
          <w:sz w:val="24"/>
          <w:szCs w:val="24"/>
        </w:rPr>
        <w:t>×(</w:t>
      </w:r>
      <w:r>
        <w:rPr>
          <w:rFonts w:ascii="Cambria" w:hAnsi="Cambria" w:eastAsia="宋体" w:cs="Times New Roman"/>
          <w:i/>
          <w:sz w:val="24"/>
          <w:szCs w:val="24"/>
        </w:rPr>
        <w:sym w:font="Symbol" w:char="F060"/>
      </w:r>
      <w:r>
        <w:rPr>
          <w:rFonts w:ascii="Cambria" w:hAnsi="Cambria" w:eastAsia="宋体" w:cs="Times New Roman"/>
          <w:i/>
          <w:sz w:val="24"/>
          <w:szCs w:val="24"/>
        </w:rPr>
        <w:t xml:space="preserve">P </w:t>
      </w:r>
      <w:r>
        <w:rPr>
          <w:rFonts w:hint="eastAsia" w:ascii="宋体" w:hAnsi="宋体" w:eastAsia="宋体" w:cs="Times New Roman"/>
          <w:sz w:val="24"/>
          <w:szCs w:val="24"/>
        </w:rPr>
        <w:t>－1.05</w:t>
      </w:r>
      <w:r>
        <w:rPr>
          <w:rFonts w:ascii="宋体" w:hAnsi="宋体" w:eastAsia="宋体" w:cs="Times New Roman"/>
          <w:sz w:val="24"/>
          <w:szCs w:val="24"/>
        </w:rPr>
        <w:t>*</w:t>
      </w:r>
      <w:r>
        <w:rPr>
          <w:rFonts w:ascii="Cambria" w:hAnsi="Cambria" w:eastAsia="宋体" w:cs="Times New Roman"/>
          <w:i/>
          <w:sz w:val="24"/>
          <w:szCs w:val="24"/>
        </w:rPr>
        <w:t xml:space="preserve"> P</w:t>
      </w:r>
      <w:r>
        <w:rPr>
          <w:rFonts w:ascii="Cambria" w:hAnsi="Cambria" w:eastAsia="宋体" w:cs="Times New Roman"/>
          <w:i/>
          <w:sz w:val="24"/>
          <w:szCs w:val="24"/>
          <w:vertAlign w:val="subscript"/>
        </w:rPr>
        <w:t>0</w:t>
      </w:r>
      <w:r>
        <w:rPr>
          <w:rFonts w:hint="eastAsia" w:ascii="宋体" w:hAnsi="宋体" w:eastAsia="宋体" w:cs="Times New Roman"/>
          <w:sz w:val="24"/>
          <w:szCs w:val="24"/>
        </w:rPr>
        <w:t>)</w:t>
      </w:r>
    </w:p>
    <w:p w14:paraId="6AFBB28B">
      <w:pPr>
        <w:tabs>
          <w:tab w:val="left" w:pos="1620"/>
          <w:tab w:val="left" w:pos="2340"/>
        </w:tabs>
        <w:snapToGrid w:val="0"/>
        <w:spacing w:before="156"/>
        <w:ind w:firstLine="1050" w:firstLineChars="500"/>
        <w:rPr>
          <w:rFonts w:ascii="宋体" w:hAnsi="宋体" w:eastAsia="宋体" w:cs="Times New Roman"/>
          <w:szCs w:val="24"/>
        </w:rPr>
      </w:pPr>
      <w:r>
        <w:rPr>
          <w:rFonts w:hint="eastAsia" w:ascii="宋体" w:hAnsi="宋体" w:eastAsia="宋体" w:cs="Times New Roman"/>
          <w:szCs w:val="24"/>
        </w:rPr>
        <w:t>当</w:t>
      </w:r>
      <w:r>
        <w:rPr>
          <w:rFonts w:ascii="Cambria" w:hAnsi="Cambria" w:eastAsia="宋体" w:cs="Times New Roman"/>
          <w:i/>
          <w:sz w:val="24"/>
          <w:szCs w:val="24"/>
        </w:rPr>
        <w:sym w:font="Symbol" w:char="F060"/>
      </w:r>
      <w:r>
        <w:rPr>
          <w:rFonts w:ascii="Cambria" w:hAnsi="Cambria" w:eastAsia="宋体" w:cs="Times New Roman"/>
          <w:i/>
          <w:sz w:val="24"/>
          <w:szCs w:val="24"/>
        </w:rPr>
        <w:t>P</w:t>
      </w:r>
      <w:r>
        <w:rPr>
          <w:rFonts w:hint="eastAsia" w:ascii="Cambria" w:hAnsi="Cambria" w:eastAsia="宋体" w:cs="Times New Roman"/>
          <w:i/>
          <w:sz w:val="24"/>
          <w:szCs w:val="24"/>
        </w:rPr>
        <w:t>＜</w:t>
      </w:r>
      <w:r>
        <w:rPr>
          <w:rFonts w:ascii="宋体" w:hAnsi="宋体" w:eastAsia="宋体" w:cs="Times New Roman"/>
          <w:sz w:val="24"/>
          <w:szCs w:val="24"/>
        </w:rPr>
        <w:t>0</w:t>
      </w:r>
      <w:r>
        <w:rPr>
          <w:rFonts w:hint="eastAsia" w:ascii="宋体" w:hAnsi="宋体" w:eastAsia="宋体" w:cs="Times New Roman"/>
          <w:sz w:val="24"/>
          <w:szCs w:val="24"/>
        </w:rPr>
        <w:t>.</w:t>
      </w:r>
      <w:r>
        <w:rPr>
          <w:rFonts w:ascii="宋体" w:hAnsi="宋体" w:eastAsia="宋体" w:cs="Times New Roman"/>
          <w:sz w:val="24"/>
          <w:szCs w:val="24"/>
        </w:rPr>
        <w:t>9</w:t>
      </w:r>
      <w:r>
        <w:rPr>
          <w:rFonts w:hint="eastAsia" w:ascii="宋体" w:hAnsi="宋体" w:eastAsia="宋体" w:cs="Times New Roman"/>
          <w:sz w:val="24"/>
          <w:szCs w:val="24"/>
        </w:rPr>
        <w:t>5</w:t>
      </w:r>
      <w:r>
        <w:rPr>
          <w:rFonts w:ascii="宋体" w:hAnsi="宋体" w:eastAsia="宋体" w:cs="Times New Roman"/>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0</w:t>
      </w:r>
      <w:r>
        <w:rPr>
          <w:rFonts w:hint="eastAsia" w:ascii="宋体" w:hAnsi="宋体" w:eastAsia="宋体" w:cs="Times New Roman"/>
          <w:szCs w:val="24"/>
        </w:rPr>
        <w:t>时：</w:t>
      </w:r>
    </w:p>
    <w:p w14:paraId="0BF6DCAF">
      <w:pPr>
        <w:tabs>
          <w:tab w:val="left" w:pos="1620"/>
          <w:tab w:val="left" w:pos="2340"/>
        </w:tabs>
        <w:snapToGrid w:val="0"/>
        <w:ind w:firstLine="1200" w:firstLineChars="500"/>
        <w:rPr>
          <w:rFonts w:ascii="宋体" w:hAnsi="宋体" w:eastAsia="宋体" w:cs="Times New Roman"/>
          <w:sz w:val="24"/>
          <w:szCs w:val="24"/>
        </w:rPr>
      </w:pPr>
      <w:r>
        <w:rPr>
          <w:rFonts w:hint="eastAsia" w:ascii="宋体" w:hAnsi="宋体" w:eastAsia="宋体" w:cs="Times New Roman"/>
          <w:sz w:val="24"/>
          <w:szCs w:val="24"/>
        </w:rPr>
        <w:t>C</w:t>
      </w:r>
      <w:r>
        <w:rPr>
          <w:rFonts w:hint="eastAsia" w:ascii="宋体" w:hAnsi="宋体" w:eastAsia="宋体" w:cs="Times New Roman"/>
          <w:sz w:val="24"/>
          <w:szCs w:val="24"/>
          <w:vertAlign w:val="subscript"/>
        </w:rPr>
        <w:t>减</w:t>
      </w:r>
      <w:r>
        <w:rPr>
          <w:rFonts w:hint="eastAsia" w:ascii="宋体" w:hAnsi="宋体" w:eastAsia="宋体" w:cs="Times New Roman"/>
          <w:sz w:val="24"/>
          <w:szCs w:val="24"/>
        </w:rPr>
        <w:t>=</w:t>
      </w:r>
      <w:r>
        <w:rPr>
          <w:rFonts w:ascii="Cambria" w:hAnsi="Cambria" w:eastAsia="宋体" w:cs="Times New Roman"/>
          <w:i/>
          <w:sz w:val="24"/>
          <w:szCs w:val="24"/>
        </w:rPr>
        <w:t>Q</w:t>
      </w:r>
      <w:r>
        <w:rPr>
          <w:rFonts w:hint="eastAsia" w:ascii="宋体" w:hAnsi="宋体" w:eastAsia="宋体" w:cs="Times New Roman"/>
          <w:sz w:val="24"/>
          <w:szCs w:val="24"/>
          <w:vertAlign w:val="subscript"/>
        </w:rPr>
        <w:t>总</w:t>
      </w:r>
      <w:r>
        <w:rPr>
          <w:rFonts w:hint="eastAsia" w:ascii="宋体" w:hAnsi="宋体" w:eastAsia="宋体" w:cs="Times New Roman"/>
          <w:sz w:val="24"/>
          <w:szCs w:val="24"/>
        </w:rPr>
        <w:t>×(</w:t>
      </w:r>
      <w:r>
        <w:rPr>
          <w:rFonts w:ascii="宋体" w:hAnsi="宋体" w:eastAsia="宋体" w:cs="Times New Roman"/>
          <w:sz w:val="24"/>
          <w:szCs w:val="24"/>
        </w:rPr>
        <w:t>0</w:t>
      </w:r>
      <w:r>
        <w:rPr>
          <w:rFonts w:hint="eastAsia" w:ascii="宋体" w:hAnsi="宋体" w:eastAsia="宋体" w:cs="Times New Roman"/>
          <w:sz w:val="24"/>
          <w:szCs w:val="24"/>
        </w:rPr>
        <w:t>.</w:t>
      </w:r>
      <w:r>
        <w:rPr>
          <w:rFonts w:ascii="宋体" w:hAnsi="宋体" w:eastAsia="宋体" w:cs="Times New Roman"/>
          <w:sz w:val="24"/>
          <w:szCs w:val="24"/>
        </w:rPr>
        <w:t>9</w:t>
      </w:r>
      <w:r>
        <w:rPr>
          <w:rFonts w:hint="eastAsia" w:ascii="宋体" w:hAnsi="宋体" w:eastAsia="宋体" w:cs="Times New Roman"/>
          <w:sz w:val="24"/>
          <w:szCs w:val="24"/>
        </w:rPr>
        <w:t>5</w:t>
      </w:r>
      <w:r>
        <w:rPr>
          <w:rFonts w:ascii="宋体" w:hAnsi="宋体" w:eastAsia="宋体" w:cs="Times New Roman"/>
          <w:sz w:val="24"/>
          <w:szCs w:val="24"/>
        </w:rPr>
        <w:t>*</w:t>
      </w:r>
      <w:r>
        <w:rPr>
          <w:rFonts w:ascii="Cambria" w:hAnsi="Cambria" w:eastAsia="宋体" w:cs="Times New Roman"/>
          <w:i/>
          <w:sz w:val="24"/>
          <w:szCs w:val="24"/>
        </w:rPr>
        <w:t>P</w:t>
      </w:r>
      <w:r>
        <w:rPr>
          <w:rFonts w:ascii="Cambria" w:hAnsi="Cambria" w:eastAsia="宋体" w:cs="Times New Roman"/>
          <w:i/>
          <w:sz w:val="24"/>
          <w:szCs w:val="24"/>
          <w:vertAlign w:val="subscript"/>
        </w:rPr>
        <w:t>0</w:t>
      </w:r>
      <w:r>
        <w:rPr>
          <w:rFonts w:hint="eastAsia" w:ascii="宋体" w:hAnsi="宋体" w:eastAsia="宋体" w:cs="Times New Roman"/>
          <w:sz w:val="24"/>
          <w:szCs w:val="24"/>
        </w:rPr>
        <w:t>－</w:t>
      </w:r>
      <w:r>
        <w:rPr>
          <w:rFonts w:ascii="Cambria" w:hAnsi="Cambria" w:eastAsia="宋体" w:cs="Times New Roman"/>
          <w:i/>
          <w:sz w:val="24"/>
          <w:szCs w:val="24"/>
        </w:rPr>
        <w:sym w:font="Symbol" w:char="F060"/>
      </w:r>
      <w:r>
        <w:rPr>
          <w:rFonts w:ascii="Cambria" w:hAnsi="Cambria" w:eastAsia="宋体" w:cs="Times New Roman"/>
          <w:i/>
          <w:sz w:val="24"/>
          <w:szCs w:val="24"/>
        </w:rPr>
        <w:t xml:space="preserve">P </w:t>
      </w:r>
      <w:r>
        <w:rPr>
          <w:rFonts w:hint="eastAsia" w:ascii="宋体" w:hAnsi="宋体" w:eastAsia="宋体" w:cs="Times New Roman"/>
          <w:sz w:val="24"/>
          <w:szCs w:val="24"/>
        </w:rPr>
        <w:t>)</w:t>
      </w:r>
    </w:p>
    <w:p w14:paraId="41E80255">
      <w:pPr>
        <w:tabs>
          <w:tab w:val="left" w:pos="1620"/>
          <w:tab w:val="left" w:pos="2340"/>
        </w:tabs>
        <w:snapToGrid w:val="0"/>
        <w:ind w:left="1440"/>
        <w:rPr>
          <w:rFonts w:hint="eastAsia" w:ascii="宋体" w:hAnsi="宋体" w:eastAsia="宋体" w:cs="Times New Roman"/>
          <w:szCs w:val="24"/>
        </w:rPr>
      </w:pPr>
    </w:p>
    <w:p w14:paraId="40A7F01A">
      <w:pPr>
        <w:tabs>
          <w:tab w:val="left" w:pos="1620"/>
          <w:tab w:val="left" w:pos="2340"/>
        </w:tabs>
        <w:snapToGrid w:val="0"/>
        <w:ind w:left="1440"/>
        <w:rPr>
          <w:rFonts w:hint="eastAsia" w:ascii="宋体" w:hAnsi="宋体" w:eastAsia="宋体" w:cs="Times New Roman"/>
          <w:szCs w:val="24"/>
        </w:rPr>
      </w:pPr>
      <w:r>
        <w:rPr>
          <w:rFonts w:hint="eastAsia" w:ascii="宋体" w:hAnsi="宋体" w:eastAsia="宋体" w:cs="Times New Roman"/>
          <w:szCs w:val="24"/>
        </w:rPr>
        <w:t>以上公式中：</w:t>
      </w:r>
      <w:r>
        <w:rPr>
          <w:rFonts w:hint="eastAsia" w:ascii="宋体" w:hAnsi="宋体" w:eastAsia="宋体" w:cs="Times New Roman"/>
          <w:szCs w:val="24"/>
        </w:rPr>
        <w:br w:type="textWrapping"/>
      </w:r>
      <w:r>
        <w:rPr>
          <w:rFonts w:hint="eastAsia" w:ascii="宋体" w:hAnsi="宋体" w:eastAsia="宋体" w:cs="Times New Roman"/>
          <w:b/>
          <w:bCs/>
          <w:sz w:val="24"/>
          <w:szCs w:val="24"/>
        </w:rPr>
        <w:t>P</w:t>
      </w:r>
      <w:r>
        <w:rPr>
          <w:rFonts w:hint="eastAsia" w:ascii="宋体" w:hAnsi="宋体" w:eastAsia="宋体" w:cs="Times New Roman"/>
          <w:b/>
          <w:bCs/>
          <w:sz w:val="24"/>
          <w:szCs w:val="24"/>
          <w:vertAlign w:val="subscript"/>
        </w:rPr>
        <w:t>t</w:t>
      </w:r>
      <w:r>
        <w:rPr>
          <w:rFonts w:hint="eastAsia" w:ascii="宋体" w:hAnsi="宋体" w:eastAsia="宋体" w:cs="Times New Roman"/>
          <w:b/>
          <w:bCs/>
          <w:szCs w:val="24"/>
        </w:rPr>
        <w:t xml:space="preserve"> （选择方式一的）</w:t>
      </w:r>
      <w:r>
        <w:rPr>
          <w:rFonts w:hint="eastAsia" w:ascii="宋体" w:hAnsi="宋体" w:eastAsia="宋体" w:cs="Times New Roman"/>
          <w:szCs w:val="24"/>
        </w:rPr>
        <w:t>－承包人投标文件商务标书中某材料的投标单价，如投标报价中无法确认某材料的单价时，则P</w:t>
      </w:r>
      <w:r>
        <w:rPr>
          <w:rFonts w:hint="eastAsia" w:ascii="宋体" w:hAnsi="宋体" w:eastAsia="宋体" w:cs="Times New Roman"/>
          <w:szCs w:val="24"/>
          <w:vertAlign w:val="subscript"/>
        </w:rPr>
        <w:t>t</w:t>
      </w:r>
      <w:r>
        <w:rPr>
          <w:rFonts w:hint="eastAsia" w:ascii="宋体" w:hAnsi="宋体" w:eastAsia="宋体" w:cs="Times New Roman"/>
          <w:szCs w:val="24"/>
        </w:rPr>
        <w:t>取值为P</w:t>
      </w:r>
      <w:r>
        <w:rPr>
          <w:rFonts w:hint="eastAsia" w:ascii="宋体" w:hAnsi="宋体" w:eastAsia="宋体" w:cs="Times New Roman"/>
          <w:szCs w:val="24"/>
          <w:vertAlign w:val="subscript"/>
        </w:rPr>
        <w:t>0</w:t>
      </w:r>
      <w:r>
        <w:rPr>
          <w:rFonts w:hint="eastAsia" w:ascii="宋体" w:hAnsi="宋体" w:eastAsia="宋体" w:cs="Times New Roman"/>
          <w:sz w:val="24"/>
          <w:szCs w:val="24"/>
        </w:rPr>
        <w:t>×</w:t>
      </w:r>
      <w:r>
        <w:rPr>
          <w:rFonts w:hint="eastAsia" w:ascii="宋体" w:hAnsi="宋体" w:eastAsia="宋体" w:cs="Times New Roman"/>
          <w:szCs w:val="24"/>
        </w:rPr>
        <w:t>（1-中标净下浮率）；</w:t>
      </w:r>
    </w:p>
    <w:p w14:paraId="21DD14AD">
      <w:pPr>
        <w:tabs>
          <w:tab w:val="left" w:pos="1620"/>
          <w:tab w:val="left" w:pos="2340"/>
        </w:tabs>
        <w:snapToGrid w:val="0"/>
        <w:ind w:left="1440"/>
        <w:rPr>
          <w:rFonts w:hint="eastAsia" w:ascii="宋体" w:hAnsi="宋体" w:eastAsia="宋体" w:cs="Times New Roman"/>
          <w:szCs w:val="24"/>
        </w:rPr>
      </w:pPr>
      <w:r>
        <w:rPr>
          <w:rFonts w:hint="eastAsia" w:ascii="宋体" w:hAnsi="宋体" w:eastAsia="宋体" w:cs="Times New Roman"/>
          <w:sz w:val="24"/>
          <w:szCs w:val="24"/>
        </w:rPr>
        <w:t>P</w:t>
      </w:r>
      <w:r>
        <w:rPr>
          <w:rFonts w:hint="eastAsia" w:ascii="宋体" w:hAnsi="宋体" w:eastAsia="宋体" w:cs="Times New Roman"/>
          <w:sz w:val="24"/>
          <w:szCs w:val="24"/>
          <w:vertAlign w:val="subscript"/>
        </w:rPr>
        <w:t>0</w:t>
      </w:r>
      <w:r>
        <w:rPr>
          <w:rFonts w:hint="eastAsia" w:ascii="宋体" w:hAnsi="宋体" w:eastAsia="宋体" w:cs="Times New Roman"/>
          <w:szCs w:val="24"/>
        </w:rPr>
        <w:t>－</w:t>
      </w:r>
      <w:r>
        <w:rPr>
          <w:rFonts w:hint="eastAsia" w:ascii="宋体" w:hAnsi="宋体" w:eastAsia="宋体" w:cs="Times New Roman"/>
          <w:b/>
          <w:bCs/>
          <w:i/>
          <w:iCs/>
          <w:kern w:val="0"/>
          <w:szCs w:val="21"/>
        </w:rPr>
        <w:t>专用条款</w:t>
      </w:r>
      <w:r>
        <w:rPr>
          <w:rFonts w:hint="eastAsia" w:ascii="宋体" w:hAnsi="宋体" w:eastAsia="宋体" w:cs="Times New Roman"/>
          <w:kern w:val="0"/>
          <w:szCs w:val="21"/>
        </w:rPr>
        <w:t>约定的</w:t>
      </w:r>
      <w:r>
        <w:rPr>
          <w:rFonts w:hint="eastAsia" w:ascii="宋体" w:hAnsi="宋体" w:eastAsia="宋体" w:cs="Times New Roman"/>
          <w:szCs w:val="24"/>
        </w:rPr>
        <w:t>某材料价格基准价；</w:t>
      </w:r>
    </w:p>
    <w:p w14:paraId="5496C6EE">
      <w:pPr>
        <w:tabs>
          <w:tab w:val="left" w:pos="1620"/>
          <w:tab w:val="left" w:pos="2340"/>
        </w:tabs>
        <w:snapToGrid w:val="0"/>
        <w:ind w:left="1440"/>
        <w:rPr>
          <w:rFonts w:ascii="宋体" w:hAnsi="宋体" w:eastAsia="宋体" w:cs="Times New Roman"/>
          <w:szCs w:val="24"/>
        </w:rPr>
      </w:pPr>
      <w:r>
        <w:rPr>
          <w:rFonts w:hint="eastAsia" w:ascii="宋体" w:hAnsi="宋体" w:eastAsia="宋体" w:cs="Times New Roman"/>
          <w:sz w:val="24"/>
          <w:szCs w:val="24"/>
        </w:rPr>
        <w:t>C</w:t>
      </w:r>
      <w:r>
        <w:rPr>
          <w:rFonts w:hint="eastAsia" w:ascii="宋体" w:hAnsi="宋体" w:eastAsia="宋体" w:cs="Times New Roman"/>
          <w:sz w:val="24"/>
          <w:szCs w:val="24"/>
          <w:vertAlign w:val="subscript"/>
        </w:rPr>
        <w:t>增</w:t>
      </w:r>
      <w:r>
        <w:rPr>
          <w:rFonts w:hint="eastAsia" w:ascii="宋体" w:hAnsi="宋体" w:eastAsia="宋体" w:cs="Times New Roman"/>
          <w:szCs w:val="24"/>
        </w:rPr>
        <w:t>－调增合同价格；</w:t>
      </w:r>
    </w:p>
    <w:p w14:paraId="3C8B9AB2">
      <w:pPr>
        <w:tabs>
          <w:tab w:val="left" w:pos="1620"/>
          <w:tab w:val="left" w:pos="2340"/>
        </w:tabs>
        <w:snapToGrid w:val="0"/>
        <w:ind w:left="1440"/>
        <w:rPr>
          <w:rFonts w:ascii="宋体" w:hAnsi="宋体" w:eastAsia="宋体" w:cs="Times New Roman"/>
          <w:szCs w:val="24"/>
        </w:rPr>
      </w:pPr>
      <w:r>
        <w:rPr>
          <w:rFonts w:hint="eastAsia" w:ascii="宋体" w:hAnsi="宋体" w:eastAsia="宋体" w:cs="Times New Roman"/>
          <w:sz w:val="24"/>
          <w:szCs w:val="24"/>
        </w:rPr>
        <w:t>C</w:t>
      </w:r>
      <w:r>
        <w:rPr>
          <w:rFonts w:hint="eastAsia" w:ascii="宋体" w:hAnsi="宋体" w:eastAsia="宋体" w:cs="Times New Roman"/>
          <w:sz w:val="24"/>
          <w:szCs w:val="24"/>
          <w:vertAlign w:val="subscript"/>
        </w:rPr>
        <w:t>减</w:t>
      </w:r>
      <w:r>
        <w:rPr>
          <w:rFonts w:hint="eastAsia" w:ascii="宋体" w:hAnsi="宋体" w:eastAsia="宋体" w:cs="Times New Roman"/>
          <w:szCs w:val="24"/>
        </w:rPr>
        <w:t>－调减合同价格；</w:t>
      </w:r>
    </w:p>
    <w:p w14:paraId="1A3828A5">
      <w:pPr>
        <w:tabs>
          <w:tab w:val="left" w:pos="1620"/>
          <w:tab w:val="left" w:pos="2340"/>
        </w:tabs>
        <w:snapToGrid w:val="0"/>
        <w:ind w:left="1440"/>
        <w:rPr>
          <w:rFonts w:hint="eastAsia" w:ascii="宋体" w:hAnsi="宋体" w:eastAsia="宋体" w:cs="Times New Roman"/>
          <w:szCs w:val="24"/>
        </w:rPr>
      </w:pPr>
      <w:r>
        <w:rPr>
          <w:rFonts w:hint="eastAsia" w:ascii="宋体" w:hAnsi="宋体" w:eastAsia="宋体" w:cs="Times New Roman"/>
          <w:sz w:val="24"/>
          <w:szCs w:val="24"/>
        </w:rPr>
        <w:t>Q</w:t>
      </w:r>
      <w:r>
        <w:rPr>
          <w:rFonts w:hint="eastAsia" w:ascii="宋体" w:hAnsi="宋体" w:eastAsia="宋体" w:cs="Times New Roman"/>
          <w:sz w:val="24"/>
          <w:szCs w:val="24"/>
          <w:vertAlign w:val="subscript"/>
        </w:rPr>
        <w:t>总</w:t>
      </w:r>
      <w:r>
        <w:rPr>
          <w:rFonts w:hint="eastAsia" w:ascii="宋体" w:hAnsi="宋体" w:eastAsia="宋体" w:cs="Times New Roman"/>
          <w:szCs w:val="24"/>
        </w:rPr>
        <w:t>－施工期本项目已完工程合格产品的某材料总用量（其中消耗量因素在</w:t>
      </w:r>
      <w:r>
        <w:rPr>
          <w:rFonts w:hint="eastAsia" w:ascii="宋体" w:hAnsi="宋体" w:eastAsia="宋体" w:cs="Times New Roman"/>
          <w:b/>
          <w:i/>
          <w:szCs w:val="24"/>
        </w:rPr>
        <w:t>专用条款</w:t>
      </w:r>
      <w:r>
        <w:rPr>
          <w:rFonts w:hint="eastAsia" w:ascii="宋体" w:hAnsi="宋体" w:eastAsia="宋体" w:cs="Times New Roman"/>
          <w:szCs w:val="24"/>
        </w:rPr>
        <w:t>约定）。</w:t>
      </w:r>
    </w:p>
    <w:p w14:paraId="0C8877E8">
      <w:pPr>
        <w:tabs>
          <w:tab w:val="left" w:pos="1620"/>
          <w:tab w:val="left" w:pos="2340"/>
        </w:tabs>
        <w:snapToGrid w:val="0"/>
        <w:spacing w:before="156" w:beforeLines="50"/>
        <w:ind w:left="1260" w:leftChars="600"/>
        <w:rPr>
          <w:rFonts w:hint="eastAsia" w:ascii="宋体" w:hAnsi="宋体" w:eastAsia="宋体" w:cs="Times New Roman"/>
          <w:kern w:val="0"/>
          <w:szCs w:val="24"/>
        </w:rPr>
      </w:pPr>
      <w:r>
        <w:rPr>
          <w:rFonts w:ascii="Cambria" w:hAnsi="Cambria" w:eastAsia="宋体" w:cs="Times New Roman"/>
          <w:i/>
          <w:sz w:val="24"/>
          <w:szCs w:val="24"/>
        </w:rPr>
        <w:sym w:font="Symbol" w:char="F060"/>
      </w:r>
      <w:r>
        <w:rPr>
          <w:rFonts w:ascii="Cambria" w:hAnsi="Cambria" w:eastAsia="宋体" w:cs="Times New Roman"/>
          <w:i/>
          <w:sz w:val="24"/>
          <w:szCs w:val="24"/>
        </w:rPr>
        <w:t>P</w:t>
      </w:r>
      <w:r>
        <w:rPr>
          <w:rFonts w:hint="eastAsia" w:ascii="宋体" w:hAnsi="宋体" w:eastAsia="宋体" w:cs="Times New Roman"/>
          <w:szCs w:val="24"/>
        </w:rPr>
        <w:t>－施工期某材料投入月份的平均价格，</w:t>
      </w:r>
      <w:r>
        <w:rPr>
          <w:rFonts w:ascii="Times New Roman" w:hAnsi="Times New Roman" w:eastAsia="宋体" w:cs="Times New Roman"/>
          <w:szCs w:val="24"/>
        </w:rPr>
        <w:t>计算</w:t>
      </w:r>
      <w:r>
        <w:rPr>
          <w:rFonts w:hint="eastAsia" w:ascii="Times New Roman" w:hAnsi="Times New Roman" w:eastAsia="宋体" w:cs="Times New Roman"/>
          <w:szCs w:val="24"/>
        </w:rPr>
        <w:t>方式如下（或按</w:t>
      </w:r>
      <w:r>
        <w:rPr>
          <w:rFonts w:ascii="宋体" w:hAnsi="宋体" w:eastAsia="宋体" w:cs="Times New Roman"/>
          <w:b/>
          <w:i/>
          <w:szCs w:val="24"/>
        </w:rPr>
        <w:t>专用条款</w:t>
      </w:r>
      <w:r>
        <w:rPr>
          <w:rFonts w:ascii="Times New Roman" w:hAnsi="Times New Roman" w:eastAsia="宋体" w:cs="Times New Roman"/>
          <w:szCs w:val="24"/>
        </w:rPr>
        <w:t>中约定</w:t>
      </w:r>
      <w:r>
        <w:rPr>
          <w:rFonts w:hint="eastAsia" w:ascii="Times New Roman" w:hAnsi="Times New Roman" w:eastAsia="宋体" w:cs="Times New Roman"/>
          <w:szCs w:val="24"/>
        </w:rPr>
        <w:t>的</w:t>
      </w:r>
      <w:r>
        <w:rPr>
          <w:rFonts w:ascii="Times New Roman" w:hAnsi="Times New Roman" w:eastAsia="宋体" w:cs="Times New Roman"/>
          <w:szCs w:val="24"/>
        </w:rPr>
        <w:t>方法</w:t>
      </w:r>
      <w:r>
        <w:rPr>
          <w:rFonts w:hint="eastAsia" w:ascii="Times New Roman" w:hAnsi="Times New Roman" w:eastAsia="宋体" w:cs="Times New Roman"/>
          <w:szCs w:val="24"/>
        </w:rPr>
        <w:t>）</w:t>
      </w:r>
      <w:r>
        <w:rPr>
          <w:rFonts w:ascii="Times New Roman" w:hAnsi="Times New Roman" w:eastAsia="宋体" w:cs="Times New Roman"/>
          <w:szCs w:val="24"/>
        </w:rPr>
        <w:t>：</w:t>
      </w:r>
    </w:p>
    <w:p w14:paraId="2F0E2DE5">
      <w:pPr>
        <w:tabs>
          <w:tab w:val="left" w:pos="1620"/>
          <w:tab w:val="left" w:pos="2340"/>
        </w:tabs>
        <w:snapToGrid w:val="0"/>
        <w:spacing w:before="156" w:beforeLines="50"/>
        <w:ind w:firstLine="1200" w:firstLineChars="500"/>
        <w:rPr>
          <w:rFonts w:ascii="宋体" w:hAnsi="宋体" w:eastAsia="宋体" w:cs="Times New Roman"/>
          <w:kern w:val="0"/>
          <w:szCs w:val="24"/>
        </w:rPr>
      </w:pPr>
      <w:r>
        <w:rPr>
          <w:rFonts w:hint="eastAsia" w:ascii="Cambria" w:hAnsi="Cambria" w:eastAsia="宋体" w:cs="Times New Roman"/>
          <w:sz w:val="24"/>
          <w:szCs w:val="24"/>
        </w:rPr>
        <w:t>①</w:t>
      </w:r>
      <w:r>
        <w:rPr>
          <w:rFonts w:hint="eastAsia" w:ascii="宋体" w:hAnsi="宋体" w:eastAsia="宋体" w:cs="Times New Roman"/>
          <w:kern w:val="0"/>
          <w:szCs w:val="24"/>
        </w:rPr>
        <w:t>加权平均法：</w:t>
      </w:r>
    </w:p>
    <w:p w14:paraId="047F28AC">
      <w:pPr>
        <w:snapToGrid w:val="0"/>
        <w:ind w:left="1440"/>
        <w:rPr>
          <w:rFonts w:ascii="宋体" w:hAnsi="宋体" w:eastAsia="宋体" w:cs="Times New Roman"/>
          <w:kern w:val="0"/>
          <w:szCs w:val="24"/>
        </w:rPr>
      </w:pPr>
      <w:r>
        <w:rPr>
          <w:rFonts w:ascii="Cambria" w:hAnsi="Cambria" w:eastAsia="宋体" w:cs="Times New Roman"/>
          <w:i/>
          <w:sz w:val="24"/>
          <w:szCs w:val="24"/>
        </w:rPr>
        <w:sym w:font="Symbol" w:char="F060"/>
      </w:r>
      <w:r>
        <w:rPr>
          <w:rFonts w:ascii="Cambria" w:hAnsi="Cambria" w:eastAsia="宋体" w:cs="Times New Roman"/>
          <w:i/>
          <w:sz w:val="24"/>
          <w:szCs w:val="24"/>
        </w:rPr>
        <w:t>P</w:t>
      </w:r>
      <w:r>
        <w:rPr>
          <w:rFonts w:ascii="Times New Roman" w:hAnsi="Times New Roman" w:eastAsia="宋体" w:cs="Times New Roman"/>
          <w:szCs w:val="24"/>
        </w:rPr>
        <w:t xml:space="preserve"> </w:t>
      </w:r>
      <w:r>
        <w:rPr>
          <w:rFonts w:hint="eastAsia" w:ascii="宋体" w:hAnsi="宋体" w:eastAsia="宋体" w:cs="Times New Roman"/>
          <w:sz w:val="24"/>
          <w:szCs w:val="24"/>
        </w:rPr>
        <w:t>-</w:t>
      </w:r>
      <w:r>
        <w:rPr>
          <w:rFonts w:hint="eastAsia" w:ascii="宋体" w:hAnsi="宋体" w:eastAsia="宋体" w:cs="Times New Roman"/>
          <w:szCs w:val="24"/>
        </w:rPr>
        <w:t>加权平均价格，即</w:t>
      </w:r>
      <w:r>
        <w:rPr>
          <w:rFonts w:hint="eastAsia" w:ascii="宋体" w:hAnsi="宋体" w:eastAsia="宋体" w:cs="Times New Roman"/>
          <w:sz w:val="24"/>
          <w:szCs w:val="24"/>
        </w:rPr>
        <w:t>∑(Q</w:t>
      </w:r>
      <w:r>
        <w:rPr>
          <w:rFonts w:hint="eastAsia" w:ascii="宋体" w:hAnsi="宋体" w:eastAsia="宋体" w:cs="Times New Roman"/>
          <w:sz w:val="24"/>
          <w:szCs w:val="24"/>
          <w:vertAlign w:val="subscript"/>
        </w:rPr>
        <w:t>i</w:t>
      </w:r>
      <w:r>
        <w:rPr>
          <w:rFonts w:hint="eastAsia" w:ascii="宋体" w:hAnsi="宋体" w:eastAsia="宋体" w:cs="Times New Roman"/>
          <w:sz w:val="24"/>
          <w:szCs w:val="24"/>
        </w:rPr>
        <w:t>×P</w:t>
      </w:r>
      <w:r>
        <w:rPr>
          <w:rFonts w:hint="eastAsia" w:ascii="宋体" w:hAnsi="宋体" w:eastAsia="宋体" w:cs="Times New Roman"/>
          <w:sz w:val="24"/>
          <w:szCs w:val="24"/>
          <w:vertAlign w:val="subscript"/>
        </w:rPr>
        <w:t>i</w:t>
      </w:r>
      <w:r>
        <w:rPr>
          <w:rFonts w:hint="eastAsia" w:ascii="宋体" w:hAnsi="宋体" w:eastAsia="宋体" w:cs="Times New Roman"/>
          <w:sz w:val="24"/>
          <w:szCs w:val="24"/>
        </w:rPr>
        <w:t>)/Q</w:t>
      </w:r>
      <w:r>
        <w:rPr>
          <w:rFonts w:hint="eastAsia" w:ascii="宋体" w:hAnsi="宋体" w:eastAsia="宋体" w:cs="Times New Roman"/>
          <w:sz w:val="24"/>
          <w:szCs w:val="24"/>
          <w:vertAlign w:val="subscript"/>
        </w:rPr>
        <w:t>总</w:t>
      </w:r>
      <w:r>
        <w:rPr>
          <w:rFonts w:hint="eastAsia" w:ascii="宋体" w:hAnsi="宋体" w:eastAsia="宋体" w:cs="Times New Roman"/>
          <w:sz w:val="24"/>
          <w:szCs w:val="24"/>
        </w:rPr>
        <w:t>，其中Q</w:t>
      </w:r>
      <w:r>
        <w:rPr>
          <w:rFonts w:hint="eastAsia" w:ascii="宋体" w:hAnsi="宋体" w:eastAsia="宋体" w:cs="Times New Roman"/>
          <w:sz w:val="24"/>
          <w:szCs w:val="24"/>
          <w:vertAlign w:val="subscript"/>
        </w:rPr>
        <w:t>i</w:t>
      </w:r>
      <w:r>
        <w:rPr>
          <w:rFonts w:hint="eastAsia" w:ascii="宋体" w:hAnsi="宋体" w:eastAsia="宋体" w:cs="Times New Roman"/>
          <w:szCs w:val="24"/>
        </w:rPr>
        <w:t>为施工期第i个月某材料用量，（消耗量因素在</w:t>
      </w:r>
      <w:r>
        <w:rPr>
          <w:rFonts w:hint="eastAsia" w:ascii="宋体" w:hAnsi="宋体" w:eastAsia="宋体" w:cs="Times New Roman"/>
          <w:b/>
          <w:i/>
          <w:szCs w:val="24"/>
        </w:rPr>
        <w:t>专用条款</w:t>
      </w:r>
      <w:r>
        <w:rPr>
          <w:rFonts w:hint="eastAsia" w:ascii="宋体" w:hAnsi="宋体" w:eastAsia="宋体" w:cs="Times New Roman"/>
          <w:szCs w:val="24"/>
        </w:rPr>
        <w:t>约定）；</w:t>
      </w:r>
      <w:r>
        <w:rPr>
          <w:rFonts w:hint="eastAsia" w:ascii="宋体" w:hAnsi="宋体" w:eastAsia="宋体" w:cs="Times New Roman"/>
          <w:sz w:val="24"/>
          <w:szCs w:val="24"/>
        </w:rPr>
        <w:t>P</w:t>
      </w:r>
      <w:r>
        <w:rPr>
          <w:rFonts w:hint="eastAsia" w:ascii="宋体" w:hAnsi="宋体" w:eastAsia="宋体" w:cs="Times New Roman"/>
          <w:sz w:val="24"/>
          <w:szCs w:val="24"/>
          <w:vertAlign w:val="subscript"/>
        </w:rPr>
        <w:t>i</w:t>
      </w:r>
      <w:r>
        <w:rPr>
          <w:rFonts w:hint="eastAsia" w:ascii="宋体" w:hAnsi="宋体" w:eastAsia="宋体" w:cs="Times New Roman"/>
          <w:szCs w:val="24"/>
        </w:rPr>
        <w:t>为施工期有某材料投入的第i个月当月某材料价格，价格来源与P</w:t>
      </w:r>
      <w:r>
        <w:rPr>
          <w:rFonts w:ascii="宋体" w:hAnsi="宋体" w:eastAsia="宋体" w:cs="Times New Roman"/>
          <w:szCs w:val="24"/>
          <w:vertAlign w:val="subscript"/>
        </w:rPr>
        <w:t>0</w:t>
      </w:r>
      <w:r>
        <w:rPr>
          <w:rFonts w:hint="eastAsia" w:ascii="宋体" w:hAnsi="宋体" w:eastAsia="宋体" w:cs="Times New Roman"/>
          <w:szCs w:val="24"/>
        </w:rPr>
        <w:t>一致。</w:t>
      </w:r>
    </w:p>
    <w:p w14:paraId="6B51A816">
      <w:pPr>
        <w:tabs>
          <w:tab w:val="left" w:pos="1620"/>
          <w:tab w:val="left" w:pos="2340"/>
        </w:tabs>
        <w:snapToGrid w:val="0"/>
        <w:spacing w:before="156" w:beforeLines="50"/>
        <w:ind w:firstLine="1200" w:firstLineChars="500"/>
        <w:rPr>
          <w:rFonts w:ascii="Times New Roman" w:hAnsi="Times New Roman" w:eastAsia="宋体" w:cs="Times New Roman"/>
          <w:szCs w:val="24"/>
        </w:rPr>
      </w:pPr>
      <w:r>
        <w:rPr>
          <w:rFonts w:hint="eastAsia" w:ascii="Cambria" w:hAnsi="Cambria" w:eastAsia="宋体" w:cs="Times New Roman"/>
          <w:sz w:val="24"/>
          <w:szCs w:val="24"/>
        </w:rPr>
        <w:t>或者②</w:t>
      </w:r>
      <w:r>
        <w:rPr>
          <w:rFonts w:hint="eastAsia" w:ascii="宋体" w:hAnsi="宋体" w:eastAsia="宋体" w:cs="Times New Roman"/>
          <w:szCs w:val="24"/>
        </w:rPr>
        <w:t>算术平均法：</w:t>
      </w:r>
    </w:p>
    <w:p w14:paraId="366E8097">
      <w:pPr>
        <w:snapToGrid w:val="0"/>
        <w:ind w:left="1440"/>
        <w:rPr>
          <w:rFonts w:hint="eastAsia" w:ascii="宋体" w:hAnsi="宋体" w:eastAsia="宋体" w:cs="Times New Roman"/>
          <w:szCs w:val="24"/>
        </w:rPr>
      </w:pPr>
      <w:r>
        <w:rPr>
          <w:rFonts w:ascii="Cambria" w:hAnsi="Cambria" w:eastAsia="宋体" w:cs="Times New Roman"/>
          <w:i/>
          <w:sz w:val="24"/>
          <w:szCs w:val="24"/>
        </w:rPr>
        <w:sym w:font="Symbol" w:char="F060"/>
      </w:r>
      <w:r>
        <w:rPr>
          <w:rFonts w:ascii="Cambria" w:hAnsi="Cambria" w:eastAsia="宋体" w:cs="Times New Roman"/>
          <w:i/>
          <w:sz w:val="24"/>
          <w:szCs w:val="24"/>
        </w:rPr>
        <w:t>P</w:t>
      </w:r>
      <w:r>
        <w:rPr>
          <w:rFonts w:ascii="Times New Roman" w:hAnsi="Times New Roman" w:eastAsia="宋体" w:cs="Times New Roman"/>
          <w:szCs w:val="24"/>
        </w:rPr>
        <w:t xml:space="preserve"> </w:t>
      </w:r>
      <w:r>
        <w:rPr>
          <w:rFonts w:ascii="宋体" w:hAnsi="宋体" w:eastAsia="宋体" w:cs="Times New Roman"/>
          <w:sz w:val="24"/>
          <w:szCs w:val="24"/>
        </w:rPr>
        <w:t>–</w:t>
      </w:r>
      <w:r>
        <w:rPr>
          <w:rFonts w:hint="eastAsia" w:ascii="宋体" w:hAnsi="宋体" w:eastAsia="宋体" w:cs="Times New Roman"/>
          <w:szCs w:val="24"/>
        </w:rPr>
        <w:t>算术平均价格，即</w:t>
      </w:r>
      <w:r>
        <w:rPr>
          <w:rFonts w:hint="eastAsia" w:ascii="宋体" w:hAnsi="宋体" w:eastAsia="宋体" w:cs="Times New Roman"/>
          <w:sz w:val="24"/>
          <w:szCs w:val="24"/>
        </w:rPr>
        <w:t>∑P</w:t>
      </w:r>
      <w:r>
        <w:rPr>
          <w:rFonts w:hint="eastAsia" w:ascii="宋体" w:hAnsi="宋体" w:eastAsia="宋体" w:cs="Times New Roman"/>
          <w:sz w:val="24"/>
          <w:szCs w:val="24"/>
          <w:vertAlign w:val="subscript"/>
        </w:rPr>
        <w:t>i</w:t>
      </w:r>
      <w:r>
        <w:rPr>
          <w:rFonts w:hint="eastAsia" w:ascii="宋体" w:hAnsi="宋体" w:eastAsia="宋体" w:cs="Times New Roman"/>
          <w:sz w:val="24"/>
          <w:szCs w:val="24"/>
        </w:rPr>
        <w:t>/i，</w:t>
      </w:r>
      <w:r>
        <w:rPr>
          <w:rFonts w:hint="eastAsia" w:ascii="宋体" w:hAnsi="宋体" w:eastAsia="宋体" w:cs="Times New Roman"/>
          <w:kern w:val="0"/>
          <w:szCs w:val="21"/>
        </w:rPr>
        <w:t>其中</w:t>
      </w:r>
      <w:r>
        <w:rPr>
          <w:rFonts w:hint="eastAsia" w:ascii="宋体" w:hAnsi="宋体" w:eastAsia="宋体" w:cs="Times New Roman"/>
          <w:sz w:val="24"/>
          <w:szCs w:val="24"/>
        </w:rPr>
        <w:t>P</w:t>
      </w:r>
      <w:r>
        <w:rPr>
          <w:rFonts w:hint="eastAsia" w:ascii="宋体" w:hAnsi="宋体" w:eastAsia="宋体" w:cs="Times New Roman"/>
          <w:sz w:val="24"/>
          <w:szCs w:val="24"/>
          <w:vertAlign w:val="subscript"/>
        </w:rPr>
        <w:t>i</w:t>
      </w:r>
      <w:r>
        <w:rPr>
          <w:rFonts w:hint="eastAsia" w:ascii="宋体" w:hAnsi="宋体" w:eastAsia="宋体" w:cs="Times New Roman"/>
          <w:kern w:val="0"/>
          <w:szCs w:val="21"/>
        </w:rPr>
        <w:t>为施工期有某材料投入的第i个月当月某材料价格</w:t>
      </w:r>
      <w:r>
        <w:rPr>
          <w:rFonts w:hint="eastAsia" w:ascii="宋体" w:hAnsi="宋体" w:eastAsia="宋体" w:cs="Times New Roman"/>
          <w:szCs w:val="24"/>
        </w:rPr>
        <w:t>，价格来源与P</w:t>
      </w:r>
      <w:r>
        <w:rPr>
          <w:rFonts w:ascii="宋体" w:hAnsi="宋体" w:eastAsia="宋体" w:cs="Times New Roman"/>
          <w:szCs w:val="24"/>
          <w:vertAlign w:val="subscript"/>
        </w:rPr>
        <w:t>0</w:t>
      </w:r>
      <w:r>
        <w:rPr>
          <w:rFonts w:hint="eastAsia" w:ascii="宋体" w:hAnsi="宋体" w:eastAsia="宋体" w:cs="Times New Roman"/>
          <w:szCs w:val="24"/>
        </w:rPr>
        <w:t>一致</w:t>
      </w:r>
      <w:r>
        <w:rPr>
          <w:rFonts w:hint="eastAsia" w:ascii="宋体" w:hAnsi="宋体" w:eastAsia="宋体" w:cs="Times New Roman"/>
          <w:kern w:val="0"/>
          <w:szCs w:val="21"/>
        </w:rPr>
        <w:t>。</w:t>
      </w:r>
      <w:r>
        <w:rPr>
          <w:rFonts w:hint="eastAsia" w:ascii="宋体" w:hAnsi="宋体" w:eastAsia="宋体" w:cs="Times New Roman"/>
          <w:szCs w:val="21"/>
        </w:rPr>
        <w:t>例如施工期有某材料投入月份是指2025年6月、8月、</w:t>
      </w:r>
      <w:r>
        <w:rPr>
          <w:rFonts w:ascii="宋体" w:hAnsi="宋体" w:eastAsia="宋体" w:cs="Times New Roman"/>
          <w:szCs w:val="21"/>
        </w:rPr>
        <w:t>9</w:t>
      </w:r>
      <w:r>
        <w:rPr>
          <w:rFonts w:hint="eastAsia" w:ascii="宋体" w:hAnsi="宋体" w:eastAsia="宋体" w:cs="Times New Roman"/>
          <w:szCs w:val="21"/>
        </w:rPr>
        <w:t>月，则对应2025年6月、8月、</w:t>
      </w:r>
      <w:r>
        <w:rPr>
          <w:rFonts w:ascii="宋体" w:hAnsi="宋体" w:eastAsia="宋体" w:cs="Times New Roman"/>
          <w:szCs w:val="21"/>
        </w:rPr>
        <w:t>9</w:t>
      </w:r>
      <w:r>
        <w:rPr>
          <w:rFonts w:hint="eastAsia" w:ascii="宋体" w:hAnsi="宋体" w:eastAsia="宋体" w:cs="Times New Roman"/>
          <w:szCs w:val="21"/>
        </w:rPr>
        <w:t>月某材料价格之和除以3。</w:t>
      </w:r>
    </w:p>
    <w:p w14:paraId="004D60F2">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549" w:name="_Toc302635839"/>
      <w:bookmarkStart w:id="2550" w:name="_Toc476"/>
      <w:bookmarkStart w:id="2551" w:name="_Toc15008"/>
      <w:bookmarkStart w:id="2552" w:name="_Toc21756"/>
      <w:bookmarkStart w:id="2553" w:name="_Toc12935"/>
      <w:bookmarkStart w:id="2554" w:name="_Toc168634796"/>
      <w:bookmarkStart w:id="2555" w:name="_Toc9843"/>
      <w:bookmarkStart w:id="2556" w:name="_Toc25061"/>
      <w:bookmarkStart w:id="2557" w:name="_Toc3934"/>
      <w:bookmarkStart w:id="2558" w:name="_Toc201735378"/>
      <w:bookmarkStart w:id="2559" w:name="_Toc9509"/>
      <w:bookmarkStart w:id="2560" w:name="_Toc208587598"/>
      <w:bookmarkStart w:id="2561" w:name="_Toc28042"/>
      <w:bookmarkStart w:id="2562" w:name="_Toc13858"/>
      <w:r>
        <w:rPr>
          <w:rFonts w:hint="eastAsia" w:ascii="宋体" w:hAnsi="宋体" w:eastAsia="宋体" w:cs="Times New Roman"/>
          <w:b/>
          <w:bCs/>
          <w:kern w:val="0"/>
          <w:sz w:val="24"/>
          <w:szCs w:val="24"/>
          <w:lang w:val="en-US" w:eastAsia="zh-CN" w:bidi="ar-SA"/>
        </w:rPr>
        <w:t>人工、机械使用调差</w:t>
      </w:r>
      <w:bookmarkEnd w:id="2549"/>
      <w:r>
        <w:rPr>
          <w:rFonts w:hint="eastAsia" w:ascii="宋体" w:hAnsi="宋体" w:eastAsia="宋体" w:cs="Times New Roman"/>
          <w:b/>
          <w:bCs/>
          <w:kern w:val="0"/>
          <w:sz w:val="24"/>
          <w:szCs w:val="24"/>
          <w:lang w:val="en-US" w:eastAsia="zh-CN" w:bidi="ar-SA"/>
        </w:rPr>
        <w:t>方法</w:t>
      </w:r>
      <w:bookmarkEnd w:id="2550"/>
      <w:bookmarkEnd w:id="2551"/>
      <w:bookmarkEnd w:id="2552"/>
      <w:bookmarkEnd w:id="2553"/>
      <w:bookmarkEnd w:id="2554"/>
      <w:bookmarkEnd w:id="2555"/>
      <w:bookmarkEnd w:id="2556"/>
      <w:bookmarkEnd w:id="2557"/>
      <w:bookmarkEnd w:id="2558"/>
      <w:bookmarkEnd w:id="2559"/>
      <w:bookmarkEnd w:id="2560"/>
      <w:bookmarkEnd w:id="2561"/>
      <w:bookmarkEnd w:id="2562"/>
    </w:p>
    <w:p w14:paraId="17765856">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(1)用于本工程的</w:t>
      </w:r>
      <w:r>
        <w:rPr>
          <w:rFonts w:hint="eastAsia" w:ascii="宋体" w:hAnsi="宋体" w:eastAsia="宋体" w:cs="宋体"/>
          <w:szCs w:val="21"/>
        </w:rPr>
        <w:t>施工机具（机械）使用费中的燃料动力</w:t>
      </w:r>
      <w:r>
        <w:rPr>
          <w:rFonts w:hint="eastAsia" w:ascii="宋体" w:hAnsi="宋体" w:eastAsia="宋体" w:cs="Times New Roman"/>
          <w:kern w:val="0"/>
          <w:szCs w:val="24"/>
        </w:rPr>
        <w:t>价格发生波动时，按照20.5款调差公式，将公式中的材料价格替换为施工机具（机械）使用费中的燃料动力价格，调整合同价格。</w:t>
      </w:r>
    </w:p>
    <w:p w14:paraId="3D879A01">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w:t>
      </w:r>
      <w:r>
        <w:rPr>
          <w:rFonts w:hint="eastAsia" w:ascii="宋体" w:hAnsi="宋体" w:eastAsia="宋体" w:cs="Times New Roman"/>
          <w:kern w:val="0"/>
          <w:szCs w:val="21"/>
        </w:rPr>
        <w:t>除</w:t>
      </w:r>
      <w:r>
        <w:rPr>
          <w:rFonts w:hint="eastAsia" w:ascii="宋体" w:hAnsi="宋体" w:eastAsia="宋体" w:cs="Times New Roman"/>
          <w:b/>
          <w:bCs/>
          <w:i/>
          <w:iCs/>
          <w:kern w:val="0"/>
          <w:szCs w:val="21"/>
        </w:rPr>
        <w:t>专用条款</w:t>
      </w:r>
      <w:r>
        <w:rPr>
          <w:rFonts w:hint="eastAsia" w:ascii="宋体" w:hAnsi="宋体" w:eastAsia="宋体" w:cs="Times New Roman"/>
          <w:kern w:val="0"/>
          <w:szCs w:val="21"/>
        </w:rPr>
        <w:t>另有约定外，</w:t>
      </w:r>
      <w:r>
        <w:rPr>
          <w:rFonts w:hint="eastAsia" w:ascii="宋体" w:hAnsi="宋体" w:eastAsia="宋体" w:cs="Times New Roman"/>
          <w:kern w:val="0"/>
          <w:szCs w:val="24"/>
        </w:rPr>
        <w:t>用于本工程的人工</w:t>
      </w:r>
      <w:r>
        <w:rPr>
          <w:rFonts w:hint="eastAsia" w:ascii="宋体" w:hAnsi="宋体" w:eastAsia="宋体" w:cs="宋体"/>
          <w:szCs w:val="21"/>
        </w:rPr>
        <w:t>（含机械人工费）</w:t>
      </w:r>
      <w:r>
        <w:rPr>
          <w:rFonts w:hint="eastAsia" w:ascii="宋体" w:hAnsi="宋体" w:eastAsia="宋体" w:cs="Times New Roman"/>
          <w:kern w:val="0"/>
          <w:szCs w:val="24"/>
        </w:rPr>
        <w:t>发生价格波动时，</w:t>
      </w:r>
      <w:r>
        <w:rPr>
          <w:rFonts w:hint="eastAsia" w:ascii="宋体" w:hAnsi="宋体" w:eastAsia="宋体" w:cs="Times New Roman"/>
          <w:kern w:val="0"/>
          <w:szCs w:val="21"/>
        </w:rPr>
        <w:t>按照人工费指数进行调差：</w:t>
      </w:r>
    </w:p>
    <w:p w14:paraId="5701CF01">
      <w:pPr>
        <w:snapToGrid w:val="0"/>
        <w:ind w:firstLine="945" w:firstLineChars="450"/>
        <w:rPr>
          <w:rFonts w:ascii="宋体" w:hAnsi="宋体" w:eastAsia="宋体" w:cs="Times New Roman"/>
          <w:szCs w:val="21"/>
        </w:rPr>
      </w:pPr>
      <w:r>
        <w:rPr>
          <w:rFonts w:ascii="宋体" w:hAnsi="宋体" w:eastAsia="宋体" w:cs="Times New Roman"/>
          <w:szCs w:val="21"/>
        </w:rPr>
        <w:t>当</w:t>
      </w:r>
      <w:r>
        <w:rPr>
          <w:rFonts w:ascii="宋体" w:hAnsi="宋体" w:eastAsia="宋体" w:cs="Times New Roman"/>
          <w:szCs w:val="21"/>
        </w:rPr>
        <w:sym w:font="Symbol" w:char="F060"/>
      </w:r>
      <w:r>
        <w:rPr>
          <w:rFonts w:ascii="Cambria" w:hAnsi="Cambria" w:eastAsia="宋体" w:cs="Times New Roman"/>
          <w:i/>
          <w:szCs w:val="21"/>
        </w:rPr>
        <w:t>I</w:t>
      </w:r>
      <w:r>
        <w:rPr>
          <w:rFonts w:hint="eastAsia" w:ascii="Cambria" w:hAnsi="Cambria" w:eastAsia="宋体" w:cs="Times New Roman"/>
          <w:i/>
          <w:szCs w:val="21"/>
        </w:rPr>
        <w:t xml:space="preserve"> </w:t>
      </w:r>
      <w:r>
        <w:rPr>
          <w:rFonts w:ascii="宋体" w:hAnsi="宋体" w:eastAsia="宋体" w:cs="Times New Roman"/>
          <w:szCs w:val="21"/>
        </w:rPr>
        <w:t>/I</w:t>
      </w:r>
      <w:r>
        <w:rPr>
          <w:rFonts w:ascii="宋体" w:hAnsi="宋体" w:eastAsia="宋体" w:cs="Times New Roman"/>
          <w:szCs w:val="21"/>
          <w:vertAlign w:val="subscript"/>
        </w:rPr>
        <w:t>o</w:t>
      </w:r>
      <w:r>
        <w:rPr>
          <w:rFonts w:ascii="宋体" w:hAnsi="宋体" w:eastAsia="宋体" w:cs="Times New Roman"/>
          <w:szCs w:val="21"/>
        </w:rPr>
        <w:t>﹥1.05时，则：C</w:t>
      </w:r>
      <w:r>
        <w:rPr>
          <w:rFonts w:ascii="宋体" w:hAnsi="宋体" w:eastAsia="宋体" w:cs="Times New Roman"/>
          <w:szCs w:val="21"/>
          <w:vertAlign w:val="subscript"/>
        </w:rPr>
        <w:t>增</w:t>
      </w:r>
      <w:r>
        <w:rPr>
          <w:rFonts w:ascii="宋体" w:hAnsi="宋体" w:eastAsia="宋体" w:cs="Times New Roman"/>
          <w:szCs w:val="21"/>
        </w:rPr>
        <w:t>=L</w:t>
      </w:r>
      <w:r>
        <w:rPr>
          <w:rFonts w:ascii="宋体" w:hAnsi="宋体" w:eastAsia="宋体" w:cs="Times New Roman"/>
          <w:szCs w:val="21"/>
          <w:vertAlign w:val="subscript"/>
        </w:rPr>
        <w:t>总</w:t>
      </w:r>
      <w:r>
        <w:rPr>
          <w:rFonts w:hint="eastAsia" w:ascii="宋体" w:hAnsi="宋体" w:eastAsia="宋体" w:cs="Times New Roman"/>
          <w:szCs w:val="21"/>
        </w:rPr>
        <w:t>×(</w:t>
      </w:r>
      <w:r>
        <w:rPr>
          <w:rFonts w:ascii="宋体" w:hAnsi="宋体" w:eastAsia="宋体" w:cs="Times New Roman"/>
          <w:szCs w:val="21"/>
        </w:rPr>
        <w:sym w:font="Symbol" w:char="F060"/>
      </w:r>
      <w:r>
        <w:rPr>
          <w:rFonts w:ascii="Cambria" w:hAnsi="Cambria" w:eastAsia="宋体" w:cs="Times New Roman"/>
          <w:i/>
          <w:szCs w:val="21"/>
        </w:rPr>
        <w:t>I</w:t>
      </w:r>
      <w:r>
        <w:rPr>
          <w:rFonts w:hint="eastAsia" w:ascii="Cambria" w:hAnsi="Cambria" w:eastAsia="宋体" w:cs="Times New Roman"/>
          <w:i/>
          <w:szCs w:val="21"/>
        </w:rPr>
        <w:t xml:space="preserve"> </w:t>
      </w:r>
      <w:r>
        <w:rPr>
          <w:rFonts w:ascii="宋体" w:hAnsi="宋体" w:eastAsia="宋体" w:cs="Times New Roman"/>
          <w:szCs w:val="21"/>
        </w:rPr>
        <w:t>/I</w:t>
      </w:r>
      <w:r>
        <w:rPr>
          <w:rFonts w:ascii="宋体" w:hAnsi="宋体" w:eastAsia="宋体" w:cs="Times New Roman"/>
          <w:szCs w:val="21"/>
          <w:vertAlign w:val="subscript"/>
        </w:rPr>
        <w:t>o</w:t>
      </w:r>
      <w:r>
        <w:rPr>
          <w:rFonts w:ascii="宋体" w:hAnsi="宋体" w:eastAsia="宋体" w:cs="Times New Roman"/>
          <w:szCs w:val="21"/>
        </w:rPr>
        <w:t>-1.05</w:t>
      </w:r>
      <w:r>
        <w:rPr>
          <w:rFonts w:hint="eastAsia" w:ascii="宋体" w:hAnsi="宋体" w:eastAsia="宋体" w:cs="Times New Roman"/>
          <w:szCs w:val="21"/>
        </w:rPr>
        <w:t>)；</w:t>
      </w:r>
    </w:p>
    <w:p w14:paraId="37C8E90C">
      <w:pPr>
        <w:snapToGrid w:val="0"/>
        <w:ind w:firstLine="945" w:firstLineChars="450"/>
        <w:rPr>
          <w:rFonts w:ascii="宋体" w:hAnsi="宋体" w:eastAsia="宋体" w:cs="Times New Roman"/>
          <w:szCs w:val="21"/>
        </w:rPr>
      </w:pPr>
      <w:r>
        <w:rPr>
          <w:rFonts w:ascii="宋体" w:hAnsi="宋体" w:eastAsia="宋体" w:cs="Times New Roman"/>
          <w:szCs w:val="21"/>
        </w:rPr>
        <w:t>当</w:t>
      </w:r>
      <w:r>
        <w:rPr>
          <w:rFonts w:ascii="宋体" w:hAnsi="宋体" w:eastAsia="宋体" w:cs="Times New Roman"/>
          <w:szCs w:val="21"/>
        </w:rPr>
        <w:sym w:font="Symbol" w:char="F060"/>
      </w:r>
      <w:r>
        <w:rPr>
          <w:rFonts w:ascii="Cambria" w:hAnsi="Cambria" w:eastAsia="宋体" w:cs="Times New Roman"/>
          <w:i/>
          <w:szCs w:val="21"/>
        </w:rPr>
        <w:t>I</w:t>
      </w:r>
      <w:r>
        <w:rPr>
          <w:rFonts w:hint="eastAsia" w:ascii="Cambria" w:hAnsi="Cambria" w:eastAsia="宋体" w:cs="Times New Roman"/>
          <w:i/>
          <w:szCs w:val="21"/>
        </w:rPr>
        <w:t xml:space="preserve"> </w:t>
      </w:r>
      <w:r>
        <w:rPr>
          <w:rFonts w:ascii="宋体" w:hAnsi="宋体" w:eastAsia="宋体" w:cs="Times New Roman"/>
          <w:szCs w:val="21"/>
        </w:rPr>
        <w:t>/I</w:t>
      </w:r>
      <w:r>
        <w:rPr>
          <w:rFonts w:ascii="宋体" w:hAnsi="宋体" w:eastAsia="宋体" w:cs="Times New Roman"/>
          <w:szCs w:val="21"/>
          <w:vertAlign w:val="subscript"/>
        </w:rPr>
        <w:t>o</w:t>
      </w:r>
      <w:r>
        <w:rPr>
          <w:rFonts w:ascii="宋体" w:hAnsi="宋体" w:eastAsia="宋体" w:cs="Times New Roman"/>
          <w:szCs w:val="21"/>
        </w:rPr>
        <w:t>﹤0.95时，则：C</w:t>
      </w:r>
      <w:r>
        <w:rPr>
          <w:rFonts w:ascii="宋体" w:hAnsi="宋体" w:eastAsia="宋体" w:cs="Times New Roman"/>
          <w:szCs w:val="21"/>
          <w:vertAlign w:val="subscript"/>
        </w:rPr>
        <w:t>减</w:t>
      </w:r>
      <w:r>
        <w:rPr>
          <w:rFonts w:ascii="宋体" w:hAnsi="宋体" w:eastAsia="宋体" w:cs="Times New Roman"/>
          <w:szCs w:val="21"/>
        </w:rPr>
        <w:t>=L</w:t>
      </w:r>
      <w:r>
        <w:rPr>
          <w:rFonts w:ascii="宋体" w:hAnsi="宋体" w:eastAsia="宋体" w:cs="Times New Roman"/>
          <w:szCs w:val="21"/>
          <w:vertAlign w:val="subscript"/>
        </w:rPr>
        <w:t>总</w:t>
      </w:r>
      <w:r>
        <w:rPr>
          <w:rFonts w:hint="eastAsia" w:ascii="宋体" w:hAnsi="宋体" w:eastAsia="宋体" w:cs="Times New Roman"/>
          <w:szCs w:val="21"/>
        </w:rPr>
        <w:t>×(</w:t>
      </w:r>
      <w:r>
        <w:rPr>
          <w:rFonts w:ascii="宋体" w:hAnsi="宋体" w:eastAsia="宋体" w:cs="Times New Roman"/>
          <w:szCs w:val="21"/>
        </w:rPr>
        <w:t>0.95-</w:t>
      </w:r>
      <w:r>
        <w:rPr>
          <w:rFonts w:ascii="宋体" w:hAnsi="宋体" w:eastAsia="宋体" w:cs="Times New Roman"/>
          <w:szCs w:val="21"/>
        </w:rPr>
        <w:sym w:font="Symbol" w:char="F060"/>
      </w:r>
      <w:r>
        <w:rPr>
          <w:rFonts w:ascii="Cambria" w:hAnsi="Cambria" w:eastAsia="宋体" w:cs="Times New Roman"/>
          <w:i/>
          <w:szCs w:val="21"/>
        </w:rPr>
        <w:t>I</w:t>
      </w:r>
      <w:r>
        <w:rPr>
          <w:rFonts w:hint="eastAsia" w:ascii="Cambria" w:hAnsi="Cambria" w:eastAsia="宋体" w:cs="Times New Roman"/>
          <w:i/>
          <w:szCs w:val="21"/>
        </w:rPr>
        <w:t xml:space="preserve"> </w:t>
      </w:r>
      <w:r>
        <w:rPr>
          <w:rFonts w:ascii="宋体" w:hAnsi="宋体" w:eastAsia="宋体" w:cs="Times New Roman"/>
          <w:szCs w:val="21"/>
        </w:rPr>
        <w:t>/I</w:t>
      </w:r>
      <w:r>
        <w:rPr>
          <w:rFonts w:ascii="宋体" w:hAnsi="宋体" w:eastAsia="宋体" w:cs="Times New Roman"/>
          <w:szCs w:val="21"/>
          <w:vertAlign w:val="subscript"/>
        </w:rPr>
        <w:t>o</w:t>
      </w:r>
      <w:r>
        <w:rPr>
          <w:rFonts w:hint="eastAsia" w:ascii="宋体" w:hAnsi="宋体" w:eastAsia="宋体" w:cs="Times New Roman"/>
          <w:szCs w:val="21"/>
        </w:rPr>
        <w:t>)</w:t>
      </w:r>
    </w:p>
    <w:p w14:paraId="7504CFF3">
      <w:pPr>
        <w:ind w:firstLine="945" w:firstLineChars="450"/>
        <w:rPr>
          <w:rFonts w:ascii="宋体" w:hAnsi="宋体" w:eastAsia="宋体" w:cs="Times New Roman"/>
          <w:szCs w:val="21"/>
        </w:rPr>
      </w:pPr>
      <w:r>
        <w:rPr>
          <w:rFonts w:hint="eastAsia" w:ascii="宋体" w:hAnsi="宋体" w:eastAsia="宋体" w:cs="Times New Roman"/>
          <w:szCs w:val="21"/>
        </w:rPr>
        <w:t>式中：</w:t>
      </w:r>
    </w:p>
    <w:p w14:paraId="07F34AAC">
      <w:pPr>
        <w:snapToGrid w:val="0"/>
        <w:ind w:left="1050" w:leftChars="500"/>
        <w:rPr>
          <w:rFonts w:ascii="Times New Roman" w:hAnsi="Times New Roman" w:eastAsia="宋体" w:cs="Times New Roman"/>
          <w:szCs w:val="24"/>
        </w:rPr>
      </w:pPr>
      <w:r>
        <w:rPr>
          <w:rFonts w:ascii="宋体" w:hAnsi="宋体" w:eastAsia="宋体" w:cs="Times New Roman"/>
          <w:szCs w:val="21"/>
        </w:rPr>
        <w:sym w:font="Symbol" w:char="F060"/>
      </w:r>
      <w:r>
        <w:rPr>
          <w:rFonts w:ascii="Cambria" w:hAnsi="Cambria" w:eastAsia="宋体" w:cs="Times New Roman"/>
          <w:i/>
          <w:szCs w:val="21"/>
        </w:rPr>
        <w:t>I</w:t>
      </w:r>
      <w:r>
        <w:rPr>
          <w:rFonts w:hint="eastAsia" w:ascii="Cambria" w:hAnsi="Cambria" w:eastAsia="宋体" w:cs="Times New Roman"/>
          <w:i/>
          <w:szCs w:val="21"/>
        </w:rPr>
        <w:t xml:space="preserve"> </w:t>
      </w:r>
      <w:r>
        <w:rPr>
          <w:rFonts w:ascii="宋体" w:hAnsi="宋体" w:eastAsia="宋体" w:cs="Times New Roman"/>
          <w:sz w:val="24"/>
          <w:szCs w:val="24"/>
        </w:rPr>
        <w:fldChar w:fldCharType="begin"/>
      </w:r>
      <w:r>
        <w:rPr>
          <w:rFonts w:ascii="宋体" w:hAnsi="宋体" w:eastAsia="宋体" w:cs="Times New Roman"/>
          <w:sz w:val="24"/>
          <w:szCs w:val="24"/>
        </w:rPr>
        <w:instrText xml:space="preserve"> QUOTE </w:instrText>
      </w:r>
      <w:r>
        <w:rPr>
          <w:rFonts w:ascii="Times New Roman" w:hAnsi="Times New Roman" w:eastAsia="宋体" w:cs="Times New Roman"/>
          <w:position w:val="-5"/>
          <w:szCs w:val="24"/>
        </w:rPr>
        <w:pict>
          <v:shape id="_x0000_i1025" o:spt="75" type="#_x0000_t75" style="height:15.6pt;width:7.8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10&quot;/&gt;&lt;w:doNotEmbedSystemFonts/&gt;&lt;w:bordersDontSurroundHeader/&gt;&lt;w:bordersDontSurroundFooter/&gt;&lt;w:hideSpellingErrors/&gt;&lt;w:stylePaneFormatFilter w:val=&quot;3F01&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593E13&quot;/&gt;&lt;wsp:rsid wsp:val=&quot;0000071D&quot;/&gt;&lt;wsp:rsid wsp:val=&quot;00000D02&quot;/&gt;&lt;wsp:rsid wsp:val=&quot;00004DE8&quot;/&gt;&lt;wsp:rsid wsp:val=&quot;000069D5&quot;/&gt;&lt;wsp:rsid wsp:val=&quot;00007D9C&quot;/&gt;&lt;wsp:rsid wsp:val=&quot;00012392&quot;/&gt;&lt;wsp:rsid wsp:val=&quot;00014F46&quot;/&gt;&lt;wsp:rsid wsp:val=&quot;000165EA&quot;/&gt;&lt;wsp:rsid wsp:val=&quot;00020489&quot;/&gt;&lt;wsp:rsid wsp:val=&quot;00021E33&quot;/&gt;&lt;wsp:rsid wsp:val=&quot;00023A8A&quot;/&gt;&lt;wsp:rsid wsp:val=&quot;00025806&quot;/&gt;&lt;wsp:rsid wsp:val=&quot;0002775D&quot;/&gt;&lt;wsp:rsid wsp:val=&quot;000308E2&quot;/&gt;&lt;wsp:rsid wsp:val=&quot;00030F80&quot;/&gt;&lt;wsp:rsid wsp:val=&quot;00033848&quot;/&gt;&lt;wsp:rsid wsp:val=&quot;00036E9F&quot;/&gt;&lt;wsp:rsid wsp:val=&quot;000411D7&quot;/&gt;&lt;wsp:rsid wsp:val=&quot;000414D2&quot;/&gt;&lt;wsp:rsid wsp:val=&quot;00043E77&quot;/&gt;&lt;wsp:rsid wsp:val=&quot;00045EF9&quot;/&gt;&lt;wsp:rsid wsp:val=&quot;000468A5&quot;/&gt;&lt;wsp:rsid wsp:val=&quot;00047C06&quot;/&gt;&lt;wsp:rsid wsp:val=&quot;00047EA6&quot;/&gt;&lt;wsp:rsid wsp:val=&quot;00052069&quot;/&gt;&lt;wsp:rsid wsp:val=&quot;00052BF2&quot;/&gt;&lt;wsp:rsid wsp:val=&quot;00052F30&quot;/&gt;&lt;wsp:rsid wsp:val=&quot;00053A03&quot;/&gt;&lt;wsp:rsid wsp:val=&quot;00054FA9&quot;/&gt;&lt;wsp:rsid wsp:val=&quot;0005580E&quot;/&gt;&lt;wsp:rsid wsp:val=&quot;00055AD7&quot;/&gt;&lt;wsp:rsid wsp:val=&quot;0005623B&quot;/&gt;&lt;wsp:rsid wsp:val=&quot;000572AD&quot;/&gt;&lt;wsp:rsid wsp:val=&quot;00057382&quot;/&gt;&lt;wsp:rsid wsp:val=&quot;00060488&quot;/&gt;&lt;wsp:rsid wsp:val=&quot;000648A9&quot;/&gt;&lt;wsp:rsid wsp:val=&quot;000719E7&quot;/&gt;&lt;wsp:rsid wsp:val=&quot;000729DF&quot;/&gt;&lt;wsp:rsid wsp:val=&quot;00077B8B&quot;/&gt;&lt;wsp:rsid wsp:val=&quot;00077EF2&quot;/&gt;&lt;wsp:rsid wsp:val=&quot;000810F0&quot;/&gt;&lt;wsp:rsid wsp:val=&quot;00082F84&quot;/&gt;&lt;wsp:rsid wsp:val=&quot;00083CBC&quot;/&gt;&lt;wsp:rsid wsp:val=&quot;00084451&quot;/&gt;&lt;wsp:rsid wsp:val=&quot;00084AE2&quot;/&gt;&lt;wsp:rsid wsp:val=&quot;0008657B&quot;/&gt;&lt;wsp:rsid wsp:val=&quot;00094468&quot;/&gt;&lt;wsp:rsid wsp:val=&quot;00095456&quot;/&gt;&lt;wsp:rsid wsp:val=&quot;00095A4E&quot;/&gt;&lt;wsp:rsid wsp:val=&quot;0009628F&quot;/&gt;&lt;wsp:rsid wsp:val=&quot;000A0065&quot;/&gt;&lt;wsp:rsid wsp:val=&quot;000A2F55&quot;/&gt;&lt;wsp:rsid wsp:val=&quot;000A3256&quot;/&gt;&lt;wsp:rsid wsp:val=&quot;000A3832&quot;/&gt;&lt;wsp:rsid wsp:val=&quot;000A4706&quot;/&gt;&lt;wsp:rsid wsp:val=&quot;000A6230&quot;/&gt;&lt;wsp:rsid wsp:val=&quot;000B434D&quot;/&gt;&lt;wsp:rsid wsp:val=&quot;000B57AC&quot;/&gt;&lt;wsp:rsid wsp:val=&quot;000B6047&quot;/&gt;&lt;wsp:rsid wsp:val=&quot;000B6DC8&quot;/&gt;&lt;wsp:rsid wsp:val=&quot;000C2234&quot;/&gt;&lt;wsp:rsid wsp:val=&quot;000C3125&quot;/&gt;&lt;wsp:rsid wsp:val=&quot;000C39FE&quot;/&gt;&lt;wsp:rsid wsp:val=&quot;000C3CE2&quot;/&gt;&lt;wsp:rsid wsp:val=&quot;000C72F2&quot;/&gt;&lt;wsp:rsid wsp:val=&quot;000D38E8&quot;/&gt;&lt;wsp:rsid wsp:val=&quot;000D4BF6&quot;/&gt;&lt;wsp:rsid wsp:val=&quot;000D5D1B&quot;/&gt;&lt;wsp:rsid wsp:val=&quot;000D6385&quot;/&gt;&lt;wsp:rsid wsp:val=&quot;000D7740&quot;/&gt;&lt;wsp:rsid wsp:val=&quot;000E203D&quot;/&gt;&lt;wsp:rsid wsp:val=&quot;000E2478&quot;/&gt;&lt;wsp:rsid wsp:val=&quot;000E6B7A&quot;/&gt;&lt;wsp:rsid wsp:val=&quot;000F0BDF&quot;/&gt;&lt;wsp:rsid wsp:val=&quot;000F1A51&quot;/&gt;&lt;wsp:rsid wsp:val=&quot;000F1DC5&quot;/&gt;&lt;wsp:rsid wsp:val=&quot;000F40EF&quot;/&gt;&lt;wsp:rsid wsp:val=&quot;000F4717&quot;/&gt;&lt;wsp:rsid wsp:val=&quot;000F50A3&quot;/&gt;&lt;wsp:rsid wsp:val=&quot;000F50D5&quot;/&gt;&lt;wsp:rsid wsp:val=&quot;000F61AA&quot;/&gt;&lt;wsp:rsid wsp:val=&quot;000F65AF&quot;/&gt;&lt;wsp:rsid wsp:val=&quot;000F6AB2&quot;/&gt;&lt;wsp:rsid wsp:val=&quot;000F6AF4&quot;/&gt;&lt;wsp:rsid wsp:val=&quot;000F70E6&quot;/&gt;&lt;wsp:rsid wsp:val=&quot;000F7C52&quot;/&gt;&lt;wsp:rsid wsp:val=&quot;0010049C&quot;/&gt;&lt;wsp:rsid wsp:val=&quot;00101569&quot;/&gt;&lt;wsp:rsid wsp:val=&quot;00101CBB&quot;/&gt;&lt;wsp:rsid wsp:val=&quot;0010421A&quot;/&gt;&lt;wsp:rsid wsp:val=&quot;00105A99&quot;/&gt;&lt;wsp:rsid wsp:val=&quot;00113015&quot;/&gt;&lt;wsp:rsid wsp:val=&quot;001138D5&quot;/&gt;&lt;wsp:rsid wsp:val=&quot;0011466B&quot;/&gt;&lt;wsp:rsid wsp:val=&quot;0011777B&quot;/&gt;&lt;wsp:rsid wsp:val=&quot;00123C84&quot;/&gt;&lt;wsp:rsid wsp:val=&quot;001303AA&quot;/&gt;&lt;wsp:rsid wsp:val=&quot;0013166E&quot;/&gt;&lt;wsp:rsid wsp:val=&quot;0013183C&quot;/&gt;&lt;wsp:rsid wsp:val=&quot;00131887&quot;/&gt;&lt;wsp:rsid wsp:val=&quot;001330BA&quot;/&gt;&lt;wsp:rsid wsp:val=&quot;00136D66&quot;/&gt;&lt;wsp:rsid wsp:val=&quot;00140432&quot;/&gt;&lt;wsp:rsid wsp:val=&quot;00140DF5&quot;/&gt;&lt;wsp:rsid wsp:val=&quot;001412E1&quot;/&gt;&lt;wsp:rsid wsp:val=&quot;00141897&quot;/&gt;&lt;wsp:rsid wsp:val=&quot;00141CD9&quot;/&gt;&lt;wsp:rsid wsp:val=&quot;00141EBE&quot;/&gt;&lt;wsp:rsid wsp:val=&quot;00142C0D&quot;/&gt;&lt;wsp:rsid wsp:val=&quot;0014595C&quot;/&gt;&lt;wsp:rsid wsp:val=&quot;00151120&quot;/&gt;&lt;wsp:rsid wsp:val=&quot;00151938&quot;/&gt;&lt;wsp:rsid wsp:val=&quot;001568E1&quot;/&gt;&lt;wsp:rsid wsp:val=&quot;00156CAC&quot;/&gt;&lt;wsp:rsid wsp:val=&quot;00156F83&quot;/&gt;&lt;wsp:rsid wsp:val=&quot;00157DF5&quot;/&gt;&lt;wsp:rsid wsp:val=&quot;00161306&quot;/&gt;&lt;wsp:rsid wsp:val=&quot;0016206C&quot;/&gt;&lt;wsp:rsid wsp:val=&quot;0016233B&quot;/&gt;&lt;wsp:rsid wsp:val=&quot;00162CA7&quot;/&gt;&lt;wsp:rsid wsp:val=&quot;00164E8A&quot;/&gt;&lt;wsp:rsid wsp:val=&quot;0016510C&quot;/&gt;&lt;wsp:rsid wsp:val=&quot;00166D5B&quot;/&gt;&lt;wsp:rsid wsp:val=&quot;00167392&quot;/&gt;&lt;wsp:rsid wsp:val=&quot;001723F6&quot;/&gt;&lt;wsp:rsid wsp:val=&quot;00174456&quot;/&gt;&lt;wsp:rsid wsp:val=&quot;00176D33&quot;/&gt;&lt;wsp:rsid wsp:val=&quot;00177C74&quot;/&gt;&lt;wsp:rsid wsp:val=&quot;00180156&quot;/&gt;&lt;wsp:rsid wsp:val=&quot;0018087C&quot;/&gt;&lt;wsp:rsid wsp:val=&quot;001814B1&quot;/&gt;&lt;wsp:rsid wsp:val=&quot;001823B5&quot;/&gt;&lt;wsp:rsid wsp:val=&quot;00187E16&quot;/&gt;&lt;wsp:rsid wsp:val=&quot;00190152&quot;/&gt;&lt;wsp:rsid wsp:val=&quot;00193A33&quot;/&gt;&lt;wsp:rsid wsp:val=&quot;00193EA0&quot;/&gt;&lt;wsp:rsid wsp:val=&quot;001A21CE&quot;/&gt;&lt;wsp:rsid wsp:val=&quot;001A26E2&quot;/&gt;&lt;wsp:rsid wsp:val=&quot;001A3C3E&quot;/&gt;&lt;wsp:rsid wsp:val=&quot;001A421C&quot;/&gt;&lt;wsp:rsid wsp:val=&quot;001A522C&quot;/&gt;&lt;wsp:rsid wsp:val=&quot;001A6EC2&quot;/&gt;&lt;wsp:rsid wsp:val=&quot;001A778A&quot;/&gt;&lt;wsp:rsid wsp:val=&quot;001B09C7&quot;/&gt;&lt;wsp:rsid wsp:val=&quot;001B0F1E&quot;/&gt;&lt;wsp:rsid wsp:val=&quot;001B1394&quot;/&gt;&lt;wsp:rsid wsp:val=&quot;001B1CAB&quot;/&gt;&lt;wsp:rsid wsp:val=&quot;001B4409&quot;/&gt;&lt;wsp:rsid wsp:val=&quot;001B4E0F&quot;/&gt;&lt;wsp:rsid wsp:val=&quot;001B5A60&quot;/&gt;&lt;wsp:rsid wsp:val=&quot;001C0559&quot;/&gt;&lt;wsp:rsid wsp:val=&quot;001C097A&quot;/&gt;&lt;wsp:rsid wsp:val=&quot;001C1523&quot;/&gt;&lt;wsp:rsid wsp:val=&quot;001C15BC&quot;/&gt;&lt;wsp:rsid wsp:val=&quot;001C1E0D&quot;/&gt;&lt;wsp:rsid wsp:val=&quot;001C3BC8&quot;/&gt;&lt;wsp:rsid wsp:val=&quot;001C42AC&quot;/&gt;&lt;wsp:rsid wsp:val=&quot;001C4611&quot;/&gt;&lt;wsp:rsid wsp:val=&quot;001C6B08&quot;/&gt;&lt;wsp:rsid wsp:val=&quot;001C6D30&quot;/&gt;&lt;wsp:rsid wsp:val=&quot;001C790E&quot;/&gt;&lt;wsp:rsid wsp:val=&quot;001D0638&quot;/&gt;&lt;wsp:rsid wsp:val=&quot;001D4BEA&quot;/&gt;&lt;wsp:rsid wsp:val=&quot;001D55D6&quot;/&gt;&lt;wsp:rsid wsp:val=&quot;001D5A11&quot;/&gt;&lt;wsp:rsid wsp:val=&quot;001D607E&quot;/&gt;&lt;wsp:rsid wsp:val=&quot;001D6748&quot;/&gt;&lt;wsp:rsid wsp:val=&quot;001D79A9&quot;/&gt;&lt;wsp:rsid wsp:val=&quot;001D7C3C&quot;/&gt;&lt;wsp:rsid wsp:val=&quot;001D7C67&quot;/&gt;&lt;wsp:rsid wsp:val=&quot;001E1222&quot;/&gt;&lt;wsp:rsid wsp:val=&quot;001E138E&quot;/&gt;&lt;wsp:rsid wsp:val=&quot;001E1BFD&quot;/&gt;&lt;wsp:rsid wsp:val=&quot;001E2077&quot;/&gt;&lt;wsp:rsid wsp:val=&quot;001E29E1&quot;/&gt;&lt;wsp:rsid wsp:val=&quot;001E448B&quot;/&gt;&lt;wsp:rsid wsp:val=&quot;001F08C3&quot;/&gt;&lt;wsp:rsid wsp:val=&quot;001F3571&quot;/&gt;&lt;wsp:rsid wsp:val=&quot;001F41F2&quot;/&gt;&lt;wsp:rsid wsp:val=&quot;001F4516&quot;/&gt;&lt;wsp:rsid wsp:val=&quot;001F4B0B&quot;/&gt;&lt;wsp:rsid wsp:val=&quot;001F59BC&quot;/&gt;&lt;wsp:rsid wsp:val=&quot;001F636A&quot;/&gt;&lt;wsp:rsid wsp:val=&quot;001F7017&quot;/&gt;&lt;wsp:rsid wsp:val=&quot;001F7537&quot;/&gt;&lt;wsp:rsid wsp:val=&quot;002011A7&quot;/&gt;&lt;wsp:rsid wsp:val=&quot;00202B1C&quot;/&gt;&lt;wsp:rsid wsp:val=&quot;00204063&quot;/&gt;&lt;wsp:rsid wsp:val=&quot;0020450D&quot;/&gt;&lt;wsp:rsid wsp:val=&quot;002046CA&quot;/&gt;&lt;wsp:rsid wsp:val=&quot;00206BCF&quot;/&gt;&lt;wsp:rsid wsp:val=&quot;0020720C&quot;/&gt;&lt;wsp:rsid wsp:val=&quot;00207244&quot;/&gt;&lt;wsp:rsid wsp:val=&quot;00210250&quot;/&gt;&lt;wsp:rsid wsp:val=&quot;00210589&quot;/&gt;&lt;wsp:rsid wsp:val=&quot;00211156&quot;/&gt;&lt;wsp:rsid wsp:val=&quot;002118E0&quot;/&gt;&lt;wsp:rsid wsp:val=&quot;00212B1F&quot;/&gt;&lt;wsp:rsid wsp:val=&quot;00213702&quot;/&gt;&lt;wsp:rsid wsp:val=&quot;002138E5&quot;/&gt;&lt;wsp:rsid wsp:val=&quot;0021456C&quot;/&gt;&lt;wsp:rsid wsp:val=&quot;00216B34&quot;/&gt;&lt;wsp:rsid wsp:val=&quot;00216DD0&quot;/&gt;&lt;wsp:rsid wsp:val=&quot;0022122A&quot;/&gt;&lt;wsp:rsid wsp:val=&quot;00224C95&quot;/&gt;&lt;wsp:rsid wsp:val=&quot;00227F9E&quot;/&gt;&lt;wsp:rsid wsp:val=&quot;00230E2F&quot;/&gt;&lt;wsp:rsid wsp:val=&quot;002310B8&quot;/&gt;&lt;wsp:rsid wsp:val=&quot;00231974&quot;/&gt;&lt;wsp:rsid wsp:val=&quot;00233A54&quot;/&gt;&lt;wsp:rsid wsp:val=&quot;00234896&quot;/&gt;&lt;wsp:rsid wsp:val=&quot;00234E9E&quot;/&gt;&lt;wsp:rsid wsp:val=&quot;0023756C&quot;/&gt;&lt;wsp:rsid wsp:val=&quot;0024278B&quot;/&gt;&lt;wsp:rsid wsp:val=&quot;0025035C&quot;/&gt;&lt;wsp:rsid wsp:val=&quot;0025092E&quot;/&gt;&lt;wsp:rsid wsp:val=&quot;00251259&quot;/&gt;&lt;wsp:rsid wsp:val=&quot;002518A3&quot;/&gt;&lt;wsp:rsid wsp:val=&quot;00253143&quot;/&gt;&lt;wsp:rsid wsp:val=&quot;0025559B&quot;/&gt;&lt;wsp:rsid wsp:val=&quot;002562E8&quot;/&gt;&lt;wsp:rsid wsp:val=&quot;00260257&quot;/&gt;&lt;wsp:rsid wsp:val=&quot;0026536B&quot;/&gt;&lt;wsp:rsid wsp:val=&quot;00265FA6&quot;/&gt;&lt;wsp:rsid wsp:val=&quot;00266441&quot;/&gt;&lt;wsp:rsid wsp:val=&quot;00267C86&quot;/&gt;&lt;wsp:rsid wsp:val=&quot;002704ED&quot;/&gt;&lt;wsp:rsid wsp:val=&quot;0027119E&quot;/&gt;&lt;wsp:rsid wsp:val=&quot;00272A6F&quot;/&gt;&lt;wsp:rsid wsp:val=&quot;00273251&quot;/&gt;&lt;wsp:rsid wsp:val=&quot;00273AF3&quot;/&gt;&lt;wsp:rsid wsp:val=&quot;002746DA&quot;/&gt;&lt;wsp:rsid wsp:val=&quot;00276024&quot;/&gt;&lt;wsp:rsid wsp:val=&quot;00284538&quot;/&gt;&lt;wsp:rsid wsp:val=&quot;00286388&quot;/&gt;&lt;wsp:rsid wsp:val=&quot;00291EFF&quot;/&gt;&lt;wsp:rsid wsp:val=&quot;002921D3&quot;/&gt;&lt;wsp:rsid wsp:val=&quot;0029393D&quot;/&gt;&lt;wsp:rsid wsp:val=&quot;002940E5&quot;/&gt;&lt;wsp:rsid wsp:val=&quot;00294650&quot;/&gt;&lt;wsp:rsid wsp:val=&quot;00295B5C&quot;/&gt;&lt;wsp:rsid wsp:val=&quot;002A0CDB&quot;/&gt;&lt;wsp:rsid wsp:val=&quot;002A239F&quot;/&gt;&lt;wsp:rsid wsp:val=&quot;002A261E&quot;/&gt;&lt;wsp:rsid wsp:val=&quot;002A4CD3&quot;/&gt;&lt;wsp:rsid wsp:val=&quot;002A55BA&quot;/&gt;&lt;wsp:rsid wsp:val=&quot;002A7455&quot;/&gt;&lt;wsp:rsid wsp:val=&quot;002B1443&quot;/&gt;&lt;wsp:rsid wsp:val=&quot;002B2C80&quot;/&gt;&lt;wsp:rsid wsp:val=&quot;002B39AC&quot;/&gt;&lt;wsp:rsid wsp:val=&quot;002B3FDA&quot;/&gt;&lt;wsp:rsid wsp:val=&quot;002B48E4&quot;/&gt;&lt;wsp:rsid wsp:val=&quot;002C2B0A&quot;/&gt;&lt;wsp:rsid wsp:val=&quot;002C2BC6&quot;/&gt;&lt;wsp:rsid wsp:val=&quot;002C3442&quot;/&gt;&lt;wsp:rsid wsp:val=&quot;002C4353&quot;/&gt;&lt;wsp:rsid wsp:val=&quot;002C43AD&quot;/&gt;&lt;wsp:rsid wsp:val=&quot;002C4DD7&quot;/&gt;&lt;wsp:rsid wsp:val=&quot;002C6C2D&quot;/&gt;&lt;wsp:rsid wsp:val=&quot;002D0251&quot;/&gt;&lt;wsp:rsid wsp:val=&quot;002D1CE2&quot;/&gt;&lt;wsp:rsid wsp:val=&quot;002D3C38&quot;/&gt;&lt;wsp:rsid wsp:val=&quot;002E1FF2&quot;/&gt;&lt;wsp:rsid wsp:val=&quot;002E2180&quot;/&gt;&lt;wsp:rsid wsp:val=&quot;002E46D4&quot;/&gt;&lt;wsp:rsid wsp:val=&quot;002E5487&quot;/&gt;&lt;wsp:rsid wsp:val=&quot;002E676C&quot;/&gt;&lt;wsp:rsid wsp:val=&quot;002E79EE&quot;/&gt;&lt;wsp:rsid wsp:val=&quot;002F111A&quot;/&gt;&lt;wsp:rsid wsp:val=&quot;002F142F&quot;/&gt;&lt;wsp:rsid wsp:val=&quot;002F39A9&quot;/&gt;&lt;wsp:rsid wsp:val=&quot;002F600E&quot;/&gt;&lt;wsp:rsid wsp:val=&quot;002F788F&quot;/&gt;&lt;wsp:rsid wsp:val=&quot;003008CB&quot;/&gt;&lt;wsp:rsid wsp:val=&quot;00303A15&quot;/&gt;&lt;wsp:rsid wsp:val=&quot;003057C6&quot;/&gt;&lt;wsp:rsid wsp:val=&quot;00313844&quot;/&gt;&lt;wsp:rsid wsp:val=&quot;00315625&quot;/&gt;&lt;wsp:rsid wsp:val=&quot;00315FA8&quot;/&gt;&lt;wsp:rsid wsp:val=&quot;00317FC0&quot;/&gt;&lt;wsp:rsid wsp:val=&quot;00320118&quot;/&gt;&lt;wsp:rsid wsp:val=&quot;003226EB&quot;/&gt;&lt;wsp:rsid wsp:val=&quot;00324F8B&quot;/&gt;&lt;wsp:rsid wsp:val=&quot;0032614A&quot;/&gt;&lt;wsp:rsid wsp:val=&quot;00327AC3&quot;/&gt;&lt;wsp:rsid wsp:val=&quot;00330607&quot;/&gt;&lt;wsp:rsid wsp:val=&quot;0033097D&quot;/&gt;&lt;wsp:rsid wsp:val=&quot;003340B9&quot;/&gt;&lt;wsp:rsid wsp:val=&quot;003350B6&quot;/&gt;&lt;wsp:rsid wsp:val=&quot;00336E28&quot;/&gt;&lt;wsp:rsid wsp:val=&quot;0033703B&quot;/&gt;&lt;wsp:rsid wsp:val=&quot;00337875&quot;/&gt;&lt;wsp:rsid wsp:val=&quot;00337F8F&quot;/&gt;&lt;wsp:rsid wsp:val=&quot;0034006B&quot;/&gt;&lt;wsp:rsid wsp:val=&quot;00340E02&quot;/&gt;&lt;wsp:rsid wsp:val=&quot;003411E3&quot;/&gt;&lt;wsp:rsid wsp:val=&quot;00341CC3&quot;/&gt;&lt;wsp:rsid wsp:val=&quot;003422B6&quot;/&gt;&lt;wsp:rsid wsp:val=&quot;00344952&quot;/&gt;&lt;wsp:rsid wsp:val=&quot;00346E8D&quot;/&gt;&lt;wsp:rsid wsp:val=&quot;0035047C&quot;/&gt;&lt;wsp:rsid wsp:val=&quot;003530C1&quot;/&gt;&lt;wsp:rsid wsp:val=&quot;00353347&quot;/&gt;&lt;wsp:rsid wsp:val=&quot;0035429A&quot;/&gt;&lt;wsp:rsid wsp:val=&quot;00354686&quot;/&gt;&lt;wsp:rsid wsp:val=&quot;0035608C&quot;/&gt;&lt;wsp:rsid wsp:val=&quot;003602A5&quot;/&gt;&lt;wsp:rsid wsp:val=&quot;00360899&quot;/&gt;&lt;wsp:rsid wsp:val=&quot;00361ACE&quot;/&gt;&lt;wsp:rsid wsp:val=&quot;00363541&quot;/&gt;&lt;wsp:rsid wsp:val=&quot;003638A7&quot;/&gt;&lt;wsp:rsid wsp:val=&quot;0037305C&quot;/&gt;&lt;wsp:rsid wsp:val=&quot;0037558E&quot;/&gt;&lt;wsp:rsid wsp:val=&quot;00376F6D&quot;/&gt;&lt;wsp:rsid wsp:val=&quot;00381472&quot;/&gt;&lt;wsp:rsid wsp:val=&quot;00383AE1&quot;/&gt;&lt;wsp:rsid wsp:val=&quot;00387083&quot;/&gt;&lt;wsp:rsid wsp:val=&quot;00391122&quot;/&gt;&lt;wsp:rsid wsp:val=&quot;00391A62&quot;/&gt;&lt;wsp:rsid wsp:val=&quot;00392356&quot;/&gt;&lt;wsp:rsid wsp:val=&quot;003929A1&quot;/&gt;&lt;wsp:rsid wsp:val=&quot;00393282&quot;/&gt;&lt;wsp:rsid wsp:val=&quot;003955BA&quot;/&gt;&lt;wsp:rsid wsp:val=&quot;0039561D&quot;/&gt;&lt;wsp:rsid wsp:val=&quot;0039756C&quot;/&gt;&lt;wsp:rsid wsp:val=&quot;00397986&quot;/&gt;&lt;wsp:rsid wsp:val=&quot;003A0E6A&quot;/&gt;&lt;wsp:rsid wsp:val=&quot;003A40EC&quot;/&gt;&lt;wsp:rsid wsp:val=&quot;003A579F&quot;/&gt;&lt;wsp:rsid wsp:val=&quot;003B056E&quot;/&gt;&lt;wsp:rsid wsp:val=&quot;003B0A2E&quot;/&gt;&lt;wsp:rsid wsp:val=&quot;003B1CA7&quot;/&gt;&lt;wsp:rsid wsp:val=&quot;003B3BD3&quot;/&gt;&lt;wsp:rsid wsp:val=&quot;003B4BD3&quot;/&gt;&lt;wsp:rsid wsp:val=&quot;003B5449&quot;/&gt;&lt;wsp:rsid wsp:val=&quot;003B63BC&quot;/&gt;&lt;wsp:rsid wsp:val=&quot;003C1591&quot;/&gt;&lt;wsp:rsid wsp:val=&quot;003C1D18&quot;/&gt;&lt;wsp:rsid wsp:val=&quot;003C22B0&quot;/&gt;&lt;wsp:rsid wsp:val=&quot;003C4E1D&quot;/&gt;&lt;wsp:rsid wsp:val=&quot;003C5758&quot;/&gt;&lt;wsp:rsid wsp:val=&quot;003C6226&quot;/&gt;&lt;wsp:rsid wsp:val=&quot;003C6E98&quot;/&gt;&lt;wsp:rsid wsp:val=&quot;003D03E7&quot;/&gt;&lt;wsp:rsid wsp:val=&quot;003D0965&quot;/&gt;&lt;wsp:rsid wsp:val=&quot;003D14C1&quot;/&gt;&lt;wsp:rsid wsp:val=&quot;003D2E1D&quot;/&gt;&lt;wsp:rsid wsp:val=&quot;003D5FA3&quot;/&gt;&lt;wsp:rsid wsp:val=&quot;003D6058&quot;/&gt;&lt;wsp:rsid wsp:val=&quot;003E20C5&quot;/&gt;&lt;wsp:rsid wsp:val=&quot;003E2432&quot;/&gt;&lt;wsp:rsid wsp:val=&quot;003E434F&quot;/&gt;&lt;wsp:rsid wsp:val=&quot;003E603A&quot;/&gt;&lt;wsp:rsid wsp:val=&quot;003F073B&quot;/&gt;&lt;wsp:rsid wsp:val=&quot;003F3F10&quot;/&gt;&lt;wsp:rsid wsp:val=&quot;003F5A41&quot;/&gt;&lt;wsp:rsid wsp:val=&quot;003F6211&quot;/&gt;&lt;wsp:rsid wsp:val=&quot;003F7B94&quot;/&gt;&lt;wsp:rsid wsp:val=&quot;00400050&quot;/&gt;&lt;wsp:rsid wsp:val=&quot;00403792&quot;/&gt;&lt;wsp:rsid wsp:val=&quot;00403F09&quot;/&gt;&lt;wsp:rsid wsp:val=&quot;00403F13&quot;/&gt;&lt;wsp:rsid wsp:val=&quot;00404FA1&quot;/&gt;&lt;wsp:rsid wsp:val=&quot;0040642E&quot;/&gt;&lt;wsp:rsid wsp:val=&quot;004076AE&quot;/&gt;&lt;wsp:rsid wsp:val=&quot;00411D7E&quot;/&gt;&lt;wsp:rsid wsp:val=&quot;00412338&quot;/&gt;&lt;wsp:rsid wsp:val=&quot;00413CB6&quot;/&gt;&lt;wsp:rsid wsp:val=&quot;00415D86&quot;/&gt;&lt;wsp:rsid wsp:val=&quot;004178E4&quot;/&gt;&lt;wsp:rsid wsp:val=&quot;00421235&quot;/&gt;&lt;wsp:rsid wsp:val=&quot;004219DD&quot;/&gt;&lt;wsp:rsid wsp:val=&quot;00424EC2&quot;/&gt;&lt;wsp:rsid wsp:val=&quot;004269C8&quot;/&gt;&lt;wsp:rsid wsp:val=&quot;00426A26&quot;/&gt;&lt;wsp:rsid wsp:val=&quot;00427BCD&quot;/&gt;&lt;wsp:rsid wsp:val=&quot;004364DD&quot;/&gt;&lt;wsp:rsid wsp:val=&quot;00440A33&quot;/&gt;&lt;wsp:rsid wsp:val=&quot;00442C0B&quot;/&gt;&lt;wsp:rsid wsp:val=&quot;00443680&quot;/&gt;&lt;wsp:rsid wsp:val=&quot;004445DC&quot;/&gt;&lt;wsp:rsid wsp:val=&quot;0044615D&quot;/&gt;&lt;wsp:rsid wsp:val=&quot;00447435&quot;/&gt;&lt;wsp:rsid wsp:val=&quot;00447B6C&quot;/&gt;&lt;wsp:rsid wsp:val=&quot;0045233C&quot;/&gt;&lt;wsp:rsid wsp:val=&quot;00452563&quot;/&gt;&lt;wsp:rsid wsp:val=&quot;0045469E&quot;/&gt;&lt;wsp:rsid wsp:val=&quot;00457124&quot;/&gt;&lt;wsp:rsid wsp:val=&quot;00457482&quot;/&gt;&lt;wsp:rsid wsp:val=&quot;00460DFC&quot;/&gt;&lt;wsp:rsid wsp:val=&quot;00462D80&quot;/&gt;&lt;wsp:rsid wsp:val=&quot;00467566&quot;/&gt;&lt;wsp:rsid wsp:val=&quot;004679BE&quot;/&gt;&lt;wsp:rsid wsp:val=&quot;00467EBA&quot;/&gt;&lt;wsp:rsid wsp:val=&quot;004706C7&quot;/&gt;&lt;wsp:rsid wsp:val=&quot;00470C44&quot;/&gt;&lt;wsp:rsid wsp:val=&quot;0047232D&quot;/&gt;&lt;wsp:rsid wsp:val=&quot;00472472&quot;/&gt;&lt;wsp:rsid wsp:val=&quot;00472E6E&quot;/&gt;&lt;wsp:rsid wsp:val=&quot;00472F98&quot;/&gt;&lt;wsp:rsid wsp:val=&quot;00473637&quot;/&gt;&lt;wsp:rsid wsp:val=&quot;0047401C&quot;/&gt;&lt;wsp:rsid wsp:val=&quot;00474CAB&quot;/&gt;&lt;wsp:rsid wsp:val=&quot;004758D5&quot;/&gt;&lt;wsp:rsid wsp:val=&quot;00475EB3&quot;/&gt;&lt;wsp:rsid wsp:val=&quot;00476223&quot;/&gt;&lt;wsp:rsid wsp:val=&quot;00477065&quot;/&gt;&lt;wsp:rsid wsp:val=&quot;00477790&quot;/&gt;&lt;wsp:rsid wsp:val=&quot;0048760D&quot;/&gt;&lt;wsp:rsid wsp:val=&quot;004904E6&quot;/&gt;&lt;wsp:rsid wsp:val=&quot;00490844&quot;/&gt;&lt;wsp:rsid wsp:val=&quot;00491F6F&quot;/&gt;&lt;wsp:rsid wsp:val=&quot;00493B09&quot;/&gt;&lt;wsp:rsid wsp:val=&quot;00493F5C&quot;/&gt;&lt;wsp:rsid wsp:val=&quot;00494506&quot;/&gt;&lt;wsp:rsid wsp:val=&quot;0049556E&quot;/&gt;&lt;wsp:rsid wsp:val=&quot;004969F4&quot;/&gt;&lt;wsp:rsid wsp:val=&quot;00497BA4&quot;/&gt;&lt;wsp:rsid wsp:val=&quot;004A1CF3&quot;/&gt;&lt;wsp:rsid wsp:val=&quot;004A2196&quot;/&gt;&lt;wsp:rsid wsp:val=&quot;004A22D2&quot;/&gt;&lt;wsp:rsid wsp:val=&quot;004A2E53&quot;/&gt;&lt;wsp:rsid wsp:val=&quot;004A4B46&quot;/&gt;&lt;wsp:rsid wsp:val=&quot;004A5C83&quot;/&gt;&lt;wsp:rsid wsp:val=&quot;004B0D13&quot;/&gt;&lt;wsp:rsid wsp:val=&quot;004B10C3&quot;/&gt;&lt;wsp:rsid wsp:val=&quot;004B2C17&quot;/&gt;&lt;wsp:rsid wsp:val=&quot;004B5A79&quot;/&gt;&lt;wsp:rsid wsp:val=&quot;004B6068&quot;/&gt;&lt;wsp:rsid wsp:val=&quot;004B7B40&quot;/&gt;&lt;wsp:rsid wsp:val=&quot;004C0347&quot;/&gt;&lt;wsp:rsid wsp:val=&quot;004C0352&quot;/&gt;&lt;wsp:rsid wsp:val=&quot;004C3350&quot;/&gt;&lt;wsp:rsid wsp:val=&quot;004C36F8&quot;/&gt;&lt;wsp:rsid wsp:val=&quot;004C4F3E&quot;/&gt;&lt;wsp:rsid wsp:val=&quot;004C5213&quot;/&gt;&lt;wsp:rsid wsp:val=&quot;004D509A&quot;/&gt;&lt;wsp:rsid wsp:val=&quot;004D7F2F&quot;/&gt;&lt;wsp:rsid wsp:val=&quot;004D7F48&quot;/&gt;&lt;wsp:rsid wsp:val=&quot;004E0F07&quot;/&gt;&lt;wsp:rsid wsp:val=&quot;004E4433&quot;/&gt;&lt;wsp:rsid wsp:val=&quot;004E5A0D&quot;/&gt;&lt;wsp:rsid wsp:val=&quot;004E610E&quot;/&gt;&lt;wsp:rsid wsp:val=&quot;004E6AA4&quot;/&gt;&lt;wsp:rsid wsp:val=&quot;004F012F&quot;/&gt;&lt;wsp:rsid wsp:val=&quot;004F1D55&quot;/&gt;&lt;wsp:rsid wsp:val=&quot;004F2925&quot;/&gt;&lt;wsp:rsid wsp:val=&quot;004F292D&quot;/&gt;&lt;wsp:rsid wsp:val=&quot;004F43F2&quot;/&gt;&lt;wsp:rsid wsp:val=&quot;004F51C9&quot;/&gt;&lt;wsp:rsid wsp:val=&quot;004F75C5&quot;/&gt;&lt;wsp:rsid wsp:val=&quot;004F7AA8&quot;/&gt;&lt;wsp:rsid wsp:val=&quot;004F7C92&quot;/&gt;&lt;wsp:rsid wsp:val=&quot;005016F5&quot;/&gt;&lt;wsp:rsid wsp:val=&quot;00501F31&quot;/&gt;&lt;wsp:rsid wsp:val=&quot;00502ED7&quot;/&gt;&lt;wsp:rsid wsp:val=&quot;00503949&quot;/&gt;&lt;wsp:rsid wsp:val=&quot;00503D98&quot;/&gt;&lt;wsp:rsid wsp:val=&quot;005049B3&quot;/&gt;&lt;wsp:rsid wsp:val=&quot;005061B1&quot;/&gt;&lt;wsp:rsid wsp:val=&quot;00506331&quot;/&gt;&lt;wsp:rsid wsp:val=&quot;005064FC&quot;/&gt;&lt;wsp:rsid wsp:val=&quot;005102A1&quot;/&gt;&lt;wsp:rsid wsp:val=&quot;00512F5E&quot;/&gt;&lt;wsp:rsid wsp:val=&quot;00514420&quot;/&gt;&lt;wsp:rsid wsp:val=&quot;005169C8&quot;/&gt;&lt;wsp:rsid wsp:val=&quot;00516F5A&quot;/&gt;&lt;wsp:rsid wsp:val=&quot;005227AB&quot;/&gt;&lt;wsp:rsid wsp:val=&quot;00525B25&quot;/&gt;&lt;wsp:rsid wsp:val=&quot;00525B88&quot;/&gt;&lt;wsp:rsid wsp:val=&quot;0052739B&quot;/&gt;&lt;wsp:rsid wsp:val=&quot;00527A0E&quot;/&gt;&lt;wsp:rsid wsp:val=&quot;00531D82&quot;/&gt;&lt;wsp:rsid wsp:val=&quot;005330A6&quot;/&gt;&lt;wsp:rsid wsp:val=&quot;005331EF&quot;/&gt;&lt;wsp:rsid wsp:val=&quot;005334D5&quot;/&gt;&lt;wsp:rsid wsp:val=&quot;00535F3E&quot;/&gt;&lt;wsp:rsid wsp:val=&quot;00536729&quot;/&gt;&lt;wsp:rsid wsp:val=&quot;00537808&quot;/&gt;&lt;wsp:rsid wsp:val=&quot;005407BE&quot;/&gt;&lt;wsp:rsid wsp:val=&quot;00540E0D&quot;/&gt;&lt;wsp:rsid wsp:val=&quot;0054184F&quot;/&gt;&lt;wsp:rsid wsp:val=&quot;00541DD8&quot;/&gt;&lt;wsp:rsid wsp:val=&quot;00551A6F&quot;/&gt;&lt;wsp:rsid wsp:val=&quot;0055203A&quot;/&gt;&lt;wsp:rsid wsp:val=&quot;005539F3&quot;/&gt;&lt;wsp:rsid wsp:val=&quot;00554A26&quot;/&gt;&lt;wsp:rsid wsp:val=&quot;00556B50&quot;/&gt;&lt;wsp:rsid wsp:val=&quot;005604AA&quot;/&gt;&lt;wsp:rsid wsp:val=&quot;00560E7A&quot;/&gt;&lt;wsp:rsid wsp:val=&quot;00561213&quot;/&gt;&lt;wsp:rsid wsp:val=&quot;005650E5&quot;/&gt;&lt;wsp:rsid wsp:val=&quot;00565BDE&quot;/&gt;&lt;wsp:rsid wsp:val=&quot;00565E2B&quot;/&gt;&lt;wsp:rsid wsp:val=&quot;0056666A&quot;/&gt;&lt;wsp:rsid wsp:val=&quot;00567BC7&quot;/&gt;&lt;wsp:rsid wsp:val=&quot;00571284&quot;/&gt;&lt;wsp:rsid wsp:val=&quot;005713E6&quot;/&gt;&lt;wsp:rsid wsp:val=&quot;00571E47&quot;/&gt;&lt;wsp:rsid wsp:val=&quot;00574060&quot;/&gt;&lt;wsp:rsid wsp:val=&quot;00574A68&quot;/&gt;&lt;wsp:rsid wsp:val=&quot;00581D08&quot;/&gt;&lt;wsp:rsid wsp:val=&quot;00585C31&quot;/&gt;&lt;wsp:rsid wsp:val=&quot;00586904&quot;/&gt;&lt;wsp:rsid wsp:val=&quot;00586B96&quot;/&gt;&lt;wsp:rsid wsp:val=&quot;00592F76&quot;/&gt;&lt;wsp:rsid wsp:val=&quot;00593829&quot;/&gt;&lt;wsp:rsid wsp:val=&quot;00593E13&quot;/&gt;&lt;wsp:rsid wsp:val=&quot;005944FC&quot;/&gt;&lt;wsp:rsid wsp:val=&quot;005A58E2&quot;/&gt;&lt;wsp:rsid wsp:val=&quot;005A69F2&quot;/&gt;&lt;wsp:rsid wsp:val=&quot;005B05D5&quot;/&gt;&lt;wsp:rsid wsp:val=&quot;005B0AEF&quot;/&gt;&lt;wsp:rsid wsp:val=&quot;005B0DEC&quot;/&gt;&lt;wsp:rsid wsp:val=&quot;005B0FFB&quot;/&gt;&lt;wsp:rsid wsp:val=&quot;005B4312&quot;/&gt;&lt;wsp:rsid wsp:val=&quot;005B5291&quot;/&gt;&lt;wsp:rsid wsp:val=&quot;005B6FB7&quot;/&gt;&lt;wsp:rsid wsp:val=&quot;005B7789&quot;/&gt;&lt;wsp:rsid wsp:val=&quot;005B7BD0&quot;/&gt;&lt;wsp:rsid wsp:val=&quot;005C0191&quot;/&gt;&lt;wsp:rsid wsp:val=&quot;005C040D&quot;/&gt;&lt;wsp:rsid wsp:val=&quot;005C1E2D&quot;/&gt;&lt;wsp:rsid wsp:val=&quot;005C4DAB&quot;/&gt;&lt;wsp:rsid wsp:val=&quot;005C5CE9&quot;/&gt;&lt;wsp:rsid wsp:val=&quot;005C7128&quot;/&gt;&lt;wsp:rsid wsp:val=&quot;005D3C6D&quot;/&gt;&lt;wsp:rsid wsp:val=&quot;005D6F98&quot;/&gt;&lt;wsp:rsid wsp:val=&quot;005D7418&quot;/&gt;&lt;wsp:rsid wsp:val=&quot;005D7918&quot;/&gt;&lt;wsp:rsid wsp:val=&quot;005E064F&quot;/&gt;&lt;wsp:rsid wsp:val=&quot;005E0C59&quot;/&gt;&lt;wsp:rsid wsp:val=&quot;005E2EBB&quot;/&gt;&lt;wsp:rsid wsp:val=&quot;005E360E&quot;/&gt;&lt;wsp:rsid wsp:val=&quot;005E4CB3&quot;/&gt;&lt;wsp:rsid wsp:val=&quot;005E5BB1&quot;/&gt;&lt;wsp:rsid wsp:val=&quot;005E7176&quot;/&gt;&lt;wsp:rsid wsp:val=&quot;005F089F&quot;/&gt;&lt;wsp:rsid wsp:val=&quot;005F0A70&quot;/&gt;&lt;wsp:rsid wsp:val=&quot;005F2367&quot;/&gt;&lt;wsp:rsid wsp:val=&quot;005F3CAF&quot;/&gt;&lt;wsp:rsid wsp:val=&quot;005F6683&quot;/&gt;&lt;wsp:rsid wsp:val=&quot;005F6CD7&quot;/&gt;&lt;wsp:rsid wsp:val=&quot;00600AD7&quot;/&gt;&lt;wsp:rsid wsp:val=&quot;006112EC&quot;/&gt;&lt;wsp:rsid wsp:val=&quot;00613C08&quot;/&gt;&lt;wsp:rsid wsp:val=&quot;006161A0&quot;/&gt;&lt;wsp:rsid wsp:val=&quot;006179BD&quot;/&gt;&lt;wsp:rsid wsp:val=&quot;00620803&quot;/&gt;&lt;wsp:rsid wsp:val=&quot;00620F09&quot;/&gt;&lt;wsp:rsid wsp:val=&quot;006223D0&quot;/&gt;&lt;wsp:rsid wsp:val=&quot;00633C61&quot;/&gt;&lt;wsp:rsid wsp:val=&quot;006345E1&quot;/&gt;&lt;wsp:rsid wsp:val=&quot;00634D3C&quot;/&gt;&lt;wsp:rsid wsp:val=&quot;00635DB1&quot;/&gt;&lt;wsp:rsid wsp:val=&quot;00636B08&quot;/&gt;&lt;wsp:rsid wsp:val=&quot;006379E5&quot;/&gt;&lt;wsp:rsid wsp:val=&quot;00640521&quot;/&gt;&lt;wsp:rsid wsp:val=&quot;00642432&quot;/&gt;&lt;wsp:rsid wsp:val=&quot;00642DF6&quot;/&gt;&lt;wsp:rsid wsp:val=&quot;00644C10&quot;/&gt;&lt;wsp:rsid wsp:val=&quot;0064755E&quot;/&gt;&lt;wsp:rsid wsp:val=&quot;00647C8E&quot;/&gt;&lt;wsp:rsid wsp:val=&quot;006504C2&quot;/&gt;&lt;wsp:rsid wsp:val=&quot;00652295&quot;/&gt;&lt;wsp:rsid wsp:val=&quot;00657C66&quot;/&gt;&lt;wsp:rsid wsp:val=&quot;0066065B&quot;/&gt;&lt;wsp:rsid wsp:val=&quot;006630CA&quot;/&gt;&lt;wsp:rsid wsp:val=&quot;006673D6&quot;/&gt;&lt;wsp:rsid wsp:val=&quot;0067150E&quot;/&gt;&lt;wsp:rsid wsp:val=&quot;006719C5&quot;/&gt;&lt;wsp:rsid wsp:val=&quot;00673AA1&quot;/&gt;&lt;wsp:rsid wsp:val=&quot;00673B3F&quot;/&gt;&lt;wsp:rsid wsp:val=&quot;00675283&quot;/&gt;&lt;wsp:rsid wsp:val=&quot;00676C18&quot;/&gt;&lt;wsp:rsid wsp:val=&quot;00677370&quot;/&gt;&lt;wsp:rsid wsp:val=&quot;00680C23&quot;/&gt;&lt;wsp:rsid wsp:val=&quot;00681AB4&quot;/&gt;&lt;wsp:rsid wsp:val=&quot;00681B65&quot;/&gt;&lt;wsp:rsid wsp:val=&quot;00683673&quot;/&gt;&lt;wsp:rsid wsp:val=&quot;00683963&quot;/&gt;&lt;wsp:rsid wsp:val=&quot;00683AEF&quot;/&gt;&lt;wsp:rsid wsp:val=&quot;00684B76&quot;/&gt;&lt;wsp:rsid wsp:val=&quot;006850B0&quot;/&gt;&lt;wsp:rsid wsp:val=&quot;006922AD&quot;/&gt;&lt;wsp:rsid wsp:val=&quot;0069363B&quot;/&gt;&lt;wsp:rsid wsp:val=&quot;00696469&quot;/&gt;&lt;wsp:rsid wsp:val=&quot;00697D92&quot;/&gt;&lt;wsp:rsid wsp:val=&quot;006A2B7A&quot;/&gt;&lt;wsp:rsid wsp:val=&quot;006A2E94&quot;/&gt;&lt;wsp:rsid wsp:val=&quot;006A737D&quot;/&gt;&lt;wsp:rsid wsp:val=&quot;006A7D08&quot;/&gt;&lt;wsp:rsid wsp:val=&quot;006B2642&quot;/&gt;&lt;wsp:rsid wsp:val=&quot;006B2696&quot;/&gt;&lt;wsp:rsid wsp:val=&quot;006B29AD&quot;/&gt;&lt;wsp:rsid wsp:val=&quot;006B5C33&quot;/&gt;&lt;wsp:rsid wsp:val=&quot;006C088D&quot;/&gt;&lt;wsp:rsid wsp:val=&quot;006C1A11&quot;/&gt;&lt;wsp:rsid wsp:val=&quot;006C1B77&quot;/&gt;&lt;wsp:rsid wsp:val=&quot;006C1C42&quot;/&gt;&lt;wsp:rsid wsp:val=&quot;006C1D5A&quot;/&gt;&lt;wsp:rsid wsp:val=&quot;006C560D&quot;/&gt;&lt;wsp:rsid wsp:val=&quot;006C6328&quot;/&gt;&lt;wsp:rsid wsp:val=&quot;006C6710&quot;/&gt;&lt;wsp:rsid wsp:val=&quot;006D059D&quot;/&gt;&lt;wsp:rsid wsp:val=&quot;006D0DC4&quot;/&gt;&lt;wsp:rsid wsp:val=&quot;006D13D1&quot;/&gt;&lt;wsp:rsid wsp:val=&quot;006D278F&quot;/&gt;&lt;wsp:rsid wsp:val=&quot;006D3151&quot;/&gt;&lt;wsp:rsid wsp:val=&quot;006D47F9&quot;/&gt;&lt;wsp:rsid wsp:val=&quot;006D5126&quot;/&gt;&lt;wsp:rsid wsp:val=&quot;006D674C&quot;/&gt;&lt;wsp:rsid wsp:val=&quot;006D6A89&quot;/&gt;&lt;wsp:rsid wsp:val=&quot;006E4240&quot;/&gt;&lt;wsp:rsid wsp:val=&quot;006E7AA5&quot;/&gt;&lt;wsp:rsid wsp:val=&quot;006F230B&quot;/&gt;&lt;wsp:rsid wsp:val=&quot;007025FC&quot;/&gt;&lt;wsp:rsid wsp:val=&quot;00703529&quot;/&gt;&lt;wsp:rsid wsp:val=&quot;00703F92&quot;/&gt;&lt;wsp:rsid wsp:val=&quot;007052CF&quot;/&gt;&lt;wsp:rsid wsp:val=&quot;00706B59&quot;/&gt;&lt;wsp:rsid wsp:val=&quot;0070757A&quot;/&gt;&lt;wsp:rsid wsp:val=&quot;00710293&quot;/&gt;&lt;wsp:rsid wsp:val=&quot;00710B1C&quot;/&gt;&lt;wsp:rsid wsp:val=&quot;00711D5E&quot;/&gt;&lt;wsp:rsid wsp:val=&quot;007153E2&quot;/&gt;&lt;wsp:rsid wsp:val=&quot;00715FB5&quot;/&gt;&lt;wsp:rsid wsp:val=&quot;00717C96&quot;/&gt;&lt;wsp:rsid wsp:val=&quot;00721D17&quot;/&gt;&lt;wsp:rsid wsp:val=&quot;0072583B&quot;/&gt;&lt;wsp:rsid wsp:val=&quot;0072642B&quot;/&gt;&lt;wsp:rsid wsp:val=&quot;00732560&quot;/&gt;&lt;wsp:rsid wsp:val=&quot;00732BC1&quot;/&gt;&lt;wsp:rsid wsp:val=&quot;00734EFA&quot;/&gt;&lt;wsp:rsid wsp:val=&quot;00737368&quot;/&gt;&lt;wsp:rsid wsp:val=&quot;00737BCF&quot;/&gt;&lt;wsp:rsid wsp:val=&quot;007425CB&quot;/&gt;&lt;wsp:rsid wsp:val=&quot;0074445A&quot;/&gt;&lt;wsp:rsid wsp:val=&quot;00745E6F&quot;/&gt;&lt;wsp:rsid wsp:val=&quot;0074788C&quot;/&gt;&lt;wsp:rsid wsp:val=&quot;0075102A&quot;/&gt;&lt;wsp:rsid wsp:val=&quot;0075138A&quot;/&gt;&lt;wsp:rsid wsp:val=&quot;00751AFF&quot;/&gt;&lt;wsp:rsid wsp:val=&quot;007527E7&quot;/&gt;&lt;wsp:rsid wsp:val=&quot;0075310A&quot;/&gt;&lt;wsp:rsid wsp:val=&quot;00756968&quot;/&gt;&lt;wsp:rsid wsp:val=&quot;007571A3&quot;/&gt;&lt;wsp:rsid wsp:val=&quot;007571B8&quot;/&gt;&lt;wsp:rsid wsp:val=&quot;00757C93&quot;/&gt;&lt;wsp:rsid wsp:val=&quot;00761E06&quot;/&gt;&lt;wsp:rsid wsp:val=&quot;00763D7E&quot;/&gt;&lt;wsp:rsid wsp:val=&quot;00764CEB&quot;/&gt;&lt;wsp:rsid wsp:val=&quot;00764F69&quot;/&gt;&lt;wsp:rsid wsp:val=&quot;00765016&quot;/&gt;&lt;wsp:rsid wsp:val=&quot;007661AB&quot;/&gt;&lt;wsp:rsid wsp:val=&quot;007710A7&quot;/&gt;&lt;wsp:rsid wsp:val=&quot;00771B13&quot;/&gt;&lt;wsp:rsid wsp:val=&quot;00771BB5&quot;/&gt;&lt;wsp:rsid wsp:val=&quot;00773485&quot;/&gt;&lt;wsp:rsid wsp:val=&quot;00775569&quot;/&gt;&lt;wsp:rsid wsp:val=&quot;00780D63&quot;/&gt;&lt;wsp:rsid wsp:val=&quot;00781914&quot;/&gt;&lt;wsp:rsid wsp:val=&quot;00782C7B&quot;/&gt;&lt;wsp:rsid wsp:val=&quot;00782FFA&quot;/&gt;&lt;wsp:rsid wsp:val=&quot;00783516&quot;/&gt;&lt;wsp:rsid wsp:val=&quot;00784524&quot;/&gt;&lt;wsp:rsid wsp:val=&quot;00784C0D&quot;/&gt;&lt;wsp:rsid wsp:val=&quot;0078669F&quot;/&gt;&lt;wsp:rsid wsp:val=&quot;00786810&quot;/&gt;&lt;wsp:rsid wsp:val=&quot;00786A33&quot;/&gt;&lt;wsp:rsid wsp:val=&quot;007874C6&quot;/&gt;&lt;wsp:rsid wsp:val=&quot;00787599&quot;/&gt;&lt;wsp:rsid wsp:val=&quot;00790BE5&quot;/&gt;&lt;wsp:rsid wsp:val=&quot;00794D8E&quot;/&gt;&lt;wsp:rsid wsp:val=&quot;007A075E&quot;/&gt;&lt;wsp:rsid wsp:val=&quot;007A37E5&quot;/&gt;&lt;wsp:rsid wsp:val=&quot;007A41C8&quot;/&gt;&lt;wsp:rsid wsp:val=&quot;007B04C2&quot;/&gt;&lt;wsp:rsid wsp:val=&quot;007B1EEC&quot;/&gt;&lt;wsp:rsid wsp:val=&quot;007B26C8&quot;/&gt;&lt;wsp:rsid wsp:val=&quot;007B3619&quot;/&gt;&lt;wsp:rsid wsp:val=&quot;007B571E&quot;/&gt;&lt;wsp:rsid wsp:val=&quot;007B66C8&quot;/&gt;&lt;wsp:rsid wsp:val=&quot;007C0646&quot;/&gt;&lt;wsp:rsid wsp:val=&quot;007C221A&quot;/&gt;&lt;wsp:rsid wsp:val=&quot;007C36EA&quot;/&gt;&lt;wsp:rsid wsp:val=&quot;007C4694&quot;/&gt;&lt;wsp:rsid wsp:val=&quot;007C5109&quot;/&gt;&lt;wsp:rsid wsp:val=&quot;007C5138&quot;/&gt;&lt;wsp:rsid wsp:val=&quot;007C6F99&quot;/&gt;&lt;wsp:rsid wsp:val=&quot;007C7FDA&quot;/&gt;&lt;wsp:rsid wsp:val=&quot;007D25B0&quot;/&gt;&lt;wsp:rsid wsp:val=&quot;007D32D7&quot;/&gt;&lt;wsp:rsid wsp:val=&quot;007D3637&quot;/&gt;&lt;wsp:rsid wsp:val=&quot;007D36B1&quot;/&gt;&lt;wsp:rsid wsp:val=&quot;007D5B2B&quot;/&gt;&lt;wsp:rsid wsp:val=&quot;007D63EC&quot;/&gt;&lt;wsp:rsid wsp:val=&quot;007D7AE5&quot;/&gt;&lt;wsp:rsid wsp:val=&quot;007D7B29&quot;/&gt;&lt;wsp:rsid wsp:val=&quot;007D7C52&quot;/&gt;&lt;wsp:rsid wsp:val=&quot;007E0982&quot;/&gt;&lt;wsp:rsid wsp:val=&quot;007E09B2&quot;/&gt;&lt;wsp:rsid wsp:val=&quot;007E0C88&quot;/&gt;&lt;wsp:rsid wsp:val=&quot;007E43E2&quot;/&gt;&lt;wsp:rsid wsp:val=&quot;007E6527&quot;/&gt;&lt;wsp:rsid wsp:val=&quot;007E7440&quot;/&gt;&lt;wsp:rsid wsp:val=&quot;007E7D52&quot;/&gt;&lt;wsp:rsid wsp:val=&quot;007E7D58&quot;/&gt;&lt;wsp:rsid wsp:val=&quot;007F0E87&quot;/&gt;&lt;wsp:rsid wsp:val=&quot;007F2B93&quot;/&gt;&lt;wsp:rsid wsp:val=&quot;007F6004&quot;/&gt;&lt;wsp:rsid wsp:val=&quot;00804EFD&quot;/&gt;&lt;wsp:rsid wsp:val=&quot;00805711&quot;/&gt;&lt;wsp:rsid wsp:val=&quot;00807B76&quot;/&gt;&lt;wsp:rsid wsp:val=&quot;00810255&quot;/&gt;&lt;wsp:rsid wsp:val=&quot;0081189E&quot;/&gt;&lt;wsp:rsid wsp:val=&quot;00812CA5&quot;/&gt;&lt;wsp:rsid wsp:val=&quot;0081447F&quot;/&gt;&lt;wsp:rsid wsp:val=&quot;00814B22&quot;/&gt;&lt;wsp:rsid wsp:val=&quot;008158DF&quot;/&gt;&lt;wsp:rsid wsp:val=&quot;00817C32&quot;/&gt;&lt;wsp:rsid wsp:val=&quot;0082096C&quot;/&gt;&lt;wsp:rsid wsp:val=&quot;00826344&quot;/&gt;&lt;wsp:rsid wsp:val=&quot;0082714B&quot;/&gt;&lt;wsp:rsid wsp:val=&quot;00827BA4&quot;/&gt;&lt;wsp:rsid wsp:val=&quot;00835C6A&quot;/&gt;&lt;wsp:rsid wsp:val=&quot;008363E5&quot;/&gt;&lt;wsp:rsid wsp:val=&quot;00840668&quot;/&gt;&lt;wsp:rsid wsp:val=&quot;00840C78&quot;/&gt;&lt;wsp:rsid wsp:val=&quot;0084278D&quot;/&gt;&lt;wsp:rsid wsp:val=&quot;00846EC4&quot;/&gt;&lt;wsp:rsid wsp:val=&quot;00847610&quot;/&gt;&lt;wsp:rsid wsp:val=&quot;0085056C&quot;/&gt;&lt;wsp:rsid wsp:val=&quot;00850855&quot;/&gt;&lt;wsp:rsid wsp:val=&quot;00850B4F&quot;/&gt;&lt;wsp:rsid wsp:val=&quot;00853B9C&quot;/&gt;&lt;wsp:rsid wsp:val=&quot;00853D69&quot;/&gt;&lt;wsp:rsid wsp:val=&quot;00855A8E&quot;/&gt;&lt;wsp:rsid wsp:val=&quot;008625F5&quot;/&gt;&lt;wsp:rsid wsp:val=&quot;008626FD&quot;/&gt;&lt;wsp:rsid wsp:val=&quot;00863DBA&quot;/&gt;&lt;wsp:rsid wsp:val=&quot;008645C2&quot;/&gt;&lt;wsp:rsid wsp:val=&quot;00865316&quot;/&gt;&lt;wsp:rsid wsp:val=&quot;00866E96&quot;/&gt;&lt;wsp:rsid wsp:val=&quot;00867916&quot;/&gt;&lt;wsp:rsid wsp:val=&quot;00871AFB&quot;/&gt;&lt;wsp:rsid wsp:val=&quot;00871F05&quot;/&gt;&lt;wsp:rsid wsp:val=&quot;008762B6&quot;/&gt;&lt;wsp:rsid wsp:val=&quot;00876845&quot;/&gt;&lt;wsp:rsid wsp:val=&quot;00876916&quot;/&gt;&lt;wsp:rsid wsp:val=&quot;00877D6D&quot;/&gt;&lt;wsp:rsid wsp:val=&quot;00880089&quot;/&gt;&lt;wsp:rsid wsp:val=&quot;008805D6&quot;/&gt;&lt;wsp:rsid wsp:val=&quot;0088328D&quot;/&gt;&lt;wsp:rsid wsp:val=&quot;00884216&quot;/&gt;&lt;wsp:rsid wsp:val=&quot;008857D7&quot;/&gt;&lt;wsp:rsid wsp:val=&quot;00885D11&quot;/&gt;&lt;wsp:rsid wsp:val=&quot;0088606B&quot;/&gt;&lt;wsp:rsid wsp:val=&quot;00890FFD&quot;/&gt;&lt;wsp:rsid wsp:val=&quot;00891D7E&quot;/&gt;&lt;wsp:rsid wsp:val=&quot;00892BC0&quot;/&gt;&lt;wsp:rsid wsp:val=&quot;0089344A&quot;/&gt;&lt;wsp:rsid wsp:val=&quot;00894F34&quot;/&gt;&lt;wsp:rsid wsp:val=&quot;008958A8&quot;/&gt;&lt;wsp:rsid wsp:val=&quot;0089607B&quot;/&gt;&lt;wsp:rsid wsp:val=&quot;00897308&quot;/&gt;&lt;wsp:rsid wsp:val=&quot;008A2DD3&quot;/&gt;&lt;wsp:rsid wsp:val=&quot;008A30FA&quot;/&gt;&lt;wsp:rsid wsp:val=&quot;008A4F76&quot;/&gt;&lt;wsp:rsid wsp:val=&quot;008A645B&quot;/&gt;&lt;wsp:rsid wsp:val=&quot;008A70F0&quot;/&gt;&lt;wsp:rsid wsp:val=&quot;008B0F84&quot;/&gt;&lt;wsp:rsid wsp:val=&quot;008B141C&quot;/&gt;&lt;wsp:rsid wsp:val=&quot;008B2B71&quot;/&gt;&lt;wsp:rsid wsp:val=&quot;008B4AAC&quot;/&gt;&lt;wsp:rsid wsp:val=&quot;008B514C&quot;/&gt;&lt;wsp:rsid wsp:val=&quot;008B7F68&quot;/&gt;&lt;wsp:rsid wsp:val=&quot;008C0AC2&quot;/&gt;&lt;wsp:rsid wsp:val=&quot;008C1E29&quot;/&gt;&lt;wsp:rsid wsp:val=&quot;008C1F59&quot;/&gt;&lt;wsp:rsid wsp:val=&quot;008C25C2&quot;/&gt;&lt;wsp:rsid wsp:val=&quot;008C4A83&quot;/&gt;&lt;wsp:rsid wsp:val=&quot;008D1A94&quot;/&gt;&lt;wsp:rsid wsp:val=&quot;008D3E93&quot;/&gt;&lt;wsp:rsid wsp:val=&quot;008D7BC6&quot;/&gt;&lt;wsp:rsid wsp:val=&quot;008E00A3&quot;/&gt;&lt;wsp:rsid wsp:val=&quot;008E3729&quot;/&gt;&lt;wsp:rsid wsp:val=&quot;008E3BBA&quot;/&gt;&lt;wsp:rsid wsp:val=&quot;008E5794&quot;/&gt;&lt;wsp:rsid wsp:val=&quot;008E5D14&quot;/&gt;&lt;wsp:rsid wsp:val=&quot;008F04EC&quot;/&gt;&lt;wsp:rsid wsp:val=&quot;008F1CD8&quot;/&gt;&lt;wsp:rsid wsp:val=&quot;008F4C92&quot;/&gt;&lt;wsp:rsid wsp:val=&quot;008F708A&quot;/&gt;&lt;wsp:rsid wsp:val=&quot;008F7B11&quot;/&gt;&lt;wsp:rsid wsp:val=&quot;009000D8&quot;/&gt;&lt;wsp:rsid wsp:val=&quot;00900760&quot;/&gt;&lt;wsp:rsid wsp:val=&quot;0090162C&quot;/&gt;&lt;wsp:rsid wsp:val=&quot;009044F1&quot;/&gt;&lt;wsp:rsid wsp:val=&quot;009055B2&quot;/&gt;&lt;wsp:rsid wsp:val=&quot;009073A7&quot;/&gt;&lt;wsp:rsid wsp:val=&quot;00910F85&quot;/&gt;&lt;wsp:rsid wsp:val=&quot;009117AE&quot;/&gt;&lt;wsp:rsid wsp:val=&quot;00912162&quot;/&gt;&lt;wsp:rsid wsp:val=&quot;00913573&quot;/&gt;&lt;wsp:rsid wsp:val=&quot;009160A1&quot;/&gt;&lt;wsp:rsid wsp:val=&quot;00916CA5&quot;/&gt;&lt;wsp:rsid wsp:val=&quot;0091799A&quot;/&gt;&lt;wsp:rsid wsp:val=&quot;00917CF3&quot;/&gt;&lt;wsp:rsid wsp:val=&quot;00921D51&quot;/&gt;&lt;wsp:rsid wsp:val=&quot;00923759&quot;/&gt;&lt;wsp:rsid wsp:val=&quot;009302A6&quot;/&gt;&lt;wsp:rsid wsp:val=&quot;009309EC&quot;/&gt;&lt;wsp:rsid wsp:val=&quot;00930F35&quot;/&gt;&lt;wsp:rsid wsp:val=&quot;00933149&quot;/&gt;&lt;wsp:rsid wsp:val=&quot;00933C17&quot;/&gt;&lt;wsp:rsid wsp:val=&quot;009341EC&quot;/&gt;&lt;wsp:rsid wsp:val=&quot;009351D5&quot;/&gt;&lt;wsp:rsid wsp:val=&quot;009400CC&quot;/&gt;&lt;wsp:rsid wsp:val=&quot;009401FB&quot;/&gt;&lt;wsp:rsid wsp:val=&quot;00941224&quot;/&gt;&lt;wsp:rsid wsp:val=&quot;009435D9&quot;/&gt;&lt;wsp:rsid wsp:val=&quot;0094397A&quot;/&gt;&lt;wsp:rsid wsp:val=&quot;009527AE&quot;/&gt;&lt;wsp:rsid wsp:val=&quot;00952FB9&quot;/&gt;&lt;wsp:rsid wsp:val=&quot;009537F1&quot;/&gt;&lt;wsp:rsid wsp:val=&quot;00955200&quot;/&gt;&lt;wsp:rsid wsp:val=&quot;00955582&quot;/&gt;&lt;wsp:rsid wsp:val=&quot;00955ABC&quot;/&gt;&lt;wsp:rsid wsp:val=&quot;00963CCD&quot;/&gt;&lt;wsp:rsid wsp:val=&quot;00964422&quot;/&gt;&lt;wsp:rsid wsp:val=&quot;00965F68&quot;/&gt;&lt;wsp:rsid wsp:val=&quot;009700BB&quot;/&gt;&lt;wsp:rsid wsp:val=&quot;00970162&quot;/&gt;&lt;wsp:rsid wsp:val=&quot;0097109E&quot;/&gt;&lt;wsp:rsid wsp:val=&quot;0097532A&quot;/&gt;&lt;wsp:rsid wsp:val=&quot;009801BB&quot;/&gt;&lt;wsp:rsid wsp:val=&quot;00980F4C&quot;/&gt;&lt;wsp:rsid wsp:val=&quot;00982662&quot;/&gt;&lt;wsp:rsid wsp:val=&quot;00983818&quot;/&gt;&lt;wsp:rsid wsp:val=&quot;009839C8&quot;/&gt;&lt;wsp:rsid wsp:val=&quot;00983ED0&quot;/&gt;&lt;wsp:rsid wsp:val=&quot;00985231&quot;/&gt;&lt;wsp:rsid wsp:val=&quot;009859D5&quot;/&gt;&lt;wsp:rsid wsp:val=&quot;00987B5E&quot;/&gt;&lt;wsp:rsid wsp:val=&quot;00991E9A&quot;/&gt;&lt;wsp:rsid wsp:val=&quot;00993AC5&quot;/&gt;&lt;wsp:rsid wsp:val=&quot;00993CBB&quot;/&gt;&lt;wsp:rsid wsp:val=&quot;0099563F&quot;/&gt;&lt;wsp:rsid wsp:val=&quot;00996DA1&quot;/&gt;&lt;wsp:rsid wsp:val=&quot;009974E3&quot;/&gt;&lt;wsp:rsid wsp:val=&quot;009A5CBD&quot;/&gt;&lt;wsp:rsid wsp:val=&quot;009A6744&quot;/&gt;&lt;wsp:rsid wsp:val=&quot;009B008F&quot;/&gt;&lt;wsp:rsid wsp:val=&quot;009B4EF9&quot;/&gt;&lt;wsp:rsid wsp:val=&quot;009B6159&quot;/&gt;&lt;wsp:rsid wsp:val=&quot;009B6971&quot;/&gt;&lt;wsp:rsid wsp:val=&quot;009C24DF&quot;/&gt;&lt;wsp:rsid wsp:val=&quot;009C3FD2&quot;/&gt;&lt;wsp:rsid wsp:val=&quot;009C633B&quot;/&gt;&lt;wsp:rsid wsp:val=&quot;009C6B12&quot;/&gt;&lt;wsp:rsid wsp:val=&quot;009D00CC&quot;/&gt;&lt;wsp:rsid wsp:val=&quot;009D1304&quot;/&gt;&lt;wsp:rsid wsp:val=&quot;009D1C15&quot;/&gt;&lt;wsp:rsid wsp:val=&quot;009D229A&quot;/&gt;&lt;wsp:rsid wsp:val=&quot;009D3942&quot;/&gt;&lt;wsp:rsid wsp:val=&quot;009D3C1E&quot;/&gt;&lt;wsp:rsid wsp:val=&quot;009D4DCF&quot;/&gt;&lt;wsp:rsid wsp:val=&quot;009D4FE2&quot;/&gt;&lt;wsp:rsid wsp:val=&quot;009D520A&quot;/&gt;&lt;wsp:rsid wsp:val=&quot;009D5510&quot;/&gt;&lt;wsp:rsid wsp:val=&quot;009D6449&quot;/&gt;&lt;wsp:rsid wsp:val=&quot;009D66E7&quot;/&gt;&lt;wsp:rsid wsp:val=&quot;009D7454&quot;/&gt;&lt;wsp:rsid wsp:val=&quot;009E2AF4&quot;/&gt;&lt;wsp:rsid wsp:val=&quot;009E3838&quot;/&gt;&lt;wsp:rsid wsp:val=&quot;009E5B23&quot;/&gt;&lt;wsp:rsid wsp:val=&quot;009E7BE6&quot;/&gt;&lt;wsp:rsid wsp:val=&quot;009F058A&quot;/&gt;&lt;wsp:rsid wsp:val=&quot;009F1EC6&quot;/&gt;&lt;wsp:rsid wsp:val=&quot;009F5F19&quot;/&gt;&lt;wsp:rsid wsp:val=&quot;009F68AF&quot;/&gt;&lt;wsp:rsid wsp:val=&quot;00A009A6&quot;/&gt;&lt;wsp:rsid wsp:val=&quot;00A01EF8&quot;/&gt;&lt;wsp:rsid wsp:val=&quot;00A03986&quot;/&gt;&lt;wsp:rsid wsp:val=&quot;00A03B3D&quot;/&gt;&lt;wsp:rsid wsp:val=&quot;00A05867&quot;/&gt;&lt;wsp:rsid wsp:val=&quot;00A07DB6&quot;/&gt;&lt;wsp:rsid wsp:val=&quot;00A10653&quot;/&gt;&lt;wsp:rsid wsp:val=&quot;00A12D83&quot;/&gt;&lt;wsp:rsid wsp:val=&quot;00A145CA&quot;/&gt;&lt;wsp:rsid wsp:val=&quot;00A161F5&quot;/&gt;&lt;wsp:rsid wsp:val=&quot;00A17621&quot;/&gt;&lt;wsp:rsid wsp:val=&quot;00A17DCB&quot;/&gt;&lt;wsp:rsid wsp:val=&quot;00A2015C&quot;/&gt;&lt;wsp:rsid wsp:val=&quot;00A20560&quot;/&gt;&lt;wsp:rsid wsp:val=&quot;00A21643&quot;/&gt;&lt;wsp:rsid wsp:val=&quot;00A22BDC&quot;/&gt;&lt;wsp:rsid wsp:val=&quot;00A32097&quot;/&gt;&lt;wsp:rsid wsp:val=&quot;00A3248D&quot;/&gt;&lt;wsp:rsid wsp:val=&quot;00A344CC&quot;/&gt;&lt;wsp:rsid wsp:val=&quot;00A34DFF&quot;/&gt;&lt;wsp:rsid wsp:val=&quot;00A35505&quot;/&gt;&lt;wsp:rsid wsp:val=&quot;00A363AC&quot;/&gt;&lt;wsp:rsid wsp:val=&quot;00A363F5&quot;/&gt;&lt;wsp:rsid wsp:val=&quot;00A365C1&quot;/&gt;&lt;wsp:rsid wsp:val=&quot;00A3761D&quot;/&gt;&lt;wsp:rsid wsp:val=&quot;00A4272D&quot;/&gt;&lt;wsp:rsid wsp:val=&quot;00A476F6&quot;/&gt;&lt;wsp:rsid wsp:val=&quot;00A47EEF&quot;/&gt;&lt;wsp:rsid wsp:val=&quot;00A51F8A&quot;/&gt;&lt;wsp:rsid wsp:val=&quot;00A53464&quot;/&gt;&lt;wsp:rsid wsp:val=&quot;00A53C56&quot;/&gt;&lt;wsp:rsid wsp:val=&quot;00A547AF&quot;/&gt;&lt;wsp:rsid wsp:val=&quot;00A54B03&quot;/&gt;&lt;wsp:rsid wsp:val=&quot;00A552DD&quot;/&gt;&lt;wsp:rsid wsp:val=&quot;00A573F9&quot;/&gt;&lt;wsp:rsid wsp:val=&quot;00A57615&quot;/&gt;&lt;wsp:rsid wsp:val=&quot;00A578EC&quot;/&gt;&lt;wsp:rsid wsp:val=&quot;00A57B36&quot;/&gt;&lt;wsp:rsid wsp:val=&quot;00A60DA7&quot;/&gt;&lt;wsp:rsid wsp:val=&quot;00A613D6&quot;/&gt;&lt;wsp:rsid wsp:val=&quot;00A65A44&quot;/&gt;&lt;wsp:rsid wsp:val=&quot;00A65F7A&quot;/&gt;&lt;wsp:rsid wsp:val=&quot;00A66BD4&quot;/&gt;&lt;wsp:rsid wsp:val=&quot;00A6717A&quot;/&gt;&lt;wsp:rsid wsp:val=&quot;00A72134&quot;/&gt;&lt;wsp:rsid wsp:val=&quot;00A76115&quot;/&gt;&lt;wsp:rsid wsp:val=&quot;00A77718&quot;/&gt;&lt;wsp:rsid wsp:val=&quot;00A77A33&quot;/&gt;&lt;wsp:rsid wsp:val=&quot;00A80497&quot;/&gt;&lt;wsp:rsid wsp:val=&quot;00A80FA3&quot;/&gt;&lt;wsp:rsid wsp:val=&quot;00A81243&quot;/&gt;&lt;wsp:rsid wsp:val=&quot;00A8238D&quot;/&gt;&lt;wsp:rsid wsp:val=&quot;00A82CF6&quot;/&gt;&lt;wsp:rsid wsp:val=&quot;00A832EB&quot;/&gt;&lt;wsp:rsid wsp:val=&quot;00A8339C&quot;/&gt;&lt;wsp:rsid wsp:val=&quot;00A868DF&quot;/&gt;&lt;wsp:rsid wsp:val=&quot;00A8792A&quot;/&gt;&lt;wsp:rsid wsp:val=&quot;00A906B3&quot;/&gt;&lt;wsp:rsid wsp:val=&quot;00A92FBD&quot;/&gt;&lt;wsp:rsid wsp:val=&quot;00A93480&quot;/&gt;&lt;wsp:rsid wsp:val=&quot;00A943FC&quot;/&gt;&lt;wsp:rsid wsp:val=&quot;00A94A2D&quot;/&gt;&lt;wsp:rsid wsp:val=&quot;00A96216&quot;/&gt;&lt;wsp:rsid wsp:val=&quot;00A9692D&quot;/&gt;&lt;wsp:rsid wsp:val=&quot;00A96B39&quot;/&gt;&lt;wsp:rsid wsp:val=&quot;00A97117&quot;/&gt;&lt;wsp:rsid wsp:val=&quot;00AA0878&quot;/&gt;&lt;wsp:rsid wsp:val=&quot;00AA10A4&quot;/&gt;&lt;wsp:rsid wsp:val=&quot;00AA2A99&quot;/&gt;&lt;wsp:rsid wsp:val=&quot;00AA3578&quot;/&gt;&lt;wsp:rsid wsp:val=&quot;00AA3E81&quot;/&gt;&lt;wsp:rsid wsp:val=&quot;00AA498E&quot;/&gt;&lt;wsp:rsid wsp:val=&quot;00AA5980&quot;/&gt;&lt;wsp:rsid wsp:val=&quot;00AB0AE0&quot;/&gt;&lt;wsp:rsid wsp:val=&quot;00AB1B55&quot;/&gt;&lt;wsp:rsid wsp:val=&quot;00AB1E72&quot;/&gt;&lt;wsp:rsid wsp:val=&quot;00AB3151&quot;/&gt;&lt;wsp:rsid wsp:val=&quot;00AB3E53&quot;/&gt;&lt;wsp:rsid wsp:val=&quot;00AB686F&quot;/&gt;&lt;wsp:rsid wsp:val=&quot;00AB6D13&quot;/&gt;&lt;wsp:rsid wsp:val=&quot;00AC186A&quot;/&gt;&lt;wsp:rsid wsp:val=&quot;00AC186F&quot;/&gt;&lt;wsp:rsid wsp:val=&quot;00AC3582&quot;/&gt;&lt;wsp:rsid wsp:val=&quot;00AC3DEA&quot;/&gt;&lt;wsp:rsid wsp:val=&quot;00AC4CC6&quot;/&gt;&lt;wsp:rsid wsp:val=&quot;00AD02D6&quot;/&gt;&lt;wsp:rsid wsp:val=&quot;00AD10F5&quot;/&gt;&lt;wsp:rsid wsp:val=&quot;00AD1A3E&quot;/&gt;&lt;wsp:rsid wsp:val=&quot;00AD3BBB&quot;/&gt;&lt;wsp:rsid wsp:val=&quot;00AD4387&quot;/&gt;&lt;wsp:rsid wsp:val=&quot;00AD4F81&quot;/&gt;&lt;wsp:rsid wsp:val=&quot;00AD7B75&quot;/&gt;&lt;wsp:rsid wsp:val=&quot;00AE0839&quot;/&gt;&lt;wsp:rsid wsp:val=&quot;00AE11F2&quot;/&gt;&lt;wsp:rsid wsp:val=&quot;00AE530C&quot;/&gt;&lt;wsp:rsid wsp:val=&quot;00AE553D&quot;/&gt;&lt;wsp:rsid wsp:val=&quot;00AF0388&quot;/&gt;&lt;wsp:rsid wsp:val=&quot;00AF0439&quot;/&gt;&lt;wsp:rsid wsp:val=&quot;00AF09FF&quot;/&gt;&lt;wsp:rsid wsp:val=&quot;00AF29B1&quot;/&gt;&lt;wsp:rsid wsp:val=&quot;00AF417C&quot;/&gt;&lt;wsp:rsid wsp:val=&quot;00AF42F3&quot;/&gt;&lt;wsp:rsid wsp:val=&quot;00AF6401&quot;/&gt;&lt;wsp:rsid wsp:val=&quot;00AF652D&quot;/&gt;&lt;wsp:rsid wsp:val=&quot;00B01824&quot;/&gt;&lt;wsp:rsid wsp:val=&quot;00B01A13&quot;/&gt;&lt;wsp:rsid wsp:val=&quot;00B02105&quot;/&gt;&lt;wsp:rsid wsp:val=&quot;00B02EAC&quot;/&gt;&lt;wsp:rsid wsp:val=&quot;00B0317D&quot;/&gt;&lt;wsp:rsid wsp:val=&quot;00B031D9&quot;/&gt;&lt;wsp:rsid wsp:val=&quot;00B05A31&quot;/&gt;&lt;wsp:rsid wsp:val=&quot;00B060CB&quot;/&gt;&lt;wsp:rsid wsp:val=&quot;00B07BDE&quot;/&gt;&lt;wsp:rsid wsp:val=&quot;00B11AD1&quot;/&gt;&lt;wsp:rsid wsp:val=&quot;00B120A8&quot;/&gt;&lt;wsp:rsid wsp:val=&quot;00B15663&quot;/&gt;&lt;wsp:rsid wsp:val=&quot;00B16543&quot;/&gt;&lt;wsp:rsid wsp:val=&quot;00B217F7&quot;/&gt;&lt;wsp:rsid wsp:val=&quot;00B241B7&quot;/&gt;&lt;wsp:rsid wsp:val=&quot;00B24A3A&quot;/&gt;&lt;wsp:rsid wsp:val=&quot;00B25148&quot;/&gt;&lt;wsp:rsid wsp:val=&quot;00B25A71&quot;/&gt;&lt;wsp:rsid wsp:val=&quot;00B2756A&quot;/&gt;&lt;wsp:rsid wsp:val=&quot;00B32647&quot;/&gt;&lt;wsp:rsid wsp:val=&quot;00B32CF5&quot;/&gt;&lt;wsp:rsid wsp:val=&quot;00B32E69&quot;/&gt;&lt;wsp:rsid wsp:val=&quot;00B33C6B&quot;/&gt;&lt;wsp:rsid wsp:val=&quot;00B33E13&quot;/&gt;&lt;wsp:rsid wsp:val=&quot;00B348A4&quot;/&gt;&lt;wsp:rsid wsp:val=&quot;00B36E15&quot;/&gt;&lt;wsp:rsid wsp:val=&quot;00B403B1&quot;/&gt;&lt;wsp:rsid wsp:val=&quot;00B4369C&quot;/&gt;&lt;wsp:rsid wsp:val=&quot;00B45DA3&quot;/&gt;&lt;wsp:rsid wsp:val=&quot;00B465CE&quot;/&gt;&lt;wsp:rsid wsp:val=&quot;00B4685A&quot;/&gt;&lt;wsp:rsid wsp:val=&quot;00B468D2&quot;/&gt;&lt;wsp:rsid wsp:val=&quot;00B46DD6&quot;/&gt;&lt;wsp:rsid wsp:val=&quot;00B521CA&quot;/&gt;&lt;wsp:rsid wsp:val=&quot;00B54AB1&quot;/&gt;&lt;wsp:rsid wsp:val=&quot;00B55B7C&quot;/&gt;&lt;wsp:rsid wsp:val=&quot;00B56CFC&quot;/&gt;&lt;wsp:rsid wsp:val=&quot;00B57F91&quot;/&gt;&lt;wsp:rsid wsp:val=&quot;00B60A16&quot;/&gt;&lt;wsp:rsid wsp:val=&quot;00B60B1A&quot;/&gt;&lt;wsp:rsid wsp:val=&quot;00B612E1&quot;/&gt;&lt;wsp:rsid wsp:val=&quot;00B62125&quot;/&gt;&lt;wsp:rsid wsp:val=&quot;00B6286B&quot;/&gt;&lt;wsp:rsid wsp:val=&quot;00B629BE&quot;/&gt;&lt;wsp:rsid wsp:val=&quot;00B6414F&quot;/&gt;&lt;wsp:rsid wsp:val=&quot;00B67B16&quot;/&gt;&lt;wsp:rsid wsp:val=&quot;00B702A3&quot;/&gt;&lt;wsp:rsid wsp:val=&quot;00B7380C&quot;/&gt;&lt;wsp:rsid wsp:val=&quot;00B770D3&quot;/&gt;&lt;wsp:rsid wsp:val=&quot;00B770F5&quot;/&gt;&lt;wsp:rsid wsp:val=&quot;00B779E0&quot;/&gt;&lt;wsp:rsid wsp:val=&quot;00B77A2E&quot;/&gt;&lt;wsp:rsid wsp:val=&quot;00B8700C&quot;/&gt;&lt;wsp:rsid wsp:val=&quot;00B90B33&quot;/&gt;&lt;wsp:rsid wsp:val=&quot;00B91008&quot;/&gt;&lt;wsp:rsid wsp:val=&quot;00B9170F&quot;/&gt;&lt;wsp:rsid wsp:val=&quot;00B92A58&quot;/&gt;&lt;wsp:rsid wsp:val=&quot;00B931AD&quot;/&gt;&lt;wsp:rsid wsp:val=&quot;00B93592&quot;/&gt;&lt;wsp:rsid wsp:val=&quot;00B952AC&quot;/&gt;&lt;wsp:rsid wsp:val=&quot;00B95847&quot;/&gt;&lt;wsp:rsid wsp:val=&quot;00BA13DC&quot;/&gt;&lt;wsp:rsid wsp:val=&quot;00BA35AD&quot;/&gt;&lt;wsp:rsid wsp:val=&quot;00BA4B97&quot;/&gt;&lt;wsp:rsid wsp:val=&quot;00BA72F5&quot;/&gt;&lt;wsp:rsid wsp:val=&quot;00BA7F86&quot;/&gt;&lt;wsp:rsid wsp:val=&quot;00BB03AA&quot;/&gt;&lt;wsp:rsid wsp:val=&quot;00BB0E82&quot;/&gt;&lt;wsp:rsid wsp:val=&quot;00BB1192&quot;/&gt;&lt;wsp:rsid wsp:val=&quot;00BB3CC8&quot;/&gt;&lt;wsp:rsid wsp:val=&quot;00BB4F16&quot;/&gt;&lt;wsp:rsid wsp:val=&quot;00BB556D&quot;/&gt;&lt;wsp:rsid wsp:val=&quot;00BB7288&quot;/&gt;&lt;wsp:rsid wsp:val=&quot;00BC074E&quot;/&gt;&lt;wsp:rsid wsp:val=&quot;00BC2357&quot;/&gt;&lt;wsp:rsid wsp:val=&quot;00BC452C&quot;/&gt;&lt;wsp:rsid wsp:val=&quot;00BC4DA5&quot;/&gt;&lt;wsp:rsid wsp:val=&quot;00BC5129&quot;/&gt;&lt;wsp:rsid wsp:val=&quot;00BC6434&quot;/&gt;&lt;wsp:rsid wsp:val=&quot;00BC6B37&quot;/&gt;&lt;wsp:rsid wsp:val=&quot;00BC771A&quot;/&gt;&lt;wsp:rsid wsp:val=&quot;00BD30BC&quot;/&gt;&lt;wsp:rsid wsp:val=&quot;00BD3F7B&quot;/&gt;&lt;wsp:rsid wsp:val=&quot;00BD46CB&quot;/&gt;&lt;wsp:rsid wsp:val=&quot;00BD5EB4&quot;/&gt;&lt;wsp:rsid wsp:val=&quot;00BE5993&quot;/&gt;&lt;wsp:rsid wsp:val=&quot;00BF2D88&quot;/&gt;&lt;wsp:rsid wsp:val=&quot;00BF360B&quot;/&gt;&lt;wsp:rsid wsp:val=&quot;00BF3FB9&quot;/&gt;&lt;wsp:rsid wsp:val=&quot;00BF41AC&quot;/&gt;&lt;wsp:rsid wsp:val=&quot;00BF4367&quot;/&gt;&lt;wsp:rsid wsp:val=&quot;00BF5D07&quot;/&gt;&lt;wsp:rsid wsp:val=&quot;00BF6C56&quot;/&gt;&lt;wsp:rsid wsp:val=&quot;00C0037E&quot;/&gt;&lt;wsp:rsid wsp:val=&quot;00C023FB&quot;/&gt;&lt;wsp:rsid wsp:val=&quot;00C036FE&quot;/&gt;&lt;wsp:rsid wsp:val=&quot;00C05008&quot;/&gt;&lt;wsp:rsid wsp:val=&quot;00C053A5&quot;/&gt;&lt;wsp:rsid wsp:val=&quot;00C0588C&quot;/&gt;&lt;wsp:rsid wsp:val=&quot;00C14CDF&quot;/&gt;&lt;wsp:rsid wsp:val=&quot;00C16280&quot;/&gt;&lt;wsp:rsid wsp:val=&quot;00C21794&quot;/&gt;&lt;wsp:rsid wsp:val=&quot;00C218D2&quot;/&gt;&lt;wsp:rsid wsp:val=&quot;00C2274F&quot;/&gt;&lt;wsp:rsid wsp:val=&quot;00C27792&quot;/&gt;&lt;wsp:rsid wsp:val=&quot;00C278D9&quot;/&gt;&lt;wsp:rsid wsp:val=&quot;00C309E3&quot;/&gt;&lt;wsp:rsid wsp:val=&quot;00C322FA&quot;/&gt;&lt;wsp:rsid wsp:val=&quot;00C335E2&quot;/&gt;&lt;wsp:rsid wsp:val=&quot;00C34497&quot;/&gt;&lt;wsp:rsid wsp:val=&quot;00C400A1&quot;/&gt;&lt;wsp:rsid wsp:val=&quot;00C40B8D&quot;/&gt;&lt;wsp:rsid wsp:val=&quot;00C4217F&quot;/&gt;&lt;wsp:rsid wsp:val=&quot;00C43DBB&quot;/&gt;&lt;wsp:rsid wsp:val=&quot;00C44794&quot;/&gt;&lt;wsp:rsid wsp:val=&quot;00C46961&quot;/&gt;&lt;wsp:rsid wsp:val=&quot;00C472C3&quot;/&gt;&lt;wsp:rsid wsp:val=&quot;00C52019&quot;/&gt;&lt;wsp:rsid wsp:val=&quot;00C565AF&quot;/&gt;&lt;wsp:rsid wsp:val=&quot;00C5741E&quot;/&gt;&lt;wsp:rsid wsp:val=&quot;00C606B7&quot;/&gt;&lt;wsp:rsid wsp:val=&quot;00C61086&quot;/&gt;&lt;wsp:rsid wsp:val=&quot;00C64FE1&quot;/&gt;&lt;wsp:rsid wsp:val=&quot;00C656CF&quot;/&gt;&lt;wsp:rsid wsp:val=&quot;00C656D9&quot;/&gt;&lt;wsp:rsid wsp:val=&quot;00C6623F&quot;/&gt;&lt;wsp:rsid wsp:val=&quot;00C66D36&quot;/&gt;&lt;wsp:rsid wsp:val=&quot;00C67173&quot;/&gt;&lt;wsp:rsid wsp:val=&quot;00C713D2&quot;/&gt;&lt;wsp:rsid wsp:val=&quot;00C72244&quot;/&gt;&lt;wsp:rsid wsp:val=&quot;00C72B2F&quot;/&gt;&lt;wsp:rsid wsp:val=&quot;00C7476C&quot;/&gt;&lt;wsp:rsid wsp:val=&quot;00C76566&quot;/&gt;&lt;wsp:rsid wsp:val=&quot;00C766C9&quot;/&gt;&lt;wsp:rsid wsp:val=&quot;00C777B8&quot;/&gt;&lt;wsp:rsid wsp:val=&quot;00C803BA&quot;/&gt;&lt;wsp:rsid wsp:val=&quot;00C83C45&quot;/&gt;&lt;wsp:rsid wsp:val=&quot;00C83D5C&quot;/&gt;&lt;wsp:rsid wsp:val=&quot;00C84DDB&quot;/&gt;&lt;wsp:rsid wsp:val=&quot;00C85E05&quot;/&gt;&lt;wsp:rsid wsp:val=&quot;00C86B80&quot;/&gt;&lt;wsp:rsid wsp:val=&quot;00C86C2A&quot;/&gt;&lt;wsp:rsid wsp:val=&quot;00C86D5C&quot;/&gt;&lt;wsp:rsid wsp:val=&quot;00C90ABC&quot;/&gt;&lt;wsp:rsid wsp:val=&quot;00C9211A&quot;/&gt;&lt;wsp:rsid wsp:val=&quot;00C92306&quot;/&gt;&lt;wsp:rsid wsp:val=&quot;00C92F92&quot;/&gt;&lt;wsp:rsid wsp:val=&quot;00C9537D&quot;/&gt;&lt;wsp:rsid wsp:val=&quot;00C97C7C&quot;/&gt;&lt;wsp:rsid wsp:val=&quot;00CA1C09&quot;/&gt;&lt;wsp:rsid wsp:val=&quot;00CA329D&quot;/&gt;&lt;wsp:rsid wsp:val=&quot;00CA7BBE&quot;/&gt;&lt;wsp:rsid wsp:val=&quot;00CB0D69&quot;/&gt;&lt;wsp:rsid wsp:val=&quot;00CB0F82&quot;/&gt;&lt;wsp:rsid wsp:val=&quot;00CB3374&quot;/&gt;&lt;wsp:rsid wsp:val=&quot;00CB604A&quot;/&gt;&lt;wsp:rsid wsp:val=&quot;00CC467A&quot;/&gt;&lt;wsp:rsid wsp:val=&quot;00CC4B82&quot;/&gt;&lt;wsp:rsid wsp:val=&quot;00CC5256&quot;/&gt;&lt;wsp:rsid wsp:val=&quot;00CC7273&quot;/&gt;&lt;wsp:rsid wsp:val=&quot;00CD2183&quot;/&gt;&lt;wsp:rsid wsp:val=&quot;00CD23B6&quot;/&gt;&lt;wsp:rsid wsp:val=&quot;00CD2640&quot;/&gt;&lt;wsp:rsid wsp:val=&quot;00CD458F&quot;/&gt;&lt;wsp:rsid wsp:val=&quot;00CD6BFC&quot;/&gt;&lt;wsp:rsid wsp:val=&quot;00CE6CBC&quot;/&gt;&lt;wsp:rsid wsp:val=&quot;00CE7343&quot;/&gt;&lt;wsp:rsid wsp:val=&quot;00CF02DF&quot;/&gt;&lt;wsp:rsid wsp:val=&quot;00CF0421&quot;/&gt;&lt;wsp:rsid wsp:val=&quot;00CF11B8&quot;/&gt;&lt;wsp:rsid wsp:val=&quot;00CF36C3&quot;/&gt;&lt;wsp:rsid wsp:val=&quot;00CF50F5&quot;/&gt;&lt;wsp:rsid wsp:val=&quot;00CF65E3&quot;/&gt;&lt;wsp:rsid wsp:val=&quot;00D009A3&quot;/&gt;&lt;wsp:rsid wsp:val=&quot;00D0235F&quot;/&gt;&lt;wsp:rsid wsp:val=&quot;00D02716&quot;/&gt;&lt;wsp:rsid wsp:val=&quot;00D02B6A&quot;/&gt;&lt;wsp:rsid wsp:val=&quot;00D02E4B&quot;/&gt;&lt;wsp:rsid wsp:val=&quot;00D03F58&quot;/&gt;&lt;wsp:rsid wsp:val=&quot;00D04507&quot;/&gt;&lt;wsp:rsid wsp:val=&quot;00D0723F&quot;/&gt;&lt;wsp:rsid wsp:val=&quot;00D073B0&quot;/&gt;&lt;wsp:rsid wsp:val=&quot;00D11EFE&quot;/&gt;&lt;wsp:rsid wsp:val=&quot;00D12292&quot;/&gt;&lt;wsp:rsid wsp:val=&quot;00D14F97&quot;/&gt;&lt;wsp:rsid wsp:val=&quot;00D1576A&quot;/&gt;&lt;wsp:rsid wsp:val=&quot;00D15798&quot;/&gt;&lt;wsp:rsid wsp:val=&quot;00D15B8A&quot;/&gt;&lt;wsp:rsid wsp:val=&quot;00D21FF1&quot;/&gt;&lt;wsp:rsid wsp:val=&quot;00D226FC&quot;/&gt;&lt;wsp:rsid wsp:val=&quot;00D22FD9&quot;/&gt;&lt;wsp:rsid wsp:val=&quot;00D237CB&quot;/&gt;&lt;wsp:rsid wsp:val=&quot;00D23922&quot;/&gt;&lt;wsp:rsid wsp:val=&quot;00D23FF4&quot;/&gt;&lt;wsp:rsid wsp:val=&quot;00D25222&quot;/&gt;&lt;wsp:rsid wsp:val=&quot;00D26531&quot;/&gt;&lt;wsp:rsid wsp:val=&quot;00D27324&quot;/&gt;&lt;wsp:rsid wsp:val=&quot;00D30E11&quot;/&gt;&lt;wsp:rsid wsp:val=&quot;00D31757&quot;/&gt;&lt;wsp:rsid wsp:val=&quot;00D31BEE&quot;/&gt;&lt;wsp:rsid wsp:val=&quot;00D36106&quot;/&gt;&lt;wsp:rsid wsp:val=&quot;00D37662&quot;/&gt;&lt;wsp:rsid wsp:val=&quot;00D423F6&quot;/&gt;&lt;wsp:rsid wsp:val=&quot;00D44E0E&quot;/&gt;&lt;wsp:rsid wsp:val=&quot;00D45623&quot;/&gt;&lt;wsp:rsid wsp:val=&quot;00D456B3&quot;/&gt;&lt;wsp:rsid wsp:val=&quot;00D4784A&quot;/&gt;&lt;wsp:rsid wsp:val=&quot;00D501DF&quot;/&gt;&lt;wsp:rsid wsp:val=&quot;00D506F4&quot;/&gt;&lt;wsp:rsid wsp:val=&quot;00D50AD1&quot;/&gt;&lt;wsp:rsid wsp:val=&quot;00D50E26&quot;/&gt;&lt;wsp:rsid wsp:val=&quot;00D52D5D&quot;/&gt;&lt;wsp:rsid wsp:val=&quot;00D53837&quot;/&gt;&lt;wsp:rsid wsp:val=&quot;00D54826&quot;/&gt;&lt;wsp:rsid wsp:val=&quot;00D55826&quot;/&gt;&lt;wsp:rsid wsp:val=&quot;00D60120&quot;/&gt;&lt;wsp:rsid wsp:val=&quot;00D625C2&quot;/&gt;&lt;wsp:rsid wsp:val=&quot;00D63429&quot;/&gt;&lt;wsp:rsid wsp:val=&quot;00D6445A&quot;/&gt;&lt;wsp:rsid wsp:val=&quot;00D656EB&quot;/&gt;&lt;wsp:rsid wsp:val=&quot;00D658FD&quot;/&gt;&lt;wsp:rsid wsp:val=&quot;00D660B1&quot;/&gt;&lt;wsp:rsid wsp:val=&quot;00D7210F&quot;/&gt;&lt;wsp:rsid wsp:val=&quot;00D76007&quot;/&gt;&lt;wsp:rsid wsp:val=&quot;00D76905&quot;/&gt;&lt;wsp:rsid wsp:val=&quot;00D82888&quot;/&gt;&lt;wsp:rsid wsp:val=&quot;00D83B29&quot;/&gt;&lt;wsp:rsid wsp:val=&quot;00D841E4&quot;/&gt;&lt;wsp:rsid wsp:val=&quot;00D8425C&quot;/&gt;&lt;wsp:rsid wsp:val=&quot;00D856A7&quot;/&gt;&lt;wsp:rsid wsp:val=&quot;00D86CB8&quot;/&gt;&lt;wsp:rsid wsp:val=&quot;00D8714D&quot;/&gt;&lt;wsp:rsid wsp:val=&quot;00D877FA&quot;/&gt;&lt;wsp:rsid wsp:val=&quot;00D901B1&quot;/&gt;&lt;wsp:rsid wsp:val=&quot;00D90DDC&quot;/&gt;&lt;wsp:rsid wsp:val=&quot;00D91A86&quot;/&gt;&lt;wsp:rsid wsp:val=&quot;00D93A1A&quot;/&gt;&lt;wsp:rsid wsp:val=&quot;00D960F1&quot;/&gt;&lt;wsp:rsid wsp:val=&quot;00DA02FC&quot;/&gt;&lt;wsp:rsid wsp:val=&quot;00DA082B&quot;/&gt;&lt;wsp:rsid wsp:val=&quot;00DA261F&quot;/&gt;&lt;wsp:rsid wsp:val=&quot;00DA298F&quot;/&gt;&lt;wsp:rsid wsp:val=&quot;00DA36ED&quot;/&gt;&lt;wsp:rsid wsp:val=&quot;00DA67F6&quot;/&gt;&lt;wsp:rsid wsp:val=&quot;00DA743E&quot;/&gt;&lt;wsp:rsid wsp:val=&quot;00DB00DB&quot;/&gt;&lt;wsp:rsid wsp:val=&quot;00DB0FC5&quot;/&gt;&lt;wsp:rsid wsp:val=&quot;00DB460E&quot;/&gt;&lt;wsp:rsid wsp:val=&quot;00DB5370&quot;/&gt;&lt;wsp:rsid wsp:val=&quot;00DB5484&quot;/&gt;&lt;wsp:rsid wsp:val=&quot;00DB6C5B&quot;/&gt;&lt;wsp:rsid wsp:val=&quot;00DC0D87&quot;/&gt;&lt;wsp:rsid wsp:val=&quot;00DC155C&quot;/&gt;&lt;wsp:rsid wsp:val=&quot;00DC19FC&quot;/&gt;&lt;wsp:rsid wsp:val=&quot;00DC23D8&quot;/&gt;&lt;wsp:rsid wsp:val=&quot;00DC2D4D&quot;/&gt;&lt;wsp:rsid wsp:val=&quot;00DC3CB1&quot;/&gt;&lt;wsp:rsid wsp:val=&quot;00DC3DC6&quot;/&gt;&lt;wsp:rsid wsp:val=&quot;00DC522B&quot;/&gt;&lt;wsp:rsid wsp:val=&quot;00DC6E14&quot;/&gt;&lt;wsp:rsid wsp:val=&quot;00DD0574&quot;/&gt;&lt;wsp:rsid wsp:val=&quot;00DD3A7C&quot;/&gt;&lt;wsp:rsid wsp:val=&quot;00DD4877&quot;/&gt;&lt;wsp:rsid wsp:val=&quot;00DE1496&quot;/&gt;&lt;wsp:rsid wsp:val=&quot;00DE454E&quot;/&gt;&lt;wsp:rsid wsp:val=&quot;00DE5CC3&quot;/&gt;&lt;wsp:rsid wsp:val=&quot;00DE7FC2&quot;/&gt;&lt;wsp:rsid wsp:val=&quot;00DF2B7E&quot;/&gt;&lt;wsp:rsid wsp:val=&quot;00DF2C8C&quot;/&gt;&lt;wsp:rsid wsp:val=&quot;00DF31FF&quot;/&gt;&lt;wsp:rsid wsp:val=&quot;00DF3B66&quot;/&gt;&lt;wsp:rsid wsp:val=&quot;00DF58E4&quot;/&gt;&lt;wsp:rsid wsp:val=&quot;00DF5D77&quot;/&gt;&lt;wsp:rsid wsp:val=&quot;00DF5FC2&quot;/&gt;&lt;wsp:rsid wsp:val=&quot;00DF62E0&quot;/&gt;&lt;wsp:rsid wsp:val=&quot;00DF7307&quot;/&gt;&lt;wsp:rsid wsp:val=&quot;00E00578&quot;/&gt;&lt;wsp:rsid wsp:val=&quot;00E017D0&quot;/&gt;&lt;wsp:rsid wsp:val=&quot;00E017F2&quot;/&gt;&lt;wsp:rsid wsp:val=&quot;00E0344F&quot;/&gt;&lt;wsp:rsid wsp:val=&quot;00E03B97&quot;/&gt;&lt;wsp:rsid wsp:val=&quot;00E0575F&quot;/&gt;&lt;wsp:rsid wsp:val=&quot;00E11E3B&quot;/&gt;&lt;wsp:rsid wsp:val=&quot;00E11F8E&quot;/&gt;&lt;wsp:rsid wsp:val=&quot;00E15B72&quot;/&gt;&lt;wsp:rsid wsp:val=&quot;00E163D8&quot;/&gt;&lt;wsp:rsid wsp:val=&quot;00E16885&quot;/&gt;&lt;wsp:rsid wsp:val=&quot;00E20135&quot;/&gt;&lt;wsp:rsid wsp:val=&quot;00E20D23&quot;/&gt;&lt;wsp:rsid wsp:val=&quot;00E2142F&quot;/&gt;&lt;wsp:rsid wsp:val=&quot;00E22E8F&quot;/&gt;&lt;wsp:rsid wsp:val=&quot;00E30E1A&quot;/&gt;&lt;wsp:rsid wsp:val=&quot;00E37014&quot;/&gt;&lt;wsp:rsid wsp:val=&quot;00E40E37&quot;/&gt;&lt;wsp:rsid wsp:val=&quot;00E43641&quot;/&gt;&lt;wsp:rsid wsp:val=&quot;00E44851&quot;/&gt;&lt;wsp:rsid wsp:val=&quot;00E451FC&quot;/&gt;&lt;wsp:rsid wsp:val=&quot;00E46B29&quot;/&gt;&lt;wsp:rsid wsp:val=&quot;00E47E6E&quot;/&gt;&lt;wsp:rsid wsp:val=&quot;00E50EAB&quot;/&gt;&lt;wsp:rsid wsp:val=&quot;00E522AC&quot;/&gt;&lt;wsp:rsid wsp:val=&quot;00E6021E&quot;/&gt;&lt;wsp:rsid wsp:val=&quot;00E61130&quot;/&gt;&lt;wsp:rsid wsp:val=&quot;00E62435&quot;/&gt;&lt;wsp:rsid wsp:val=&quot;00E63ABD&quot;/&gt;&lt;wsp:rsid wsp:val=&quot;00E65A93&quot;/&gt;&lt;wsp:rsid wsp:val=&quot;00E66293&quot;/&gt;&lt;wsp:rsid wsp:val=&quot;00E66CED&quot;/&gt;&lt;wsp:rsid wsp:val=&quot;00E670D3&quot;/&gt;&lt;wsp:rsid wsp:val=&quot;00E67A85&quot;/&gt;&lt;wsp:rsid wsp:val=&quot;00E70C0D&quot;/&gt;&lt;wsp:rsid wsp:val=&quot;00E71788&quot;/&gt;&lt;wsp:rsid wsp:val=&quot;00E753B5&quot;/&gt;&lt;wsp:rsid wsp:val=&quot;00E75D83&quot;/&gt;&lt;wsp:rsid wsp:val=&quot;00E76935&quot;/&gt;&lt;wsp:rsid wsp:val=&quot;00E77493&quot;/&gt;&lt;wsp:rsid wsp:val=&quot;00E80268&quot;/&gt;&lt;wsp:rsid wsp:val=&quot;00E828A7&quot;/&gt;&lt;wsp:rsid wsp:val=&quot;00E82FC8&quot;/&gt;&lt;wsp:rsid wsp:val=&quot;00E84915&quot;/&gt;&lt;wsp:rsid wsp:val=&quot;00E84F48&quot;/&gt;&lt;wsp:rsid wsp:val=&quot;00E869BA&quot;/&gt;&lt;wsp:rsid wsp:val=&quot;00E90ADF&quot;/&gt;&lt;wsp:rsid wsp:val=&quot;00E91A67&quot;/&gt;&lt;wsp:rsid wsp:val=&quot;00E938F2&quot;/&gt;&lt;wsp:rsid wsp:val=&quot;00E955F1&quot;/&gt;&lt;wsp:rsid wsp:val=&quot;00E9703B&quot;/&gt;&lt;wsp:rsid wsp:val=&quot;00EA0F57&quot;/&gt;&lt;wsp:rsid wsp:val=&quot;00EA10C1&quot;/&gt;&lt;wsp:rsid wsp:val=&quot;00EA267E&quot;/&gt;&lt;wsp:rsid wsp:val=&quot;00EA2F46&quot;/&gt;&lt;wsp:rsid wsp:val=&quot;00EA3188&quot;/&gt;&lt;wsp:rsid wsp:val=&quot;00EA4FE4&quot;/&gt;&lt;wsp:rsid wsp:val=&quot;00EA59D2&quot;/&gt;&lt;wsp:rsid wsp:val=&quot;00EA5FD2&quot;/&gt;&lt;wsp:rsid wsp:val=&quot;00EA6391&quot;/&gt;&lt;wsp:rsid wsp:val=&quot;00EA7A47&quot;/&gt;&lt;wsp:rsid wsp:val=&quot;00EA7D70&quot;/&gt;&lt;wsp:rsid wsp:val=&quot;00EB0413&quot;/&gt;&lt;wsp:rsid wsp:val=&quot;00EB18DA&quot;/&gt;&lt;wsp:rsid wsp:val=&quot;00EB2EC8&quot;/&gt;&lt;wsp:rsid wsp:val=&quot;00EB3D85&quot;/&gt;&lt;wsp:rsid wsp:val=&quot;00EB4ABA&quot;/&gt;&lt;wsp:rsid wsp:val=&quot;00EB6CD2&quot;/&gt;&lt;wsp:rsid wsp:val=&quot;00EC0E49&quot;/&gt;&lt;wsp:rsid wsp:val=&quot;00EC2549&quot;/&gt;&lt;wsp:rsid wsp:val=&quot;00EC2B62&quot;/&gt;&lt;wsp:rsid wsp:val=&quot;00EC5437&quot;/&gt;&lt;wsp:rsid wsp:val=&quot;00EC6F5F&quot;/&gt;&lt;wsp:rsid wsp:val=&quot;00EC6FD8&quot;/&gt;&lt;wsp:rsid wsp:val=&quot;00EC7A43&quot;/&gt;&lt;wsp:rsid wsp:val=&quot;00ED48C3&quot;/&gt;&lt;wsp:rsid wsp:val=&quot;00ED60C3&quot;/&gt;&lt;wsp:rsid wsp:val=&quot;00ED7FB5&quot;/&gt;&lt;wsp:rsid wsp:val=&quot;00EE11F6&quot;/&gt;&lt;wsp:rsid wsp:val=&quot;00EE1649&quot;/&gt;&lt;wsp:rsid wsp:val=&quot;00EE2BE5&quot;/&gt;&lt;wsp:rsid wsp:val=&quot;00EE2EC2&quot;/&gt;&lt;wsp:rsid wsp:val=&quot;00EE352E&quot;/&gt;&lt;wsp:rsid wsp:val=&quot;00EE43C0&quot;/&gt;&lt;wsp:rsid wsp:val=&quot;00EE51A1&quot;/&gt;&lt;wsp:rsid wsp:val=&quot;00EE5B4E&quot;/&gt;&lt;wsp:rsid wsp:val=&quot;00EE74E5&quot;/&gt;&lt;wsp:rsid wsp:val=&quot;00EF0ED4&quot;/&gt;&lt;wsp:rsid wsp:val=&quot;00EF1032&quot;/&gt;&lt;wsp:rsid wsp:val=&quot;00EF147F&quot;/&gt;&lt;wsp:rsid wsp:val=&quot;00EF23CC&quot;/&gt;&lt;wsp:rsid wsp:val=&quot;00EF38DE&quot;/&gt;&lt;wsp:rsid wsp:val=&quot;00EF51A1&quot;/&gt;&lt;wsp:rsid wsp:val=&quot;00EF6FAB&quot;/&gt;&lt;wsp:rsid wsp:val=&quot;00F00425&quot;/&gt;&lt;wsp:rsid wsp:val=&quot;00F0167F&quot;/&gt;&lt;wsp:rsid wsp:val=&quot;00F01BD6&quot;/&gt;&lt;wsp:rsid wsp:val=&quot;00F0514C&quot;/&gt;&lt;wsp:rsid wsp:val=&quot;00F06CE8&quot;/&gt;&lt;wsp:rsid wsp:val=&quot;00F14A8D&quot;/&gt;&lt;wsp:rsid wsp:val=&quot;00F15275&quot;/&gt;&lt;wsp:rsid wsp:val=&quot;00F171FD&quot;/&gt;&lt;wsp:rsid wsp:val=&quot;00F17A29&quot;/&gt;&lt;wsp:rsid wsp:val=&quot;00F20F39&quot;/&gt;&lt;wsp:rsid wsp:val=&quot;00F2213B&quot;/&gt;&lt;wsp:rsid wsp:val=&quot;00F25C8F&quot;/&gt;&lt;wsp:rsid wsp:val=&quot;00F27809&quot;/&gt;&lt;wsp:rsid wsp:val=&quot;00F312FB&quot;/&gt;&lt;wsp:rsid wsp:val=&quot;00F329E5&quot;/&gt;&lt;wsp:rsid wsp:val=&quot;00F340B6&quot;/&gt;&lt;wsp:rsid wsp:val=&quot;00F36BD6&quot;/&gt;&lt;wsp:rsid wsp:val=&quot;00F40E20&quot;/&gt;&lt;wsp:rsid wsp:val=&quot;00F42299&quot;/&gt;&lt;wsp:rsid wsp:val=&quot;00F43ACF&quot;/&gt;&lt;wsp:rsid wsp:val=&quot;00F43CA0&quot;/&gt;&lt;wsp:rsid wsp:val=&quot;00F4479D&quot;/&gt;&lt;wsp:rsid wsp:val=&quot;00F44B83&quot;/&gt;&lt;wsp:rsid wsp:val=&quot;00F51DCB&quot;/&gt;&lt;wsp:rsid wsp:val=&quot;00F51DD6&quot;/&gt;&lt;wsp:rsid wsp:val=&quot;00F51F67&quot;/&gt;&lt;wsp:rsid wsp:val=&quot;00F520E6&quot;/&gt;&lt;wsp:rsid wsp:val=&quot;00F52335&quot;/&gt;&lt;wsp:rsid wsp:val=&quot;00F5234A&quot;/&gt;&lt;wsp:rsid wsp:val=&quot;00F524E8&quot;/&gt;&lt;wsp:rsid wsp:val=&quot;00F5673B&quot;/&gt;&lt;wsp:rsid wsp:val=&quot;00F57380&quot;/&gt;&lt;wsp:rsid wsp:val=&quot;00F60143&quot;/&gt;&lt;wsp:rsid wsp:val=&quot;00F60F5F&quot;/&gt;&lt;wsp:rsid wsp:val=&quot;00F6149A&quot;/&gt;&lt;wsp:rsid wsp:val=&quot;00F61705&quot;/&gt;&lt;wsp:rsid wsp:val=&quot;00F628CA&quot;/&gt;&lt;wsp:rsid wsp:val=&quot;00F630E2&quot;/&gt;&lt;wsp:rsid wsp:val=&quot;00F6359B&quot;/&gt;&lt;wsp:rsid wsp:val=&quot;00F636FB&quot;/&gt;&lt;wsp:rsid wsp:val=&quot;00F65AE1&quot;/&gt;&lt;wsp:rsid wsp:val=&quot;00F65D8F&quot;/&gt;&lt;wsp:rsid wsp:val=&quot;00F661ED&quot;/&gt;&lt;wsp:rsid wsp:val=&quot;00F7025C&quot;/&gt;&lt;wsp:rsid wsp:val=&quot;00F708DD&quot;/&gt;&lt;wsp:rsid wsp:val=&quot;00F72351&quot;/&gt;&lt;wsp:rsid wsp:val=&quot;00F73AF4&quot;/&gt;&lt;wsp:rsid wsp:val=&quot;00F73E66&quot;/&gt;&lt;wsp:rsid wsp:val=&quot;00F742B4&quot;/&gt;&lt;wsp:rsid wsp:val=&quot;00F74E83&quot;/&gt;&lt;wsp:rsid wsp:val=&quot;00F815B9&quot;/&gt;&lt;wsp:rsid wsp:val=&quot;00F821A2&quot;/&gt;&lt;wsp:rsid wsp:val=&quot;00F825CA&quot;/&gt;&lt;wsp:rsid wsp:val=&quot;00F8426D&quot;/&gt;&lt;wsp:rsid wsp:val=&quot;00F85417&quot;/&gt;&lt;wsp:rsid wsp:val=&quot;00F86807&quot;/&gt;&lt;wsp:rsid wsp:val=&quot;00F86D78&quot;/&gt;&lt;wsp:rsid wsp:val=&quot;00F86F46&quot;/&gt;&lt;wsp:rsid wsp:val=&quot;00F874CF&quot;/&gt;&lt;wsp:rsid wsp:val=&quot;00F87727&quot;/&gt;&lt;wsp:rsid wsp:val=&quot;00F916D9&quot;/&gt;&lt;wsp:rsid wsp:val=&quot;00F92029&quot;/&gt;&lt;wsp:rsid wsp:val=&quot;00F928E9&quot;/&gt;&lt;wsp:rsid wsp:val=&quot;00F938CA&quot;/&gt;&lt;wsp:rsid wsp:val=&quot;00F95808&quot;/&gt;&lt;wsp:rsid wsp:val=&quot;00F95C3C&quot;/&gt;&lt;wsp:rsid wsp:val=&quot;00F95EED&quot;/&gt;&lt;wsp:rsid wsp:val=&quot;00F95FA7&quot;/&gt;&lt;wsp:rsid wsp:val=&quot;00F965AC&quot;/&gt;&lt;wsp:rsid wsp:val=&quot;00F9746A&quot;/&gt;&lt;wsp:rsid wsp:val=&quot;00FA16FF&quot;/&gt;&lt;wsp:rsid wsp:val=&quot;00FA2510&quot;/&gt;&lt;wsp:rsid wsp:val=&quot;00FA4339&quot;/&gt;&lt;wsp:rsid wsp:val=&quot;00FA764B&quot;/&gt;&lt;wsp:rsid wsp:val=&quot;00FB0812&quot;/&gt;&lt;wsp:rsid wsp:val=&quot;00FB0BE1&quot;/&gt;&lt;wsp:rsid wsp:val=&quot;00FB3B7A&quot;/&gt;&lt;wsp:rsid wsp:val=&quot;00FB5B44&quot;/&gt;&lt;wsp:rsid wsp:val=&quot;00FC08C0&quot;/&gt;&lt;wsp:rsid wsp:val=&quot;00FC142B&quot;/&gt;&lt;wsp:rsid wsp:val=&quot;00FC3070&quot;/&gt;&lt;wsp:rsid wsp:val=&quot;00FC394F&quot;/&gt;&lt;wsp:rsid wsp:val=&quot;00FC4616&quot;/&gt;&lt;wsp:rsid wsp:val=&quot;00FC4895&quot;/&gt;&lt;wsp:rsid wsp:val=&quot;00FC64A0&quot;/&gt;&lt;wsp:rsid wsp:val=&quot;00FC6724&quot;/&gt;&lt;wsp:rsid wsp:val=&quot;00FC67C5&quot;/&gt;&lt;wsp:rsid wsp:val=&quot;00FC736C&quot;/&gt;&lt;wsp:rsid wsp:val=&quot;00FC7F08&quot;/&gt;&lt;wsp:rsid wsp:val=&quot;00FD2571&quot;/&gt;&lt;wsp:rsid wsp:val=&quot;00FD6F91&quot;/&gt;&lt;wsp:rsid wsp:val=&quot;00FD72EB&quot;/&gt;&lt;wsp:rsid wsp:val=&quot;00FD7511&quot;/&gt;&lt;wsp:rsid wsp:val=&quot;00FE0173&quot;/&gt;&lt;wsp:rsid wsp:val=&quot;00FE479D&quot;/&gt;&lt;wsp:rsid wsp:val=&quot;00FE4B48&quot;/&gt;&lt;wsp:rsid wsp:val=&quot;00FF0E9F&quot;/&gt;&lt;wsp:rsid wsp:val=&quot;00FF3372&quot;/&gt;&lt;wsp:rsid wsp:val=&quot;00FF43D6&quot;/&gt;&lt;wsp:rsid wsp:val=&quot;00FF5E8D&quot;/&gt;&lt;wsp:rsid wsp:val=&quot;00FF6149&quot;/&gt;&lt;wsp:rsid wsp:val=&quot;00FF634E&quot;/&gt;&lt;wsp:rsid wsp:val=&quot;00FF6458&quot;/&gt;&lt;/wsp:rsids&gt;&lt;/w:docPr&gt;&lt;w:body&gt;&lt;wx:sect&gt;&lt;w:p wsp:rsidR=&quot;00000000&quot; wsp:rsidRDefault=&quot;001B5A60&quot; wsp:rsidP=&quot;001B5A60&quot;&gt;&lt;m:oMathPara&gt;&lt;m:oMath&gt;&lt;m:acc&gt;&lt;m:accPr&gt;&lt;m:chr m:val=&quot;̅&quot;/&gt;&lt;m:ctrlPr&gt;&lt;aml:annotation aml:id=&quot;0&quot; w:type=&quot;Word.Insertion&quot; aml:author=&quot;孔珍珍&quot; aml:createdate=&quot;2016-03-22T19:42:00Z&quot;&gt;&lt;aml:content&gt;&lt;w:rPr&gt;&lt;w:rFonts w:ascii=&quot;Cambria Math&quot; w:fareast=&quot;宋体&quot; w:h-ansi=&quot;Cambria Math&quot;/&gt;&lt;wx:font wx:val=&quot;Cambria Math&quot;/&gt;&lt;w:sz w:val=&quot;24&quot;/&gt;&lt;/w:rPr&gt;&lt;/aml:content&gt;&lt;/aml:annotation&gt;&lt;/m:ctrlPr&gt;&lt;/m:accPr&gt;&lt;m:e&gt;&lt;m:r&gt;&lt;aml:annotation aml:id=&quot;1&quot; w:type=&quot;Word.Insertion&quot; aml:author=&quot;孔珍珍&quot; aml:createdate=&quot;2016-03-22T19:42:00Z&quot;&gt;&lt;aml:content&gt;&lt;w:rPr&gt;&lt;w:rFonts w:ascii=&quot;Cambria Math&quot; w:fareast=&quot;宋体&quot; w:h-ansi=&quot;Cambria Math&quot;/&gt;&lt;wx:font wx:val=&quot;Cambria Math&quot;/&gt;&lt;w:i/&gt;&lt;w:sz w:val=&quot;24&quot;/&gt;&lt;/w:rPr&gt;&lt;m:t&gt;P&lt;/m:t&gt;&lt;/aml:content&gt;&lt;/aml:annotation&gt;&lt;/m:r&gt;&lt;/m:e&gt;&lt;/m:acc&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0" chromakey="#FFFFFF" o:title=""/>
            <o:lock v:ext="edit" aspectratio="t"/>
            <w10:wrap type="none"/>
            <w10:anchorlock/>
          </v:shape>
        </w:pict>
      </w:r>
      <w:r>
        <w:rPr>
          <w:rFonts w:ascii="宋体" w:hAnsi="宋体" w:eastAsia="宋体" w:cs="Times New Roman"/>
          <w:sz w:val="24"/>
          <w:szCs w:val="24"/>
        </w:rPr>
        <w:instrText xml:space="preserve"> </w:instrText>
      </w:r>
      <w:r>
        <w:rPr>
          <w:rFonts w:ascii="宋体" w:hAnsi="宋体" w:eastAsia="宋体" w:cs="Times New Roman"/>
          <w:sz w:val="24"/>
          <w:szCs w:val="24"/>
        </w:rPr>
        <w:fldChar w:fldCharType="separate"/>
      </w:r>
      <w:r>
        <w:rPr>
          <w:rFonts w:ascii="宋体" w:hAnsi="宋体" w:eastAsia="宋体" w:cs="Times New Roman"/>
          <w:sz w:val="24"/>
          <w:szCs w:val="24"/>
        </w:rPr>
        <w:fldChar w:fldCharType="end"/>
      </w:r>
      <w:r>
        <w:rPr>
          <w:rFonts w:hint="eastAsia" w:ascii="宋体" w:hAnsi="宋体" w:eastAsia="宋体" w:cs="Times New Roman"/>
          <w:sz w:val="24"/>
          <w:szCs w:val="24"/>
        </w:rPr>
        <w:t>-</w:t>
      </w:r>
      <w:r>
        <w:rPr>
          <w:rFonts w:ascii="Times New Roman" w:hAnsi="Times New Roman" w:eastAsia="宋体" w:cs="Times New Roman"/>
          <w:szCs w:val="24"/>
        </w:rPr>
        <w:t>计算</w:t>
      </w:r>
      <w:r>
        <w:rPr>
          <w:rFonts w:hint="eastAsia" w:ascii="Times New Roman" w:hAnsi="Times New Roman" w:eastAsia="宋体" w:cs="Times New Roman"/>
          <w:szCs w:val="24"/>
        </w:rPr>
        <w:t>方式如下（或按</w:t>
      </w:r>
      <w:r>
        <w:rPr>
          <w:rFonts w:ascii="宋体" w:hAnsi="宋体" w:eastAsia="宋体" w:cs="Times New Roman"/>
          <w:b/>
          <w:i/>
          <w:szCs w:val="24"/>
        </w:rPr>
        <w:t>专用条款</w:t>
      </w:r>
      <w:r>
        <w:rPr>
          <w:rFonts w:ascii="Times New Roman" w:hAnsi="Times New Roman" w:eastAsia="宋体" w:cs="Times New Roman"/>
          <w:szCs w:val="24"/>
        </w:rPr>
        <w:t>中约定</w:t>
      </w:r>
      <w:r>
        <w:rPr>
          <w:rFonts w:hint="eastAsia" w:ascii="Times New Roman" w:hAnsi="Times New Roman" w:eastAsia="宋体" w:cs="Times New Roman"/>
          <w:szCs w:val="24"/>
        </w:rPr>
        <w:t>的</w:t>
      </w:r>
      <w:r>
        <w:rPr>
          <w:rFonts w:ascii="Times New Roman" w:hAnsi="Times New Roman" w:eastAsia="宋体" w:cs="Times New Roman"/>
          <w:szCs w:val="24"/>
        </w:rPr>
        <w:t>方法</w:t>
      </w:r>
      <w:r>
        <w:rPr>
          <w:rFonts w:hint="eastAsia" w:ascii="Times New Roman" w:hAnsi="Times New Roman" w:eastAsia="宋体" w:cs="Times New Roman"/>
          <w:szCs w:val="24"/>
        </w:rPr>
        <w:t>）</w:t>
      </w:r>
    </w:p>
    <w:p w14:paraId="0BAC0D51">
      <w:pPr>
        <w:tabs>
          <w:tab w:val="left" w:pos="1620"/>
          <w:tab w:val="left" w:pos="2340"/>
        </w:tabs>
        <w:snapToGrid w:val="0"/>
        <w:spacing w:before="156" w:beforeLines="50"/>
        <w:ind w:firstLine="1200" w:firstLineChars="500"/>
        <w:rPr>
          <w:rFonts w:ascii="宋体" w:hAnsi="宋体" w:eastAsia="宋体" w:cs="Times New Roman"/>
          <w:kern w:val="0"/>
          <w:szCs w:val="24"/>
        </w:rPr>
      </w:pPr>
      <w:r>
        <w:rPr>
          <w:rFonts w:hint="eastAsia" w:ascii="Cambria" w:hAnsi="Cambria" w:eastAsia="宋体" w:cs="Times New Roman"/>
          <w:sz w:val="24"/>
          <w:szCs w:val="24"/>
        </w:rPr>
        <w:t>①</w:t>
      </w:r>
      <w:r>
        <w:rPr>
          <w:rFonts w:hint="eastAsia" w:ascii="宋体" w:hAnsi="宋体" w:eastAsia="宋体" w:cs="Times New Roman"/>
          <w:kern w:val="0"/>
          <w:szCs w:val="24"/>
        </w:rPr>
        <w:t>加权平均法：</w:t>
      </w:r>
    </w:p>
    <w:p w14:paraId="0DBA559E">
      <w:pPr>
        <w:snapToGrid w:val="0"/>
        <w:ind w:left="1440"/>
        <w:rPr>
          <w:rFonts w:ascii="宋体" w:hAnsi="宋体" w:eastAsia="宋体" w:cs="Times New Roman"/>
          <w:kern w:val="0"/>
          <w:szCs w:val="24"/>
        </w:rPr>
      </w:pPr>
      <w:r>
        <w:rPr>
          <w:rFonts w:ascii="宋体" w:hAnsi="宋体" w:eastAsia="宋体" w:cs="Times New Roman"/>
          <w:szCs w:val="21"/>
        </w:rPr>
        <w:sym w:font="Symbol" w:char="F060"/>
      </w:r>
      <w:r>
        <w:rPr>
          <w:rFonts w:ascii="Cambria" w:hAnsi="Cambria" w:eastAsia="宋体" w:cs="Times New Roman"/>
          <w:i/>
          <w:szCs w:val="21"/>
        </w:rPr>
        <w:t>I</w:t>
      </w:r>
      <w:r>
        <w:rPr>
          <w:rFonts w:ascii="Times New Roman" w:hAnsi="Times New Roman" w:eastAsia="宋体" w:cs="Times New Roman"/>
          <w:szCs w:val="24"/>
        </w:rPr>
        <w:t xml:space="preserve"> </w:t>
      </w:r>
      <w:r>
        <w:rPr>
          <w:rFonts w:hint="eastAsia" w:ascii="宋体" w:hAnsi="宋体" w:eastAsia="宋体" w:cs="Times New Roman"/>
          <w:sz w:val="24"/>
          <w:szCs w:val="24"/>
        </w:rPr>
        <w:t>-</w:t>
      </w:r>
      <w:r>
        <w:rPr>
          <w:rFonts w:hint="eastAsia" w:ascii="宋体" w:hAnsi="宋体" w:eastAsia="宋体" w:cs="Times New Roman"/>
          <w:szCs w:val="24"/>
        </w:rPr>
        <w:t>施工期加权平均人工费指数，即</w:t>
      </w:r>
      <w:r>
        <w:rPr>
          <w:rFonts w:hint="eastAsia" w:ascii="宋体" w:hAnsi="宋体" w:eastAsia="宋体" w:cs="Times New Roman"/>
          <w:sz w:val="24"/>
          <w:szCs w:val="24"/>
        </w:rPr>
        <w:t>∑(L</w:t>
      </w:r>
      <w:r>
        <w:rPr>
          <w:rFonts w:hint="eastAsia" w:ascii="宋体" w:hAnsi="宋体" w:eastAsia="宋体" w:cs="Times New Roman"/>
          <w:sz w:val="24"/>
          <w:szCs w:val="24"/>
          <w:vertAlign w:val="subscript"/>
        </w:rPr>
        <w:t>i</w:t>
      </w:r>
      <w:r>
        <w:rPr>
          <w:rFonts w:hint="eastAsia" w:ascii="宋体" w:hAnsi="宋体" w:eastAsia="宋体" w:cs="Times New Roman"/>
          <w:sz w:val="24"/>
          <w:szCs w:val="24"/>
        </w:rPr>
        <w:t>×I</w:t>
      </w:r>
      <w:r>
        <w:rPr>
          <w:rFonts w:hint="eastAsia" w:ascii="宋体" w:hAnsi="宋体" w:eastAsia="宋体" w:cs="Times New Roman"/>
          <w:sz w:val="24"/>
          <w:szCs w:val="24"/>
          <w:vertAlign w:val="subscript"/>
        </w:rPr>
        <w:t>i</w:t>
      </w:r>
      <w:r>
        <w:rPr>
          <w:rFonts w:hint="eastAsia" w:ascii="宋体" w:hAnsi="宋体" w:eastAsia="宋体" w:cs="Times New Roman"/>
          <w:sz w:val="24"/>
          <w:szCs w:val="24"/>
        </w:rPr>
        <w:t>)/L</w:t>
      </w:r>
      <w:r>
        <w:rPr>
          <w:rFonts w:hint="eastAsia" w:ascii="宋体" w:hAnsi="宋体" w:eastAsia="宋体" w:cs="Times New Roman"/>
          <w:sz w:val="24"/>
          <w:szCs w:val="24"/>
          <w:vertAlign w:val="subscript"/>
        </w:rPr>
        <w:t>总</w:t>
      </w:r>
      <w:r>
        <w:rPr>
          <w:rFonts w:hint="eastAsia" w:ascii="宋体" w:hAnsi="宋体" w:eastAsia="宋体" w:cs="Times New Roman"/>
          <w:sz w:val="24"/>
          <w:szCs w:val="24"/>
        </w:rPr>
        <w:t>，</w:t>
      </w:r>
      <w:r>
        <w:rPr>
          <w:rFonts w:ascii="宋体" w:hAnsi="宋体" w:eastAsia="宋体" w:cs="Times New Roman"/>
          <w:szCs w:val="21"/>
        </w:rPr>
        <w:t>L</w:t>
      </w:r>
      <w:r>
        <w:rPr>
          <w:rFonts w:ascii="宋体" w:hAnsi="宋体" w:eastAsia="宋体" w:cs="Times New Roman"/>
          <w:szCs w:val="21"/>
          <w:vertAlign w:val="subscript"/>
        </w:rPr>
        <w:t>i</w:t>
      </w:r>
      <w:r>
        <w:rPr>
          <w:rFonts w:hint="eastAsia" w:ascii="宋体" w:hAnsi="宋体" w:eastAsia="宋体" w:cs="Times New Roman"/>
          <w:szCs w:val="21"/>
        </w:rPr>
        <w:t>为施工期第</w:t>
      </w:r>
      <w:r>
        <w:rPr>
          <w:rFonts w:ascii="宋体" w:hAnsi="宋体" w:eastAsia="宋体" w:cs="Times New Roman"/>
          <w:szCs w:val="21"/>
        </w:rPr>
        <w:t>i</w:t>
      </w:r>
      <w:r>
        <w:rPr>
          <w:rFonts w:hint="eastAsia" w:ascii="宋体" w:hAnsi="宋体" w:eastAsia="宋体" w:cs="Times New Roman"/>
          <w:szCs w:val="21"/>
        </w:rPr>
        <w:t>个月某工种人工费</w:t>
      </w:r>
      <w:r>
        <w:rPr>
          <w:rFonts w:hint="eastAsia" w:ascii="宋体" w:hAnsi="宋体" w:eastAsia="宋体" w:cs="Times New Roman"/>
          <w:sz w:val="24"/>
          <w:szCs w:val="24"/>
        </w:rPr>
        <w:t>，</w:t>
      </w:r>
      <w:r>
        <w:rPr>
          <w:rFonts w:ascii="宋体" w:hAnsi="宋体" w:eastAsia="宋体" w:cs="Times New Roman"/>
          <w:szCs w:val="21"/>
        </w:rPr>
        <w:t>I</w:t>
      </w:r>
      <w:r>
        <w:rPr>
          <w:rFonts w:ascii="宋体" w:hAnsi="宋体" w:eastAsia="宋体" w:cs="Times New Roman"/>
          <w:szCs w:val="21"/>
          <w:vertAlign w:val="subscript"/>
        </w:rPr>
        <w:t>i</w:t>
      </w:r>
      <w:r>
        <w:rPr>
          <w:rFonts w:hint="eastAsia" w:ascii="宋体" w:hAnsi="宋体" w:eastAsia="宋体" w:cs="Times New Roman"/>
          <w:szCs w:val="21"/>
        </w:rPr>
        <w:t>为施工期第i个月当月《深圳建设工程价格信息》某工种人工费指数</w:t>
      </w:r>
      <w:r>
        <w:rPr>
          <w:rFonts w:hint="eastAsia" w:ascii="宋体" w:hAnsi="宋体" w:eastAsia="宋体" w:cs="Times New Roman"/>
          <w:szCs w:val="24"/>
        </w:rPr>
        <w:t>）。</w:t>
      </w:r>
    </w:p>
    <w:p w14:paraId="343F1C99">
      <w:pPr>
        <w:tabs>
          <w:tab w:val="left" w:pos="1620"/>
          <w:tab w:val="left" w:pos="2340"/>
        </w:tabs>
        <w:snapToGrid w:val="0"/>
        <w:spacing w:before="156" w:beforeLines="50"/>
        <w:ind w:firstLine="1200" w:firstLineChars="500"/>
        <w:rPr>
          <w:rFonts w:ascii="宋体" w:hAnsi="宋体" w:eastAsia="宋体" w:cs="Times New Roman"/>
          <w:szCs w:val="24"/>
        </w:rPr>
      </w:pPr>
      <w:r>
        <w:rPr>
          <w:rFonts w:hint="eastAsia" w:ascii="Cambria" w:hAnsi="Cambria" w:eastAsia="宋体" w:cs="Times New Roman"/>
          <w:sz w:val="24"/>
          <w:szCs w:val="24"/>
        </w:rPr>
        <w:t>或者②</w:t>
      </w:r>
      <w:r>
        <w:rPr>
          <w:rFonts w:hint="eastAsia" w:ascii="宋体" w:hAnsi="宋体" w:eastAsia="宋体" w:cs="Times New Roman"/>
          <w:szCs w:val="24"/>
        </w:rPr>
        <w:t>算术平均法：</w:t>
      </w:r>
    </w:p>
    <w:p w14:paraId="21A7AF19">
      <w:pPr>
        <w:snapToGrid w:val="0"/>
        <w:ind w:left="1440"/>
        <w:rPr>
          <w:rFonts w:hint="eastAsia" w:ascii="宋体" w:hAnsi="宋体" w:eastAsia="宋体" w:cs="Times New Roman"/>
          <w:szCs w:val="24"/>
        </w:rPr>
      </w:pPr>
      <w:r>
        <w:rPr>
          <w:rFonts w:ascii="宋体" w:hAnsi="宋体" w:eastAsia="宋体" w:cs="Times New Roman"/>
          <w:szCs w:val="21"/>
        </w:rPr>
        <w:sym w:font="Symbol" w:char="F060"/>
      </w:r>
      <w:r>
        <w:rPr>
          <w:rFonts w:ascii="Cambria" w:hAnsi="Cambria" w:eastAsia="宋体" w:cs="Times New Roman"/>
          <w:i/>
          <w:szCs w:val="21"/>
        </w:rPr>
        <w:t>I</w:t>
      </w:r>
      <w:r>
        <w:rPr>
          <w:rFonts w:ascii="Times New Roman" w:hAnsi="Times New Roman" w:eastAsia="宋体" w:cs="Times New Roman"/>
          <w:szCs w:val="24"/>
        </w:rPr>
        <w:t xml:space="preserve"> </w:t>
      </w:r>
      <w:r>
        <w:rPr>
          <w:rFonts w:hint="eastAsia" w:ascii="宋体" w:hAnsi="宋体" w:eastAsia="宋体" w:cs="Times New Roman"/>
          <w:sz w:val="24"/>
          <w:szCs w:val="24"/>
        </w:rPr>
        <w:t>-</w:t>
      </w:r>
      <w:r>
        <w:rPr>
          <w:rFonts w:hint="eastAsia" w:ascii="宋体" w:hAnsi="宋体" w:eastAsia="宋体" w:cs="Times New Roman"/>
          <w:szCs w:val="21"/>
        </w:rPr>
        <w:t>本工程有某工种投入月份对应《深圳建设工程价格信息》某工种人工费指数。例如有某工种投入月份是指2025年6月、8月、9月，则对应2025年6月、8月、9月《深圳建设工程价格信息》某工种人工费指数之和除以3。</w:t>
      </w:r>
    </w:p>
    <w:p w14:paraId="44A2D8F2">
      <w:pPr>
        <w:ind w:left="1050" w:leftChars="500"/>
        <w:rPr>
          <w:rFonts w:ascii="宋体" w:hAnsi="宋体" w:eastAsia="宋体" w:cs="Times New Roman"/>
          <w:szCs w:val="21"/>
        </w:rPr>
      </w:pPr>
      <w:r>
        <w:rPr>
          <w:rFonts w:ascii="宋体" w:hAnsi="宋体" w:eastAsia="宋体" w:cs="Times New Roman"/>
          <w:szCs w:val="21"/>
        </w:rPr>
        <w:t>I</w:t>
      </w:r>
      <w:r>
        <w:rPr>
          <w:rFonts w:ascii="宋体" w:hAnsi="宋体" w:eastAsia="宋体" w:cs="Times New Roman"/>
          <w:szCs w:val="21"/>
          <w:vertAlign w:val="subscript"/>
        </w:rPr>
        <w:t>o</w:t>
      </w:r>
      <w:r>
        <w:rPr>
          <w:rFonts w:hint="eastAsia" w:ascii="宋体" w:hAnsi="宋体" w:eastAsia="宋体" w:cs="Times New Roman"/>
          <w:szCs w:val="21"/>
        </w:rPr>
        <w:t>─投标截止日期前35天的当月或</w:t>
      </w:r>
      <w:r>
        <w:rPr>
          <w:rFonts w:hint="eastAsia" w:ascii="宋体" w:hAnsi="宋体" w:eastAsia="宋体" w:cs="Times New Roman"/>
          <w:b/>
          <w:i/>
          <w:szCs w:val="21"/>
        </w:rPr>
        <w:t>专用条款</w:t>
      </w:r>
      <w:r>
        <w:rPr>
          <w:rFonts w:hint="eastAsia" w:ascii="宋体" w:hAnsi="宋体" w:eastAsia="宋体" w:cs="Times New Roman"/>
          <w:szCs w:val="21"/>
        </w:rPr>
        <w:t>约定月份《深圳建设工程价格信息》某工种人工费指数；</w:t>
      </w:r>
    </w:p>
    <w:p w14:paraId="708AB50B">
      <w:pPr>
        <w:ind w:firstLine="1050" w:firstLineChars="500"/>
        <w:rPr>
          <w:rFonts w:ascii="宋体" w:hAnsi="宋体" w:eastAsia="宋体" w:cs="Times New Roman"/>
          <w:szCs w:val="21"/>
        </w:rPr>
      </w:pPr>
      <w:r>
        <w:rPr>
          <w:rFonts w:ascii="宋体" w:hAnsi="宋体" w:eastAsia="宋体" w:cs="Times New Roman"/>
          <w:szCs w:val="21"/>
        </w:rPr>
        <w:t>C</w:t>
      </w:r>
      <w:r>
        <w:rPr>
          <w:rFonts w:hint="eastAsia" w:ascii="宋体" w:hAnsi="宋体" w:eastAsia="宋体" w:cs="Times New Roman"/>
          <w:szCs w:val="21"/>
          <w:vertAlign w:val="subscript"/>
        </w:rPr>
        <w:t>增</w:t>
      </w:r>
      <w:r>
        <w:rPr>
          <w:rFonts w:hint="eastAsia" w:ascii="宋体" w:hAnsi="宋体" w:eastAsia="宋体" w:cs="Times New Roman"/>
          <w:szCs w:val="21"/>
        </w:rPr>
        <w:t>─调增合同价格；</w:t>
      </w:r>
    </w:p>
    <w:p w14:paraId="037ABAA6">
      <w:pPr>
        <w:ind w:firstLine="1050" w:firstLineChars="500"/>
        <w:rPr>
          <w:rFonts w:ascii="宋体" w:hAnsi="宋体" w:eastAsia="宋体" w:cs="Times New Roman"/>
          <w:szCs w:val="21"/>
        </w:rPr>
      </w:pPr>
      <w:r>
        <w:rPr>
          <w:rFonts w:ascii="宋体" w:hAnsi="宋体" w:eastAsia="宋体" w:cs="Times New Roman"/>
          <w:szCs w:val="21"/>
        </w:rPr>
        <w:t>C</w:t>
      </w:r>
      <w:r>
        <w:rPr>
          <w:rFonts w:hint="eastAsia" w:ascii="宋体" w:hAnsi="宋体" w:eastAsia="宋体" w:cs="Times New Roman"/>
          <w:szCs w:val="21"/>
          <w:vertAlign w:val="subscript"/>
        </w:rPr>
        <w:t>减</w:t>
      </w:r>
      <w:r>
        <w:rPr>
          <w:rFonts w:hint="eastAsia" w:ascii="宋体" w:hAnsi="宋体" w:eastAsia="宋体" w:cs="Times New Roman"/>
          <w:szCs w:val="21"/>
        </w:rPr>
        <w:t>─调减合同价格；</w:t>
      </w:r>
    </w:p>
    <w:p w14:paraId="4A9EEE36">
      <w:pPr>
        <w:tabs>
          <w:tab w:val="left" w:pos="1620"/>
          <w:tab w:val="left" w:pos="2340"/>
        </w:tabs>
        <w:spacing w:after="156"/>
        <w:ind w:left="1050" w:leftChars="500"/>
        <w:jc w:val="left"/>
        <w:rPr>
          <w:rFonts w:hint="eastAsia" w:ascii="宋体" w:hAnsi="宋体" w:eastAsia="宋体" w:cs="Times New Roman"/>
          <w:szCs w:val="21"/>
        </w:rPr>
      </w:pPr>
      <w:r>
        <w:rPr>
          <w:rFonts w:ascii="宋体" w:hAnsi="宋体" w:eastAsia="宋体" w:cs="Times New Roman"/>
          <w:szCs w:val="21"/>
        </w:rPr>
        <w:t>L</w:t>
      </w:r>
      <w:r>
        <w:rPr>
          <w:rFonts w:hint="eastAsia" w:ascii="宋体" w:hAnsi="宋体" w:eastAsia="宋体" w:cs="Times New Roman"/>
          <w:szCs w:val="21"/>
          <w:vertAlign w:val="subscript"/>
        </w:rPr>
        <w:t>总</w:t>
      </w:r>
      <w:r>
        <w:rPr>
          <w:rFonts w:hint="eastAsia" w:ascii="宋体" w:hAnsi="宋体" w:eastAsia="宋体" w:cs="Times New Roman"/>
          <w:szCs w:val="21"/>
        </w:rPr>
        <w:t>─本工程某工种总人工费，具体在</w:t>
      </w:r>
      <w:r>
        <w:rPr>
          <w:rFonts w:hint="eastAsia" w:ascii="宋体" w:hAnsi="宋体" w:eastAsia="宋体" w:cs="Times New Roman"/>
          <w:b/>
          <w:i/>
          <w:szCs w:val="21"/>
        </w:rPr>
        <w:t>专用条款</w:t>
      </w:r>
      <w:r>
        <w:rPr>
          <w:rFonts w:hint="eastAsia" w:ascii="宋体" w:hAnsi="宋体" w:eastAsia="宋体" w:cs="Times New Roman"/>
          <w:szCs w:val="21"/>
        </w:rPr>
        <w:t>约定。</w:t>
      </w:r>
    </w:p>
    <w:p w14:paraId="08F85EBD">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32"/>
          <w:lang w:val="en-US" w:eastAsia="zh-CN" w:bidi="ar-SA"/>
        </w:rPr>
      </w:pPr>
      <w:bookmarkStart w:id="2563" w:name="_Toc2308"/>
      <w:bookmarkStart w:id="2564" w:name="_Toc28185"/>
      <w:bookmarkStart w:id="2565" w:name="_Toc9900"/>
      <w:bookmarkStart w:id="2566" w:name="_Toc553"/>
      <w:bookmarkStart w:id="2567" w:name="_Toc28789"/>
      <w:bookmarkStart w:id="2568" w:name="_Toc29903"/>
      <w:bookmarkStart w:id="2569" w:name="_Toc10334"/>
      <w:bookmarkStart w:id="2570" w:name="_Toc208587599"/>
      <w:bookmarkStart w:id="2571" w:name="_Toc13715"/>
      <w:bookmarkStart w:id="2572" w:name="_Toc15395"/>
      <w:bookmarkStart w:id="2573" w:name="_Toc1095058037"/>
      <w:bookmarkStart w:id="2574" w:name="_Toc302635840"/>
      <w:bookmarkStart w:id="2575" w:name="_Toc18832"/>
      <w:bookmarkStart w:id="2576" w:name="_Toc201735379"/>
      <w:bookmarkStart w:id="2577" w:name="_Toc305331350"/>
      <w:r>
        <w:rPr>
          <w:rFonts w:hint="eastAsia" w:ascii="宋体" w:hAnsi="宋体" w:eastAsia="宋体" w:cs="Times New Roman"/>
          <w:b/>
          <w:bCs/>
          <w:kern w:val="0"/>
          <w:sz w:val="24"/>
          <w:szCs w:val="32"/>
          <w:lang w:val="en-US" w:eastAsia="zh-CN" w:bidi="ar-SA"/>
        </w:rPr>
        <w:t>合同价格调整程序</w:t>
      </w:r>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p>
    <w:p w14:paraId="0EBF35F9">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(1)承包人应在20.2款约定的合同价格调整情况发生后14天内，将调整原因、金额书面提交给</w:t>
      </w:r>
      <w:r>
        <w:rPr>
          <w:rFonts w:ascii="宋体" w:hAnsi="宋体" w:eastAsia="宋体" w:cs="Times New Roman"/>
          <w:kern w:val="0"/>
          <w:szCs w:val="24"/>
        </w:rPr>
        <w:t>监理人</w:t>
      </w:r>
      <w:r>
        <w:rPr>
          <w:rFonts w:hint="eastAsia" w:ascii="宋体" w:hAnsi="宋体" w:eastAsia="宋体" w:cs="Times New Roman"/>
          <w:kern w:val="0"/>
          <w:szCs w:val="24"/>
        </w:rPr>
        <w:t>，</w:t>
      </w:r>
      <w:r>
        <w:rPr>
          <w:rFonts w:ascii="宋体" w:hAnsi="宋体" w:eastAsia="宋体" w:cs="Times New Roman"/>
          <w:kern w:val="0"/>
          <w:szCs w:val="24"/>
        </w:rPr>
        <w:t>监理人</w:t>
      </w:r>
      <w:r>
        <w:rPr>
          <w:rFonts w:hint="eastAsia" w:ascii="宋体" w:hAnsi="宋体" w:eastAsia="宋体" w:cs="Times New Roman"/>
          <w:kern w:val="0"/>
          <w:szCs w:val="24"/>
        </w:rPr>
        <w:t>审核调整金额，并报发包人确认后作为追加(减)合同价格，与工程进度款同期支付。发包人收到通知后14天内未确认也未提出异议的，视为已经同意该项合同价格调整。</w:t>
      </w:r>
      <w:bookmarkEnd w:id="2534"/>
    </w:p>
    <w:p w14:paraId="63E124B4">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(2)当20.2款约定的合同价格调整情况持续进行时，承包人应阶段性向</w:t>
      </w:r>
      <w:r>
        <w:rPr>
          <w:rFonts w:ascii="宋体" w:hAnsi="宋体" w:eastAsia="宋体" w:cs="Times New Roman"/>
          <w:kern w:val="0"/>
          <w:szCs w:val="24"/>
        </w:rPr>
        <w:t>监理人</w:t>
      </w:r>
      <w:r>
        <w:rPr>
          <w:rFonts w:hint="eastAsia" w:ascii="宋体" w:hAnsi="宋体" w:eastAsia="宋体" w:cs="Times New Roman"/>
          <w:kern w:val="0"/>
          <w:szCs w:val="24"/>
        </w:rPr>
        <w:t>书面提交</w:t>
      </w:r>
      <w:r>
        <w:rPr>
          <w:rFonts w:ascii="宋体" w:hAnsi="宋体" w:eastAsia="宋体" w:cs="Times New Roman"/>
          <w:kern w:val="0"/>
          <w:szCs w:val="24"/>
        </w:rPr>
        <w:t>调整合同价格</w:t>
      </w:r>
      <w:r>
        <w:rPr>
          <w:rFonts w:hint="eastAsia" w:ascii="宋体" w:hAnsi="宋体" w:eastAsia="宋体" w:cs="Times New Roman"/>
          <w:kern w:val="0"/>
          <w:szCs w:val="24"/>
        </w:rPr>
        <w:t>报告，并在该情况终了后</w:t>
      </w:r>
      <w:r>
        <w:rPr>
          <w:rFonts w:ascii="宋体" w:hAnsi="宋体" w:eastAsia="宋体" w:cs="Times New Roman"/>
          <w:kern w:val="0"/>
          <w:szCs w:val="24"/>
        </w:rPr>
        <w:t>14</w:t>
      </w:r>
      <w:r>
        <w:rPr>
          <w:rFonts w:hint="eastAsia" w:ascii="宋体" w:hAnsi="宋体" w:eastAsia="宋体" w:cs="Times New Roman"/>
          <w:kern w:val="0"/>
          <w:szCs w:val="24"/>
        </w:rPr>
        <w:t>天内，向监理人提交最终的</w:t>
      </w:r>
      <w:r>
        <w:rPr>
          <w:rFonts w:ascii="宋体" w:hAnsi="宋体" w:eastAsia="宋体" w:cs="Times New Roman"/>
          <w:kern w:val="0"/>
          <w:szCs w:val="24"/>
        </w:rPr>
        <w:t>调整合同价格</w:t>
      </w:r>
      <w:r>
        <w:rPr>
          <w:rFonts w:hint="eastAsia" w:ascii="宋体" w:hAnsi="宋体" w:eastAsia="宋体" w:cs="Times New Roman"/>
          <w:kern w:val="0"/>
          <w:szCs w:val="24"/>
        </w:rPr>
        <w:t>报告，</w:t>
      </w:r>
      <w:r>
        <w:rPr>
          <w:rFonts w:ascii="宋体" w:hAnsi="宋体" w:eastAsia="宋体" w:cs="Times New Roman"/>
          <w:kern w:val="0"/>
          <w:szCs w:val="24"/>
        </w:rPr>
        <w:t>监理人</w:t>
      </w:r>
      <w:r>
        <w:rPr>
          <w:rFonts w:hint="eastAsia" w:ascii="宋体" w:hAnsi="宋体" w:eastAsia="宋体" w:cs="Times New Roman"/>
          <w:kern w:val="0"/>
          <w:szCs w:val="24"/>
        </w:rPr>
        <w:t>审核和发包人确认程序与本款第(1)项约定相同。</w:t>
      </w:r>
    </w:p>
    <w:p w14:paraId="2DE92238">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(3)当承包人未按本款第(1)、(2)项约定的时间内提出</w:t>
      </w:r>
      <w:r>
        <w:rPr>
          <w:rFonts w:ascii="宋体" w:hAnsi="宋体" w:eastAsia="宋体" w:cs="Times New Roman"/>
          <w:kern w:val="0"/>
          <w:szCs w:val="24"/>
        </w:rPr>
        <w:t>调整合同价格</w:t>
      </w:r>
      <w:r>
        <w:rPr>
          <w:rFonts w:hint="eastAsia" w:ascii="宋体" w:hAnsi="宋体" w:eastAsia="宋体" w:cs="Times New Roman"/>
          <w:kern w:val="0"/>
          <w:szCs w:val="24"/>
        </w:rPr>
        <w:t>报告的，发包人可自行决定是否</w:t>
      </w:r>
      <w:r>
        <w:rPr>
          <w:rFonts w:ascii="宋体" w:hAnsi="宋体" w:eastAsia="宋体" w:cs="Times New Roman"/>
          <w:kern w:val="0"/>
          <w:szCs w:val="24"/>
        </w:rPr>
        <w:t>调整合同价格</w:t>
      </w:r>
      <w:r>
        <w:rPr>
          <w:rFonts w:hint="eastAsia" w:ascii="宋体" w:hAnsi="宋体" w:eastAsia="宋体" w:cs="Times New Roman"/>
          <w:kern w:val="0"/>
          <w:szCs w:val="24"/>
        </w:rPr>
        <w:t>。发包人应在约定的</w:t>
      </w:r>
      <w:r>
        <w:rPr>
          <w:rFonts w:ascii="宋体" w:hAnsi="宋体" w:eastAsia="宋体" w:cs="Times New Roman"/>
          <w:kern w:val="0"/>
          <w:szCs w:val="24"/>
        </w:rPr>
        <w:t>合同价格调整</w:t>
      </w:r>
      <w:r>
        <w:rPr>
          <w:rFonts w:hint="eastAsia" w:ascii="宋体" w:hAnsi="宋体" w:eastAsia="宋体" w:cs="Times New Roman"/>
          <w:kern w:val="0"/>
          <w:szCs w:val="24"/>
        </w:rPr>
        <w:t>情况发生后28天内将不</w:t>
      </w:r>
      <w:r>
        <w:rPr>
          <w:rFonts w:ascii="宋体" w:hAnsi="宋体" w:eastAsia="宋体" w:cs="Times New Roman"/>
          <w:kern w:val="0"/>
          <w:szCs w:val="24"/>
        </w:rPr>
        <w:t>调整合同价格</w:t>
      </w:r>
      <w:r>
        <w:rPr>
          <w:rFonts w:hint="eastAsia" w:ascii="宋体" w:hAnsi="宋体" w:eastAsia="宋体" w:cs="Times New Roman"/>
          <w:kern w:val="0"/>
          <w:szCs w:val="24"/>
        </w:rPr>
        <w:t>的决定书面通知承包人；或将</w:t>
      </w:r>
      <w:r>
        <w:rPr>
          <w:rFonts w:ascii="宋体" w:hAnsi="宋体" w:eastAsia="宋体" w:cs="Times New Roman"/>
          <w:kern w:val="0"/>
          <w:szCs w:val="24"/>
        </w:rPr>
        <w:t>调整合同价格</w:t>
      </w:r>
      <w:r>
        <w:rPr>
          <w:rFonts w:hint="eastAsia" w:ascii="宋体" w:hAnsi="宋体" w:eastAsia="宋体" w:cs="Times New Roman"/>
          <w:kern w:val="0"/>
          <w:szCs w:val="24"/>
        </w:rPr>
        <w:t>报告提交给承包人确认。承包人收到报告14天内未确认也未提出异议的，视为已经同意该项</w:t>
      </w:r>
      <w:r>
        <w:rPr>
          <w:rFonts w:ascii="宋体" w:hAnsi="宋体" w:eastAsia="宋体" w:cs="Times New Roman"/>
          <w:kern w:val="0"/>
          <w:szCs w:val="24"/>
        </w:rPr>
        <w:t>合同价格调整</w:t>
      </w:r>
      <w:r>
        <w:rPr>
          <w:rFonts w:hint="eastAsia" w:ascii="宋体" w:hAnsi="宋体" w:eastAsia="宋体" w:cs="Times New Roman"/>
          <w:kern w:val="0"/>
          <w:szCs w:val="24"/>
        </w:rPr>
        <w:t>。</w:t>
      </w:r>
    </w:p>
    <w:p w14:paraId="5C7855D8">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(4)当约定的</w:t>
      </w:r>
      <w:r>
        <w:rPr>
          <w:rFonts w:ascii="宋体" w:hAnsi="宋体" w:eastAsia="宋体" w:cs="Times New Roman"/>
          <w:kern w:val="0"/>
          <w:szCs w:val="24"/>
        </w:rPr>
        <w:t>合同价格调整</w:t>
      </w:r>
      <w:r>
        <w:rPr>
          <w:rFonts w:hint="eastAsia" w:ascii="宋体" w:hAnsi="宋体" w:eastAsia="宋体" w:cs="Times New Roman"/>
          <w:kern w:val="0"/>
          <w:szCs w:val="24"/>
        </w:rPr>
        <w:t>情况发生后，发包人和承包人均未在前款约定时间内提出</w:t>
      </w:r>
      <w:r>
        <w:rPr>
          <w:rFonts w:ascii="宋体" w:hAnsi="宋体" w:eastAsia="宋体" w:cs="Times New Roman"/>
          <w:kern w:val="0"/>
          <w:szCs w:val="24"/>
        </w:rPr>
        <w:t>调整合同价格</w:t>
      </w:r>
      <w:r>
        <w:rPr>
          <w:rFonts w:hint="eastAsia" w:ascii="宋体" w:hAnsi="宋体" w:eastAsia="宋体" w:cs="Times New Roman"/>
          <w:kern w:val="0"/>
          <w:szCs w:val="24"/>
        </w:rPr>
        <w:t>意见，视为该调整情况的发生不涉及合同价格的调整。</w:t>
      </w:r>
    </w:p>
    <w:p w14:paraId="7E8A5DCD">
      <w:pPr>
        <w:tabs>
          <w:tab w:val="left" w:pos="1620"/>
          <w:tab w:val="left" w:pos="2340"/>
        </w:tabs>
        <w:spacing w:before="156" w:after="156"/>
        <w:ind w:left="899"/>
        <w:jc w:val="left"/>
        <w:rPr>
          <w:rFonts w:hint="eastAsia" w:ascii="宋体" w:hAnsi="宋体" w:eastAsia="宋体" w:cs="Times New Roman"/>
          <w:kern w:val="0"/>
          <w:szCs w:val="24"/>
        </w:rPr>
      </w:pPr>
      <w:r>
        <w:rPr>
          <w:rFonts w:ascii="宋体" w:hAnsi="宋体" w:eastAsia="宋体" w:cs="Times New Roman"/>
          <w:kern w:val="0"/>
          <w:szCs w:val="24"/>
        </w:rPr>
        <w:t>(5)</w:t>
      </w:r>
      <w:r>
        <w:rPr>
          <w:rFonts w:hint="eastAsia" w:ascii="宋体" w:hAnsi="宋体" w:eastAsia="宋体" w:cs="Times New Roman"/>
          <w:kern w:val="0"/>
          <w:szCs w:val="24"/>
        </w:rPr>
        <w:t>上述</w:t>
      </w:r>
      <w:r>
        <w:rPr>
          <w:rFonts w:ascii="宋体" w:hAnsi="宋体" w:eastAsia="宋体" w:cs="Times New Roman"/>
          <w:kern w:val="0"/>
          <w:szCs w:val="24"/>
        </w:rPr>
        <w:t>合同价格调整</w:t>
      </w:r>
      <w:r>
        <w:rPr>
          <w:rFonts w:hint="eastAsia" w:ascii="宋体" w:hAnsi="宋体" w:eastAsia="宋体" w:cs="Times New Roman"/>
          <w:kern w:val="0"/>
          <w:szCs w:val="24"/>
        </w:rPr>
        <w:t>有关文件的编制和审核均须经注册造价工程师签字盖章确认。经发包人和承包人确认调整的合同价格，作为追加(减)合同价款，应与工程进度款同期支付。</w:t>
      </w:r>
    </w:p>
    <w:p w14:paraId="5252E08D">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578" w:name="_Toc7357"/>
      <w:bookmarkStart w:id="2579" w:name="_Toc302635841"/>
      <w:bookmarkStart w:id="2580" w:name="_Toc26586"/>
      <w:bookmarkStart w:id="2581" w:name="_Toc2227"/>
      <w:bookmarkStart w:id="2582" w:name="_Toc14566"/>
      <w:bookmarkStart w:id="2583" w:name="_Toc16483"/>
      <w:bookmarkStart w:id="2584" w:name="_Toc201735380"/>
      <w:bookmarkStart w:id="2585" w:name="_Toc8724"/>
      <w:bookmarkStart w:id="2586" w:name="_Toc1307926804"/>
      <w:bookmarkStart w:id="2587" w:name="_Toc2062"/>
      <w:bookmarkStart w:id="2588" w:name="_Toc12058"/>
      <w:bookmarkStart w:id="2589" w:name="_Toc9239"/>
      <w:bookmarkStart w:id="2590" w:name="_Toc208587600"/>
      <w:r>
        <w:rPr>
          <w:rFonts w:hint="eastAsia" w:ascii="宋体" w:hAnsi="宋体" w:eastAsia="宋体" w:cs="Times New Roman"/>
          <w:b/>
          <w:bCs/>
          <w:kern w:val="0"/>
          <w:sz w:val="24"/>
          <w:szCs w:val="24"/>
          <w:lang w:val="en-US" w:eastAsia="zh-CN" w:bidi="ar-SA"/>
        </w:rPr>
        <w:t>中标净下浮率</w:t>
      </w:r>
      <w:bookmarkEnd w:id="2578"/>
      <w:bookmarkEnd w:id="2579"/>
      <w:bookmarkEnd w:id="2580"/>
      <w:bookmarkEnd w:id="2581"/>
      <w:bookmarkEnd w:id="2582"/>
      <w:bookmarkEnd w:id="2583"/>
      <w:bookmarkEnd w:id="2584"/>
      <w:bookmarkEnd w:id="2585"/>
      <w:bookmarkEnd w:id="2586"/>
      <w:bookmarkEnd w:id="2587"/>
      <w:bookmarkEnd w:id="2588"/>
      <w:bookmarkEnd w:id="2589"/>
      <w:bookmarkEnd w:id="2590"/>
    </w:p>
    <w:p w14:paraId="4CA0B00C">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中标净下浮率是指中标价相对最高投标限价的下浮比例，即：中标净下浮率=(最高投标限价-中标价)/最高投标限价，其中应扣除安全文明施工费、材料暂估价、专业工程暂估价、暂列金额等不可竞争性费用（含税）。本工程中标净下浮率应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中明确。</w:t>
      </w:r>
    </w:p>
    <w:p w14:paraId="655A60BB">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591" w:name="_Toc26086"/>
      <w:bookmarkStart w:id="2592" w:name="_Toc5976"/>
      <w:bookmarkStart w:id="2593" w:name="_Toc30209"/>
      <w:bookmarkStart w:id="2594" w:name="_Toc15841"/>
      <w:bookmarkStart w:id="2595" w:name="_Toc4465"/>
      <w:bookmarkStart w:id="2596" w:name="_Toc201735381"/>
      <w:bookmarkStart w:id="2597" w:name="_Toc990084860"/>
      <w:bookmarkStart w:id="2598" w:name="_Toc21703"/>
      <w:bookmarkStart w:id="2599" w:name="_Toc208587601"/>
      <w:bookmarkStart w:id="2600" w:name="_Toc177"/>
      <w:bookmarkStart w:id="2601" w:name="_Toc26676"/>
      <w:bookmarkStart w:id="2602" w:name="_Toc32638"/>
      <w:bookmarkStart w:id="2603" w:name="_Toc11713"/>
      <w:r>
        <w:rPr>
          <w:rFonts w:hint="eastAsia" w:ascii="宋体" w:hAnsi="宋体" w:eastAsia="宋体" w:cs="Times New Roman"/>
          <w:b/>
          <w:bCs/>
          <w:kern w:val="0"/>
          <w:sz w:val="24"/>
          <w:szCs w:val="24"/>
          <w:lang w:val="en-US" w:eastAsia="zh-CN" w:bidi="ar-SA"/>
        </w:rPr>
        <w:t>询价采购</w:t>
      </w:r>
      <w:bookmarkEnd w:id="2591"/>
      <w:bookmarkEnd w:id="2592"/>
      <w:bookmarkEnd w:id="2593"/>
      <w:bookmarkEnd w:id="2594"/>
      <w:bookmarkEnd w:id="2595"/>
      <w:bookmarkEnd w:id="2596"/>
      <w:bookmarkEnd w:id="2597"/>
      <w:bookmarkEnd w:id="2598"/>
      <w:bookmarkEnd w:id="2599"/>
      <w:bookmarkEnd w:id="2600"/>
      <w:bookmarkEnd w:id="2601"/>
      <w:bookmarkEnd w:id="2602"/>
      <w:bookmarkEnd w:id="2603"/>
    </w:p>
    <w:p w14:paraId="3C392D56">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(1)符合《深圳市建设工程材料设备询价采购办法》规定情形的材料与工程设备，发承包双方应按规定程序和要求进行询价采购。</w:t>
      </w:r>
    </w:p>
    <w:p w14:paraId="79952883">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(2)本工程承包范围内的材料与工程设备采购，应由承包人作为采购人。询价采购活动应集中在询价采购网络服务平台进行，询价采购结果公示结束后，采购人应在询价采购网络服务平台在线签订采购合同。</w:t>
      </w:r>
    </w:p>
    <w:p w14:paraId="7CBC931B">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(3)询价采购确定的成交价格可作为工程计价的依据，由发承包双方在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中具体约定。</w:t>
      </w:r>
    </w:p>
    <w:p w14:paraId="00065685">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hint="eastAsia" w:ascii="华文细黑" w:hAnsi="宋体" w:eastAsia="宋体" w:cs="Times New Roman"/>
          <w:b/>
          <w:bCs/>
          <w:snapToGrid w:val="0"/>
          <w:kern w:val="0"/>
          <w:sz w:val="28"/>
          <w:szCs w:val="44"/>
          <w:lang w:val="en-US" w:eastAsia="zh-CN" w:bidi="ar-SA"/>
        </w:rPr>
      </w:pPr>
      <w:bookmarkStart w:id="2604" w:name="_Toc14906"/>
      <w:bookmarkStart w:id="2605" w:name="_Toc1395551869"/>
      <w:bookmarkStart w:id="2606" w:name="_Toc21921"/>
      <w:bookmarkStart w:id="2607" w:name="_Toc201735394"/>
      <w:bookmarkStart w:id="2608" w:name="_Toc1161"/>
      <w:bookmarkStart w:id="2609" w:name="_Toc27404"/>
      <w:bookmarkStart w:id="2610" w:name="_Toc8883"/>
      <w:bookmarkStart w:id="2611" w:name="_Toc31350"/>
      <w:bookmarkStart w:id="2612" w:name="_Toc20414"/>
      <w:bookmarkStart w:id="2613" w:name="_Toc16271"/>
      <w:bookmarkStart w:id="2614" w:name="_Toc11566"/>
      <w:bookmarkStart w:id="2615" w:name="_Toc302635842"/>
      <w:bookmarkStart w:id="2616" w:name="_Toc22984"/>
      <w:bookmarkStart w:id="2617" w:name="_Toc208587614"/>
      <w:r>
        <w:rPr>
          <w:rFonts w:hint="eastAsia" w:ascii="华文细黑" w:hAnsi="宋体" w:eastAsia="宋体" w:cs="Times New Roman"/>
          <w:b/>
          <w:bCs/>
          <w:snapToGrid w:val="0"/>
          <w:kern w:val="0"/>
          <w:sz w:val="28"/>
          <w:szCs w:val="44"/>
          <w:lang w:val="en-US" w:eastAsia="zh-CN" w:bidi="ar-SA"/>
        </w:rPr>
        <w:t>暂估价和暂列金额</w:t>
      </w:r>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p>
    <w:p w14:paraId="4F1DFA9A">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618" w:name="_Toc17800"/>
      <w:bookmarkStart w:id="2619" w:name="_Toc11846"/>
      <w:bookmarkStart w:id="2620" w:name="_Toc873902110"/>
      <w:bookmarkStart w:id="2621" w:name="_Toc19521"/>
      <w:bookmarkStart w:id="2622" w:name="_Toc208587615"/>
      <w:bookmarkStart w:id="2623" w:name="_Toc4851"/>
      <w:bookmarkStart w:id="2624" w:name="_Toc305331351"/>
      <w:bookmarkStart w:id="2625" w:name="_Toc34909080"/>
      <w:r>
        <w:rPr>
          <w:rFonts w:hint="eastAsia" w:ascii="宋体" w:hAnsi="宋体" w:eastAsia="宋体" w:cs="Times New Roman"/>
          <w:b/>
          <w:bCs/>
          <w:kern w:val="0"/>
          <w:sz w:val="24"/>
          <w:szCs w:val="24"/>
          <w:lang w:val="en-US" w:eastAsia="zh-CN" w:bidi="ar-SA"/>
        </w:rPr>
        <w:t>材料暂估价</w:t>
      </w:r>
      <w:bookmarkEnd w:id="2618"/>
      <w:bookmarkEnd w:id="2619"/>
      <w:bookmarkEnd w:id="2620"/>
      <w:bookmarkEnd w:id="2621"/>
      <w:bookmarkEnd w:id="2622"/>
      <w:bookmarkEnd w:id="2623"/>
    </w:p>
    <w:p w14:paraId="027C19E1">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(1)材料暂估价是</w:t>
      </w:r>
      <w:r>
        <w:rPr>
          <w:rFonts w:hint="eastAsia" w:ascii="Times New Roman" w:hAnsi="Times New Roman" w:eastAsia="宋体" w:cs="Times New Roman"/>
          <w:szCs w:val="24"/>
        </w:rPr>
        <w:t>发包人在工程量清单中提供的，用于支付设计图纸要求必需使用的材料，但在招标时或合同签订时暂不能确定其标准、规格、价格而在工程量清单中预估到达施工现场的不含增值税的材料价格。</w:t>
      </w:r>
      <w:r>
        <w:rPr>
          <w:rFonts w:hint="eastAsia" w:ascii="宋体" w:hAnsi="宋体" w:eastAsia="宋体" w:cs="Times New Roman"/>
          <w:kern w:val="0"/>
          <w:szCs w:val="24"/>
        </w:rPr>
        <w:t>发包人、承包人应在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中就上述材料的名称、规格、单位和暂估单价进行约定。该材料暂估价不作为竣工结算依据。</w:t>
      </w:r>
    </w:p>
    <w:p w14:paraId="4132667B">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(2)如本款第(1)项所述暂估的材料属按规定必须招标的，应由发包人提出技术标准和最高限价，由承包人通过招标方式确定该材料单价。</w:t>
      </w:r>
    </w:p>
    <w:p w14:paraId="2C59D433">
      <w:pPr>
        <w:tabs>
          <w:tab w:val="left" w:pos="1620"/>
          <w:tab w:val="left" w:pos="2340"/>
        </w:tabs>
        <w:spacing w:before="156"/>
        <w:ind w:left="899"/>
        <w:jc w:val="left"/>
        <w:rPr>
          <w:rFonts w:hint="eastAsia" w:ascii="宋体" w:hAnsi="宋体" w:eastAsia="宋体" w:cs="Times New Roman"/>
          <w:kern w:val="0"/>
          <w:szCs w:val="24"/>
        </w:rPr>
      </w:pPr>
      <w:r>
        <w:rPr>
          <w:rFonts w:hint="eastAsia" w:ascii="宋体" w:hAnsi="宋体" w:eastAsia="宋体" w:cs="Times New Roman"/>
          <w:kern w:val="0"/>
          <w:szCs w:val="24"/>
        </w:rPr>
        <w:t>(3)如本款第(1)项所述暂估的材料不属于按规定必须招标的，并属于《深圳市建设工程材料设备询价采购办法》规定必须进行询价采购的，按照2</w:t>
      </w:r>
      <w:r>
        <w:rPr>
          <w:rFonts w:ascii="宋体" w:hAnsi="宋体" w:eastAsia="宋体" w:cs="Times New Roman"/>
          <w:kern w:val="0"/>
          <w:szCs w:val="24"/>
        </w:rPr>
        <w:t>0.9</w:t>
      </w:r>
      <w:r>
        <w:rPr>
          <w:rFonts w:hint="eastAsia" w:ascii="宋体" w:hAnsi="宋体" w:eastAsia="宋体" w:cs="Times New Roman"/>
          <w:kern w:val="0"/>
          <w:szCs w:val="24"/>
        </w:rPr>
        <w:t>款的相关约定执行。</w:t>
      </w:r>
    </w:p>
    <w:p w14:paraId="45361BA8">
      <w:pPr>
        <w:tabs>
          <w:tab w:val="left" w:pos="1620"/>
          <w:tab w:val="left" w:pos="2340"/>
        </w:tabs>
        <w:spacing w:before="156"/>
        <w:ind w:left="899"/>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4</w:t>
      </w:r>
      <w:r>
        <w:rPr>
          <w:rFonts w:hint="eastAsia" w:ascii="宋体" w:hAnsi="宋体" w:eastAsia="宋体" w:cs="Times New Roman"/>
          <w:kern w:val="0"/>
          <w:szCs w:val="24"/>
        </w:rPr>
        <w:t>)如本款第(1)项所述暂估的材料不属于按规定必须招标且不属于按规定必须询价采购的，由发承包双方按</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中约定的方式确定该材料单价。</w:t>
      </w:r>
    </w:p>
    <w:p w14:paraId="19960FBF">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5</w:t>
      </w:r>
      <w:r>
        <w:rPr>
          <w:rFonts w:hint="eastAsia" w:ascii="宋体" w:hAnsi="宋体" w:eastAsia="宋体" w:cs="Times New Roman"/>
          <w:kern w:val="0"/>
          <w:szCs w:val="24"/>
        </w:rPr>
        <w:t>)材料暂估价应按发承包双方最终确认的价格调整价差，价差调整部分不计利润。</w:t>
      </w:r>
    </w:p>
    <w:p w14:paraId="55F13B17">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626" w:name="_Toc6825"/>
      <w:bookmarkStart w:id="2627" w:name="_Toc3220"/>
      <w:bookmarkStart w:id="2628" w:name="_Toc25945"/>
      <w:bookmarkStart w:id="2629" w:name="_Toc1099"/>
      <w:bookmarkStart w:id="2630" w:name="_Toc14928"/>
      <w:bookmarkStart w:id="2631" w:name="_Toc10557"/>
      <w:bookmarkStart w:id="2632" w:name="_Toc302635844"/>
      <w:bookmarkStart w:id="2633" w:name="_Toc4843"/>
      <w:bookmarkStart w:id="2634" w:name="_Toc14161"/>
      <w:bookmarkStart w:id="2635" w:name="_Toc201735396"/>
      <w:bookmarkStart w:id="2636" w:name="_Toc208587616"/>
      <w:bookmarkStart w:id="2637" w:name="_Toc983105195"/>
      <w:bookmarkStart w:id="2638" w:name="_Toc31631"/>
      <w:bookmarkStart w:id="2639" w:name="_Toc18660"/>
      <w:r>
        <w:rPr>
          <w:rFonts w:hint="eastAsia" w:ascii="宋体" w:hAnsi="宋体" w:eastAsia="宋体" w:cs="Times New Roman"/>
          <w:b/>
          <w:bCs/>
          <w:kern w:val="0"/>
          <w:sz w:val="24"/>
          <w:szCs w:val="24"/>
          <w:lang w:val="en-US" w:eastAsia="zh-CN" w:bidi="ar-SA"/>
        </w:rPr>
        <w:t>专业工程暂估价</w:t>
      </w:r>
      <w:bookmarkEnd w:id="2624"/>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p>
    <w:p w14:paraId="3EEC8422">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(1)专业工程暂估价是发包人在合同清单中提供的用于支付必然发生但暂时不能确定的专业工程金额。发包人、承包人应在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中就上述专业工程的名称和暂估价款进行约定。该专业工程暂估价不作为结算依据。</w:t>
      </w:r>
    </w:p>
    <w:bookmarkEnd w:id="2625"/>
    <w:p w14:paraId="21FBA880">
      <w:pPr>
        <w:tabs>
          <w:tab w:val="left" w:pos="1620"/>
          <w:tab w:val="left" w:pos="2340"/>
        </w:tabs>
        <w:spacing w:before="156" w:after="156"/>
        <w:ind w:left="899"/>
        <w:jc w:val="left"/>
        <w:rPr>
          <w:rFonts w:ascii="宋体" w:hAnsi="宋体" w:eastAsia="宋体" w:cs="Times New Roman"/>
          <w:kern w:val="0"/>
          <w:szCs w:val="24"/>
        </w:rPr>
      </w:pPr>
      <w:bookmarkStart w:id="2640" w:name="_Toc34909081"/>
      <w:r>
        <w:rPr>
          <w:rFonts w:hint="eastAsia" w:ascii="宋体" w:hAnsi="宋体" w:eastAsia="宋体" w:cs="Times New Roman"/>
          <w:kern w:val="0"/>
          <w:szCs w:val="24"/>
        </w:rPr>
        <w:t>(2)如本款第(1)项所述暂估的专业工程属按规定必须招标的，应由发包人通过招标方式确定该专业工程结算价款。</w:t>
      </w:r>
    </w:p>
    <w:p w14:paraId="248A82BF">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(3)如本款第(1)项所述暂估的专业工程不属于按规定必须招标的，除</w:t>
      </w:r>
      <w:r>
        <w:rPr>
          <w:rFonts w:hint="eastAsia" w:ascii="宋体" w:hAnsi="宋体" w:eastAsia="宋体" w:cs="Times New Roman"/>
          <w:b/>
          <w:i/>
          <w:kern w:val="0"/>
          <w:szCs w:val="24"/>
        </w:rPr>
        <w:t>专用条款</w:t>
      </w:r>
      <w:r>
        <w:rPr>
          <w:rFonts w:hint="eastAsia" w:ascii="宋体" w:hAnsi="宋体" w:eastAsia="宋体" w:cs="Times New Roman"/>
          <w:kern w:val="0"/>
          <w:szCs w:val="24"/>
        </w:rPr>
        <w:t>另有约定外，发包人和承包人应按照本工程最高投标限价的编制方法，根据专业工程施工图等计算，并按本工程中标净下浮率进行下浮调整确定该专业工程结算价款。</w:t>
      </w:r>
    </w:p>
    <w:bookmarkEnd w:id="2640"/>
    <w:p w14:paraId="6F8D6D98">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641" w:name="_Toc19515"/>
      <w:bookmarkStart w:id="2642" w:name="_Toc25618"/>
      <w:bookmarkStart w:id="2643" w:name="_Toc32220"/>
      <w:bookmarkStart w:id="2644" w:name="_Toc27789"/>
      <w:bookmarkStart w:id="2645" w:name="_Toc2010036119"/>
      <w:bookmarkStart w:id="2646" w:name="_Toc4750"/>
      <w:bookmarkStart w:id="2647" w:name="_Toc31785"/>
      <w:bookmarkStart w:id="2648" w:name="_Toc305331352"/>
      <w:bookmarkStart w:id="2649" w:name="_Toc12698"/>
      <w:bookmarkStart w:id="2650" w:name="_Toc201735397"/>
      <w:bookmarkStart w:id="2651" w:name="_Toc302635845"/>
      <w:bookmarkStart w:id="2652" w:name="_Toc7149"/>
      <w:bookmarkStart w:id="2653" w:name="_Toc28634"/>
      <w:bookmarkStart w:id="2654" w:name="_Toc10068"/>
      <w:bookmarkStart w:id="2655" w:name="_Toc208587617"/>
      <w:bookmarkStart w:id="2656" w:name="_Toc34909082"/>
      <w:r>
        <w:rPr>
          <w:rFonts w:hint="eastAsia" w:ascii="宋体" w:hAnsi="宋体" w:eastAsia="宋体" w:cs="Times New Roman"/>
          <w:b/>
          <w:bCs/>
          <w:kern w:val="0"/>
          <w:sz w:val="24"/>
          <w:szCs w:val="24"/>
          <w:lang w:val="en-US" w:eastAsia="zh-CN" w:bidi="ar-SA"/>
        </w:rPr>
        <w:t>暂列金额</w:t>
      </w:r>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p>
    <w:bookmarkEnd w:id="2656"/>
    <w:p w14:paraId="05219276">
      <w:pPr>
        <w:tabs>
          <w:tab w:val="left" w:pos="1620"/>
          <w:tab w:val="left" w:pos="2340"/>
        </w:tabs>
        <w:spacing w:before="156"/>
        <w:ind w:left="899"/>
        <w:jc w:val="left"/>
        <w:rPr>
          <w:rFonts w:hint="eastAsia" w:ascii="宋体" w:hAnsi="宋体" w:eastAsia="宋体" w:cs="Times New Roman"/>
          <w:kern w:val="0"/>
          <w:szCs w:val="24"/>
        </w:rPr>
      </w:pPr>
      <w:r>
        <w:rPr>
          <w:rFonts w:hint="eastAsia" w:ascii="宋体" w:hAnsi="宋体" w:eastAsia="宋体" w:cs="Times New Roman"/>
          <w:kern w:val="0"/>
          <w:szCs w:val="24"/>
        </w:rPr>
        <w:t>暂列金额是发包人在合同清单中暂定并包括在签约合同价中的一笔款项，是发包人为可能发生的合同价格调整而预留的金额，并非支付给承包人的实际费用。</w:t>
      </w:r>
      <w:r>
        <w:rPr>
          <w:rFonts w:ascii="宋体" w:hAnsi="宋体" w:eastAsia="宋体" w:cs="Times New Roman"/>
          <w:kern w:val="0"/>
          <w:szCs w:val="24"/>
        </w:rPr>
        <w:t>暂列金额应按照发包人的要求使用，发包人的要求应通过监理人发出。</w:t>
      </w:r>
      <w:r>
        <w:rPr>
          <w:rFonts w:hint="eastAsia" w:ascii="宋体" w:hAnsi="宋体" w:eastAsia="宋体" w:cs="Times New Roman"/>
          <w:kern w:val="0"/>
          <w:szCs w:val="24"/>
        </w:rPr>
        <w:t>暂列金额不作为结算的依据。</w:t>
      </w:r>
    </w:p>
    <w:p w14:paraId="6ACD2283">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2657" w:name="_Toc35656490"/>
      <w:bookmarkStart w:id="2658" w:name="_Toc35656992"/>
      <w:bookmarkStart w:id="2659" w:name="_Toc34909085"/>
      <w:bookmarkStart w:id="2660" w:name="_Toc12931"/>
      <w:bookmarkStart w:id="2661" w:name="_Toc305331353"/>
      <w:bookmarkStart w:id="2662" w:name="_Toc208587618"/>
      <w:bookmarkStart w:id="2663" w:name="_Toc29597"/>
      <w:bookmarkStart w:id="2664" w:name="_Toc302635846"/>
      <w:bookmarkStart w:id="2665" w:name="_Toc2055848348"/>
      <w:bookmarkStart w:id="2666" w:name="_Toc19707"/>
      <w:bookmarkStart w:id="2667" w:name="_Toc22843"/>
      <w:bookmarkStart w:id="2668" w:name="_Toc14200"/>
      <w:bookmarkStart w:id="2669" w:name="_Toc201735398"/>
      <w:bookmarkStart w:id="2670" w:name="_Toc2445"/>
      <w:bookmarkStart w:id="2671" w:name="_Toc14465"/>
      <w:bookmarkStart w:id="2672" w:name="_Toc17914"/>
      <w:bookmarkStart w:id="2673" w:name="_Toc13175"/>
      <w:bookmarkStart w:id="2674" w:name="_Toc29873"/>
      <w:r>
        <w:rPr>
          <w:rFonts w:hint="eastAsia" w:ascii="华文细黑" w:hAnsi="宋体" w:eastAsia="宋体" w:cs="Times New Roman"/>
          <w:b/>
          <w:bCs/>
          <w:snapToGrid w:val="0"/>
          <w:kern w:val="0"/>
          <w:sz w:val="28"/>
          <w:szCs w:val="44"/>
          <w:lang w:val="en-US" w:eastAsia="zh-CN" w:bidi="ar-SA"/>
        </w:rPr>
        <w:t>工程量</w:t>
      </w:r>
      <w:bookmarkEnd w:id="2657"/>
      <w:bookmarkEnd w:id="2658"/>
      <w:bookmarkEnd w:id="2659"/>
      <w:r>
        <w:rPr>
          <w:rFonts w:hint="eastAsia" w:ascii="华文细黑" w:hAnsi="宋体" w:eastAsia="宋体" w:cs="Times New Roman"/>
          <w:b/>
          <w:bCs/>
          <w:snapToGrid w:val="0"/>
          <w:kern w:val="0"/>
          <w:sz w:val="28"/>
          <w:szCs w:val="44"/>
          <w:lang w:val="en-US" w:eastAsia="zh-CN" w:bidi="ar-SA"/>
        </w:rPr>
        <w:t>计量</w:t>
      </w:r>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p>
    <w:p w14:paraId="591CB2EC">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675" w:name="_Toc5510"/>
      <w:bookmarkStart w:id="2676" w:name="_Toc29342"/>
      <w:bookmarkStart w:id="2677" w:name="_Toc201735399"/>
      <w:bookmarkStart w:id="2678" w:name="_Toc302635847"/>
      <w:bookmarkStart w:id="2679" w:name="_Toc28119"/>
      <w:bookmarkStart w:id="2680" w:name="_Toc208587619"/>
      <w:bookmarkStart w:id="2681" w:name="_Toc1349819559"/>
      <w:bookmarkStart w:id="2682" w:name="_Toc25783"/>
      <w:bookmarkStart w:id="2683" w:name="_Toc305331354"/>
      <w:bookmarkStart w:id="2684" w:name="_Toc6332"/>
      <w:bookmarkStart w:id="2685" w:name="_Toc22830"/>
      <w:bookmarkStart w:id="2686" w:name="_Toc5812"/>
      <w:bookmarkStart w:id="2687" w:name="_Toc6389"/>
      <w:bookmarkStart w:id="2688" w:name="_Toc9136"/>
      <w:bookmarkStart w:id="2689" w:name="_Toc3382"/>
      <w:bookmarkStart w:id="2690" w:name="_Toc34909091"/>
      <w:bookmarkStart w:id="2691" w:name="_Toc34909086"/>
      <w:r>
        <w:rPr>
          <w:rFonts w:hint="eastAsia" w:ascii="宋体" w:hAnsi="宋体" w:eastAsia="宋体" w:cs="Times New Roman"/>
          <w:b/>
          <w:bCs/>
          <w:kern w:val="0"/>
          <w:sz w:val="24"/>
          <w:szCs w:val="24"/>
          <w:lang w:val="en-US" w:eastAsia="zh-CN" w:bidi="ar-SA"/>
        </w:rPr>
        <w:t>工程量清单</w:t>
      </w:r>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p>
    <w:p w14:paraId="5A9ECE3C">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发包人在合同清单所开列的工程量是根据本工程的合同图纸提供的预计工程量，不能作为承包人在履行合同义务过程中应予完成的实际和准确的工程量，不作为进度款支付、过程结算和竣工结算时确认工程量的依据。</w:t>
      </w:r>
    </w:p>
    <w:p w14:paraId="5AA44EC8">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(2)承包人实际应完成的工程量以本工程图纸和技术规范为准。进度款支付、过程结算和竣工结算时的结算工程量按第22</w:t>
      </w:r>
      <w:r>
        <w:rPr>
          <w:rFonts w:ascii="宋体" w:hAnsi="宋体" w:eastAsia="宋体" w:cs="Times New Roman"/>
          <w:kern w:val="0"/>
          <w:szCs w:val="24"/>
        </w:rPr>
        <w:t>.</w:t>
      </w:r>
      <w:r>
        <w:rPr>
          <w:rFonts w:hint="eastAsia" w:ascii="宋体" w:hAnsi="宋体" w:eastAsia="宋体" w:cs="Times New Roman"/>
          <w:kern w:val="0"/>
          <w:szCs w:val="24"/>
        </w:rPr>
        <w:t>5款有关工程量计量的结果确认。</w:t>
      </w:r>
    </w:p>
    <w:p w14:paraId="6FC51F3C">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692" w:name="_Toc31733"/>
      <w:bookmarkStart w:id="2693" w:name="_Toc201735400"/>
      <w:bookmarkStart w:id="2694" w:name="_Toc19206"/>
      <w:bookmarkStart w:id="2695" w:name="_Toc208587620"/>
      <w:bookmarkStart w:id="2696" w:name="_Toc2117"/>
      <w:bookmarkStart w:id="2697" w:name="_Toc12277"/>
      <w:bookmarkStart w:id="2698" w:name="_Toc21714"/>
      <w:bookmarkStart w:id="2699" w:name="_Toc25550"/>
      <w:bookmarkStart w:id="2700" w:name="_Toc1682997575"/>
      <w:bookmarkStart w:id="2701" w:name="_Toc302635848"/>
      <w:bookmarkStart w:id="2702" w:name="_Toc13701"/>
      <w:bookmarkStart w:id="2703" w:name="_Toc4027"/>
      <w:bookmarkStart w:id="2704" w:name="_Toc26588"/>
      <w:bookmarkStart w:id="2705" w:name="_Toc24872"/>
      <w:bookmarkStart w:id="2706" w:name="_Toc34909087"/>
      <w:bookmarkStart w:id="2707" w:name="_Toc305331355"/>
      <w:r>
        <w:rPr>
          <w:rFonts w:hint="eastAsia" w:ascii="宋体" w:hAnsi="宋体" w:eastAsia="宋体" w:cs="Times New Roman"/>
          <w:b/>
          <w:bCs/>
          <w:kern w:val="0"/>
          <w:sz w:val="24"/>
          <w:szCs w:val="24"/>
          <w:lang w:val="en-US" w:eastAsia="zh-CN" w:bidi="ar-SA"/>
        </w:rPr>
        <w:t>工程量清单缺陷</w:t>
      </w:r>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p>
    <w:bookmarkEnd w:id="2706"/>
    <w:bookmarkEnd w:id="2707"/>
    <w:p w14:paraId="4A198A51">
      <w:pPr>
        <w:tabs>
          <w:tab w:val="left" w:pos="1620"/>
          <w:tab w:val="left" w:pos="2340"/>
        </w:tabs>
        <w:spacing w:after="156"/>
        <w:ind w:left="899"/>
        <w:jc w:val="left"/>
        <w:rPr>
          <w:rFonts w:hint="eastAsia" w:ascii="宋体" w:hAnsi="宋体" w:eastAsia="宋体" w:cs="Times New Roman"/>
          <w:kern w:val="0"/>
          <w:szCs w:val="24"/>
        </w:rPr>
      </w:pPr>
      <w:bookmarkStart w:id="2708" w:name="_Toc305331356"/>
      <w:r>
        <w:rPr>
          <w:rFonts w:hint="eastAsia" w:ascii="宋体" w:hAnsi="宋体" w:eastAsia="宋体" w:cs="Times New Roman"/>
          <w:kern w:val="0"/>
          <w:szCs w:val="24"/>
        </w:rPr>
        <w:t>(1)本合同签订及合同图纸下发后</w:t>
      </w:r>
      <w:r>
        <w:rPr>
          <w:rFonts w:hint="eastAsia" w:ascii="宋体" w:hAnsi="宋体" w:eastAsia="宋体" w:cs="Times New Roman"/>
          <w:b/>
          <w:kern w:val="0"/>
          <w:szCs w:val="24"/>
        </w:rPr>
        <w:t>56天</w:t>
      </w:r>
      <w:r>
        <w:rPr>
          <w:rFonts w:hint="eastAsia" w:ascii="宋体" w:hAnsi="宋体" w:eastAsia="宋体" w:cs="Times New Roman"/>
          <w:kern w:val="0"/>
          <w:szCs w:val="24"/>
        </w:rPr>
        <w:t>或</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约定的期限内，承包人应根据合同图纸对合同清单进行复核，复核结果报</w:t>
      </w:r>
      <w:r>
        <w:rPr>
          <w:rFonts w:ascii="宋体" w:hAnsi="宋体" w:eastAsia="宋体" w:cs="Times New Roman"/>
          <w:kern w:val="0"/>
          <w:szCs w:val="24"/>
        </w:rPr>
        <w:t>监理人</w:t>
      </w:r>
      <w:r>
        <w:rPr>
          <w:rFonts w:hint="eastAsia" w:ascii="宋体" w:hAnsi="宋体" w:eastAsia="宋体" w:cs="Times New Roman"/>
          <w:kern w:val="0"/>
          <w:szCs w:val="24"/>
        </w:rPr>
        <w:t>核对、发包人确认。</w:t>
      </w:r>
    </w:p>
    <w:p w14:paraId="40D3173E">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(2)若合同清单相比合同图纸，出现分部分项工程量清单缺陷时，发包人应对分部分项工程量清单进行补充或调整，补充或调整的分部分项工程量清单项目的</w:t>
      </w:r>
      <w:r>
        <w:rPr>
          <w:rFonts w:hint="eastAsia" w:ascii="宋体" w:hAnsi="宋体" w:eastAsia="宋体" w:cs="Times New Roman"/>
          <w:kern w:val="0"/>
          <w:szCs w:val="24"/>
          <w:lang w:eastAsia="zh-CN"/>
        </w:rPr>
        <w:t>合同单价</w:t>
      </w:r>
      <w:r>
        <w:rPr>
          <w:rFonts w:hint="eastAsia" w:ascii="宋体" w:hAnsi="宋体" w:eastAsia="宋体" w:cs="Times New Roman"/>
          <w:kern w:val="0"/>
          <w:szCs w:val="24"/>
        </w:rPr>
        <w:t>按25.1款的约定确定。</w:t>
      </w:r>
    </w:p>
    <w:p w14:paraId="03BBF62B">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(3)出现工程量清单中措施项目缺陷的，或按</w:t>
      </w:r>
      <w:r>
        <w:rPr>
          <w:rFonts w:hint="eastAsia" w:ascii="宋体" w:hAnsi="宋体" w:eastAsia="宋体" w:cs="Times New Roman"/>
          <w:color w:val="auto"/>
          <w:kern w:val="0"/>
          <w:szCs w:val="21"/>
        </w:rPr>
        <w:t>本款第(</w:t>
      </w:r>
      <w:r>
        <w:rPr>
          <w:rFonts w:ascii="宋体" w:hAnsi="宋体" w:eastAsia="宋体" w:cs="Times New Roman"/>
          <w:color w:val="auto"/>
          <w:kern w:val="0"/>
          <w:szCs w:val="21"/>
        </w:rPr>
        <w:t>2)</w:t>
      </w:r>
      <w:r>
        <w:rPr>
          <w:rFonts w:hint="eastAsia" w:ascii="宋体" w:hAnsi="宋体" w:eastAsia="宋体" w:cs="Times New Roman"/>
          <w:color w:val="auto"/>
          <w:kern w:val="0"/>
          <w:szCs w:val="21"/>
        </w:rPr>
        <w:t>项</w:t>
      </w:r>
      <w:r>
        <w:rPr>
          <w:rFonts w:hint="eastAsia" w:ascii="宋体" w:hAnsi="宋体" w:eastAsia="宋体" w:cs="Times New Roman"/>
          <w:kern w:val="0"/>
          <w:szCs w:val="24"/>
        </w:rPr>
        <w:t>补充分部分项工程清单项目后引起措施项目发生变化的，应当按25.1款、</w:t>
      </w:r>
      <w:r>
        <w:rPr>
          <w:rFonts w:hint="eastAsia" w:ascii="宋体" w:hAnsi="宋体" w:eastAsia="宋体" w:cs="Times New Roman"/>
          <w:color w:val="auto"/>
          <w:kern w:val="0"/>
          <w:szCs w:val="21"/>
        </w:rPr>
        <w:t>25.2</w:t>
      </w:r>
      <w:r>
        <w:rPr>
          <w:rFonts w:hint="eastAsia" w:ascii="宋体" w:hAnsi="宋体" w:eastAsia="宋体" w:cs="Times New Roman"/>
          <w:kern w:val="0"/>
          <w:szCs w:val="24"/>
        </w:rPr>
        <w:t>款的约定，在承包人提交的实施方案被发包人批准后对合同价格进行调整。</w:t>
      </w:r>
    </w:p>
    <w:p w14:paraId="2CDF38A0">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709" w:name="_Toc2658"/>
      <w:bookmarkStart w:id="2710" w:name="_Toc2537"/>
      <w:bookmarkStart w:id="2711" w:name="_Toc19866"/>
      <w:bookmarkStart w:id="2712" w:name="_Toc208587621"/>
      <w:bookmarkStart w:id="2713" w:name="_Toc201735401"/>
      <w:bookmarkStart w:id="2714" w:name="_Toc1261"/>
      <w:bookmarkStart w:id="2715" w:name="_Toc302635849"/>
      <w:bookmarkStart w:id="2716" w:name="_Toc20964"/>
      <w:bookmarkStart w:id="2717" w:name="_Toc4989"/>
      <w:bookmarkStart w:id="2718" w:name="_Toc9665"/>
      <w:bookmarkStart w:id="2719" w:name="_Toc28276"/>
      <w:bookmarkStart w:id="2720" w:name="_Toc1071346885"/>
      <w:bookmarkStart w:id="2721" w:name="_Toc22858"/>
      <w:bookmarkStart w:id="2722" w:name="_Toc18041"/>
      <w:r>
        <w:rPr>
          <w:rFonts w:hint="eastAsia" w:ascii="宋体" w:hAnsi="宋体" w:eastAsia="宋体" w:cs="Times New Roman"/>
          <w:b/>
          <w:bCs/>
          <w:kern w:val="0"/>
          <w:sz w:val="24"/>
          <w:szCs w:val="24"/>
          <w:lang w:val="en-US" w:eastAsia="zh-CN" w:bidi="ar-SA"/>
        </w:rPr>
        <w:t>工程量计算规则</w:t>
      </w:r>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p>
    <w:p w14:paraId="05EB68EF">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发包人和承包人应以</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中约定的工程量计算规则</w:t>
      </w:r>
      <w:bookmarkEnd w:id="2690"/>
      <w:r>
        <w:rPr>
          <w:rFonts w:hint="eastAsia" w:ascii="宋体" w:hAnsi="宋体" w:eastAsia="宋体" w:cs="Times New Roman"/>
          <w:kern w:val="0"/>
          <w:szCs w:val="24"/>
        </w:rPr>
        <w:t>，作为本工程进度款支付、过程结算和竣工结算以及20.2款约定的</w:t>
      </w:r>
      <w:r>
        <w:rPr>
          <w:rFonts w:ascii="宋体" w:hAnsi="宋体" w:eastAsia="宋体" w:cs="Times New Roman"/>
          <w:kern w:val="0"/>
          <w:szCs w:val="24"/>
        </w:rPr>
        <w:t>合同价格调整</w:t>
      </w:r>
      <w:r>
        <w:rPr>
          <w:rFonts w:hint="eastAsia" w:ascii="宋体" w:hAnsi="宋体" w:eastAsia="宋体" w:cs="Times New Roman"/>
          <w:kern w:val="0"/>
          <w:szCs w:val="24"/>
        </w:rPr>
        <w:t>情形发生时涉及工程量的计算规则。</w:t>
      </w:r>
    </w:p>
    <w:bookmarkEnd w:id="2691"/>
    <w:p w14:paraId="69186004">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723" w:name="_Toc10513"/>
      <w:bookmarkStart w:id="2724" w:name="_Toc489546417"/>
      <w:bookmarkStart w:id="2725" w:name="_Toc302635850"/>
      <w:bookmarkStart w:id="2726" w:name="_Toc15871"/>
      <w:bookmarkStart w:id="2727" w:name="_Toc19828"/>
      <w:bookmarkStart w:id="2728" w:name="_Toc8932"/>
      <w:bookmarkStart w:id="2729" w:name="_Toc208587622"/>
      <w:bookmarkStart w:id="2730" w:name="_Toc20147"/>
      <w:bookmarkStart w:id="2731" w:name="_Toc17389"/>
      <w:bookmarkStart w:id="2732" w:name="_Toc305331357"/>
      <w:bookmarkStart w:id="2733" w:name="_Toc31413"/>
      <w:bookmarkStart w:id="2734" w:name="_Toc201735402"/>
      <w:bookmarkStart w:id="2735" w:name="_Toc28981"/>
      <w:bookmarkStart w:id="2736" w:name="_Toc19482"/>
      <w:bookmarkStart w:id="2737" w:name="_Toc25830"/>
      <w:bookmarkStart w:id="2738" w:name="_Toc34909088"/>
      <w:r>
        <w:rPr>
          <w:rFonts w:hint="eastAsia" w:ascii="宋体" w:hAnsi="宋体" w:eastAsia="宋体" w:cs="Times New Roman"/>
          <w:b/>
          <w:bCs/>
          <w:kern w:val="0"/>
          <w:sz w:val="24"/>
          <w:szCs w:val="24"/>
          <w:lang w:val="en-US" w:eastAsia="zh-CN" w:bidi="ar-SA"/>
        </w:rPr>
        <w:t>工程量计量的程序</w:t>
      </w:r>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p>
    <w:p w14:paraId="079FC014">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(1)承包人应按照23.2款约定的进度款支付时间间隔要求，根据本工程进展情况及时就已完工程量向</w:t>
      </w:r>
      <w:r>
        <w:rPr>
          <w:rFonts w:ascii="宋体" w:hAnsi="宋体" w:eastAsia="宋体" w:cs="Times New Roman"/>
          <w:kern w:val="0"/>
          <w:szCs w:val="24"/>
        </w:rPr>
        <w:t>监理人</w:t>
      </w:r>
      <w:r>
        <w:rPr>
          <w:rFonts w:hint="eastAsia" w:ascii="宋体" w:hAnsi="宋体" w:eastAsia="宋体" w:cs="Times New Roman"/>
          <w:kern w:val="0"/>
          <w:szCs w:val="24"/>
        </w:rPr>
        <w:t>提交计量报告，</w:t>
      </w:r>
      <w:r>
        <w:rPr>
          <w:rFonts w:ascii="宋体" w:hAnsi="宋体" w:eastAsia="宋体" w:cs="Times New Roman"/>
          <w:kern w:val="0"/>
          <w:szCs w:val="24"/>
        </w:rPr>
        <w:t>监理人</w:t>
      </w:r>
      <w:r>
        <w:rPr>
          <w:rFonts w:hint="eastAsia" w:ascii="宋体" w:hAnsi="宋体" w:eastAsia="宋体" w:cs="Times New Roman"/>
          <w:kern w:val="0"/>
          <w:szCs w:val="24"/>
        </w:rPr>
        <w:t>应在收到计量报告后7天内对承包人提出的工程量报表审核并报送发包人。</w:t>
      </w:r>
      <w:bookmarkEnd w:id="2738"/>
    </w:p>
    <w:p w14:paraId="35FAA225">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(2)需要使用记录和图纸进行计量的工程，承包人应在工作过程中准备好该工程的记录和图纸，并提交给</w:t>
      </w:r>
      <w:r>
        <w:rPr>
          <w:rFonts w:ascii="宋体" w:hAnsi="宋体" w:eastAsia="宋体" w:cs="Times New Roman"/>
          <w:kern w:val="0"/>
          <w:szCs w:val="24"/>
        </w:rPr>
        <w:t>监理人</w:t>
      </w:r>
      <w:r>
        <w:rPr>
          <w:rFonts w:hint="eastAsia" w:ascii="宋体" w:hAnsi="宋体" w:eastAsia="宋体" w:cs="Times New Roman"/>
          <w:kern w:val="0"/>
          <w:szCs w:val="24"/>
        </w:rPr>
        <w:t>，</w:t>
      </w:r>
      <w:r>
        <w:rPr>
          <w:rFonts w:ascii="宋体" w:hAnsi="宋体" w:eastAsia="宋体" w:cs="Times New Roman"/>
          <w:kern w:val="0"/>
          <w:szCs w:val="24"/>
        </w:rPr>
        <w:t>监理人</w:t>
      </w:r>
      <w:r>
        <w:rPr>
          <w:rFonts w:hint="eastAsia" w:ascii="宋体" w:hAnsi="宋体" w:eastAsia="宋体" w:cs="Times New Roman"/>
          <w:kern w:val="0"/>
          <w:szCs w:val="24"/>
        </w:rPr>
        <w:t>应在收到计量报告后7天内对承包人提出的工程量报表及有关记录和图纸审核并报送发包人。</w:t>
      </w:r>
    </w:p>
    <w:p w14:paraId="61A490DE">
      <w:pPr>
        <w:tabs>
          <w:tab w:val="left" w:pos="1620"/>
          <w:tab w:val="left" w:pos="2340"/>
        </w:tabs>
        <w:spacing w:before="156" w:after="156"/>
        <w:ind w:left="899"/>
        <w:jc w:val="left"/>
        <w:rPr>
          <w:rFonts w:hint="eastAsia" w:ascii="宋体" w:hAnsi="宋体" w:eastAsia="宋体" w:cs="Times New Roman"/>
          <w:kern w:val="0"/>
          <w:szCs w:val="24"/>
        </w:rPr>
      </w:pPr>
      <w:bookmarkStart w:id="2739" w:name="_Toc34909092"/>
      <w:r>
        <w:rPr>
          <w:rFonts w:hint="eastAsia" w:ascii="宋体" w:hAnsi="宋体" w:eastAsia="宋体" w:cs="Times New Roman"/>
          <w:kern w:val="0"/>
          <w:szCs w:val="24"/>
        </w:rPr>
        <w:t>(3)</w:t>
      </w:r>
      <w:r>
        <w:rPr>
          <w:rFonts w:ascii="宋体" w:hAnsi="宋体" w:eastAsia="宋体" w:cs="Times New Roman"/>
          <w:kern w:val="0"/>
          <w:szCs w:val="24"/>
        </w:rPr>
        <w:t>监理人对工程量有异议的，有权要求承包人进行共同复核或抽样复测。承包人应协助监理人进行复核或抽样复测，并按监理人要求提供补充计量资料。</w:t>
      </w:r>
    </w:p>
    <w:p w14:paraId="68795714">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(4)有关工程量计量的文件的编制和审核均须经注册造价工程师签字盖章确认。</w:t>
      </w:r>
      <w:bookmarkEnd w:id="2739"/>
    </w:p>
    <w:p w14:paraId="22CFB87E">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740" w:name="_Toc11733"/>
      <w:bookmarkStart w:id="2741" w:name="_Toc19384"/>
      <w:bookmarkStart w:id="2742" w:name="_Toc201735403"/>
      <w:bookmarkStart w:id="2743" w:name="_Toc30555"/>
      <w:bookmarkStart w:id="2744" w:name="_Toc1005003117"/>
      <w:bookmarkStart w:id="2745" w:name="_Toc3127"/>
      <w:bookmarkStart w:id="2746" w:name="_Toc13602"/>
      <w:bookmarkStart w:id="2747" w:name="_Toc302635851"/>
      <w:bookmarkStart w:id="2748" w:name="_Toc26276"/>
      <w:bookmarkStart w:id="2749" w:name="_Toc34909089"/>
      <w:bookmarkStart w:id="2750" w:name="_Toc208587623"/>
      <w:bookmarkStart w:id="2751" w:name="_Toc31619"/>
      <w:bookmarkStart w:id="2752" w:name="_Toc305331358"/>
      <w:bookmarkStart w:id="2753" w:name="_Toc20266"/>
      <w:bookmarkStart w:id="2754" w:name="_Toc27626"/>
      <w:bookmarkStart w:id="2755" w:name="_Toc11206"/>
      <w:r>
        <w:rPr>
          <w:rFonts w:hint="eastAsia" w:ascii="宋体" w:hAnsi="宋体" w:eastAsia="宋体" w:cs="Times New Roman"/>
          <w:b/>
          <w:bCs/>
          <w:kern w:val="0"/>
          <w:sz w:val="24"/>
          <w:szCs w:val="24"/>
          <w:lang w:val="en-US" w:eastAsia="zh-CN" w:bidi="ar-SA"/>
        </w:rPr>
        <w:t>工程量计量的结果</w:t>
      </w:r>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p>
    <w:p w14:paraId="51766C71">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(1)如承包人未按22.4款的约定参加计量，则由</w:t>
      </w:r>
      <w:r>
        <w:rPr>
          <w:rFonts w:ascii="宋体" w:hAnsi="宋体" w:eastAsia="宋体" w:cs="Times New Roman"/>
          <w:kern w:val="0"/>
          <w:szCs w:val="24"/>
        </w:rPr>
        <w:t>监理人</w:t>
      </w:r>
      <w:r>
        <w:rPr>
          <w:rFonts w:hint="eastAsia" w:ascii="宋体" w:hAnsi="宋体" w:eastAsia="宋体" w:cs="Times New Roman"/>
          <w:kern w:val="0"/>
          <w:szCs w:val="24"/>
        </w:rPr>
        <w:t>所作的或由他批准的计量应认为是对工程的正确计量。</w:t>
      </w:r>
    </w:p>
    <w:p w14:paraId="0A9FC178">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(2)如</w:t>
      </w:r>
      <w:r>
        <w:rPr>
          <w:rFonts w:ascii="宋体" w:hAnsi="宋体" w:eastAsia="宋体" w:cs="Times New Roman"/>
          <w:kern w:val="0"/>
          <w:szCs w:val="24"/>
        </w:rPr>
        <w:t>监理人</w:t>
      </w:r>
      <w:r>
        <w:rPr>
          <w:rFonts w:hint="eastAsia" w:ascii="宋体" w:hAnsi="宋体" w:eastAsia="宋体" w:cs="Times New Roman"/>
          <w:kern w:val="0"/>
          <w:szCs w:val="24"/>
        </w:rPr>
        <w:t>未在22.4款约定的时间内进行计量，则承包人提交的计量报告中所列工程量即视为被确认。</w:t>
      </w:r>
    </w:p>
    <w:p w14:paraId="5437F70E">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(3)如</w:t>
      </w:r>
      <w:r>
        <w:rPr>
          <w:rFonts w:ascii="宋体" w:hAnsi="宋体" w:eastAsia="宋体" w:cs="Times New Roman"/>
          <w:kern w:val="0"/>
          <w:szCs w:val="24"/>
        </w:rPr>
        <w:t>监理人</w:t>
      </w:r>
      <w:r>
        <w:rPr>
          <w:rFonts w:hint="eastAsia" w:ascii="宋体" w:hAnsi="宋体" w:eastAsia="宋体" w:cs="Times New Roman"/>
          <w:kern w:val="0"/>
          <w:szCs w:val="24"/>
        </w:rPr>
        <w:t>未按22.4款约定的时间内通知承包人，致使承包人未能参加计量，则由</w:t>
      </w:r>
      <w:r>
        <w:rPr>
          <w:rFonts w:ascii="宋体" w:hAnsi="宋体" w:eastAsia="宋体" w:cs="Times New Roman"/>
          <w:kern w:val="0"/>
          <w:szCs w:val="24"/>
        </w:rPr>
        <w:t>监理人</w:t>
      </w:r>
      <w:r>
        <w:rPr>
          <w:rFonts w:hint="eastAsia" w:ascii="宋体" w:hAnsi="宋体" w:eastAsia="宋体" w:cs="Times New Roman"/>
          <w:kern w:val="0"/>
          <w:szCs w:val="24"/>
        </w:rPr>
        <w:t>所作的或由他批准的计量结果无效。</w:t>
      </w:r>
    </w:p>
    <w:p w14:paraId="0D1D3F09">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(4)对于因承包人原因造成的超出本工程承包范围的增加工程量及返工工程量，</w:t>
      </w:r>
      <w:r>
        <w:rPr>
          <w:rFonts w:ascii="宋体" w:hAnsi="宋体" w:eastAsia="宋体" w:cs="Times New Roman"/>
          <w:kern w:val="0"/>
          <w:szCs w:val="24"/>
        </w:rPr>
        <w:t>监理人</w:t>
      </w:r>
      <w:r>
        <w:rPr>
          <w:rFonts w:hint="eastAsia" w:ascii="宋体" w:hAnsi="宋体" w:eastAsia="宋体" w:cs="Times New Roman"/>
          <w:kern w:val="0"/>
          <w:szCs w:val="24"/>
        </w:rPr>
        <w:t>不予计量。</w:t>
      </w:r>
    </w:p>
    <w:p w14:paraId="55397BED">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(5)如承包人不同意</w:t>
      </w:r>
      <w:r>
        <w:rPr>
          <w:rFonts w:ascii="宋体" w:hAnsi="宋体" w:eastAsia="宋体" w:cs="Times New Roman"/>
          <w:kern w:val="0"/>
          <w:szCs w:val="24"/>
        </w:rPr>
        <w:t>监理人</w:t>
      </w:r>
      <w:r>
        <w:rPr>
          <w:rFonts w:hint="eastAsia" w:ascii="宋体" w:hAnsi="宋体" w:eastAsia="宋体" w:cs="Times New Roman"/>
          <w:kern w:val="0"/>
          <w:szCs w:val="24"/>
        </w:rPr>
        <w:t>计量的结果，应在收到上述结果后7天内向</w:t>
      </w:r>
      <w:r>
        <w:rPr>
          <w:rFonts w:ascii="宋体" w:hAnsi="宋体" w:eastAsia="宋体" w:cs="Times New Roman"/>
          <w:kern w:val="0"/>
          <w:szCs w:val="24"/>
        </w:rPr>
        <w:t>监理人</w:t>
      </w:r>
      <w:r>
        <w:rPr>
          <w:rFonts w:hint="eastAsia" w:ascii="宋体" w:hAnsi="宋体" w:eastAsia="宋体" w:cs="Times New Roman"/>
          <w:kern w:val="0"/>
          <w:szCs w:val="24"/>
        </w:rPr>
        <w:t>提出书面意见，并附上其认为正确的计量结果和计算资料。</w:t>
      </w:r>
      <w:r>
        <w:rPr>
          <w:rFonts w:ascii="宋体" w:hAnsi="宋体" w:eastAsia="宋体" w:cs="Times New Roman"/>
          <w:kern w:val="0"/>
          <w:szCs w:val="24"/>
        </w:rPr>
        <w:t>监理人</w:t>
      </w:r>
      <w:r>
        <w:rPr>
          <w:rFonts w:hint="eastAsia" w:ascii="宋体" w:hAnsi="宋体" w:eastAsia="宋体" w:cs="Times New Roman"/>
          <w:kern w:val="0"/>
          <w:szCs w:val="24"/>
        </w:rPr>
        <w:t>收到上述书面意见后，应在7天内对承包人的计量结果进行复核后通知承包人。承包人对复核计量结果仍有异议的，按照第</w:t>
      </w:r>
      <w:r>
        <w:rPr>
          <w:rFonts w:ascii="宋体" w:hAnsi="宋体" w:eastAsia="宋体" w:cs="Times New Roman"/>
          <w:kern w:val="0"/>
          <w:szCs w:val="24"/>
        </w:rPr>
        <w:t>31</w:t>
      </w:r>
      <w:r>
        <w:rPr>
          <w:rFonts w:hint="eastAsia" w:ascii="宋体" w:hAnsi="宋体" w:eastAsia="宋体" w:cs="Times New Roman"/>
          <w:kern w:val="0"/>
          <w:szCs w:val="24"/>
        </w:rPr>
        <w:t>条【争议解决】的约定处理。</w:t>
      </w:r>
    </w:p>
    <w:p w14:paraId="75B3BC7D">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hint="eastAsia" w:ascii="华文细黑" w:hAnsi="宋体" w:eastAsia="宋体" w:cs="Times New Roman"/>
          <w:b/>
          <w:bCs/>
          <w:snapToGrid w:val="0"/>
          <w:kern w:val="0"/>
          <w:sz w:val="28"/>
          <w:szCs w:val="44"/>
          <w:lang w:val="en-US" w:eastAsia="zh-CN" w:bidi="ar-SA"/>
        </w:rPr>
      </w:pPr>
      <w:bookmarkStart w:id="2756" w:name="_Toc24283"/>
      <w:bookmarkStart w:id="2757" w:name="_Toc9041"/>
      <w:bookmarkStart w:id="2758" w:name="_Toc8901"/>
      <w:bookmarkStart w:id="2759" w:name="_Toc12573"/>
      <w:bookmarkStart w:id="2760" w:name="_Toc9578"/>
      <w:bookmarkStart w:id="2761" w:name="_Toc9680"/>
      <w:bookmarkStart w:id="2762" w:name="_Toc189027814"/>
      <w:bookmarkStart w:id="2763" w:name="_Toc13201"/>
      <w:bookmarkStart w:id="2764" w:name="_Toc201735404"/>
      <w:bookmarkStart w:id="2765" w:name="_Toc20980"/>
      <w:bookmarkStart w:id="2766" w:name="_Toc208587624"/>
      <w:bookmarkStart w:id="2767" w:name="_Toc31241"/>
      <w:bookmarkStart w:id="2768" w:name="_Toc16263"/>
      <w:r>
        <w:rPr>
          <w:rFonts w:hint="eastAsia" w:ascii="华文细黑" w:hAnsi="宋体" w:eastAsia="宋体" w:cs="Times New Roman"/>
          <w:b/>
          <w:bCs/>
          <w:snapToGrid w:val="0"/>
          <w:kern w:val="0"/>
          <w:sz w:val="28"/>
          <w:szCs w:val="44"/>
          <w:lang w:val="en-US" w:eastAsia="zh-CN" w:bidi="ar-SA"/>
        </w:rPr>
        <w:t>工程款支付</w:t>
      </w:r>
      <w:bookmarkEnd w:id="2756"/>
      <w:bookmarkEnd w:id="2757"/>
      <w:bookmarkEnd w:id="2758"/>
      <w:bookmarkEnd w:id="2759"/>
      <w:bookmarkEnd w:id="2760"/>
      <w:bookmarkEnd w:id="2761"/>
      <w:bookmarkEnd w:id="2762"/>
      <w:bookmarkEnd w:id="2763"/>
      <w:bookmarkEnd w:id="2764"/>
      <w:bookmarkEnd w:id="2765"/>
      <w:bookmarkEnd w:id="2766"/>
      <w:bookmarkEnd w:id="2767"/>
      <w:bookmarkEnd w:id="2768"/>
    </w:p>
    <w:p w14:paraId="37DFCA95">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发包人不得要求承包人带资施工，工程款按以下方式支付。</w:t>
      </w:r>
    </w:p>
    <w:p w14:paraId="4FB3C3DC">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769" w:name="_Toc3265"/>
      <w:bookmarkStart w:id="2770" w:name="_Toc302635853"/>
      <w:bookmarkStart w:id="2771" w:name="_Toc22940"/>
      <w:bookmarkStart w:id="2772" w:name="_Toc201735405"/>
      <w:bookmarkStart w:id="2773" w:name="_Toc27958"/>
      <w:bookmarkStart w:id="2774" w:name="_Toc646183209"/>
      <w:bookmarkStart w:id="2775" w:name="_Toc16618"/>
      <w:bookmarkStart w:id="2776" w:name="_Toc26911"/>
      <w:bookmarkStart w:id="2777" w:name="_Toc13287"/>
      <w:bookmarkStart w:id="2778" w:name="_Toc20518"/>
      <w:bookmarkStart w:id="2779" w:name="_Toc305331360"/>
      <w:bookmarkStart w:id="2780" w:name="_Toc16180"/>
      <w:bookmarkStart w:id="2781" w:name="_Toc29739"/>
      <w:bookmarkStart w:id="2782" w:name="_Toc208587625"/>
      <w:bookmarkStart w:id="2783" w:name="_Toc10129"/>
      <w:bookmarkStart w:id="2784" w:name="_Toc34909094"/>
      <w:r>
        <w:rPr>
          <w:rFonts w:hint="eastAsia" w:ascii="宋体" w:hAnsi="宋体" w:eastAsia="宋体" w:cs="Times New Roman"/>
          <w:b/>
          <w:bCs/>
          <w:kern w:val="0"/>
          <w:sz w:val="24"/>
          <w:szCs w:val="24"/>
          <w:lang w:val="en-US" w:eastAsia="zh-CN" w:bidi="ar-SA"/>
        </w:rPr>
        <w:t>工程预付款</w:t>
      </w:r>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p>
    <w:p w14:paraId="613B2536">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(1)发包人和承包人应在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一定比例的工程预付款，用于施工准备，金额一般为签约合同价的10%～30%。其中工人工资预付款金额：政府投资项目不得低于签约合同价的1%，并一次性拨付至工人工资专用账户，非政府投资项目可参照执行。本项所述签约合同价应扣除安全文明施工费、暂列金额、计日工及专业工程暂估价。</w:t>
      </w:r>
    </w:p>
    <w:p w14:paraId="2433773C">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(2)安全文明施工费预付款金额不得低于该费用总额的50%。</w:t>
      </w:r>
    </w:p>
    <w:p w14:paraId="5100B003">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(3)发包人应按</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约定的时间向承包人支付工程预付款，预付的时间应不迟于开工通知载明的开工日期前7天。但发包人支付预付款之前，还应具备</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条件。发包人不按约定预付的，承包人应在约定预付时间到期后7天内向发包人发出要求预付的通知，发包人收到通知后仍不能按要求预付，承包人可在发出通知14天后停止施工，发包人应从约定应付之日起按全国银行间同业拆借中心公布的基准市场报价利率（LPR）支付拖欠工程预付款的贷款利息，并承担第29.1款(2)项约定的违约责任。</w:t>
      </w:r>
      <w:bookmarkEnd w:id="2784"/>
    </w:p>
    <w:p w14:paraId="75A22E67">
      <w:pPr>
        <w:tabs>
          <w:tab w:val="left" w:pos="1620"/>
          <w:tab w:val="left" w:pos="2340"/>
        </w:tabs>
        <w:spacing w:after="156"/>
        <w:ind w:left="899"/>
        <w:jc w:val="left"/>
        <w:rPr>
          <w:rFonts w:hint="eastAsia" w:ascii="宋体" w:hAnsi="宋体" w:eastAsia="宋体" w:cs="Times New Roman"/>
          <w:kern w:val="0"/>
          <w:szCs w:val="24"/>
        </w:rPr>
      </w:pPr>
      <w:bookmarkStart w:id="2785" w:name="_Toc34909095"/>
      <w:r>
        <w:rPr>
          <w:rFonts w:hint="eastAsia" w:ascii="宋体" w:hAnsi="宋体" w:eastAsia="宋体" w:cs="Times New Roman"/>
          <w:kern w:val="0"/>
          <w:szCs w:val="24"/>
        </w:rPr>
        <w:t>(4)发包人和承包人应在</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约定工程预付款扣回的起扣点和扣回比例。在未达到起扣点之前，工程预付款不予扣回；达到起扣点之后，工程预付款按约定比例根据工程进度分期从进度款和过程结算款中扣回。</w:t>
      </w:r>
      <w:bookmarkEnd w:id="2785"/>
      <w:r>
        <w:rPr>
          <w:rFonts w:hint="eastAsia" w:ascii="宋体" w:hAnsi="宋体" w:eastAsia="宋体" w:cs="Times New Roman"/>
          <w:kern w:val="0"/>
          <w:szCs w:val="24"/>
        </w:rPr>
        <w:t>安全文明施工费预付款不扣回。</w:t>
      </w:r>
    </w:p>
    <w:p w14:paraId="2466D751">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786" w:name="_Toc2259"/>
      <w:bookmarkStart w:id="2787" w:name="_Toc2494"/>
      <w:bookmarkStart w:id="2788" w:name="_Toc1575777807"/>
      <w:bookmarkStart w:id="2789" w:name="_Toc16756"/>
      <w:bookmarkStart w:id="2790" w:name="_Toc208587626"/>
      <w:bookmarkStart w:id="2791" w:name="_Toc11174"/>
      <w:bookmarkStart w:id="2792" w:name="_Toc19830"/>
      <w:bookmarkStart w:id="2793" w:name="_Toc1610"/>
      <w:bookmarkStart w:id="2794" w:name="_Toc5110"/>
      <w:bookmarkStart w:id="2795" w:name="_Toc201735406"/>
      <w:bookmarkStart w:id="2796" w:name="_Toc2024"/>
      <w:bookmarkStart w:id="2797" w:name="_Toc10584"/>
      <w:bookmarkStart w:id="2798" w:name="_Toc34909096"/>
      <w:r>
        <w:rPr>
          <w:rFonts w:hint="eastAsia" w:ascii="宋体" w:hAnsi="宋体" w:eastAsia="宋体" w:cs="Times New Roman"/>
          <w:b/>
          <w:bCs/>
          <w:kern w:val="0"/>
          <w:sz w:val="24"/>
          <w:szCs w:val="24"/>
          <w:lang w:val="en-US" w:eastAsia="zh-CN" w:bidi="ar-SA"/>
        </w:rPr>
        <w:t>进度款支付周期</w:t>
      </w:r>
      <w:bookmarkEnd w:id="2786"/>
      <w:bookmarkEnd w:id="2787"/>
      <w:bookmarkEnd w:id="2788"/>
      <w:bookmarkEnd w:id="2789"/>
      <w:bookmarkEnd w:id="2790"/>
      <w:bookmarkEnd w:id="2791"/>
      <w:bookmarkEnd w:id="2792"/>
      <w:bookmarkEnd w:id="2793"/>
      <w:bookmarkEnd w:id="2794"/>
      <w:bookmarkEnd w:id="2795"/>
      <w:bookmarkEnd w:id="2796"/>
      <w:bookmarkEnd w:id="2797"/>
    </w:p>
    <w:p w14:paraId="13326C01">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(1)除</w:t>
      </w:r>
      <w:r>
        <w:rPr>
          <w:rFonts w:hint="eastAsia" w:ascii="宋体" w:hAnsi="宋体" w:eastAsia="宋体" w:cs="Times New Roman"/>
          <w:b/>
          <w:i/>
          <w:kern w:val="0"/>
          <w:szCs w:val="24"/>
        </w:rPr>
        <w:t>专用条款</w:t>
      </w:r>
      <w:r>
        <w:rPr>
          <w:rFonts w:hint="eastAsia" w:ascii="宋体" w:hAnsi="宋体" w:eastAsia="宋体" w:cs="Times New Roman"/>
          <w:kern w:val="0"/>
          <w:szCs w:val="24"/>
        </w:rPr>
        <w:t>另有约定外，发包人和承包人应按月办理进度款支付。其中，工人工资支付周期不得超过1个月，具体按23.5款约定执行。</w:t>
      </w:r>
    </w:p>
    <w:p w14:paraId="1AF4FB30">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(2)承包人应根据本期内工程实际完成情况，按照22条有关工程量计量的约定，计算本期完成工程量，结合合同清单项目单价，编制进度款支付申请。</w:t>
      </w:r>
    </w:p>
    <w:bookmarkEnd w:id="2798"/>
    <w:p w14:paraId="19018312">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799" w:name="_Toc10315"/>
      <w:bookmarkStart w:id="2800" w:name="_Toc18079"/>
      <w:bookmarkStart w:id="2801" w:name="_Toc14087"/>
      <w:bookmarkStart w:id="2802" w:name="_Toc2659"/>
      <w:bookmarkStart w:id="2803" w:name="_Toc201735407"/>
      <w:bookmarkStart w:id="2804" w:name="_Toc305331363"/>
      <w:bookmarkStart w:id="2805" w:name="_Toc3910"/>
      <w:bookmarkStart w:id="2806" w:name="_Toc208587627"/>
      <w:bookmarkStart w:id="2807" w:name="_Toc4915"/>
      <w:bookmarkStart w:id="2808" w:name="_Toc302635855"/>
      <w:bookmarkStart w:id="2809" w:name="_Toc23815"/>
      <w:bookmarkStart w:id="2810" w:name="_Toc1426655640"/>
      <w:bookmarkStart w:id="2811" w:name="_Toc7921"/>
      <w:bookmarkStart w:id="2812" w:name="_Toc12409"/>
      <w:bookmarkStart w:id="2813" w:name="_Toc900"/>
      <w:bookmarkStart w:id="2814" w:name="_Toc34909097"/>
      <w:r>
        <w:rPr>
          <w:rFonts w:hint="eastAsia" w:ascii="宋体" w:hAnsi="宋体" w:eastAsia="宋体" w:cs="Times New Roman"/>
          <w:b/>
          <w:bCs/>
          <w:kern w:val="0"/>
          <w:sz w:val="24"/>
          <w:szCs w:val="24"/>
          <w:lang w:val="en-US" w:eastAsia="zh-CN" w:bidi="ar-SA"/>
        </w:rPr>
        <w:t>进度款支付申请的提交</w:t>
      </w:r>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p>
    <w:p w14:paraId="1BDB7685">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承包人应按时向</w:t>
      </w:r>
      <w:r>
        <w:rPr>
          <w:rFonts w:ascii="宋体" w:hAnsi="宋体" w:eastAsia="宋体" w:cs="Times New Roman"/>
          <w:kern w:val="0"/>
          <w:szCs w:val="24"/>
        </w:rPr>
        <w:t>监理人</w:t>
      </w:r>
      <w:r>
        <w:rPr>
          <w:rFonts w:hint="eastAsia" w:ascii="宋体" w:hAnsi="宋体" w:eastAsia="宋体" w:cs="Times New Roman"/>
          <w:kern w:val="0"/>
          <w:szCs w:val="24"/>
        </w:rPr>
        <w:t>提交由其项目经理签署的进度款支付申请，进度款支付申请应包括以下内容：</w:t>
      </w:r>
      <w:bookmarkEnd w:id="2814"/>
    </w:p>
    <w:p w14:paraId="42CE3C4B">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(1)本期已完成工程的价款；</w:t>
      </w:r>
    </w:p>
    <w:p w14:paraId="6E1F721A">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(2)自开工截止本期末累计已完成(已实际结算)工程价款；</w:t>
      </w:r>
    </w:p>
    <w:p w14:paraId="46B4460E">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(3)自开工截止上期末累计已支付的工程价款；</w:t>
      </w:r>
    </w:p>
    <w:p w14:paraId="090032DA">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(4)本期已完成的(按20.2款经确认的)</w:t>
      </w:r>
      <w:r>
        <w:rPr>
          <w:rFonts w:ascii="宋体" w:hAnsi="宋体" w:eastAsia="宋体" w:cs="Times New Roman"/>
          <w:kern w:val="0"/>
          <w:szCs w:val="24"/>
        </w:rPr>
        <w:t>调整</w:t>
      </w:r>
      <w:r>
        <w:rPr>
          <w:rFonts w:hint="eastAsia" w:ascii="宋体" w:hAnsi="宋体" w:eastAsia="宋体" w:cs="Times New Roman"/>
          <w:kern w:val="0"/>
          <w:szCs w:val="24"/>
        </w:rPr>
        <w:t>价款、明细及相应证明文件；</w:t>
      </w:r>
    </w:p>
    <w:p w14:paraId="15FE5BF2">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(5)本期应抵扣的(按23.1款)工程预付款；</w:t>
      </w:r>
    </w:p>
    <w:p w14:paraId="644B46F3">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(6)</w:t>
      </w:r>
      <w:r>
        <w:rPr>
          <w:rFonts w:ascii="宋体" w:hAnsi="宋体" w:eastAsia="宋体" w:cs="Times New Roman"/>
          <w:kern w:val="0"/>
          <w:szCs w:val="24"/>
        </w:rPr>
        <w:t>对已签发的进度款支付证书中出现错误的修正，应在本次进度付款中支付或扣除的金额；</w:t>
      </w:r>
    </w:p>
    <w:p w14:paraId="384AEF03">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(7)本期根据合同应增加和扣减的其他金额；</w:t>
      </w:r>
    </w:p>
    <w:p w14:paraId="4B420F0C">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(8)本期应支付的工程价款。</w:t>
      </w:r>
    </w:p>
    <w:p w14:paraId="405A9433">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815" w:name="_Toc1287260077"/>
      <w:bookmarkStart w:id="2816" w:name="_Toc23782"/>
      <w:bookmarkStart w:id="2817" w:name="_Toc18123"/>
      <w:bookmarkStart w:id="2818" w:name="_Toc7696"/>
      <w:bookmarkStart w:id="2819" w:name="_Toc25632"/>
      <w:bookmarkStart w:id="2820" w:name="_Toc201735408"/>
      <w:bookmarkStart w:id="2821" w:name="_Toc6741"/>
      <w:bookmarkStart w:id="2822" w:name="_Toc305331364"/>
      <w:bookmarkStart w:id="2823" w:name="_Toc302635856"/>
      <w:bookmarkStart w:id="2824" w:name="_Toc8666"/>
      <w:bookmarkStart w:id="2825" w:name="_Toc208587628"/>
      <w:bookmarkStart w:id="2826" w:name="_Toc27545"/>
      <w:bookmarkStart w:id="2827" w:name="_Toc32719"/>
      <w:bookmarkStart w:id="2828" w:name="_Toc24051"/>
      <w:bookmarkStart w:id="2829" w:name="_Toc24687"/>
      <w:bookmarkStart w:id="2830" w:name="_Toc34909098"/>
      <w:r>
        <w:rPr>
          <w:rFonts w:hint="eastAsia" w:ascii="宋体" w:hAnsi="宋体" w:eastAsia="宋体" w:cs="Times New Roman"/>
          <w:b/>
          <w:bCs/>
          <w:kern w:val="0"/>
          <w:sz w:val="24"/>
          <w:szCs w:val="24"/>
          <w:lang w:val="en-US" w:eastAsia="zh-CN" w:bidi="ar-SA"/>
        </w:rPr>
        <w:t>进度款支付</w:t>
      </w:r>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p>
    <w:p w14:paraId="0D8F0BF5">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(1)监理人应在收到承包人进度款支付申请后7天内完成审查并报送发包人，发包人应在收到后7天内完成审批并签发进度款支付证书。如该期应支付的价款少于</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约定的进度款支付的最低金额，则发包</w:t>
      </w:r>
      <w:r>
        <w:rPr>
          <w:rFonts w:ascii="宋体" w:hAnsi="宋体" w:eastAsia="宋体" w:cs="Times New Roman"/>
          <w:kern w:val="0"/>
          <w:szCs w:val="24"/>
        </w:rPr>
        <w:t>人</w:t>
      </w:r>
      <w:r>
        <w:rPr>
          <w:rFonts w:hint="eastAsia" w:ascii="宋体" w:hAnsi="宋体" w:eastAsia="宋体" w:cs="Times New Roman"/>
          <w:kern w:val="0"/>
          <w:szCs w:val="24"/>
        </w:rPr>
        <w:t>可不签发支付证书，该期工程价款将按期结转，直到累计应支付的价款达到</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约定的进度款支付的最低金额为止。累计进度款支付价款不低于累计完成工程总值的80％，并在达到</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约定的支付比例时暂停支付。</w:t>
      </w:r>
      <w:bookmarkEnd w:id="2830"/>
    </w:p>
    <w:p w14:paraId="2BE7A037">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(2)若承包人未按照23.2款(1)项约定的时间提交进度款支付申请，</w:t>
      </w:r>
      <w:r>
        <w:rPr>
          <w:rFonts w:ascii="宋体" w:hAnsi="宋体" w:eastAsia="宋体" w:cs="Times New Roman"/>
          <w:kern w:val="0"/>
          <w:szCs w:val="24"/>
        </w:rPr>
        <w:t>监理人</w:t>
      </w:r>
      <w:r>
        <w:rPr>
          <w:rFonts w:hint="eastAsia" w:ascii="宋体" w:hAnsi="宋体" w:eastAsia="宋体" w:cs="Times New Roman"/>
          <w:kern w:val="0"/>
          <w:szCs w:val="24"/>
        </w:rPr>
        <w:t>可自行按照工程实际进度情况编制进度款支付申请，报发包人审批并签发进度款支付证书，承包人对此应予以认可。</w:t>
      </w:r>
    </w:p>
    <w:p w14:paraId="5437DD2E">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发包人和监理人对承包人的</w:t>
      </w:r>
      <w:r>
        <w:rPr>
          <w:rFonts w:hint="eastAsia" w:ascii="宋体" w:hAnsi="宋体" w:eastAsia="宋体" w:cs="Times New Roman"/>
          <w:kern w:val="0"/>
          <w:szCs w:val="24"/>
        </w:rPr>
        <w:t>进度款支付申请</w:t>
      </w:r>
      <w:r>
        <w:rPr>
          <w:rFonts w:ascii="宋体" w:hAnsi="宋体" w:eastAsia="宋体" w:cs="Times New Roman"/>
          <w:kern w:val="0"/>
          <w:szCs w:val="24"/>
        </w:rPr>
        <w:t>有异议的，有权要求承包人修正和提供补充资料，承包人应提交修正后的</w:t>
      </w:r>
      <w:r>
        <w:rPr>
          <w:rFonts w:hint="eastAsia" w:ascii="宋体" w:hAnsi="宋体" w:eastAsia="宋体" w:cs="Times New Roman"/>
          <w:kern w:val="0"/>
          <w:szCs w:val="24"/>
        </w:rPr>
        <w:t>进度款支付申请</w:t>
      </w:r>
      <w:r>
        <w:rPr>
          <w:rFonts w:ascii="宋体" w:hAnsi="宋体" w:eastAsia="宋体" w:cs="Times New Roman"/>
          <w:kern w:val="0"/>
          <w:szCs w:val="24"/>
        </w:rPr>
        <w:t>。监理人应在收到承包人修正后的</w:t>
      </w:r>
      <w:r>
        <w:rPr>
          <w:rFonts w:hint="eastAsia" w:ascii="宋体" w:hAnsi="宋体" w:eastAsia="宋体" w:cs="Times New Roman"/>
          <w:kern w:val="0"/>
          <w:szCs w:val="24"/>
        </w:rPr>
        <w:t>进度款支付申请</w:t>
      </w:r>
      <w:r>
        <w:rPr>
          <w:rFonts w:ascii="宋体" w:hAnsi="宋体" w:eastAsia="宋体" w:cs="Times New Roman"/>
          <w:kern w:val="0"/>
          <w:szCs w:val="24"/>
        </w:rPr>
        <w:t>及相关资料后7天内完成审查并报送发包人，发包人应在收到监理人报送的</w:t>
      </w:r>
      <w:r>
        <w:rPr>
          <w:rFonts w:hint="eastAsia" w:ascii="宋体" w:hAnsi="宋体" w:eastAsia="宋体" w:cs="Times New Roman"/>
          <w:kern w:val="0"/>
          <w:szCs w:val="24"/>
        </w:rPr>
        <w:t>进度款支付申请</w:t>
      </w:r>
      <w:r>
        <w:rPr>
          <w:rFonts w:ascii="宋体" w:hAnsi="宋体" w:eastAsia="宋体" w:cs="Times New Roman"/>
          <w:kern w:val="0"/>
          <w:szCs w:val="24"/>
        </w:rPr>
        <w:t>及相关资料后7天内，向承包人签发无异议部分的支付证书。存在争议的部分，按照第</w:t>
      </w:r>
      <w:r>
        <w:rPr>
          <w:rFonts w:hint="eastAsia" w:ascii="宋体" w:hAnsi="宋体" w:eastAsia="宋体" w:cs="Times New Roman"/>
          <w:kern w:val="0"/>
          <w:szCs w:val="24"/>
        </w:rPr>
        <w:t>31</w:t>
      </w:r>
      <w:r>
        <w:rPr>
          <w:rFonts w:ascii="宋体" w:hAnsi="宋体" w:eastAsia="宋体" w:cs="Times New Roman"/>
          <w:kern w:val="0"/>
          <w:szCs w:val="24"/>
        </w:rPr>
        <w:t>条</w:t>
      </w:r>
      <w:r>
        <w:rPr>
          <w:rFonts w:hint="eastAsia" w:ascii="宋体" w:hAnsi="宋体" w:eastAsia="宋体" w:cs="Times New Roman"/>
          <w:kern w:val="0"/>
          <w:szCs w:val="24"/>
        </w:rPr>
        <w:t>【</w:t>
      </w:r>
      <w:r>
        <w:rPr>
          <w:rFonts w:ascii="宋体" w:hAnsi="宋体" w:eastAsia="宋体" w:cs="Times New Roman"/>
          <w:kern w:val="0"/>
          <w:szCs w:val="24"/>
        </w:rPr>
        <w:t>争议解决</w:t>
      </w:r>
      <w:r>
        <w:rPr>
          <w:rFonts w:hint="eastAsia" w:ascii="宋体" w:hAnsi="宋体" w:eastAsia="宋体" w:cs="Times New Roman"/>
          <w:kern w:val="0"/>
          <w:szCs w:val="24"/>
        </w:rPr>
        <w:t>】</w:t>
      </w:r>
      <w:r>
        <w:rPr>
          <w:rFonts w:ascii="宋体" w:hAnsi="宋体" w:eastAsia="宋体" w:cs="Times New Roman"/>
          <w:kern w:val="0"/>
          <w:szCs w:val="24"/>
        </w:rPr>
        <w:t>的约定处理。</w:t>
      </w:r>
    </w:p>
    <w:p w14:paraId="6E93CA1D">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发包人应在进度款支付证书签发之日起7天内将进度款支付证书上列明的应付工程进度款支付给承包人。发包人超过约定的时间不支付，承包人可向发包人发出要求付款的通知。发包人收到通知后7天内仍不能付款，可与承包人协商签订延期付款协议，经承包人同意后可延期支付，发包人应从约定应付之日起按全国银行间同业拆借中心公布的基准市场报价利率（LPR）向承包人支付拖欠工程进度款的贷款利息。</w:t>
      </w:r>
    </w:p>
    <w:p w14:paraId="23210E89">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(5)发包人不按约定时间足额支付工程进度款，双方又未达成延期付款协议，导致施工无法进行，承包人可停止施工，发包人应从约定应付之日起按全国银行间同业拆借中心公布的基准市场报价利率（LPR）向承包人支付拖欠工程进度款的贷款利息以外，还应按第29.1款【发包人违约】承担违约责任。</w:t>
      </w:r>
    </w:p>
    <w:p w14:paraId="0F2FC179">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(6)</w:t>
      </w:r>
      <w:r>
        <w:rPr>
          <w:rFonts w:ascii="宋体" w:hAnsi="宋体" w:eastAsia="宋体" w:cs="Times New Roman"/>
          <w:kern w:val="0"/>
          <w:szCs w:val="24"/>
        </w:rPr>
        <w:t>在对已签发的</w:t>
      </w:r>
      <w:r>
        <w:rPr>
          <w:rFonts w:hint="eastAsia" w:ascii="宋体" w:hAnsi="宋体" w:eastAsia="宋体" w:cs="Times New Roman"/>
          <w:kern w:val="0"/>
          <w:szCs w:val="24"/>
        </w:rPr>
        <w:t>进度款</w:t>
      </w:r>
      <w:r>
        <w:rPr>
          <w:rFonts w:ascii="宋体" w:hAnsi="宋体" w:eastAsia="宋体" w:cs="Times New Roman"/>
          <w:kern w:val="0"/>
          <w:szCs w:val="24"/>
        </w:rPr>
        <w:t>支付证书进行阶段汇总和复核中发现错误、遗漏或重复的，发包人和承包人均有权提出修正申请。经发包人和承包人同意的修正，应在下期进度付款中支付或扣除。</w:t>
      </w:r>
    </w:p>
    <w:p w14:paraId="202329CD">
      <w:pPr>
        <w:tabs>
          <w:tab w:val="left" w:pos="1620"/>
          <w:tab w:val="left" w:pos="2340"/>
        </w:tabs>
        <w:spacing w:after="156"/>
        <w:ind w:left="899"/>
        <w:jc w:val="left"/>
        <w:rPr>
          <w:rFonts w:hint="eastAsia" w:ascii="宋体" w:hAnsi="宋体" w:eastAsia="宋体" w:cs="Times New Roman"/>
          <w:kern w:val="0"/>
          <w:szCs w:val="24"/>
        </w:rPr>
      </w:pPr>
      <w:bookmarkStart w:id="2831" w:name="_Toc34909102"/>
      <w:r>
        <w:rPr>
          <w:rFonts w:hint="eastAsia" w:ascii="宋体" w:hAnsi="宋体" w:eastAsia="宋体" w:cs="Times New Roman"/>
          <w:kern w:val="0"/>
          <w:szCs w:val="24"/>
        </w:rPr>
        <w:t>(7)上述有关工程款支付的文件的编制和审核均须经注册造价工程师签字盖章确认。</w:t>
      </w:r>
      <w:bookmarkEnd w:id="2831"/>
    </w:p>
    <w:p w14:paraId="64FE1EB9">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832" w:name="_Toc12422"/>
      <w:bookmarkStart w:id="2833" w:name="_Toc23355"/>
      <w:bookmarkStart w:id="2834" w:name="_Toc3400"/>
      <w:bookmarkStart w:id="2835" w:name="_Toc8155"/>
      <w:bookmarkStart w:id="2836" w:name="_Toc208587629"/>
      <w:bookmarkStart w:id="2837" w:name="_Toc13931"/>
      <w:bookmarkStart w:id="2838" w:name="_Toc201735409"/>
      <w:bookmarkStart w:id="2839" w:name="_Toc15986"/>
      <w:bookmarkStart w:id="2840" w:name="_Toc1576422585"/>
      <w:bookmarkStart w:id="2841" w:name="_Toc19101"/>
      <w:bookmarkStart w:id="2842" w:name="_Toc10747"/>
      <w:bookmarkStart w:id="2843" w:name="_Toc12264"/>
      <w:bookmarkStart w:id="2844" w:name="_Toc8961"/>
      <w:r>
        <w:rPr>
          <w:rFonts w:hint="eastAsia" w:ascii="宋体" w:hAnsi="宋体" w:eastAsia="宋体" w:cs="Times New Roman"/>
          <w:b/>
          <w:bCs/>
          <w:kern w:val="0"/>
          <w:sz w:val="24"/>
          <w:szCs w:val="24"/>
          <w:lang w:val="en-US" w:eastAsia="zh-CN" w:bidi="ar-SA"/>
        </w:rPr>
        <w:t>工人工资支付</w:t>
      </w:r>
      <w:bookmarkEnd w:id="2832"/>
      <w:bookmarkEnd w:id="2833"/>
      <w:bookmarkEnd w:id="2834"/>
      <w:bookmarkEnd w:id="2835"/>
      <w:bookmarkEnd w:id="2836"/>
      <w:bookmarkEnd w:id="2837"/>
      <w:bookmarkEnd w:id="2838"/>
      <w:bookmarkEnd w:id="2839"/>
      <w:bookmarkEnd w:id="2840"/>
      <w:bookmarkEnd w:id="2841"/>
      <w:bookmarkEnd w:id="2842"/>
      <w:bookmarkEnd w:id="2843"/>
      <w:bookmarkEnd w:id="2844"/>
    </w:p>
    <w:p w14:paraId="483B0ED5">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发包人和承包人应按照《保障农民工工资支付条例》《国务院关于解决农民工若干问题的意见》《建设领域农民工工资支付管理暂行办法》《工程建设领域农民工工资专用账户管理暂行办法》和深圳市建设行政主管部门的相关规定，实施用工实名制和分账制管理，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中约定工人工资支付方式，保障工人工资及时支付和足额发放。</w:t>
      </w:r>
    </w:p>
    <w:p w14:paraId="1D91DF7E">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845" w:name="_Toc1442"/>
      <w:bookmarkStart w:id="2846" w:name="_Toc201735410"/>
      <w:bookmarkStart w:id="2847" w:name="_Toc105"/>
      <w:bookmarkStart w:id="2848" w:name="_Toc302635857"/>
      <w:bookmarkStart w:id="2849" w:name="_Toc5312"/>
      <w:bookmarkStart w:id="2850" w:name="_Toc22542"/>
      <w:bookmarkStart w:id="2851" w:name="_Toc678531788"/>
      <w:bookmarkStart w:id="2852" w:name="_Toc4227"/>
      <w:bookmarkStart w:id="2853" w:name="_Toc305331365"/>
      <w:bookmarkStart w:id="2854" w:name="_Toc17065"/>
      <w:bookmarkStart w:id="2855" w:name="_Toc2678"/>
      <w:bookmarkStart w:id="2856" w:name="_Toc208587630"/>
      <w:bookmarkStart w:id="2857" w:name="_Toc23053"/>
      <w:bookmarkStart w:id="2858" w:name="_Toc8670"/>
      <w:bookmarkStart w:id="2859" w:name="_Toc22399"/>
      <w:r>
        <w:rPr>
          <w:rFonts w:hint="eastAsia" w:ascii="宋体" w:hAnsi="宋体" w:eastAsia="宋体" w:cs="Times New Roman"/>
          <w:b/>
          <w:bCs/>
          <w:kern w:val="0"/>
          <w:sz w:val="24"/>
          <w:szCs w:val="24"/>
          <w:lang w:val="en-US" w:eastAsia="zh-CN" w:bidi="ar-SA"/>
        </w:rPr>
        <w:t>工程款专款专用</w:t>
      </w:r>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p>
    <w:p w14:paraId="1B498825">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本工程发包人支付给承包人的工程款都应当专款专用，承包人不得擅自改变任何款项的使用性质。发包人有权检查承包人工程款的使用情况(包括但不限于工程预付款、材料款、专业分包价款、劳务分包价款（工人工资）、安全文明施工费等款项)，发包人还可以采取</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约定的措施对承包人的工程款使用情况进行监管。</w:t>
      </w:r>
    </w:p>
    <w:p w14:paraId="392AC2DD">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2860" w:name="_Toc19088"/>
      <w:bookmarkStart w:id="2861" w:name="_Toc24657"/>
      <w:bookmarkStart w:id="2862" w:name="_Toc19891"/>
      <w:bookmarkStart w:id="2863" w:name="_Toc305331366"/>
      <w:bookmarkStart w:id="2864" w:name="_Toc35656493"/>
      <w:bookmarkStart w:id="2865" w:name="_Toc208587631"/>
      <w:bookmarkStart w:id="2866" w:name="_Toc26806"/>
      <w:bookmarkStart w:id="2867" w:name="_Toc35656995"/>
      <w:bookmarkStart w:id="2868" w:name="_Toc1567247770"/>
      <w:bookmarkStart w:id="2869" w:name="_Toc24368"/>
      <w:bookmarkStart w:id="2870" w:name="_Toc20916"/>
      <w:bookmarkStart w:id="2871" w:name="_Toc34909104"/>
      <w:bookmarkStart w:id="2872" w:name="_Toc7984"/>
      <w:bookmarkStart w:id="2873" w:name="_Toc302635858"/>
      <w:bookmarkStart w:id="2874" w:name="_Toc201735411"/>
      <w:bookmarkStart w:id="2875" w:name="_Toc10838"/>
      <w:bookmarkStart w:id="2876" w:name="_Toc9442"/>
      <w:bookmarkStart w:id="2877" w:name="_Toc26061"/>
      <w:r>
        <w:rPr>
          <w:rFonts w:hint="eastAsia" w:ascii="华文细黑" w:hAnsi="宋体" w:eastAsia="宋体" w:cs="Times New Roman"/>
          <w:b/>
          <w:bCs/>
          <w:snapToGrid w:val="0"/>
          <w:kern w:val="0"/>
          <w:sz w:val="28"/>
          <w:szCs w:val="44"/>
          <w:lang w:val="en-US" w:eastAsia="zh-CN" w:bidi="ar-SA"/>
        </w:rPr>
        <w:t>工程变更</w:t>
      </w:r>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p>
    <w:p w14:paraId="169FB249">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878" w:name="_Toc11608"/>
      <w:bookmarkStart w:id="2879" w:name="_Toc28613"/>
      <w:bookmarkStart w:id="2880" w:name="_Toc16085"/>
      <w:bookmarkStart w:id="2881" w:name="_Toc6535"/>
      <w:bookmarkStart w:id="2882" w:name="_Toc201735412"/>
      <w:bookmarkStart w:id="2883" w:name="_Toc208587632"/>
      <w:bookmarkStart w:id="2884" w:name="_Toc10969"/>
      <w:bookmarkStart w:id="2885" w:name="_Toc2146"/>
      <w:bookmarkStart w:id="2886" w:name="_Toc302635859"/>
      <w:bookmarkStart w:id="2887" w:name="_Toc21365"/>
      <w:bookmarkStart w:id="2888" w:name="_Toc15818"/>
      <w:bookmarkStart w:id="2889" w:name="_Toc16527"/>
      <w:bookmarkStart w:id="2890" w:name="_Toc678891960"/>
      <w:bookmarkStart w:id="2891" w:name="_Toc305331367"/>
      <w:bookmarkStart w:id="2892" w:name="_Toc13792"/>
      <w:bookmarkStart w:id="2893" w:name="_Toc34909105"/>
      <w:r>
        <w:rPr>
          <w:rFonts w:hint="eastAsia" w:ascii="宋体" w:hAnsi="宋体" w:eastAsia="宋体" w:cs="Times New Roman"/>
          <w:b/>
          <w:bCs/>
          <w:kern w:val="0"/>
          <w:sz w:val="24"/>
          <w:szCs w:val="24"/>
          <w:lang w:val="en-US" w:eastAsia="zh-CN" w:bidi="ar-SA"/>
        </w:rPr>
        <w:t>工程变更的范围</w:t>
      </w:r>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p>
    <w:p w14:paraId="695AB0CF">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在施工过程中，出现以下情况，视为工程变更：</w:t>
      </w:r>
    </w:p>
    <w:p w14:paraId="03719FD5">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(1)本工程图纸包括的任何工作内容的数量、质量或其他特征的改变；</w:t>
      </w:r>
    </w:p>
    <w:p w14:paraId="64AC2F16">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(2)本工程技术规范内容或要求的改变；</w:t>
      </w:r>
    </w:p>
    <w:p w14:paraId="67E2FC54">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(3)本工程任何部分的标高、线形、位置和尺寸的改变；</w:t>
      </w:r>
    </w:p>
    <w:p w14:paraId="177947BC">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(4)本工程任何部分施工的约定顺序或时间安排的改变；</w:t>
      </w:r>
    </w:p>
    <w:p w14:paraId="1386DBF1">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5</w:t>
      </w:r>
      <w:r>
        <w:rPr>
          <w:rFonts w:hint="eastAsia" w:ascii="宋体" w:hAnsi="宋体" w:eastAsia="宋体" w:cs="Times New Roman"/>
          <w:kern w:val="0"/>
          <w:szCs w:val="24"/>
        </w:rPr>
        <w:t>)为进行工程需要的任何附加工作、材料或设备。</w:t>
      </w:r>
    </w:p>
    <w:p w14:paraId="30A9669A">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894" w:name="_Toc20665"/>
      <w:bookmarkStart w:id="2895" w:name="_Toc26552"/>
      <w:bookmarkStart w:id="2896" w:name="_Toc23702"/>
      <w:bookmarkStart w:id="2897" w:name="_Toc17710"/>
      <w:bookmarkStart w:id="2898" w:name="_Toc201735413"/>
      <w:bookmarkStart w:id="2899" w:name="_Toc673176197"/>
      <w:bookmarkStart w:id="2900" w:name="_Toc10632"/>
      <w:bookmarkStart w:id="2901" w:name="_Toc2468"/>
      <w:bookmarkStart w:id="2902" w:name="_Toc208587633"/>
      <w:bookmarkStart w:id="2903" w:name="_Toc27678"/>
      <w:bookmarkStart w:id="2904" w:name="_Toc14557"/>
      <w:bookmarkStart w:id="2905" w:name="_Toc14389"/>
      <w:bookmarkStart w:id="2906" w:name="_Toc32247"/>
      <w:bookmarkStart w:id="2907" w:name="_Toc305331368"/>
      <w:bookmarkStart w:id="2908" w:name="_Toc302635860"/>
      <w:r>
        <w:rPr>
          <w:rFonts w:hint="eastAsia" w:ascii="宋体" w:hAnsi="宋体" w:eastAsia="宋体" w:cs="Times New Roman"/>
          <w:b/>
          <w:bCs/>
          <w:kern w:val="0"/>
          <w:sz w:val="24"/>
          <w:szCs w:val="24"/>
          <w:lang w:val="en-US" w:eastAsia="zh-CN" w:bidi="ar-SA"/>
        </w:rPr>
        <w:t>变更权</w:t>
      </w:r>
      <w:bookmarkEnd w:id="2894"/>
      <w:bookmarkEnd w:id="2895"/>
      <w:bookmarkEnd w:id="2896"/>
      <w:bookmarkEnd w:id="2897"/>
      <w:bookmarkEnd w:id="2898"/>
      <w:bookmarkEnd w:id="2899"/>
      <w:bookmarkEnd w:id="2900"/>
      <w:bookmarkEnd w:id="2901"/>
      <w:bookmarkEnd w:id="2902"/>
      <w:bookmarkEnd w:id="2903"/>
      <w:bookmarkEnd w:id="2904"/>
      <w:bookmarkEnd w:id="2905"/>
      <w:bookmarkEnd w:id="2906"/>
    </w:p>
    <w:p w14:paraId="2382327A">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(1)发包人和监理人均可提出变更。变更指令均通过监理人发出，监理人发出变更指令前应征得发包人同意。承包人收到经发包人签认的变更指令后，方可实施变更。未经许可，承包人不得擅自对工程的任何部分进行变更。</w:t>
      </w:r>
    </w:p>
    <w:p w14:paraId="485CE15E">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(2)涉及设计变更的，应由设计人提供变更后的图纸和说明。</w:t>
      </w:r>
    </w:p>
    <w:p w14:paraId="15BD4CAB">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2909" w:name="_Toc201735414"/>
      <w:bookmarkStart w:id="2910" w:name="_Toc1255887876"/>
      <w:bookmarkStart w:id="2911" w:name="_Toc458"/>
      <w:bookmarkStart w:id="2912" w:name="_Toc11647"/>
      <w:bookmarkStart w:id="2913" w:name="_Toc208587634"/>
      <w:bookmarkStart w:id="2914" w:name="_Toc13749"/>
      <w:bookmarkStart w:id="2915" w:name="_Toc24343"/>
      <w:bookmarkStart w:id="2916" w:name="_Toc21475"/>
      <w:bookmarkStart w:id="2917" w:name="_Toc14525"/>
      <w:bookmarkStart w:id="2918" w:name="_Toc20348"/>
      <w:bookmarkStart w:id="2919" w:name="_Toc29077"/>
      <w:bookmarkStart w:id="2920" w:name="_Toc24150"/>
      <w:bookmarkStart w:id="2921" w:name="_Toc13767"/>
      <w:r>
        <w:rPr>
          <w:rFonts w:hint="eastAsia" w:ascii="宋体" w:hAnsi="宋体" w:eastAsia="宋体" w:cs="Times New Roman"/>
          <w:b/>
          <w:bCs/>
          <w:kern w:val="0"/>
          <w:sz w:val="24"/>
          <w:szCs w:val="24"/>
          <w:lang w:val="en-US" w:eastAsia="zh-CN" w:bidi="ar-SA"/>
        </w:rPr>
        <w:t>工程变更程序</w:t>
      </w:r>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p>
    <w:bookmarkEnd w:id="2893"/>
    <w:p w14:paraId="2C7CCB9B">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工程变更应按以下程序及</w:t>
      </w:r>
      <w:r>
        <w:rPr>
          <w:rFonts w:hint="eastAsia" w:ascii="宋体" w:hAnsi="宋体" w:eastAsia="宋体" w:cs="Times New Roman"/>
          <w:b/>
          <w:i/>
          <w:kern w:val="0"/>
          <w:szCs w:val="24"/>
        </w:rPr>
        <w:t>专用条款</w:t>
      </w:r>
      <w:r>
        <w:rPr>
          <w:rFonts w:hint="eastAsia" w:ascii="宋体" w:hAnsi="宋体" w:eastAsia="宋体" w:cs="Times New Roman"/>
          <w:kern w:val="0"/>
          <w:szCs w:val="24"/>
        </w:rPr>
        <w:t>的约定办理，并由</w:t>
      </w:r>
      <w:r>
        <w:rPr>
          <w:rFonts w:ascii="宋体" w:hAnsi="宋体" w:eastAsia="宋体" w:cs="Times New Roman"/>
          <w:kern w:val="0"/>
          <w:szCs w:val="24"/>
        </w:rPr>
        <w:t>监理人</w:t>
      </w:r>
      <w:r>
        <w:rPr>
          <w:rFonts w:hint="eastAsia" w:ascii="宋体" w:hAnsi="宋体" w:eastAsia="宋体" w:cs="Times New Roman"/>
          <w:kern w:val="0"/>
          <w:szCs w:val="24"/>
        </w:rPr>
        <w:t>提前14天向承包人发出变更指令。</w:t>
      </w:r>
    </w:p>
    <w:p w14:paraId="508AB56A">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(1)发包人提出变更建议，经</w:t>
      </w:r>
      <w:r>
        <w:rPr>
          <w:rFonts w:ascii="宋体" w:hAnsi="宋体" w:eastAsia="宋体" w:cs="Times New Roman"/>
          <w:kern w:val="0"/>
          <w:szCs w:val="24"/>
        </w:rPr>
        <w:t>监理人</w:t>
      </w:r>
      <w:r>
        <w:rPr>
          <w:rFonts w:hint="eastAsia" w:ascii="宋体" w:hAnsi="宋体" w:eastAsia="宋体" w:cs="Times New Roman"/>
          <w:kern w:val="0"/>
          <w:szCs w:val="24"/>
        </w:rPr>
        <w:t>审核，涉及施工图调整时应经</w:t>
      </w:r>
      <w:r>
        <w:rPr>
          <w:rFonts w:ascii="宋体" w:hAnsi="宋体" w:eastAsia="宋体" w:cs="Times New Roman"/>
          <w:kern w:val="0"/>
          <w:szCs w:val="24"/>
        </w:rPr>
        <w:t>设计人</w:t>
      </w:r>
      <w:r>
        <w:rPr>
          <w:rFonts w:hint="eastAsia" w:ascii="宋体" w:hAnsi="宋体" w:eastAsia="宋体" w:cs="Times New Roman"/>
          <w:kern w:val="0"/>
          <w:szCs w:val="24"/>
        </w:rPr>
        <w:t>同意并提交相应变更设计；</w:t>
      </w:r>
    </w:p>
    <w:p w14:paraId="4B174405">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设计人</w:t>
      </w:r>
      <w:r>
        <w:rPr>
          <w:rFonts w:hint="eastAsia" w:ascii="宋体" w:hAnsi="宋体" w:eastAsia="宋体" w:cs="Times New Roman"/>
          <w:kern w:val="0"/>
          <w:szCs w:val="24"/>
        </w:rPr>
        <w:t>提出变更建议，涉及施工图调整时应提交相应变更设计，经</w:t>
      </w:r>
      <w:r>
        <w:rPr>
          <w:rFonts w:ascii="宋体" w:hAnsi="宋体" w:eastAsia="宋体" w:cs="Times New Roman"/>
          <w:kern w:val="0"/>
          <w:szCs w:val="24"/>
        </w:rPr>
        <w:t>监理人</w:t>
      </w:r>
      <w:r>
        <w:rPr>
          <w:rFonts w:hint="eastAsia" w:ascii="宋体" w:hAnsi="宋体" w:eastAsia="宋体" w:cs="Times New Roman"/>
          <w:kern w:val="0"/>
          <w:szCs w:val="24"/>
        </w:rPr>
        <w:t>审核并报发包人同意；</w:t>
      </w:r>
    </w:p>
    <w:p w14:paraId="5944FF68">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监理人</w:t>
      </w:r>
      <w:r>
        <w:rPr>
          <w:rFonts w:hint="eastAsia" w:ascii="宋体" w:hAnsi="宋体" w:eastAsia="宋体" w:cs="Times New Roman"/>
          <w:kern w:val="0"/>
          <w:szCs w:val="24"/>
        </w:rPr>
        <w:t>提出变更建议，涉及施工图调整时应经</w:t>
      </w:r>
      <w:r>
        <w:rPr>
          <w:rFonts w:ascii="宋体" w:hAnsi="宋体" w:eastAsia="宋体" w:cs="Times New Roman"/>
          <w:kern w:val="0"/>
          <w:szCs w:val="24"/>
        </w:rPr>
        <w:t>设计人</w:t>
      </w:r>
      <w:r>
        <w:rPr>
          <w:rFonts w:hint="eastAsia" w:ascii="宋体" w:hAnsi="宋体" w:eastAsia="宋体" w:cs="Times New Roman"/>
          <w:kern w:val="0"/>
          <w:szCs w:val="24"/>
        </w:rPr>
        <w:t>同意并提交相应变更设计，报发包人同意；</w:t>
      </w:r>
    </w:p>
    <w:p w14:paraId="29DEE4ED">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(4)承包人提出变更建议，涉及施工图调整时应经</w:t>
      </w:r>
      <w:r>
        <w:rPr>
          <w:rFonts w:ascii="宋体" w:hAnsi="宋体" w:eastAsia="宋体" w:cs="Times New Roman"/>
          <w:kern w:val="0"/>
          <w:szCs w:val="24"/>
        </w:rPr>
        <w:t>设计人</w:t>
      </w:r>
      <w:r>
        <w:rPr>
          <w:rFonts w:hint="eastAsia" w:ascii="宋体" w:hAnsi="宋体" w:eastAsia="宋体" w:cs="Times New Roman"/>
          <w:kern w:val="0"/>
          <w:szCs w:val="24"/>
        </w:rPr>
        <w:t>同意并提交相应变更设计，经</w:t>
      </w:r>
      <w:r>
        <w:rPr>
          <w:rFonts w:ascii="宋体" w:hAnsi="宋体" w:eastAsia="宋体" w:cs="Times New Roman"/>
          <w:kern w:val="0"/>
          <w:szCs w:val="24"/>
        </w:rPr>
        <w:t>监理人</w:t>
      </w:r>
      <w:r>
        <w:rPr>
          <w:rFonts w:hint="eastAsia" w:ascii="宋体" w:hAnsi="宋体" w:eastAsia="宋体" w:cs="Times New Roman"/>
          <w:kern w:val="0"/>
          <w:szCs w:val="24"/>
        </w:rPr>
        <w:t>审核并报发包人同意；</w:t>
      </w:r>
    </w:p>
    <w:p w14:paraId="4A79C086">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(5)以上变更建议涉及到结构、外墙等影响本工程及公众安全的，必须经</w:t>
      </w:r>
      <w:r>
        <w:rPr>
          <w:rFonts w:ascii="宋体" w:hAnsi="宋体" w:eastAsia="宋体" w:cs="Times New Roman"/>
          <w:kern w:val="0"/>
          <w:szCs w:val="24"/>
        </w:rPr>
        <w:t>设计人</w:t>
      </w:r>
      <w:r>
        <w:rPr>
          <w:rFonts w:hint="eastAsia" w:ascii="宋体" w:hAnsi="宋体" w:eastAsia="宋体" w:cs="Times New Roman"/>
          <w:kern w:val="0"/>
          <w:szCs w:val="24"/>
        </w:rPr>
        <w:t>同意并提交相应变更设计；</w:t>
      </w:r>
    </w:p>
    <w:p w14:paraId="2FF10BC3">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(6)以上变更改变原设计标准或批准的建设规模需要有关部门审批时，发包人应在</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约定期限内报规划管理部门和其他有关部门重新审查批准，并提供由</w:t>
      </w:r>
      <w:r>
        <w:rPr>
          <w:rFonts w:ascii="宋体" w:hAnsi="宋体" w:eastAsia="宋体" w:cs="Times New Roman"/>
          <w:kern w:val="0"/>
          <w:szCs w:val="24"/>
        </w:rPr>
        <w:t>设计人</w:t>
      </w:r>
      <w:r>
        <w:rPr>
          <w:rFonts w:hint="eastAsia" w:ascii="宋体" w:hAnsi="宋体" w:eastAsia="宋体" w:cs="Times New Roman"/>
          <w:kern w:val="0"/>
          <w:szCs w:val="24"/>
        </w:rPr>
        <w:t>出具的相应变更设计。</w:t>
      </w:r>
    </w:p>
    <w:p w14:paraId="7469E8FB">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922" w:name="_Toc201735415"/>
      <w:bookmarkStart w:id="2923" w:name="_Toc32038"/>
      <w:bookmarkStart w:id="2924" w:name="_Toc208587635"/>
      <w:bookmarkStart w:id="2925" w:name="_Toc13579"/>
      <w:bookmarkStart w:id="2926" w:name="_Toc934"/>
      <w:bookmarkStart w:id="2927" w:name="_Toc381369579"/>
      <w:bookmarkStart w:id="2928" w:name="_Toc21859"/>
      <w:bookmarkStart w:id="2929" w:name="_Toc32015"/>
      <w:bookmarkStart w:id="2930" w:name="_Toc5015"/>
      <w:bookmarkStart w:id="2931" w:name="_Toc14117"/>
      <w:bookmarkStart w:id="2932" w:name="_Toc24318"/>
      <w:bookmarkStart w:id="2933" w:name="_Toc30434"/>
      <w:bookmarkStart w:id="2934" w:name="_Toc302635862"/>
      <w:bookmarkStart w:id="2935" w:name="_Toc305331369"/>
      <w:bookmarkStart w:id="2936" w:name="_Toc2273"/>
      <w:bookmarkStart w:id="2937" w:name="_Toc34909108"/>
      <w:r>
        <w:rPr>
          <w:rFonts w:hint="eastAsia" w:ascii="宋体" w:hAnsi="宋体" w:eastAsia="宋体" w:cs="Times New Roman"/>
          <w:b/>
          <w:bCs/>
          <w:kern w:val="0"/>
          <w:sz w:val="24"/>
          <w:szCs w:val="24"/>
          <w:lang w:val="en-US" w:eastAsia="zh-CN" w:bidi="ar-SA"/>
        </w:rPr>
        <w:t>其他变更</w:t>
      </w:r>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p>
    <w:p w14:paraId="2E89BCE8">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(1)如发出本工程变更指令是因为承包人过错、承包人违反本合同等造成的，则由此引起的任何额外费用和（或）延误的工期由承包人承担。</w:t>
      </w:r>
    </w:p>
    <w:p w14:paraId="32AE52D6">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(2)如承包人为了便于组织施工，或为了施工安全、避免干扰等原因需采取相应的技术措施而提出的局部变更设计，除须得到</w:t>
      </w:r>
      <w:r>
        <w:rPr>
          <w:rFonts w:ascii="宋体" w:hAnsi="宋体" w:eastAsia="宋体" w:cs="Times New Roman"/>
          <w:kern w:val="0"/>
          <w:szCs w:val="24"/>
        </w:rPr>
        <w:t>监理人</w:t>
      </w:r>
      <w:r>
        <w:rPr>
          <w:rFonts w:hint="eastAsia" w:ascii="宋体" w:hAnsi="宋体" w:eastAsia="宋体" w:cs="Times New Roman"/>
          <w:kern w:val="0"/>
          <w:szCs w:val="24"/>
        </w:rPr>
        <w:t>的批准外，由此而增加的费用和（或）延误的工期由承包人自行负担。因承包人擅自变更设计发生的费用和由此导致发包人的直接损失，由承包人承担，延误的工期不予顺延。</w:t>
      </w:r>
    </w:p>
    <w:bookmarkEnd w:id="2937"/>
    <w:p w14:paraId="17226DEB">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938" w:name="_Toc24771"/>
      <w:bookmarkStart w:id="2939" w:name="_Toc19721"/>
      <w:bookmarkStart w:id="2940" w:name="_Toc1735399838"/>
      <w:bookmarkStart w:id="2941" w:name="_Toc201735416"/>
      <w:bookmarkStart w:id="2942" w:name="_Toc17963"/>
      <w:bookmarkStart w:id="2943" w:name="_Toc302635863"/>
      <w:bookmarkStart w:id="2944" w:name="_Toc208587636"/>
      <w:bookmarkStart w:id="2945" w:name="_Toc27454"/>
      <w:bookmarkStart w:id="2946" w:name="_Toc12732"/>
      <w:bookmarkStart w:id="2947" w:name="_Toc994"/>
      <w:bookmarkStart w:id="2948" w:name="_Toc29884"/>
      <w:bookmarkStart w:id="2949" w:name="_Toc305331370"/>
      <w:bookmarkStart w:id="2950" w:name="_Toc25419"/>
      <w:bookmarkStart w:id="2951" w:name="_Toc2209"/>
      <w:bookmarkStart w:id="2952" w:name="_Toc1182"/>
      <w:bookmarkStart w:id="2953" w:name="_Toc34909084"/>
      <w:bookmarkStart w:id="2954" w:name="_Toc34909109"/>
      <w:r>
        <w:rPr>
          <w:rFonts w:hint="eastAsia" w:ascii="宋体" w:hAnsi="宋体" w:eastAsia="宋体" w:cs="Times New Roman"/>
          <w:b/>
          <w:bCs/>
          <w:kern w:val="0"/>
          <w:sz w:val="24"/>
          <w:szCs w:val="24"/>
          <w:lang w:val="en-US" w:eastAsia="zh-CN" w:bidi="ar-SA"/>
        </w:rPr>
        <w:t>计日工</w:t>
      </w:r>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p>
    <w:p w14:paraId="7677367C">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(1)在本工程施工过程中，承包人完成发包人或</w:t>
      </w:r>
      <w:r>
        <w:rPr>
          <w:rFonts w:ascii="宋体" w:hAnsi="宋体" w:eastAsia="宋体" w:cs="Times New Roman"/>
          <w:kern w:val="0"/>
          <w:szCs w:val="24"/>
        </w:rPr>
        <w:t>监理人</w:t>
      </w:r>
      <w:r>
        <w:rPr>
          <w:rFonts w:hint="eastAsia" w:ascii="宋体" w:hAnsi="宋体" w:eastAsia="宋体" w:cs="Times New Roman"/>
          <w:kern w:val="0"/>
          <w:szCs w:val="24"/>
        </w:rPr>
        <w:t>提出的零星项目或工作，</w:t>
      </w:r>
      <w:r>
        <w:rPr>
          <w:rFonts w:ascii="宋体" w:hAnsi="宋体" w:eastAsia="宋体" w:cs="Times New Roman"/>
          <w:kern w:val="0"/>
          <w:szCs w:val="24"/>
        </w:rPr>
        <w:t>其价款按列入</w:t>
      </w:r>
      <w:r>
        <w:rPr>
          <w:rFonts w:hint="eastAsia" w:ascii="宋体" w:hAnsi="宋体" w:eastAsia="宋体" w:cs="Times New Roman"/>
          <w:kern w:val="0"/>
          <w:szCs w:val="24"/>
        </w:rPr>
        <w:t>合同清单</w:t>
      </w:r>
      <w:r>
        <w:rPr>
          <w:rFonts w:ascii="宋体" w:hAnsi="宋体" w:eastAsia="宋体" w:cs="Times New Roman"/>
          <w:kern w:val="0"/>
          <w:szCs w:val="24"/>
        </w:rPr>
        <w:t>中的计日工计价项目及其单价进行计算；</w:t>
      </w:r>
      <w:r>
        <w:rPr>
          <w:rFonts w:hint="eastAsia" w:ascii="宋体" w:hAnsi="宋体" w:eastAsia="宋体" w:cs="Times New Roman"/>
          <w:kern w:val="0"/>
          <w:szCs w:val="24"/>
        </w:rPr>
        <w:t>合同清单</w:t>
      </w:r>
      <w:r>
        <w:rPr>
          <w:rFonts w:ascii="宋体" w:hAnsi="宋体" w:eastAsia="宋体" w:cs="Times New Roman"/>
          <w:kern w:val="0"/>
          <w:szCs w:val="24"/>
        </w:rPr>
        <w:t>中无相应的计日工单价的，按照合理的成本与利润构成的原则，由发承包双方</w:t>
      </w:r>
      <w:r>
        <w:rPr>
          <w:rFonts w:hint="eastAsia" w:ascii="宋体" w:hAnsi="宋体" w:eastAsia="宋体" w:cs="Times New Roman"/>
          <w:kern w:val="0"/>
          <w:szCs w:val="24"/>
        </w:rPr>
        <w:t>协商</w:t>
      </w:r>
      <w:r>
        <w:rPr>
          <w:rFonts w:ascii="宋体" w:hAnsi="宋体" w:eastAsia="宋体" w:cs="Times New Roman"/>
          <w:kern w:val="0"/>
          <w:szCs w:val="24"/>
        </w:rPr>
        <w:t>确定变更工作的单价</w:t>
      </w:r>
      <w:r>
        <w:rPr>
          <w:rFonts w:hint="eastAsia" w:ascii="宋体" w:hAnsi="宋体" w:eastAsia="宋体" w:cs="Times New Roman"/>
          <w:kern w:val="0"/>
          <w:szCs w:val="24"/>
        </w:rPr>
        <w:t>，协商不成的，按第31条【争议解决】的约定处理。</w:t>
      </w:r>
    </w:p>
    <w:p w14:paraId="0882C38E">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(2)对所有按计日工方式施工的工程，承包人应在该工程持续进行过程中，每天向</w:t>
      </w:r>
      <w:r>
        <w:rPr>
          <w:rFonts w:ascii="宋体" w:hAnsi="宋体" w:eastAsia="宋体" w:cs="Times New Roman"/>
          <w:kern w:val="0"/>
          <w:szCs w:val="24"/>
        </w:rPr>
        <w:t>监理人</w:t>
      </w:r>
      <w:r>
        <w:rPr>
          <w:rFonts w:hint="eastAsia" w:ascii="宋体" w:hAnsi="宋体" w:eastAsia="宋体" w:cs="Times New Roman"/>
          <w:kern w:val="0"/>
          <w:szCs w:val="24"/>
        </w:rPr>
        <w:t>提交以下报表及有关凭证一式两份，经</w:t>
      </w:r>
      <w:r>
        <w:rPr>
          <w:rFonts w:ascii="宋体" w:hAnsi="宋体" w:eastAsia="宋体" w:cs="Times New Roman"/>
          <w:kern w:val="0"/>
          <w:szCs w:val="24"/>
        </w:rPr>
        <w:t>监理人</w:t>
      </w:r>
      <w:r>
        <w:rPr>
          <w:rFonts w:hint="eastAsia" w:ascii="宋体" w:hAnsi="宋体" w:eastAsia="宋体" w:cs="Times New Roman"/>
          <w:kern w:val="0"/>
          <w:szCs w:val="24"/>
        </w:rPr>
        <w:t>确认签字后，退还其中一份给承包人。</w:t>
      </w:r>
    </w:p>
    <w:p w14:paraId="7EB2C01E">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①</w:t>
      </w:r>
      <w:r>
        <w:rPr>
          <w:rFonts w:ascii="宋体" w:hAnsi="宋体" w:eastAsia="宋体" w:cs="Times New Roman"/>
          <w:kern w:val="0"/>
          <w:szCs w:val="24"/>
        </w:rPr>
        <w:t>工作名称、内容和数量；</w:t>
      </w:r>
    </w:p>
    <w:p w14:paraId="31EA5697">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②</w:t>
      </w:r>
      <w:r>
        <w:rPr>
          <w:rFonts w:ascii="宋体" w:hAnsi="宋体" w:eastAsia="宋体" w:cs="Times New Roman"/>
          <w:kern w:val="0"/>
          <w:szCs w:val="24"/>
        </w:rPr>
        <w:t>投入该工作的所有人员的姓名、专业、工种、级别和耗用工时；</w:t>
      </w:r>
    </w:p>
    <w:p w14:paraId="71733FC3">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③</w:t>
      </w:r>
      <w:r>
        <w:rPr>
          <w:rFonts w:ascii="宋体" w:hAnsi="宋体" w:eastAsia="宋体" w:cs="Times New Roman"/>
          <w:kern w:val="0"/>
          <w:szCs w:val="24"/>
        </w:rPr>
        <w:t>投入该工作的材料类别和数量；</w:t>
      </w:r>
    </w:p>
    <w:p w14:paraId="33AA992F">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④</w:t>
      </w:r>
      <w:r>
        <w:rPr>
          <w:rFonts w:ascii="宋体" w:hAnsi="宋体" w:eastAsia="宋体" w:cs="Times New Roman"/>
          <w:kern w:val="0"/>
          <w:szCs w:val="24"/>
        </w:rPr>
        <w:t>投入该工作的施工设备型号和耗用</w:t>
      </w:r>
      <w:r>
        <w:rPr>
          <w:rFonts w:hint="eastAsia" w:ascii="宋体" w:hAnsi="宋体" w:eastAsia="宋体" w:cs="Times New Roman"/>
          <w:kern w:val="0"/>
          <w:szCs w:val="24"/>
        </w:rPr>
        <w:t>台班</w:t>
      </w:r>
      <w:r>
        <w:rPr>
          <w:rFonts w:ascii="宋体" w:hAnsi="宋体" w:eastAsia="宋体" w:cs="Times New Roman"/>
          <w:kern w:val="0"/>
          <w:szCs w:val="24"/>
        </w:rPr>
        <w:t>；</w:t>
      </w:r>
    </w:p>
    <w:p w14:paraId="61AA8D43">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⑤</w:t>
      </w:r>
      <w:r>
        <w:rPr>
          <w:rFonts w:ascii="宋体" w:hAnsi="宋体" w:eastAsia="宋体" w:cs="Times New Roman"/>
          <w:kern w:val="0"/>
          <w:szCs w:val="24"/>
        </w:rPr>
        <w:t>其他有关资料和凭证。</w:t>
      </w:r>
    </w:p>
    <w:p w14:paraId="0495556E">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(3)在进度款支付的同时，承包人应按照</w:t>
      </w:r>
      <w:r>
        <w:rPr>
          <w:rFonts w:ascii="宋体" w:hAnsi="宋体" w:eastAsia="宋体" w:cs="Times New Roman"/>
          <w:kern w:val="0"/>
          <w:szCs w:val="24"/>
        </w:rPr>
        <w:t>监理人</w:t>
      </w:r>
      <w:r>
        <w:rPr>
          <w:rFonts w:hint="eastAsia" w:ascii="宋体" w:hAnsi="宋体" w:eastAsia="宋体" w:cs="Times New Roman"/>
          <w:kern w:val="0"/>
          <w:szCs w:val="24"/>
        </w:rPr>
        <w:t>确认的本期累计所用劳务、材料和承包人装备的数量，向</w:t>
      </w:r>
      <w:r>
        <w:rPr>
          <w:rFonts w:ascii="宋体" w:hAnsi="宋体" w:eastAsia="宋体" w:cs="Times New Roman"/>
          <w:kern w:val="0"/>
          <w:szCs w:val="24"/>
        </w:rPr>
        <w:t>监理人</w:t>
      </w:r>
      <w:r>
        <w:rPr>
          <w:rFonts w:hint="eastAsia" w:ascii="宋体" w:hAnsi="宋体" w:eastAsia="宋体" w:cs="Times New Roman"/>
          <w:kern w:val="0"/>
          <w:szCs w:val="24"/>
        </w:rPr>
        <w:t>申报本期所用计日工费用，经</w:t>
      </w:r>
      <w:r>
        <w:rPr>
          <w:rFonts w:ascii="宋体" w:hAnsi="宋体" w:eastAsia="宋体" w:cs="Times New Roman"/>
          <w:kern w:val="0"/>
          <w:szCs w:val="24"/>
        </w:rPr>
        <w:t>监理人</w:t>
      </w:r>
      <w:r>
        <w:rPr>
          <w:rFonts w:hint="eastAsia" w:ascii="宋体" w:hAnsi="宋体" w:eastAsia="宋体" w:cs="Times New Roman"/>
          <w:kern w:val="0"/>
          <w:szCs w:val="24"/>
        </w:rPr>
        <w:t>审核并报发包人确认后，与进度款支付同期支付。</w:t>
      </w:r>
    </w:p>
    <w:bookmarkEnd w:id="2953"/>
    <w:p w14:paraId="435D9299">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955" w:name="_Toc305331371"/>
      <w:bookmarkStart w:id="2956" w:name="_Toc201735417"/>
      <w:bookmarkStart w:id="2957" w:name="_Toc17372"/>
      <w:bookmarkStart w:id="2958" w:name="_Toc29141"/>
      <w:bookmarkStart w:id="2959" w:name="_Toc7112"/>
      <w:bookmarkStart w:id="2960" w:name="_Toc23749"/>
      <w:bookmarkStart w:id="2961" w:name="_Toc29007"/>
      <w:bookmarkStart w:id="2962" w:name="_Toc13973"/>
      <w:bookmarkStart w:id="2963" w:name="_Toc190429647"/>
      <w:bookmarkStart w:id="2964" w:name="_Toc7513"/>
      <w:bookmarkStart w:id="2965" w:name="_Toc28277"/>
      <w:bookmarkStart w:id="2966" w:name="_Toc21842"/>
      <w:bookmarkStart w:id="2967" w:name="_Toc208587637"/>
      <w:bookmarkStart w:id="2968" w:name="_Toc302635864"/>
      <w:bookmarkStart w:id="2969" w:name="_Toc29495"/>
      <w:r>
        <w:rPr>
          <w:rFonts w:hint="eastAsia" w:ascii="宋体" w:hAnsi="宋体" w:eastAsia="宋体" w:cs="Times New Roman"/>
          <w:b/>
          <w:bCs/>
          <w:kern w:val="0"/>
          <w:sz w:val="24"/>
          <w:szCs w:val="24"/>
          <w:lang w:val="en-US" w:eastAsia="zh-CN" w:bidi="ar-SA"/>
        </w:rPr>
        <w:t>价值工程</w:t>
      </w:r>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p>
    <w:p w14:paraId="6AC8AD0D">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(1)施工过程中承包人可随时提出其认为可满足下列要求的合理化建议：</w:t>
      </w:r>
    </w:p>
    <w:p w14:paraId="4262D263">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①使本工程提前竣工；</w:t>
      </w:r>
    </w:p>
    <w:p w14:paraId="00D90E4C">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②降低发包人的工程施工、维护或运营的费用；</w:t>
      </w:r>
    </w:p>
    <w:p w14:paraId="6F8A8471">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③提高本工程的价值；</w:t>
      </w:r>
    </w:p>
    <w:p w14:paraId="07D38771">
      <w:pPr>
        <w:tabs>
          <w:tab w:val="left" w:pos="1620"/>
          <w:tab w:val="left" w:pos="2340"/>
        </w:tabs>
        <w:ind w:left="1079"/>
        <w:jc w:val="left"/>
        <w:rPr>
          <w:rFonts w:ascii="宋体" w:hAnsi="宋体" w:eastAsia="宋体" w:cs="Times New Roman"/>
          <w:kern w:val="0"/>
          <w:szCs w:val="24"/>
        </w:rPr>
      </w:pPr>
      <w:r>
        <w:rPr>
          <w:rFonts w:hint="eastAsia" w:ascii="宋体" w:hAnsi="宋体" w:eastAsia="宋体" w:cs="Times New Roman"/>
          <w:kern w:val="0"/>
          <w:szCs w:val="24"/>
        </w:rPr>
        <w:t>④为发包人带来其他利益。</w:t>
      </w:r>
    </w:p>
    <w:p w14:paraId="3D4EFE50">
      <w:pPr>
        <w:tabs>
          <w:tab w:val="left" w:pos="1620"/>
          <w:tab w:val="left" w:pos="2340"/>
        </w:tabs>
        <w:spacing w:before="156"/>
        <w:ind w:left="899"/>
        <w:jc w:val="left"/>
        <w:rPr>
          <w:rFonts w:hint="eastAsia"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监理人</w:t>
      </w:r>
      <w:r>
        <w:rPr>
          <w:rFonts w:hint="eastAsia" w:ascii="宋体" w:hAnsi="宋体" w:eastAsia="宋体" w:cs="Times New Roman"/>
          <w:kern w:val="0"/>
          <w:szCs w:val="24"/>
        </w:rPr>
        <w:t>收到此类建议后，应尽快提出针对性的回复，在此期间，承包人应继续按照本合同约定进行相应工作。若该合理化建议涉及到对设计图纸或施工组织设计的更改及对材料、工程设备的换用，须经</w:t>
      </w:r>
      <w:r>
        <w:rPr>
          <w:rFonts w:ascii="宋体" w:hAnsi="宋体" w:eastAsia="宋体" w:cs="Times New Roman"/>
          <w:kern w:val="0"/>
          <w:szCs w:val="24"/>
        </w:rPr>
        <w:t>监理人</w:t>
      </w:r>
      <w:r>
        <w:rPr>
          <w:rFonts w:hint="eastAsia" w:ascii="宋体" w:hAnsi="宋体" w:eastAsia="宋体" w:cs="Times New Roman"/>
          <w:kern w:val="0"/>
          <w:szCs w:val="24"/>
        </w:rPr>
        <w:t>审查并报经发包人批准。未经批准擅自更改或换用时，承包人承担由此发生的费用，并赔偿发包人的有关损失，延误的工期不予顺延。</w:t>
      </w:r>
    </w:p>
    <w:p w14:paraId="1C9300D9">
      <w:pPr>
        <w:tabs>
          <w:tab w:val="left" w:pos="1620"/>
          <w:tab w:val="left" w:pos="2340"/>
        </w:tabs>
        <w:spacing w:before="156"/>
        <w:ind w:left="899"/>
        <w:jc w:val="left"/>
        <w:rPr>
          <w:rFonts w:hint="eastAsia" w:ascii="宋体" w:hAnsi="宋体" w:eastAsia="宋体" w:cs="Times New Roman"/>
          <w:kern w:val="0"/>
          <w:szCs w:val="24"/>
        </w:rPr>
      </w:pPr>
      <w:r>
        <w:rPr>
          <w:rFonts w:hint="eastAsia" w:ascii="宋体" w:hAnsi="宋体" w:eastAsia="宋体" w:cs="Times New Roman"/>
          <w:kern w:val="0"/>
          <w:szCs w:val="24"/>
        </w:rPr>
        <w:t>(3)若发包人同意采用承包人合理化建议，所发生的费用和获得的收益，发包人和承包人按</w:t>
      </w:r>
      <w:r>
        <w:rPr>
          <w:rFonts w:hint="eastAsia" w:ascii="宋体" w:hAnsi="宋体" w:eastAsia="宋体" w:cs="Times New Roman"/>
          <w:b/>
          <w:i/>
          <w:kern w:val="0"/>
          <w:szCs w:val="24"/>
        </w:rPr>
        <w:t>专用条款</w:t>
      </w:r>
      <w:r>
        <w:rPr>
          <w:rFonts w:hint="eastAsia" w:ascii="宋体" w:hAnsi="宋体" w:eastAsia="宋体" w:cs="Times New Roman"/>
          <w:kern w:val="0"/>
          <w:szCs w:val="24"/>
        </w:rPr>
        <w:t>的约定分担或分享。</w:t>
      </w:r>
      <w:bookmarkEnd w:id="2954"/>
    </w:p>
    <w:p w14:paraId="42244229">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2970" w:name="_Toc31674"/>
      <w:bookmarkStart w:id="2971" w:name="_Toc609"/>
      <w:bookmarkStart w:id="2972" w:name="_Toc302635865"/>
      <w:bookmarkStart w:id="2973" w:name="_Toc1663202388"/>
      <w:bookmarkStart w:id="2974" w:name="_Toc19199"/>
      <w:bookmarkStart w:id="2975" w:name="_Toc15185"/>
      <w:bookmarkStart w:id="2976" w:name="_Toc16119"/>
      <w:bookmarkStart w:id="2977" w:name="_Toc11606"/>
      <w:bookmarkStart w:id="2978" w:name="_Toc28926"/>
      <w:bookmarkStart w:id="2979" w:name="_Toc208587638"/>
      <w:bookmarkStart w:id="2980" w:name="_Toc28245"/>
      <w:bookmarkStart w:id="2981" w:name="_Toc201735418"/>
      <w:bookmarkStart w:id="2982" w:name="_Toc24576"/>
      <w:bookmarkStart w:id="2983" w:name="_Toc351203573"/>
      <w:bookmarkStart w:id="2984" w:name="_Toc337558793"/>
      <w:r>
        <w:rPr>
          <w:rFonts w:ascii="宋体" w:hAnsi="宋体" w:eastAsia="宋体" w:cs="Times New Roman"/>
          <w:b/>
          <w:bCs/>
          <w:kern w:val="0"/>
          <w:sz w:val="24"/>
          <w:szCs w:val="24"/>
          <w:lang w:val="en-US" w:eastAsia="zh-CN" w:bidi="ar-SA"/>
        </w:rPr>
        <w:t>变更引起的工期调整</w:t>
      </w:r>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r>
        <w:rPr>
          <w:rFonts w:ascii="宋体" w:hAnsi="宋体" w:eastAsia="宋体" w:cs="Times New Roman"/>
          <w:b/>
          <w:bCs/>
          <w:kern w:val="0"/>
          <w:sz w:val="24"/>
          <w:szCs w:val="24"/>
          <w:lang w:val="en-US" w:eastAsia="zh-CN" w:bidi="ar-SA"/>
        </w:rPr>
        <w:t xml:space="preserve"> </w:t>
      </w:r>
      <w:bookmarkEnd w:id="2984"/>
      <w:r>
        <w:rPr>
          <w:rFonts w:ascii="宋体" w:hAnsi="宋体" w:eastAsia="宋体" w:cs="Times New Roman"/>
          <w:b/>
          <w:bCs/>
          <w:kern w:val="0"/>
          <w:sz w:val="24"/>
          <w:szCs w:val="24"/>
          <w:lang w:val="en-US" w:eastAsia="zh-CN" w:bidi="ar-SA"/>
        </w:rPr>
        <w:t xml:space="preserve">  </w:t>
      </w:r>
    </w:p>
    <w:p w14:paraId="4117C08D">
      <w:pPr>
        <w:tabs>
          <w:tab w:val="left" w:pos="1620"/>
          <w:tab w:val="left" w:pos="2340"/>
        </w:tabs>
        <w:spacing w:before="156"/>
        <w:ind w:left="899"/>
        <w:jc w:val="left"/>
        <w:rPr>
          <w:rFonts w:ascii="宋体" w:hAnsi="宋体" w:eastAsia="宋体" w:cs="Times New Roman"/>
          <w:kern w:val="0"/>
          <w:szCs w:val="24"/>
        </w:rPr>
      </w:pPr>
      <w:r>
        <w:rPr>
          <w:rFonts w:ascii="宋体" w:hAnsi="宋体" w:eastAsia="宋体" w:cs="Times New Roman"/>
          <w:kern w:val="0"/>
          <w:szCs w:val="24"/>
        </w:rPr>
        <w:t>因变更引起工期变化的，发承包双方均可要求调整工期，由发承包双方参考工期定额标准</w:t>
      </w:r>
      <w:r>
        <w:rPr>
          <w:rFonts w:hint="eastAsia" w:ascii="宋体" w:hAnsi="宋体" w:eastAsia="宋体" w:cs="Times New Roman"/>
          <w:kern w:val="0"/>
          <w:szCs w:val="24"/>
        </w:rPr>
        <w:t>协商</w:t>
      </w:r>
      <w:r>
        <w:rPr>
          <w:rFonts w:ascii="宋体" w:hAnsi="宋体" w:eastAsia="宋体" w:cs="Times New Roman"/>
          <w:kern w:val="0"/>
          <w:szCs w:val="24"/>
        </w:rPr>
        <w:t>确定增减工期天数。</w:t>
      </w:r>
    </w:p>
    <w:p w14:paraId="07F9B136">
      <w:pPr>
        <w:keepNext w:val="0"/>
        <w:keepLines w:val="0"/>
        <w:widowControl w:val="0"/>
        <w:numPr>
          <w:ilvl w:val="0"/>
          <w:numId w:val="2"/>
        </w:numPr>
        <w:tabs>
          <w:tab w:val="left" w:pos="720"/>
          <w:tab w:val="left" w:pos="1620"/>
          <w:tab w:val="left" w:pos="2340"/>
          <w:tab w:val="left"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2985" w:name="_Toc30638"/>
      <w:bookmarkStart w:id="2986" w:name="_Toc35656494"/>
      <w:bookmarkStart w:id="2987" w:name="_Toc285923557"/>
      <w:bookmarkStart w:id="2988" w:name="_Toc30149"/>
      <w:bookmarkStart w:id="2989" w:name="_Toc208587639"/>
      <w:bookmarkStart w:id="2990" w:name="_Toc20403"/>
      <w:bookmarkStart w:id="2991" w:name="_Toc305331372"/>
      <w:bookmarkStart w:id="2992" w:name="_Toc23889"/>
      <w:bookmarkStart w:id="2993" w:name="_Toc201735419"/>
      <w:bookmarkStart w:id="2994" w:name="_Toc6824"/>
      <w:bookmarkStart w:id="2995" w:name="_Toc1240"/>
      <w:bookmarkStart w:id="2996" w:name="_Toc34909110"/>
      <w:bookmarkStart w:id="2997" w:name="_Toc10985"/>
      <w:bookmarkStart w:id="2998" w:name="_Toc35656996"/>
      <w:bookmarkStart w:id="2999" w:name="_Toc302635866"/>
      <w:bookmarkStart w:id="3000" w:name="_Toc31391"/>
      <w:bookmarkStart w:id="3001" w:name="_Toc31616"/>
      <w:bookmarkStart w:id="3002" w:name="_Toc28764"/>
      <w:r>
        <w:rPr>
          <w:rFonts w:hint="eastAsia" w:ascii="华文细黑" w:hAnsi="宋体" w:eastAsia="宋体" w:cs="Times New Roman"/>
          <w:b/>
          <w:bCs/>
          <w:snapToGrid w:val="0"/>
          <w:kern w:val="0"/>
          <w:sz w:val="28"/>
          <w:szCs w:val="44"/>
          <w:lang w:val="en-US" w:eastAsia="zh-CN" w:bidi="ar-SA"/>
        </w:rPr>
        <w:t>工程变更价款</w:t>
      </w:r>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p>
    <w:p w14:paraId="2DB9B135">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003" w:name="_Toc23886"/>
      <w:bookmarkStart w:id="3004" w:name="_Toc19821"/>
      <w:bookmarkStart w:id="3005" w:name="_Toc201735420"/>
      <w:bookmarkStart w:id="3006" w:name="_Toc109"/>
      <w:bookmarkStart w:id="3007" w:name="_Toc479580201"/>
      <w:bookmarkStart w:id="3008" w:name="_Toc13643"/>
      <w:bookmarkStart w:id="3009" w:name="_Toc21786"/>
      <w:bookmarkStart w:id="3010" w:name="_Toc31256"/>
      <w:bookmarkStart w:id="3011" w:name="_Toc19190"/>
      <w:bookmarkStart w:id="3012" w:name="_Toc10397"/>
      <w:bookmarkStart w:id="3013" w:name="_Toc302635867"/>
      <w:bookmarkStart w:id="3014" w:name="_Toc3536"/>
      <w:bookmarkStart w:id="3015" w:name="_Toc208587640"/>
      <w:bookmarkStart w:id="3016" w:name="_Toc129"/>
      <w:bookmarkStart w:id="3017" w:name="_Toc305331373"/>
      <w:bookmarkStart w:id="3018" w:name="_Toc34909112"/>
      <w:bookmarkStart w:id="3019" w:name="_Toc34909111"/>
      <w:r>
        <w:rPr>
          <w:rFonts w:hint="eastAsia" w:ascii="宋体" w:hAnsi="宋体" w:eastAsia="宋体" w:cs="Times New Roman"/>
          <w:b/>
          <w:bCs/>
          <w:kern w:val="0"/>
          <w:sz w:val="24"/>
          <w:szCs w:val="24"/>
          <w:lang w:val="en-US" w:eastAsia="zh-CN" w:bidi="ar-SA"/>
        </w:rPr>
        <w:t>工程变更价款的确定方法</w:t>
      </w:r>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p>
    <w:bookmarkEnd w:id="3018"/>
    <w:p w14:paraId="1B40C962">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(1)合同清单中已有适用于变更工程的合同单价，按以下原则确定变更价款：</w:t>
      </w:r>
    </w:p>
    <w:p w14:paraId="07D651C9">
      <w:pPr>
        <w:tabs>
          <w:tab w:val="left" w:pos="1620"/>
          <w:tab w:val="left" w:pos="2340"/>
        </w:tabs>
        <w:spacing w:after="156"/>
        <w:ind w:left="899"/>
        <w:jc w:val="left"/>
        <w:rPr>
          <w:rFonts w:ascii="宋体" w:hAnsi="宋体" w:eastAsia="宋体" w:cs="Times New Roman"/>
          <w:color w:val="auto"/>
          <w:kern w:val="0"/>
          <w:szCs w:val="24"/>
        </w:rPr>
      </w:pPr>
      <w:r>
        <w:rPr>
          <w:rFonts w:hint="eastAsia" w:ascii="宋体" w:hAnsi="宋体" w:eastAsia="宋体" w:cs="Times New Roman"/>
          <w:color w:val="auto"/>
          <w:kern w:val="0"/>
          <w:szCs w:val="24"/>
        </w:rPr>
        <w:t>①除</w:t>
      </w:r>
      <w:r>
        <w:rPr>
          <w:rFonts w:ascii="宋体" w:hAnsi="宋体" w:eastAsia="宋体" w:cs="Times New Roman"/>
          <w:b/>
          <w:i/>
          <w:color w:val="auto"/>
          <w:kern w:val="0"/>
          <w:szCs w:val="24"/>
        </w:rPr>
        <w:t>专用条款</w:t>
      </w:r>
      <w:r>
        <w:rPr>
          <w:rFonts w:ascii="宋体" w:hAnsi="宋体" w:eastAsia="宋体" w:cs="Times New Roman"/>
          <w:color w:val="auto"/>
          <w:kern w:val="0"/>
          <w:szCs w:val="24"/>
        </w:rPr>
        <w:t>约定幅度</w:t>
      </w:r>
      <w:r>
        <w:rPr>
          <w:rFonts w:hint="eastAsia" w:ascii="宋体" w:hAnsi="宋体" w:eastAsia="宋体" w:cs="Times New Roman"/>
          <w:color w:val="auto"/>
          <w:kern w:val="0"/>
          <w:szCs w:val="24"/>
        </w:rPr>
        <w:t>外，</w:t>
      </w:r>
      <w:r>
        <w:rPr>
          <w:rFonts w:ascii="宋体" w:hAnsi="宋体" w:eastAsia="宋体" w:cs="Times New Roman"/>
          <w:color w:val="auto"/>
          <w:kern w:val="0"/>
          <w:szCs w:val="24"/>
        </w:rPr>
        <w:t>工程变更造成</w:t>
      </w:r>
      <w:r>
        <w:rPr>
          <w:rFonts w:hint="eastAsia" w:ascii="宋体" w:hAnsi="宋体" w:eastAsia="宋体" w:cs="Times New Roman"/>
          <w:color w:val="auto"/>
          <w:kern w:val="0"/>
          <w:szCs w:val="24"/>
        </w:rPr>
        <w:t>合同</w:t>
      </w:r>
      <w:r>
        <w:rPr>
          <w:rFonts w:ascii="宋体" w:hAnsi="宋体" w:eastAsia="宋体" w:cs="Times New Roman"/>
          <w:color w:val="auto"/>
          <w:kern w:val="0"/>
          <w:szCs w:val="24"/>
        </w:rPr>
        <w:t>清单中某项目的工程量增</w:t>
      </w:r>
      <w:r>
        <w:rPr>
          <w:rFonts w:hint="eastAsia" w:ascii="宋体" w:hAnsi="宋体" w:eastAsia="宋体" w:cs="Times New Roman"/>
          <w:color w:val="auto"/>
          <w:kern w:val="0"/>
          <w:szCs w:val="24"/>
        </w:rPr>
        <w:t>减不</w:t>
      </w:r>
      <w:r>
        <w:rPr>
          <w:rFonts w:ascii="宋体" w:hAnsi="宋体" w:eastAsia="宋体" w:cs="Times New Roman"/>
          <w:color w:val="auto"/>
          <w:kern w:val="0"/>
          <w:szCs w:val="24"/>
        </w:rPr>
        <w:t>超</w:t>
      </w:r>
      <w:r>
        <w:rPr>
          <w:rFonts w:hint="eastAsia" w:ascii="宋体" w:hAnsi="宋体" w:eastAsia="宋体" w:cs="Times New Roman"/>
          <w:color w:val="auto"/>
          <w:kern w:val="0"/>
          <w:szCs w:val="24"/>
        </w:rPr>
        <w:t>出15</w:t>
      </w:r>
      <w:r>
        <w:rPr>
          <w:rFonts w:ascii="宋体" w:hAnsi="宋体" w:eastAsia="宋体" w:cs="Times New Roman"/>
          <w:color w:val="auto"/>
          <w:kern w:val="0"/>
          <w:szCs w:val="24"/>
        </w:rPr>
        <w:t>%</w:t>
      </w:r>
      <w:r>
        <w:rPr>
          <w:rFonts w:hint="eastAsia" w:ascii="宋体" w:hAnsi="宋体" w:eastAsia="宋体" w:cs="Times New Roman"/>
          <w:color w:val="auto"/>
          <w:kern w:val="0"/>
          <w:szCs w:val="24"/>
        </w:rPr>
        <w:t>（含1</w:t>
      </w:r>
      <w:r>
        <w:rPr>
          <w:rFonts w:ascii="宋体" w:hAnsi="宋体" w:eastAsia="宋体" w:cs="Times New Roman"/>
          <w:color w:val="auto"/>
          <w:kern w:val="0"/>
          <w:szCs w:val="24"/>
        </w:rPr>
        <w:t>5%</w:t>
      </w:r>
      <w:r>
        <w:rPr>
          <w:rFonts w:hint="eastAsia" w:ascii="宋体" w:hAnsi="宋体" w:eastAsia="宋体" w:cs="Times New Roman"/>
          <w:color w:val="auto"/>
          <w:kern w:val="0"/>
          <w:szCs w:val="24"/>
        </w:rPr>
        <w:t>）时</w:t>
      </w:r>
      <w:r>
        <w:rPr>
          <w:rFonts w:ascii="宋体" w:hAnsi="宋体" w:eastAsia="宋体" w:cs="Times New Roman"/>
          <w:color w:val="auto"/>
          <w:kern w:val="0"/>
          <w:szCs w:val="24"/>
        </w:rPr>
        <w:t>，</w:t>
      </w:r>
      <w:r>
        <w:rPr>
          <w:rFonts w:hint="eastAsia" w:ascii="宋体" w:hAnsi="宋体" w:eastAsia="宋体" w:cs="Times New Roman"/>
          <w:color w:val="auto"/>
          <w:kern w:val="0"/>
          <w:szCs w:val="24"/>
        </w:rPr>
        <w:t>其增加或减少部分工程量清单</w:t>
      </w:r>
      <w:r>
        <w:rPr>
          <w:rFonts w:ascii="宋体" w:hAnsi="宋体" w:eastAsia="宋体" w:cs="Times New Roman"/>
          <w:color w:val="auto"/>
          <w:kern w:val="0"/>
          <w:szCs w:val="24"/>
        </w:rPr>
        <w:t>项目</w:t>
      </w:r>
      <w:r>
        <w:rPr>
          <w:rFonts w:hint="eastAsia" w:ascii="宋体" w:hAnsi="宋体" w:eastAsia="宋体" w:cs="Times New Roman"/>
          <w:color w:val="auto"/>
          <w:kern w:val="0"/>
          <w:szCs w:val="24"/>
        </w:rPr>
        <w:t>单价按已有的合同单价确定变更价款；</w:t>
      </w:r>
    </w:p>
    <w:p w14:paraId="55E98A63">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②</w:t>
      </w:r>
      <w:r>
        <w:rPr>
          <w:rFonts w:ascii="宋体" w:hAnsi="宋体" w:eastAsia="宋体" w:cs="Times New Roman"/>
          <w:kern w:val="0"/>
          <w:szCs w:val="24"/>
        </w:rPr>
        <w:t>工程变更造成</w:t>
      </w:r>
      <w:r>
        <w:rPr>
          <w:rFonts w:hint="eastAsia" w:ascii="宋体" w:hAnsi="宋体" w:eastAsia="宋体" w:cs="Times New Roman"/>
          <w:kern w:val="0"/>
          <w:szCs w:val="24"/>
        </w:rPr>
        <w:t>合同</w:t>
      </w:r>
      <w:r>
        <w:rPr>
          <w:rFonts w:ascii="宋体" w:hAnsi="宋体" w:eastAsia="宋体" w:cs="Times New Roman"/>
          <w:kern w:val="0"/>
          <w:szCs w:val="24"/>
        </w:rPr>
        <w:t>清单中某项目的工程量增减</w:t>
      </w:r>
      <w:r>
        <w:rPr>
          <w:rFonts w:hint="eastAsia" w:ascii="宋体" w:hAnsi="宋体" w:eastAsia="宋体" w:cs="Times New Roman"/>
          <w:kern w:val="0"/>
          <w:szCs w:val="24"/>
        </w:rPr>
        <w:t>超过本项第①目约定的</w:t>
      </w:r>
      <w:r>
        <w:rPr>
          <w:rFonts w:ascii="宋体" w:hAnsi="宋体" w:eastAsia="宋体" w:cs="Times New Roman"/>
          <w:kern w:val="0"/>
          <w:szCs w:val="24"/>
        </w:rPr>
        <w:t>幅度</w:t>
      </w:r>
      <w:r>
        <w:rPr>
          <w:rFonts w:hint="eastAsia" w:ascii="宋体" w:hAnsi="宋体" w:eastAsia="宋体" w:cs="Times New Roman"/>
          <w:kern w:val="0"/>
          <w:szCs w:val="24"/>
        </w:rPr>
        <w:t>时</w:t>
      </w:r>
      <w:r>
        <w:rPr>
          <w:rFonts w:ascii="宋体" w:hAnsi="宋体" w:eastAsia="宋体" w:cs="Times New Roman"/>
          <w:kern w:val="0"/>
          <w:szCs w:val="24"/>
        </w:rPr>
        <w:t>，</w:t>
      </w:r>
      <w:r>
        <w:rPr>
          <w:rFonts w:hint="eastAsia" w:ascii="宋体" w:hAnsi="宋体" w:eastAsia="宋体" w:cs="Times New Roman"/>
          <w:kern w:val="0"/>
          <w:szCs w:val="24"/>
        </w:rPr>
        <w:t>超出</w:t>
      </w:r>
      <w:r>
        <w:rPr>
          <w:rFonts w:ascii="宋体" w:hAnsi="宋体" w:eastAsia="宋体" w:cs="Times New Roman"/>
          <w:kern w:val="0"/>
          <w:szCs w:val="24"/>
        </w:rPr>
        <w:t>幅度</w:t>
      </w:r>
      <w:r>
        <w:rPr>
          <w:rFonts w:hint="eastAsia" w:ascii="宋体" w:hAnsi="宋体" w:eastAsia="宋体" w:cs="Times New Roman"/>
          <w:kern w:val="0"/>
          <w:szCs w:val="24"/>
        </w:rPr>
        <w:t>增加部分或减少后剩余部分工程量清单</w:t>
      </w:r>
      <w:r>
        <w:rPr>
          <w:rFonts w:ascii="宋体" w:hAnsi="宋体" w:eastAsia="宋体" w:cs="Times New Roman"/>
          <w:kern w:val="0"/>
          <w:szCs w:val="24"/>
        </w:rPr>
        <w:t>项目</w:t>
      </w:r>
      <w:r>
        <w:rPr>
          <w:rFonts w:hint="eastAsia" w:ascii="宋体" w:hAnsi="宋体" w:eastAsia="宋体" w:cs="Times New Roman"/>
          <w:kern w:val="0"/>
          <w:szCs w:val="24"/>
        </w:rPr>
        <w:t>单价按照</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约定执行；</w:t>
      </w:r>
    </w:p>
    <w:p w14:paraId="369476B7">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(2)合同清单中有</w:t>
      </w:r>
      <w:r>
        <w:rPr>
          <w:rFonts w:hint="eastAsia" w:ascii="宋体" w:hAnsi="宋体" w:eastAsia="宋体" w:cs="Times New Roman"/>
          <w:b/>
          <w:bCs/>
          <w:i/>
          <w:iCs/>
          <w:color w:val="auto"/>
          <w:kern w:val="0"/>
          <w:szCs w:val="21"/>
        </w:rPr>
        <w:t>专用条款</w:t>
      </w:r>
      <w:r>
        <w:rPr>
          <w:rFonts w:hint="eastAsia" w:ascii="宋体" w:hAnsi="宋体" w:eastAsia="宋体" w:cs="Times New Roman"/>
          <w:color w:val="auto"/>
          <w:kern w:val="0"/>
          <w:szCs w:val="21"/>
        </w:rPr>
        <w:t>约定的</w:t>
      </w:r>
      <w:r>
        <w:rPr>
          <w:rFonts w:hint="eastAsia" w:ascii="宋体" w:hAnsi="宋体" w:eastAsia="宋体" w:cs="Times New Roman"/>
          <w:kern w:val="0"/>
          <w:szCs w:val="24"/>
        </w:rPr>
        <w:t>类似于变更工程的合同单价，应参照类似清单项目的合同单价，并按照</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约定的调整方式确定变更价款。</w:t>
      </w:r>
    </w:p>
    <w:p w14:paraId="5B9B1B70">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(3)合同清单中没有适用或类似于变更工程的合同单价，应按照</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约定的方式确定变更价款。</w:t>
      </w:r>
    </w:p>
    <w:p w14:paraId="084CC41F">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(4)由于非承包人原因删减了本合同中的某项原定工作或工程，致使承包人发生的费用或(和)预期收益不能被包括在其他已支付或应支付的项目中，也未包含在任何替代的工作或工程中，发包人应按照</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约定的方法给予承包人补偿。</w:t>
      </w:r>
    </w:p>
    <w:p w14:paraId="799C010C">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020" w:name="_Toc302635868"/>
      <w:bookmarkStart w:id="3021" w:name="_Toc28540"/>
      <w:bookmarkStart w:id="3022" w:name="_Toc24830"/>
      <w:bookmarkStart w:id="3023" w:name="_Toc1831837184"/>
      <w:bookmarkStart w:id="3024" w:name="_Toc14944"/>
      <w:bookmarkStart w:id="3025" w:name="_Toc27"/>
      <w:bookmarkStart w:id="3026" w:name="_Toc6075"/>
      <w:bookmarkStart w:id="3027" w:name="_Toc29024"/>
      <w:bookmarkStart w:id="3028" w:name="_Toc305331375"/>
      <w:bookmarkStart w:id="3029" w:name="_Toc4611"/>
      <w:bookmarkStart w:id="3030" w:name="_Toc9455"/>
      <w:bookmarkStart w:id="3031" w:name="_Toc201735421"/>
      <w:bookmarkStart w:id="3032" w:name="_Toc208587641"/>
      <w:bookmarkStart w:id="3033" w:name="_Toc4380"/>
      <w:bookmarkStart w:id="3034" w:name="_Toc20144"/>
      <w:bookmarkStart w:id="3035" w:name="_Toc305331374"/>
      <w:r>
        <w:rPr>
          <w:rFonts w:hint="eastAsia" w:ascii="宋体" w:hAnsi="宋体" w:eastAsia="宋体" w:cs="Times New Roman"/>
          <w:b/>
          <w:bCs/>
          <w:kern w:val="0"/>
          <w:sz w:val="24"/>
          <w:szCs w:val="24"/>
          <w:lang w:val="en-US" w:eastAsia="zh-CN" w:bidi="ar-SA"/>
        </w:rPr>
        <w:t>工程变更引起措施项目的调整</w:t>
      </w:r>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p>
    <w:p w14:paraId="7EAFB7CA">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(1)</w:t>
      </w:r>
      <w:r>
        <w:rPr>
          <w:rFonts w:hint="eastAsia" w:ascii="Times New Roman" w:hAnsi="Times New Roman" w:eastAsia="宋体" w:cs="宋体"/>
          <w:szCs w:val="21"/>
        </w:rPr>
        <w:t>安全文明施工费费率部分、产业工人职业训练专项经费计算基数应在最高投标限价计算基数的基础上考虑工程量变化及工程变更等因素，费率按《深圳市建设工程计价费率标准》推荐费率执行，计算基数和费率均不参与下浮</w:t>
      </w:r>
      <w:r>
        <w:rPr>
          <w:rFonts w:hint="eastAsia" w:ascii="宋体" w:hAnsi="宋体" w:eastAsia="宋体" w:cs="Times New Roman"/>
          <w:kern w:val="0"/>
          <w:szCs w:val="24"/>
        </w:rPr>
        <w:t>。</w:t>
      </w:r>
    </w:p>
    <w:p w14:paraId="783E79FA">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2)</w:t>
      </w:r>
      <w:r>
        <w:rPr>
          <w:rFonts w:hint="eastAsia" w:ascii="宋体" w:hAnsi="宋体" w:eastAsia="宋体" w:cs="Times New Roman"/>
          <w:kern w:val="0"/>
          <w:szCs w:val="24"/>
        </w:rPr>
        <w:t>除本款第(</w:t>
      </w:r>
      <w:r>
        <w:rPr>
          <w:rFonts w:ascii="宋体" w:hAnsi="宋体" w:eastAsia="宋体" w:cs="Times New Roman"/>
          <w:kern w:val="0"/>
          <w:szCs w:val="24"/>
        </w:rPr>
        <w:t>1)</w:t>
      </w:r>
      <w:r>
        <w:rPr>
          <w:rFonts w:hint="eastAsia" w:ascii="宋体" w:hAnsi="宋体" w:eastAsia="宋体" w:cs="Times New Roman"/>
          <w:kern w:val="0"/>
          <w:szCs w:val="24"/>
        </w:rPr>
        <w:t>项外，</w:t>
      </w:r>
      <w:r>
        <w:rPr>
          <w:rFonts w:ascii="宋体" w:hAnsi="宋体" w:eastAsia="宋体" w:cs="Times New Roman"/>
          <w:kern w:val="0"/>
          <w:szCs w:val="24"/>
        </w:rPr>
        <w:t>当工程变更引起措施项目发生变化，造成施工组织设计或施工方案变更时，承包人有权提出调整措施项目费。</w:t>
      </w:r>
    </w:p>
    <w:p w14:paraId="59816592">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①</w:t>
      </w:r>
      <w:r>
        <w:rPr>
          <w:rFonts w:ascii="宋体" w:hAnsi="宋体" w:eastAsia="宋体" w:cs="Times New Roman"/>
          <w:kern w:val="0"/>
          <w:szCs w:val="24"/>
        </w:rPr>
        <w:t>承包人提出调整措施项目费的，应事先将拟实施的方案提交监理人确认，并详细说明与原方案措施项目的变化情况。拟实施的方案经监理人认可，并报发包人批准后执行。</w:t>
      </w:r>
    </w:p>
    <w:p w14:paraId="4C53B274">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②</w:t>
      </w:r>
      <w:r>
        <w:rPr>
          <w:rFonts w:ascii="宋体" w:hAnsi="宋体" w:eastAsia="宋体" w:cs="Times New Roman"/>
          <w:kern w:val="0"/>
          <w:szCs w:val="24"/>
        </w:rPr>
        <w:t>工程变更引起的措施项目费调整的计算方法为：</w:t>
      </w:r>
    </w:p>
    <w:p w14:paraId="01D27E59">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以综合单价计价的，按照</w:t>
      </w:r>
      <w:r>
        <w:rPr>
          <w:rFonts w:hint="eastAsia" w:ascii="Times New Roman" w:hAnsi="Times New Roman" w:eastAsia="宋体" w:cs="宋体"/>
          <w:sz w:val="21"/>
          <w:szCs w:val="21"/>
          <w:highlight w:val="none"/>
          <w:lang w:val="en-US" w:eastAsia="zh-CN"/>
        </w:rPr>
        <w:t>国家各专业工程</w:t>
      </w:r>
      <w:r>
        <w:rPr>
          <w:rFonts w:hint="eastAsia" w:ascii="宋体" w:hAnsi="宋体" w:eastAsia="宋体" w:cs="Times New Roman"/>
          <w:kern w:val="0"/>
          <w:szCs w:val="24"/>
        </w:rPr>
        <w:t>工程量计算标准及深圳市补充（调整）清单项目计算标准进行计量</w:t>
      </w:r>
      <w:r>
        <w:rPr>
          <w:rFonts w:ascii="宋体" w:hAnsi="宋体" w:eastAsia="宋体" w:cs="Times New Roman"/>
          <w:kern w:val="0"/>
          <w:szCs w:val="24"/>
        </w:rPr>
        <w:t>，按第25.1款【工程变更价款的确定方法】约定的方法确定单价；</w:t>
      </w:r>
    </w:p>
    <w:p w14:paraId="697D7458">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采用以“项”计量计价的措施项目费，</w:t>
      </w:r>
      <w:r>
        <w:rPr>
          <w:rFonts w:hint="eastAsia" w:ascii="宋体" w:hAnsi="宋体" w:eastAsia="宋体" w:cs="Times New Roman"/>
          <w:kern w:val="0"/>
          <w:szCs w:val="24"/>
        </w:rPr>
        <w:t>根据</w:t>
      </w:r>
      <w:r>
        <w:rPr>
          <w:rFonts w:ascii="宋体" w:hAnsi="宋体" w:eastAsia="宋体" w:cs="Times New Roman"/>
          <w:kern w:val="0"/>
          <w:szCs w:val="24"/>
        </w:rPr>
        <w:t>实际发生变化的措施项目</w:t>
      </w:r>
      <w:r>
        <w:rPr>
          <w:rFonts w:hint="eastAsia" w:ascii="宋体" w:hAnsi="宋体" w:eastAsia="宋体" w:cs="Times New Roman"/>
          <w:kern w:val="0"/>
          <w:szCs w:val="24"/>
        </w:rPr>
        <w:t>按照</w:t>
      </w:r>
      <w:r>
        <w:rPr>
          <w:rFonts w:hint="eastAsia" w:ascii="宋体" w:hAnsi="宋体" w:eastAsia="宋体" w:cs="Times New Roman"/>
          <w:b/>
          <w:i/>
          <w:kern w:val="0"/>
          <w:szCs w:val="24"/>
          <w:u w:val="none"/>
        </w:rPr>
        <w:t>专用条款</w:t>
      </w:r>
      <w:r>
        <w:rPr>
          <w:rFonts w:hint="eastAsia" w:ascii="宋体" w:hAnsi="宋体" w:eastAsia="宋体" w:cs="Times New Roman"/>
          <w:kern w:val="0"/>
          <w:szCs w:val="24"/>
        </w:rPr>
        <w:t>约定的方式进行</w:t>
      </w:r>
      <w:r>
        <w:rPr>
          <w:rFonts w:ascii="宋体" w:hAnsi="宋体" w:eastAsia="宋体" w:cs="Times New Roman"/>
          <w:kern w:val="0"/>
          <w:szCs w:val="24"/>
        </w:rPr>
        <w:t>调整</w:t>
      </w:r>
      <w:r>
        <w:rPr>
          <w:rFonts w:hint="eastAsia" w:ascii="宋体" w:hAnsi="宋体" w:eastAsia="宋体" w:cs="Times New Roman"/>
          <w:kern w:val="0"/>
          <w:szCs w:val="24"/>
        </w:rPr>
        <w:t>。</w:t>
      </w:r>
    </w:p>
    <w:p w14:paraId="4D078AAB">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036" w:name="_Toc302635869"/>
      <w:bookmarkStart w:id="3037" w:name="_Toc208587648"/>
      <w:bookmarkStart w:id="3038" w:name="_Toc3859"/>
      <w:bookmarkStart w:id="3039" w:name="_Toc17735"/>
      <w:bookmarkStart w:id="3040" w:name="_Toc20257"/>
      <w:bookmarkStart w:id="3041" w:name="_Toc201735422"/>
      <w:bookmarkStart w:id="3042" w:name="_Toc25656"/>
      <w:bookmarkStart w:id="3043" w:name="_Toc19967"/>
      <w:bookmarkStart w:id="3044" w:name="_Toc9622"/>
      <w:bookmarkStart w:id="3045" w:name="_Toc14237"/>
      <w:bookmarkStart w:id="3046" w:name="_Toc30943"/>
      <w:bookmarkStart w:id="3047" w:name="_Toc1380981595"/>
      <w:bookmarkStart w:id="3048" w:name="_Toc27859"/>
      <w:bookmarkStart w:id="3049" w:name="_Toc8541"/>
      <w:r>
        <w:rPr>
          <w:rFonts w:hint="eastAsia" w:ascii="宋体" w:hAnsi="宋体" w:eastAsia="宋体" w:cs="Times New Roman"/>
          <w:b/>
          <w:bCs/>
          <w:kern w:val="0"/>
          <w:sz w:val="24"/>
          <w:szCs w:val="24"/>
          <w:lang w:val="en-US" w:eastAsia="zh-CN" w:bidi="ar-SA"/>
        </w:rPr>
        <w:t>工程变更价款的确定程序</w:t>
      </w:r>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p>
    <w:p w14:paraId="4A3C1CF6">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除</w:t>
      </w:r>
      <w:r>
        <w:rPr>
          <w:rFonts w:hint="eastAsia" w:ascii="宋体" w:hAnsi="宋体" w:eastAsia="宋体" w:cs="Times New Roman"/>
          <w:b/>
          <w:i/>
          <w:kern w:val="0"/>
          <w:szCs w:val="24"/>
        </w:rPr>
        <w:t>专用条款</w:t>
      </w:r>
      <w:r>
        <w:rPr>
          <w:rFonts w:hint="eastAsia" w:ascii="宋体" w:hAnsi="宋体" w:eastAsia="宋体" w:cs="Times New Roman"/>
          <w:kern w:val="0"/>
          <w:szCs w:val="24"/>
        </w:rPr>
        <w:t>另有约定外，发包人和承包人应按以下程序确认工程变更价款：</w:t>
      </w:r>
    </w:p>
    <w:p w14:paraId="006632A1">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(1)承包人应在收到工程变更指令后14天内将变更工程价款和(或)调整工期报告提交给</w:t>
      </w:r>
      <w:r>
        <w:rPr>
          <w:rFonts w:ascii="宋体" w:hAnsi="宋体" w:eastAsia="宋体" w:cs="Times New Roman"/>
          <w:kern w:val="0"/>
          <w:szCs w:val="24"/>
        </w:rPr>
        <w:t>监理人</w:t>
      </w:r>
      <w:r>
        <w:rPr>
          <w:rFonts w:hint="eastAsia" w:ascii="宋体" w:hAnsi="宋体" w:eastAsia="宋体" w:cs="Times New Roman"/>
          <w:kern w:val="0"/>
          <w:szCs w:val="24"/>
        </w:rPr>
        <w:t>，</w:t>
      </w:r>
      <w:r>
        <w:rPr>
          <w:rFonts w:ascii="宋体" w:hAnsi="宋体" w:eastAsia="宋体" w:cs="Times New Roman"/>
          <w:kern w:val="0"/>
          <w:szCs w:val="24"/>
        </w:rPr>
        <w:t>监理人</w:t>
      </w:r>
      <w:r>
        <w:rPr>
          <w:rFonts w:hint="eastAsia" w:ascii="宋体" w:hAnsi="宋体" w:eastAsia="宋体" w:cs="Times New Roman"/>
          <w:kern w:val="0"/>
          <w:szCs w:val="24"/>
        </w:rPr>
        <w:t>应及时予以确认，并报发包人批准。</w:t>
      </w:r>
      <w:r>
        <w:rPr>
          <w:rFonts w:ascii="宋体" w:hAnsi="宋体" w:eastAsia="宋体" w:cs="Times New Roman"/>
          <w:kern w:val="0"/>
          <w:szCs w:val="24"/>
        </w:rPr>
        <w:t>监理人</w:t>
      </w:r>
      <w:r>
        <w:rPr>
          <w:rFonts w:hint="eastAsia" w:ascii="宋体" w:hAnsi="宋体" w:eastAsia="宋体" w:cs="Times New Roman"/>
          <w:kern w:val="0"/>
          <w:szCs w:val="24"/>
        </w:rPr>
        <w:t>收到报告后14天内未确认也未提出异议的，视为该报告已被确认。</w:t>
      </w:r>
    </w:p>
    <w:p w14:paraId="79F0ACB7">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(2)承包人在收到工程变更指令后14天内不向</w:t>
      </w:r>
      <w:r>
        <w:rPr>
          <w:rFonts w:ascii="宋体" w:hAnsi="宋体" w:eastAsia="宋体" w:cs="Times New Roman"/>
          <w:kern w:val="0"/>
          <w:szCs w:val="24"/>
        </w:rPr>
        <w:t>监理人</w:t>
      </w:r>
      <w:r>
        <w:rPr>
          <w:rFonts w:hint="eastAsia" w:ascii="宋体" w:hAnsi="宋体" w:eastAsia="宋体" w:cs="Times New Roman"/>
          <w:kern w:val="0"/>
          <w:szCs w:val="24"/>
        </w:rPr>
        <w:t>提出报告的，发包人可自行决定是否变更工程价款和(或)调整工期。发包人应在发出变更指令28天内将不变更工程价款和(或)调整工期的决定书面通知承包人；或将变更工程价款和(或)调整工期报告提交给承包人确认。承包人收到报告14天内未确认也未提出异议的，视为该报告已被确认。</w:t>
      </w:r>
    </w:p>
    <w:p w14:paraId="4AC394E4">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(3)工程变更指令发出后，发包人与承包人均未在约定时间内提出变更工程价款和(或)调整工期报告的，视为该项工程变更不涉及合同价格和(或)工期的调整。</w:t>
      </w:r>
    </w:p>
    <w:bookmarkEnd w:id="3019"/>
    <w:p w14:paraId="40FC32AF">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050" w:name="_Toc4331"/>
      <w:bookmarkStart w:id="3051" w:name="_Toc305331376"/>
      <w:bookmarkStart w:id="3052" w:name="_Toc5630"/>
      <w:bookmarkStart w:id="3053" w:name="_Toc23509"/>
      <w:bookmarkStart w:id="3054" w:name="_Toc873"/>
      <w:bookmarkStart w:id="3055" w:name="_Toc19524"/>
      <w:bookmarkStart w:id="3056" w:name="_Toc22199"/>
      <w:bookmarkStart w:id="3057" w:name="_Toc208587651"/>
      <w:bookmarkStart w:id="3058" w:name="_Toc20015"/>
      <w:bookmarkStart w:id="3059" w:name="_Toc9006"/>
      <w:bookmarkStart w:id="3060" w:name="_Toc302635871"/>
      <w:bookmarkStart w:id="3061" w:name="_Toc201735425"/>
      <w:bookmarkStart w:id="3062" w:name="_Toc1787507005"/>
      <w:bookmarkStart w:id="3063" w:name="_Toc12625"/>
      <w:bookmarkStart w:id="3064" w:name="_Toc27032"/>
      <w:r>
        <w:rPr>
          <w:rFonts w:hint="eastAsia" w:ascii="宋体" w:hAnsi="宋体" w:eastAsia="宋体" w:cs="Times New Roman"/>
          <w:b/>
          <w:bCs/>
          <w:kern w:val="0"/>
          <w:sz w:val="24"/>
          <w:szCs w:val="24"/>
          <w:lang w:val="en-US" w:eastAsia="zh-CN" w:bidi="ar-SA"/>
        </w:rPr>
        <w:t>工程变更价款支付</w:t>
      </w:r>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p>
    <w:p w14:paraId="59CEA9C7">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(1)按第25.1、25.2款确认的增(减)工程变更价款作为追加(减)合同价款，与工程进度款同期同比例支付，达到追加</w:t>
      </w:r>
      <w:r>
        <w:rPr>
          <w:rFonts w:ascii="宋体" w:hAnsi="宋体" w:eastAsia="宋体" w:cs="Times New Roman"/>
          <w:kern w:val="0"/>
          <w:szCs w:val="24"/>
        </w:rPr>
        <w:t>(</w:t>
      </w:r>
      <w:r>
        <w:rPr>
          <w:rFonts w:hint="eastAsia" w:ascii="宋体" w:hAnsi="宋体" w:eastAsia="宋体" w:cs="Times New Roman"/>
          <w:kern w:val="0"/>
          <w:szCs w:val="24"/>
        </w:rPr>
        <w:t>减</w:t>
      </w:r>
      <w:r>
        <w:rPr>
          <w:rFonts w:ascii="宋体" w:hAnsi="宋体" w:eastAsia="宋体" w:cs="Times New Roman"/>
          <w:kern w:val="0"/>
          <w:szCs w:val="24"/>
        </w:rPr>
        <w:t>)</w:t>
      </w:r>
      <w:r>
        <w:rPr>
          <w:rFonts w:hint="eastAsia" w:ascii="宋体" w:hAnsi="宋体" w:eastAsia="宋体" w:cs="Times New Roman"/>
          <w:kern w:val="0"/>
          <w:szCs w:val="24"/>
        </w:rPr>
        <w:t>合同价款的一定比例时暂停支付，该比例在合同</w:t>
      </w:r>
      <w:r>
        <w:rPr>
          <w:rFonts w:hint="eastAsia" w:ascii="宋体" w:hAnsi="宋体" w:eastAsia="宋体" w:cs="Times New Roman"/>
          <w:b/>
          <w:i/>
          <w:kern w:val="0"/>
          <w:szCs w:val="24"/>
        </w:rPr>
        <w:t>专用条款</w:t>
      </w:r>
      <w:r>
        <w:rPr>
          <w:rFonts w:hint="eastAsia" w:ascii="宋体" w:hAnsi="宋体" w:eastAsia="宋体" w:cs="Times New Roman"/>
          <w:kern w:val="0"/>
          <w:szCs w:val="24"/>
        </w:rPr>
        <w:t>中明确。</w:t>
      </w:r>
    </w:p>
    <w:p w14:paraId="6321F2AB">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(2)有关工程变更价款的文件的编制和审核均须经注册造价工程师签字盖章确认。</w:t>
      </w:r>
    </w:p>
    <w:p w14:paraId="591E9877">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hint="eastAsia" w:ascii="华文细黑" w:hAnsi="宋体" w:eastAsia="宋体" w:cs="Times New Roman"/>
          <w:b/>
          <w:bCs/>
          <w:snapToGrid w:val="0"/>
          <w:kern w:val="0"/>
          <w:sz w:val="28"/>
          <w:szCs w:val="44"/>
          <w:lang w:val="en-US" w:eastAsia="zh-CN" w:bidi="ar-SA"/>
        </w:rPr>
      </w:pPr>
      <w:bookmarkStart w:id="3065" w:name="_Toc9043"/>
      <w:bookmarkStart w:id="3066" w:name="_Toc20628"/>
      <w:bookmarkStart w:id="3067" w:name="_Toc26"/>
      <w:bookmarkStart w:id="3068" w:name="_Toc22504"/>
      <w:bookmarkStart w:id="3069" w:name="_Toc3209"/>
      <w:bookmarkStart w:id="3070" w:name="_Toc674438397"/>
      <w:bookmarkStart w:id="3071" w:name="_Toc9729"/>
      <w:bookmarkStart w:id="3072" w:name="_Toc25542"/>
      <w:bookmarkStart w:id="3073" w:name="_Toc17673"/>
      <w:bookmarkStart w:id="3074" w:name="_Toc19547"/>
      <w:bookmarkStart w:id="3075" w:name="_Toc151"/>
      <w:bookmarkStart w:id="3076" w:name="_Toc201735428"/>
      <w:bookmarkStart w:id="3077" w:name="_Toc2555"/>
      <w:bookmarkStart w:id="3078" w:name="_Toc15042"/>
      <w:bookmarkStart w:id="3079" w:name="_Toc208587654"/>
      <w:bookmarkStart w:id="3080" w:name="_Toc10332"/>
      <w:bookmarkStart w:id="3081" w:name="_Toc23283"/>
      <w:bookmarkStart w:id="3082" w:name="_Toc24629"/>
      <w:bookmarkStart w:id="3083" w:name="_Toc35656998"/>
      <w:bookmarkStart w:id="3084" w:name="_Toc305331378"/>
      <w:bookmarkStart w:id="3085" w:name="_Toc35656496"/>
      <w:bookmarkStart w:id="3086" w:name="_Toc34909117"/>
      <w:bookmarkStart w:id="3087" w:name="_Toc302635873"/>
      <w:bookmarkStart w:id="3088" w:name="_Toc11241"/>
      <w:r>
        <w:rPr>
          <w:rFonts w:hint="eastAsia" w:ascii="华文细黑" w:hAnsi="宋体" w:eastAsia="宋体" w:cs="Times New Roman"/>
          <w:b/>
          <w:bCs/>
          <w:snapToGrid w:val="0"/>
          <w:kern w:val="0"/>
          <w:sz w:val="28"/>
          <w:szCs w:val="44"/>
          <w:lang w:val="en-US" w:eastAsia="zh-CN" w:bidi="ar-SA"/>
        </w:rPr>
        <w:t>过程结算</w:t>
      </w:r>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p>
    <w:p w14:paraId="5573B089">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089" w:name="_Toc2966"/>
      <w:bookmarkStart w:id="3090" w:name="_Toc201735429"/>
      <w:bookmarkStart w:id="3091" w:name="_Toc8503"/>
      <w:bookmarkStart w:id="3092" w:name="_Toc18050"/>
      <w:bookmarkStart w:id="3093" w:name="_Toc21576"/>
      <w:bookmarkStart w:id="3094" w:name="_Toc208587655"/>
      <w:bookmarkStart w:id="3095" w:name="_Toc21770"/>
      <w:bookmarkStart w:id="3096" w:name="_Toc629049816"/>
      <w:bookmarkStart w:id="3097" w:name="_Toc15865"/>
      <w:bookmarkStart w:id="3098" w:name="_Toc21704"/>
      <w:bookmarkStart w:id="3099" w:name="_Toc28150"/>
      <w:bookmarkStart w:id="3100" w:name="_Toc6729"/>
      <w:bookmarkStart w:id="3101" w:name="_Toc7153"/>
      <w:bookmarkStart w:id="3102" w:name="_Toc391"/>
      <w:bookmarkStart w:id="3103" w:name="_Toc21771"/>
      <w:bookmarkStart w:id="3104" w:name="_Toc31380"/>
      <w:bookmarkStart w:id="3105" w:name="_Toc13090"/>
      <w:bookmarkStart w:id="3106" w:name="_Toc14095"/>
      <w:r>
        <w:rPr>
          <w:rFonts w:hint="eastAsia" w:ascii="宋体" w:hAnsi="宋体" w:eastAsia="宋体" w:cs="Times New Roman"/>
          <w:b/>
          <w:bCs/>
          <w:kern w:val="0"/>
          <w:sz w:val="24"/>
          <w:szCs w:val="24"/>
          <w:lang w:val="en-US" w:eastAsia="zh-CN" w:bidi="ar-SA"/>
        </w:rPr>
        <w:t>过程结算周期及验收要求</w:t>
      </w:r>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p>
    <w:p w14:paraId="173E9F50">
      <w:pPr>
        <w:tabs>
          <w:tab w:val="left" w:pos="1620"/>
          <w:tab w:val="left" w:pos="2340"/>
        </w:tabs>
        <w:ind w:left="899"/>
        <w:rPr>
          <w:rFonts w:ascii="宋体" w:hAnsi="宋体" w:eastAsia="宋体" w:cs="Times New Roman"/>
          <w:kern w:val="0"/>
          <w:szCs w:val="24"/>
        </w:rPr>
      </w:pPr>
      <w:r>
        <w:rPr>
          <w:rFonts w:ascii="宋体" w:hAnsi="宋体" w:eastAsia="宋体" w:cs="Times New Roman"/>
          <w:kern w:val="0"/>
          <w:szCs w:val="24"/>
        </w:rPr>
        <w:t>发承包双方开展过程结算的，应根据工程特点、工期长短及分部（工程）验收需要等，在</w:t>
      </w:r>
      <w:r>
        <w:rPr>
          <w:rFonts w:ascii="宋体" w:hAnsi="宋体" w:eastAsia="宋体" w:cs="Times New Roman"/>
          <w:b/>
          <w:bCs/>
          <w:i/>
          <w:iCs/>
          <w:kern w:val="0"/>
          <w:szCs w:val="24"/>
        </w:rPr>
        <w:t>专用条款</w:t>
      </w:r>
      <w:r>
        <w:rPr>
          <w:rFonts w:ascii="宋体" w:hAnsi="宋体" w:eastAsia="宋体" w:cs="Times New Roman"/>
          <w:kern w:val="0"/>
          <w:szCs w:val="24"/>
        </w:rPr>
        <w:t>中按时间节点或工程进度节点</w:t>
      </w:r>
      <w:r>
        <w:rPr>
          <w:rFonts w:hint="eastAsia" w:ascii="宋体" w:hAnsi="宋体" w:eastAsia="宋体" w:cs="Times New Roman"/>
          <w:kern w:val="0"/>
          <w:szCs w:val="24"/>
        </w:rPr>
        <w:t>约定</w:t>
      </w:r>
      <w:r>
        <w:rPr>
          <w:rFonts w:ascii="宋体" w:hAnsi="宋体" w:eastAsia="宋体" w:cs="Times New Roman"/>
          <w:kern w:val="0"/>
          <w:szCs w:val="24"/>
        </w:rPr>
        <w:t>过程结算周期，并在</w:t>
      </w:r>
      <w:r>
        <w:rPr>
          <w:rFonts w:ascii="宋体" w:hAnsi="宋体" w:eastAsia="宋体" w:cs="Times New Roman"/>
          <w:b/>
          <w:bCs/>
          <w:i/>
          <w:iCs/>
          <w:kern w:val="0"/>
          <w:szCs w:val="24"/>
        </w:rPr>
        <w:t>专用条款</w:t>
      </w:r>
      <w:r>
        <w:rPr>
          <w:rFonts w:ascii="宋体" w:hAnsi="宋体" w:eastAsia="宋体" w:cs="Times New Roman"/>
          <w:kern w:val="0"/>
          <w:szCs w:val="24"/>
        </w:rPr>
        <w:t>中明确过程结算的验收要求。</w:t>
      </w:r>
    </w:p>
    <w:p w14:paraId="197371B4">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107" w:name="_Toc208587656"/>
      <w:bookmarkStart w:id="3108" w:name="_Toc29793"/>
      <w:bookmarkStart w:id="3109" w:name="_Toc30174"/>
      <w:bookmarkStart w:id="3110" w:name="_Toc201735430"/>
      <w:bookmarkStart w:id="3111" w:name="_Toc32732"/>
      <w:bookmarkStart w:id="3112" w:name="_Toc3017"/>
      <w:bookmarkStart w:id="3113" w:name="_Toc16899"/>
      <w:bookmarkStart w:id="3114" w:name="_Toc9285"/>
      <w:bookmarkStart w:id="3115" w:name="_Toc6445"/>
      <w:bookmarkStart w:id="3116" w:name="_Toc25696"/>
      <w:bookmarkStart w:id="3117" w:name="_Toc29689"/>
      <w:bookmarkStart w:id="3118" w:name="_Toc12007"/>
      <w:bookmarkStart w:id="3119" w:name="_Toc23091"/>
      <w:bookmarkStart w:id="3120" w:name="_Toc30047"/>
      <w:bookmarkStart w:id="3121" w:name="_Toc513925468"/>
      <w:bookmarkStart w:id="3122" w:name="_Toc2932"/>
      <w:bookmarkStart w:id="3123" w:name="_Toc14265"/>
      <w:bookmarkStart w:id="3124" w:name="_Toc22923"/>
      <w:r>
        <w:rPr>
          <w:rFonts w:hint="eastAsia" w:ascii="宋体" w:hAnsi="宋体" w:eastAsia="宋体" w:cs="Times New Roman"/>
          <w:b/>
          <w:bCs/>
          <w:kern w:val="0"/>
          <w:sz w:val="24"/>
          <w:szCs w:val="24"/>
          <w:lang w:val="en-US" w:eastAsia="zh-CN" w:bidi="ar-SA"/>
        </w:rPr>
        <w:t>过程结算报告的编制和提交</w:t>
      </w:r>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p>
    <w:p w14:paraId="7ABED83F">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(1)发承包双方在线签订施工合同的，可将过程结算所需资料即时上传至在线签订合同平台，</w:t>
      </w:r>
      <w:r>
        <w:rPr>
          <w:rFonts w:hint="eastAsia" w:ascii="宋体" w:hAnsi="宋体" w:eastAsia="宋体" w:cs="Times New Roman"/>
          <w:kern w:val="0"/>
          <w:szCs w:val="24"/>
          <w:lang w:eastAsia="zh-CN"/>
        </w:rPr>
        <w:t>完成在线文件的归档，</w:t>
      </w:r>
      <w:r>
        <w:rPr>
          <w:rFonts w:hint="eastAsia" w:ascii="宋体" w:hAnsi="宋体" w:eastAsia="宋体" w:cs="Times New Roman"/>
          <w:kern w:val="0"/>
          <w:szCs w:val="24"/>
        </w:rPr>
        <w:t>作为过程结算的依据。过程结算的资料一般包括施工合同、工程竣工图纸及资料、双方确认的工程量、双方确认追加(减)的合同价格、双方确认的索赔、招标文件、投标文件、合同清单等与过程结算有关的资料。</w:t>
      </w:r>
    </w:p>
    <w:p w14:paraId="5D5E8ACB">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(2)承包人应按本合同第20条【合同价格的确定和调整】、第22条【工程量计量】及第26.1款过程结算周期的约定计算过程结算价款，编制过程结算报告，并在</w:t>
      </w:r>
      <w:r>
        <w:rPr>
          <w:rFonts w:hint="eastAsia" w:ascii="宋体" w:hAnsi="宋体" w:eastAsia="宋体" w:cs="Times New Roman"/>
          <w:b/>
          <w:bCs/>
          <w:i/>
          <w:iCs/>
          <w:kern w:val="0"/>
          <w:szCs w:val="24"/>
        </w:rPr>
        <w:t>专用条款</w:t>
      </w:r>
      <w:r>
        <w:rPr>
          <w:rFonts w:hint="eastAsia" w:ascii="宋体" w:hAnsi="宋体" w:eastAsia="宋体" w:cs="Times New Roman"/>
          <w:kern w:val="0"/>
          <w:szCs w:val="24"/>
        </w:rPr>
        <w:t>约定的时间内向发包人提交过程结算报告。</w:t>
      </w:r>
    </w:p>
    <w:p w14:paraId="1AA39E11">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(3)经发承包双方确认的过程结算文件将作为竣工结算资料的组成部分。</w:t>
      </w:r>
    </w:p>
    <w:p w14:paraId="32C801F1">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125" w:name="_Toc20498"/>
      <w:bookmarkStart w:id="3126" w:name="_Toc16699"/>
      <w:bookmarkStart w:id="3127" w:name="_Toc25106"/>
      <w:bookmarkStart w:id="3128" w:name="_Toc208587657"/>
      <w:bookmarkStart w:id="3129" w:name="_Toc16546"/>
      <w:bookmarkStart w:id="3130" w:name="_Toc12389"/>
      <w:bookmarkStart w:id="3131" w:name="_Toc22513"/>
      <w:bookmarkStart w:id="3132" w:name="_Toc30358"/>
      <w:bookmarkStart w:id="3133" w:name="_Toc20272"/>
      <w:bookmarkStart w:id="3134" w:name="_Toc1657543592"/>
      <w:bookmarkStart w:id="3135" w:name="_Toc11726"/>
      <w:bookmarkStart w:id="3136" w:name="_Toc18255"/>
      <w:bookmarkStart w:id="3137" w:name="_Toc25716"/>
      <w:bookmarkStart w:id="3138" w:name="_Toc1559"/>
      <w:bookmarkStart w:id="3139" w:name="_Toc28601"/>
      <w:bookmarkStart w:id="3140" w:name="_Toc31764"/>
      <w:bookmarkStart w:id="3141" w:name="_Toc201735431"/>
      <w:bookmarkStart w:id="3142" w:name="_Toc24281"/>
      <w:r>
        <w:rPr>
          <w:rFonts w:hint="eastAsia" w:ascii="宋体" w:hAnsi="宋体" w:eastAsia="宋体" w:cs="Times New Roman"/>
          <w:b/>
          <w:bCs/>
          <w:kern w:val="0"/>
          <w:sz w:val="24"/>
          <w:szCs w:val="24"/>
          <w:lang w:val="en-US" w:eastAsia="zh-CN" w:bidi="ar-SA"/>
        </w:rPr>
        <w:t>过程结算报告的核对和修改</w:t>
      </w:r>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p>
    <w:p w14:paraId="28DF4D89">
      <w:pPr>
        <w:tabs>
          <w:tab w:val="left" w:pos="1620"/>
          <w:tab w:val="left" w:pos="2340"/>
        </w:tabs>
        <w:ind w:left="901"/>
        <w:jc w:val="left"/>
        <w:rPr>
          <w:rFonts w:hint="eastAsia" w:ascii="宋体" w:hAnsi="宋体" w:eastAsia="宋体" w:cs="Times New Roman"/>
          <w:kern w:val="0"/>
          <w:szCs w:val="24"/>
        </w:rPr>
      </w:pPr>
      <w:r>
        <w:rPr>
          <w:rFonts w:hint="eastAsia" w:ascii="宋体" w:hAnsi="宋体" w:eastAsia="宋体" w:cs="Times New Roman"/>
          <w:kern w:val="0"/>
          <w:szCs w:val="24"/>
        </w:rPr>
        <w:t>(1)发包人应在收到承包人提交的过程结算报告后28天或</w:t>
      </w:r>
      <w:r>
        <w:rPr>
          <w:rFonts w:hint="eastAsia" w:ascii="宋体" w:hAnsi="宋体" w:eastAsia="宋体" w:cs="Times New Roman"/>
          <w:b/>
          <w:bCs/>
          <w:i/>
          <w:iCs/>
          <w:kern w:val="0"/>
          <w:szCs w:val="24"/>
        </w:rPr>
        <w:t>专用条款</w:t>
      </w:r>
      <w:r>
        <w:rPr>
          <w:rFonts w:hint="eastAsia" w:ascii="宋体" w:hAnsi="宋体" w:eastAsia="宋体" w:cs="Times New Roman"/>
          <w:kern w:val="0"/>
          <w:szCs w:val="24"/>
        </w:rPr>
        <w:t>约定的时间内，对承包人提交的过程结算报告进行核对。</w:t>
      </w:r>
    </w:p>
    <w:p w14:paraId="3848C988">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①发包人认可承包人提交的过程结算报告的，应据此确认过程结算价款。</w:t>
      </w:r>
    </w:p>
    <w:p w14:paraId="3B6F5632">
      <w:pPr>
        <w:tabs>
          <w:tab w:val="left" w:pos="1620"/>
          <w:tab w:val="left" w:pos="2340"/>
        </w:tabs>
        <w:spacing w:after="156"/>
        <w:ind w:left="901"/>
        <w:jc w:val="left"/>
        <w:rPr>
          <w:rFonts w:hint="eastAsia" w:ascii="宋体" w:hAnsi="宋体" w:eastAsia="宋体" w:cs="Times New Roman"/>
          <w:kern w:val="0"/>
          <w:szCs w:val="24"/>
        </w:rPr>
      </w:pPr>
      <w:r>
        <w:rPr>
          <w:rFonts w:hint="eastAsia" w:ascii="宋体" w:hAnsi="宋体" w:eastAsia="宋体" w:cs="Times New Roman"/>
          <w:kern w:val="0"/>
          <w:szCs w:val="24"/>
        </w:rPr>
        <w:t>②发包人提出核对意见或要求补充结算资料的，则承包人应在收到发包人相关书面通知后14天或</w:t>
      </w:r>
      <w:r>
        <w:rPr>
          <w:rFonts w:hint="eastAsia" w:ascii="宋体" w:hAnsi="宋体" w:eastAsia="宋体" w:cs="Times New Roman"/>
          <w:b/>
          <w:bCs/>
          <w:i/>
          <w:iCs/>
          <w:kern w:val="0"/>
          <w:szCs w:val="24"/>
        </w:rPr>
        <w:t>专用条款</w:t>
      </w:r>
      <w:r>
        <w:rPr>
          <w:rFonts w:hint="eastAsia" w:ascii="宋体" w:hAnsi="宋体" w:eastAsia="宋体" w:cs="Times New Roman"/>
          <w:kern w:val="0"/>
          <w:szCs w:val="24"/>
        </w:rPr>
        <w:t>约定的时间内，向发包人提交经修改的过程结算报告或按要求补充结算资料，发包人应在收到承包人相关书面资料后14天或</w:t>
      </w:r>
      <w:r>
        <w:rPr>
          <w:rFonts w:hint="eastAsia" w:ascii="宋体" w:hAnsi="宋体" w:eastAsia="宋体" w:cs="Times New Roman"/>
          <w:b/>
          <w:bCs/>
          <w:i/>
          <w:iCs/>
          <w:kern w:val="0"/>
          <w:szCs w:val="24"/>
        </w:rPr>
        <w:t>专用条款</w:t>
      </w:r>
      <w:r>
        <w:rPr>
          <w:rFonts w:hint="eastAsia" w:ascii="宋体" w:hAnsi="宋体" w:eastAsia="宋体" w:cs="Times New Roman"/>
          <w:kern w:val="0"/>
          <w:szCs w:val="24"/>
        </w:rPr>
        <w:t>约定的时间内进行核对，经与承包人协商达成一致意见后确认过程结算价款。</w:t>
      </w:r>
    </w:p>
    <w:p w14:paraId="2DAC61BC">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(2)承包人在收到发包人提出的核对意见后，在合同约定的时间内，未提出异议或没有明确答复的，视为承包人认可且接受发包人的核对意见，应据此确认过程结算价款。</w:t>
      </w:r>
    </w:p>
    <w:p w14:paraId="4B3F6754">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143" w:name="_Toc3478"/>
      <w:bookmarkStart w:id="3144" w:name="_Toc15290"/>
      <w:bookmarkStart w:id="3145" w:name="_Toc31336"/>
      <w:bookmarkStart w:id="3146" w:name="_Toc31285"/>
      <w:bookmarkStart w:id="3147" w:name="_Toc2757"/>
      <w:bookmarkStart w:id="3148" w:name="_Toc21213"/>
      <w:bookmarkStart w:id="3149" w:name="_Toc2363"/>
      <w:bookmarkStart w:id="3150" w:name="_Toc28145"/>
      <w:bookmarkStart w:id="3151" w:name="_Toc491602287"/>
      <w:bookmarkStart w:id="3152" w:name="_Toc201735432"/>
      <w:bookmarkStart w:id="3153" w:name="_Toc6320"/>
      <w:bookmarkStart w:id="3154" w:name="_Toc21765"/>
      <w:bookmarkStart w:id="3155" w:name="_Toc31961"/>
      <w:bookmarkStart w:id="3156" w:name="_Toc3991"/>
      <w:bookmarkStart w:id="3157" w:name="_Toc16757"/>
      <w:bookmarkStart w:id="3158" w:name="_Toc11995"/>
      <w:bookmarkStart w:id="3159" w:name="_Toc10734"/>
      <w:bookmarkStart w:id="3160" w:name="_Toc208587658"/>
      <w:r>
        <w:rPr>
          <w:rFonts w:hint="eastAsia" w:ascii="宋体" w:hAnsi="宋体" w:eastAsia="宋体" w:cs="Times New Roman"/>
          <w:b/>
          <w:bCs/>
          <w:kern w:val="0"/>
          <w:sz w:val="24"/>
          <w:szCs w:val="24"/>
          <w:lang w:val="en-US" w:eastAsia="zh-CN" w:bidi="ar-SA"/>
        </w:rPr>
        <w:t>承包人不提交过程结算报告</w:t>
      </w:r>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p>
    <w:p w14:paraId="3CB5EF8B">
      <w:pPr>
        <w:tabs>
          <w:tab w:val="left" w:pos="1620"/>
          <w:tab w:val="left" w:pos="2340"/>
        </w:tabs>
        <w:ind w:left="899"/>
        <w:rPr>
          <w:rFonts w:ascii="宋体" w:hAnsi="宋体" w:eastAsia="宋体" w:cs="Times New Roman"/>
          <w:kern w:val="0"/>
          <w:szCs w:val="24"/>
        </w:rPr>
      </w:pPr>
      <w:r>
        <w:rPr>
          <w:rFonts w:ascii="宋体" w:hAnsi="宋体" w:eastAsia="宋体" w:cs="Times New Roman"/>
          <w:kern w:val="0"/>
          <w:szCs w:val="24"/>
        </w:rPr>
        <w:t>承包人未按</w:t>
      </w:r>
      <w:r>
        <w:rPr>
          <w:rFonts w:hint="eastAsia" w:ascii="宋体" w:hAnsi="宋体" w:eastAsia="宋体" w:cs="Times New Roman"/>
          <w:kern w:val="0"/>
          <w:szCs w:val="24"/>
        </w:rPr>
        <w:t>本合同第26.2款(2)项</w:t>
      </w:r>
      <w:r>
        <w:rPr>
          <w:rFonts w:ascii="宋体" w:hAnsi="宋体" w:eastAsia="宋体" w:cs="Times New Roman"/>
          <w:kern w:val="0"/>
          <w:szCs w:val="24"/>
        </w:rPr>
        <w:t>约定时间提交过程结算报告的，</w:t>
      </w:r>
      <w:r>
        <w:rPr>
          <w:rFonts w:hint="eastAsia" w:ascii="宋体" w:hAnsi="宋体" w:eastAsia="宋体" w:cs="Times New Roman"/>
          <w:kern w:val="0"/>
          <w:szCs w:val="24"/>
        </w:rPr>
        <w:t>发包人</w:t>
      </w:r>
      <w:r>
        <w:rPr>
          <w:rFonts w:ascii="宋体" w:hAnsi="宋体" w:eastAsia="宋体" w:cs="Times New Roman"/>
          <w:kern w:val="0"/>
          <w:szCs w:val="24"/>
        </w:rPr>
        <w:t>应通知其提交，通知后14天内仍不提交的或没有明确答复的，发包人可以依据已有资料自行开展施工过程结算活动。</w:t>
      </w:r>
    </w:p>
    <w:p w14:paraId="3B7D64B7">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161" w:name="_Toc20402"/>
      <w:bookmarkStart w:id="3162" w:name="_Toc18863"/>
      <w:bookmarkStart w:id="3163" w:name="_Toc422290168"/>
      <w:bookmarkStart w:id="3164" w:name="_Toc15151"/>
      <w:bookmarkStart w:id="3165" w:name="_Toc208587659"/>
      <w:bookmarkStart w:id="3166" w:name="_Toc24479"/>
      <w:bookmarkStart w:id="3167" w:name="_Toc8044"/>
      <w:bookmarkStart w:id="3168" w:name="_Toc9737"/>
      <w:bookmarkStart w:id="3169" w:name="_Toc23179"/>
      <w:bookmarkStart w:id="3170" w:name="_Toc369"/>
      <w:bookmarkStart w:id="3171" w:name="_Toc21530"/>
      <w:bookmarkStart w:id="3172" w:name="_Toc25747"/>
      <w:bookmarkStart w:id="3173" w:name="_Toc10386"/>
      <w:bookmarkStart w:id="3174" w:name="_Toc201735433"/>
      <w:bookmarkStart w:id="3175" w:name="_Toc19922"/>
      <w:bookmarkStart w:id="3176" w:name="_Toc8235"/>
      <w:bookmarkStart w:id="3177" w:name="_Toc0"/>
      <w:bookmarkStart w:id="3178" w:name="_Toc7571"/>
      <w:r>
        <w:rPr>
          <w:rFonts w:hint="eastAsia" w:ascii="宋体" w:hAnsi="宋体" w:eastAsia="宋体" w:cs="Times New Roman"/>
          <w:b/>
          <w:bCs/>
          <w:kern w:val="0"/>
          <w:sz w:val="24"/>
          <w:szCs w:val="24"/>
          <w:lang w:val="en-US" w:eastAsia="zh-CN" w:bidi="ar-SA"/>
        </w:rPr>
        <w:t>发包人逾期不过程结算</w:t>
      </w:r>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p>
    <w:p w14:paraId="4302C747">
      <w:pPr>
        <w:tabs>
          <w:tab w:val="left" w:pos="1620"/>
          <w:tab w:val="left" w:pos="2340"/>
        </w:tabs>
        <w:ind w:left="899"/>
        <w:jc w:val="left"/>
        <w:rPr>
          <w:rFonts w:ascii="宋体" w:hAnsi="宋体" w:eastAsia="宋体" w:cs="Times New Roman"/>
          <w:kern w:val="0"/>
          <w:szCs w:val="24"/>
        </w:rPr>
      </w:pPr>
      <w:r>
        <w:rPr>
          <w:rFonts w:ascii="宋体" w:hAnsi="宋体" w:eastAsia="宋体" w:cs="Times New Roman"/>
          <w:kern w:val="0"/>
          <w:szCs w:val="24"/>
        </w:rPr>
        <w:t>发包人收到过程结算报告后，或在收到经修改的过程结算报告或补充结算资料后</w:t>
      </w:r>
      <w:r>
        <w:rPr>
          <w:rFonts w:hint="eastAsia" w:ascii="宋体" w:hAnsi="宋体" w:eastAsia="宋体" w:cs="Times New Roman"/>
          <w:kern w:val="0"/>
          <w:szCs w:val="24"/>
        </w:rPr>
        <w:t>，在合同</w:t>
      </w:r>
      <w:r>
        <w:rPr>
          <w:rFonts w:ascii="宋体" w:hAnsi="宋体" w:eastAsia="宋体" w:cs="Times New Roman"/>
          <w:kern w:val="0"/>
          <w:szCs w:val="24"/>
        </w:rPr>
        <w:t>约定的时间内，既不认可承包人提交的过程结算报告</w:t>
      </w:r>
      <w:r>
        <w:rPr>
          <w:rFonts w:hint="eastAsia" w:ascii="宋体" w:hAnsi="宋体" w:eastAsia="宋体" w:cs="Times New Roman"/>
          <w:kern w:val="0"/>
          <w:szCs w:val="24"/>
        </w:rPr>
        <w:t>（包括经修改的</w:t>
      </w:r>
      <w:r>
        <w:rPr>
          <w:rFonts w:ascii="宋体" w:hAnsi="宋体" w:eastAsia="宋体" w:cs="Times New Roman"/>
          <w:kern w:val="0"/>
          <w:szCs w:val="24"/>
        </w:rPr>
        <w:t>过程结算报告</w:t>
      </w:r>
      <w:r>
        <w:rPr>
          <w:rFonts w:hint="eastAsia" w:ascii="宋体" w:hAnsi="宋体" w:eastAsia="宋体" w:cs="Times New Roman"/>
          <w:kern w:val="0"/>
          <w:szCs w:val="24"/>
        </w:rPr>
        <w:t>）</w:t>
      </w:r>
      <w:r>
        <w:rPr>
          <w:rFonts w:ascii="宋体" w:hAnsi="宋体" w:eastAsia="宋体" w:cs="Times New Roman"/>
          <w:kern w:val="0"/>
          <w:szCs w:val="24"/>
        </w:rPr>
        <w:t>，又不提出异议的，视</w:t>
      </w:r>
      <w:r>
        <w:rPr>
          <w:rFonts w:hint="eastAsia" w:ascii="宋体" w:hAnsi="宋体" w:eastAsia="宋体" w:cs="Times New Roman"/>
          <w:kern w:val="0"/>
          <w:szCs w:val="24"/>
        </w:rPr>
        <w:t>为发包人</w:t>
      </w:r>
      <w:r>
        <w:rPr>
          <w:rFonts w:ascii="宋体" w:hAnsi="宋体" w:eastAsia="宋体" w:cs="Times New Roman"/>
          <w:kern w:val="0"/>
          <w:szCs w:val="24"/>
        </w:rPr>
        <w:t>认可</w:t>
      </w:r>
      <w:r>
        <w:rPr>
          <w:rFonts w:hint="eastAsia" w:ascii="宋体" w:hAnsi="宋体" w:eastAsia="宋体" w:cs="Times New Roman"/>
          <w:kern w:val="0"/>
          <w:szCs w:val="24"/>
        </w:rPr>
        <w:t>且接受</w:t>
      </w:r>
      <w:r>
        <w:rPr>
          <w:rFonts w:ascii="宋体" w:hAnsi="宋体" w:eastAsia="宋体" w:cs="Times New Roman"/>
          <w:kern w:val="0"/>
          <w:szCs w:val="24"/>
        </w:rPr>
        <w:t>承包人提交的过程结算报告</w:t>
      </w:r>
      <w:r>
        <w:rPr>
          <w:rFonts w:hint="eastAsia" w:ascii="宋体" w:hAnsi="宋体" w:eastAsia="宋体" w:cs="Times New Roman"/>
          <w:kern w:val="0"/>
          <w:szCs w:val="24"/>
        </w:rPr>
        <w:t>（包括经修改的</w:t>
      </w:r>
      <w:r>
        <w:rPr>
          <w:rFonts w:ascii="宋体" w:hAnsi="宋体" w:eastAsia="宋体" w:cs="Times New Roman"/>
          <w:kern w:val="0"/>
          <w:szCs w:val="24"/>
        </w:rPr>
        <w:t>过程结算报告</w:t>
      </w:r>
      <w:r>
        <w:rPr>
          <w:rFonts w:hint="eastAsia" w:ascii="宋体" w:hAnsi="宋体" w:eastAsia="宋体" w:cs="Times New Roman"/>
          <w:kern w:val="0"/>
          <w:szCs w:val="24"/>
        </w:rPr>
        <w:t>），应据此确认过程结算价款</w:t>
      </w:r>
      <w:r>
        <w:rPr>
          <w:rFonts w:ascii="宋体" w:hAnsi="宋体" w:eastAsia="宋体" w:cs="Times New Roman"/>
          <w:kern w:val="0"/>
          <w:szCs w:val="24"/>
        </w:rPr>
        <w:t>。</w:t>
      </w:r>
    </w:p>
    <w:p w14:paraId="52C298E1">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179" w:name="_Toc201735434"/>
      <w:bookmarkStart w:id="3180" w:name="_Toc208587660"/>
      <w:bookmarkStart w:id="3181" w:name="_Toc15862"/>
      <w:bookmarkStart w:id="3182" w:name="_Toc25812"/>
      <w:bookmarkStart w:id="3183" w:name="_Toc28526"/>
      <w:bookmarkStart w:id="3184" w:name="_Toc18273"/>
      <w:bookmarkStart w:id="3185" w:name="_Toc9787"/>
      <w:bookmarkStart w:id="3186" w:name="_Toc16363"/>
      <w:bookmarkStart w:id="3187" w:name="_Toc15556"/>
      <w:bookmarkStart w:id="3188" w:name="_Toc10062"/>
      <w:bookmarkStart w:id="3189" w:name="_Toc859879504"/>
      <w:bookmarkStart w:id="3190" w:name="_Toc22419"/>
      <w:bookmarkStart w:id="3191" w:name="_Toc19061"/>
      <w:bookmarkStart w:id="3192" w:name="_Toc8006"/>
      <w:bookmarkStart w:id="3193" w:name="_Toc17607"/>
      <w:bookmarkStart w:id="3194" w:name="_Toc22662"/>
      <w:bookmarkStart w:id="3195" w:name="_Toc12000"/>
      <w:bookmarkStart w:id="3196" w:name="_Toc26290"/>
      <w:r>
        <w:rPr>
          <w:rFonts w:hint="eastAsia" w:ascii="宋体" w:hAnsi="宋体" w:eastAsia="宋体" w:cs="Times New Roman"/>
          <w:b/>
          <w:bCs/>
          <w:kern w:val="0"/>
          <w:sz w:val="24"/>
          <w:szCs w:val="24"/>
          <w:lang w:val="en-US" w:eastAsia="zh-CN" w:bidi="ar-SA"/>
        </w:rPr>
        <w:t>过程结算支付</w:t>
      </w:r>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p>
    <w:p w14:paraId="1FD39E6A">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发承包双方确认过程结算价款后7天内，</w:t>
      </w:r>
      <w:r>
        <w:rPr>
          <w:rFonts w:hint="eastAsia" w:ascii="宋体" w:hAnsi="宋体" w:eastAsia="宋体" w:cs="Times New Roman"/>
          <w:kern w:val="0"/>
          <w:szCs w:val="24"/>
        </w:rPr>
        <w:t>监理</w:t>
      </w:r>
      <w:r>
        <w:rPr>
          <w:rFonts w:ascii="宋体" w:hAnsi="宋体" w:eastAsia="宋体" w:cs="Times New Roman"/>
          <w:kern w:val="0"/>
          <w:szCs w:val="24"/>
        </w:rPr>
        <w:t>人应</w:t>
      </w:r>
      <w:r>
        <w:rPr>
          <w:rFonts w:hint="eastAsia" w:ascii="宋体" w:hAnsi="宋体" w:eastAsia="宋体" w:cs="Times New Roman"/>
          <w:kern w:val="0"/>
          <w:szCs w:val="24"/>
        </w:rPr>
        <w:t>向承包人送交经发包人</w:t>
      </w:r>
      <w:r>
        <w:rPr>
          <w:rFonts w:ascii="宋体" w:hAnsi="宋体" w:eastAsia="宋体" w:cs="Times New Roman"/>
          <w:kern w:val="0"/>
          <w:szCs w:val="24"/>
        </w:rPr>
        <w:t>签发</w:t>
      </w:r>
      <w:r>
        <w:rPr>
          <w:rFonts w:hint="eastAsia" w:ascii="宋体" w:hAnsi="宋体" w:eastAsia="宋体" w:cs="Times New Roman"/>
          <w:kern w:val="0"/>
          <w:szCs w:val="24"/>
        </w:rPr>
        <w:t>的</w:t>
      </w:r>
      <w:r>
        <w:rPr>
          <w:rFonts w:ascii="宋体" w:hAnsi="宋体" w:eastAsia="宋体" w:cs="Times New Roman"/>
          <w:kern w:val="0"/>
          <w:szCs w:val="24"/>
        </w:rPr>
        <w:t>过程结算支付证书。</w:t>
      </w:r>
    </w:p>
    <w:p w14:paraId="27509F35">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发包人应在</w:t>
      </w:r>
      <w:r>
        <w:rPr>
          <w:rFonts w:hint="eastAsia" w:ascii="宋体" w:hAnsi="宋体" w:eastAsia="宋体" w:cs="Times New Roman"/>
          <w:kern w:val="0"/>
          <w:szCs w:val="24"/>
        </w:rPr>
        <w:t>签发</w:t>
      </w:r>
      <w:r>
        <w:rPr>
          <w:rFonts w:ascii="宋体" w:hAnsi="宋体" w:eastAsia="宋体" w:cs="Times New Roman"/>
          <w:kern w:val="0"/>
          <w:szCs w:val="24"/>
        </w:rPr>
        <w:t>过程结算支付证书后14天内向承包人支付过程结算价款。发包人在确认过程结算价款后14天内无正当理由不</w:t>
      </w:r>
      <w:r>
        <w:rPr>
          <w:rFonts w:hint="eastAsia" w:ascii="宋体" w:hAnsi="宋体" w:eastAsia="宋体" w:cs="Times New Roman"/>
          <w:kern w:val="0"/>
          <w:szCs w:val="24"/>
        </w:rPr>
        <w:t>予</w:t>
      </w:r>
      <w:r>
        <w:rPr>
          <w:rFonts w:ascii="宋体" w:hAnsi="宋体" w:eastAsia="宋体" w:cs="Times New Roman"/>
          <w:kern w:val="0"/>
          <w:szCs w:val="24"/>
        </w:rPr>
        <w:t>支付</w:t>
      </w:r>
      <w:r>
        <w:rPr>
          <w:rFonts w:hint="eastAsia" w:ascii="宋体" w:hAnsi="宋体" w:eastAsia="宋体" w:cs="Times New Roman"/>
          <w:kern w:val="0"/>
          <w:szCs w:val="24"/>
        </w:rPr>
        <w:t>的</w:t>
      </w:r>
      <w:r>
        <w:rPr>
          <w:rFonts w:ascii="宋体" w:hAnsi="宋体" w:eastAsia="宋体" w:cs="Times New Roman"/>
          <w:kern w:val="0"/>
          <w:szCs w:val="24"/>
        </w:rPr>
        <w:t>，从第15天起按</w:t>
      </w:r>
      <w:r>
        <w:rPr>
          <w:rFonts w:hint="eastAsia" w:ascii="宋体" w:hAnsi="宋体" w:eastAsia="宋体" w:cs="Times New Roman"/>
          <w:kern w:val="0"/>
          <w:szCs w:val="24"/>
        </w:rPr>
        <w:t>全国银行间同业拆借中心公布的基准市场报价利率（LPR）</w:t>
      </w:r>
      <w:r>
        <w:rPr>
          <w:rFonts w:ascii="宋体" w:hAnsi="宋体" w:eastAsia="宋体" w:cs="Times New Roman"/>
          <w:kern w:val="0"/>
          <w:szCs w:val="24"/>
        </w:rPr>
        <w:t>支付拖欠过程结算价款的贷款利息，并承担第2</w:t>
      </w:r>
      <w:r>
        <w:rPr>
          <w:rFonts w:hint="eastAsia" w:ascii="宋体" w:hAnsi="宋体" w:eastAsia="宋体" w:cs="Times New Roman"/>
          <w:kern w:val="0"/>
          <w:szCs w:val="24"/>
        </w:rPr>
        <w:t>9</w:t>
      </w:r>
      <w:r>
        <w:rPr>
          <w:rFonts w:ascii="宋体" w:hAnsi="宋体" w:eastAsia="宋体" w:cs="Times New Roman"/>
          <w:kern w:val="0"/>
          <w:szCs w:val="24"/>
        </w:rPr>
        <w:t>.1</w:t>
      </w:r>
      <w:r>
        <w:rPr>
          <w:rFonts w:hint="eastAsia" w:ascii="宋体" w:hAnsi="宋体" w:eastAsia="宋体" w:cs="Times New Roman"/>
          <w:kern w:val="0"/>
          <w:szCs w:val="24"/>
        </w:rPr>
        <w:t>款(2)</w:t>
      </w:r>
      <w:r>
        <w:rPr>
          <w:rFonts w:ascii="宋体" w:hAnsi="宋体" w:eastAsia="宋体" w:cs="Times New Roman"/>
          <w:kern w:val="0"/>
          <w:szCs w:val="24"/>
        </w:rPr>
        <w:t>项约定的违约责任。</w:t>
      </w:r>
    </w:p>
    <w:p w14:paraId="3D696191">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已签发的过程结算支付证书有错漏或重复的，发承包双方应</w:t>
      </w:r>
      <w:r>
        <w:rPr>
          <w:rFonts w:hint="eastAsia" w:ascii="宋体" w:hAnsi="宋体" w:eastAsia="宋体" w:cs="Times New Roman"/>
          <w:kern w:val="0"/>
          <w:szCs w:val="24"/>
        </w:rPr>
        <w:t>在</w:t>
      </w:r>
      <w:r>
        <w:rPr>
          <w:rFonts w:ascii="宋体" w:hAnsi="宋体" w:eastAsia="宋体" w:cs="Times New Roman"/>
          <w:b/>
          <w:bCs/>
          <w:i/>
          <w:iCs/>
          <w:kern w:val="0"/>
          <w:szCs w:val="24"/>
        </w:rPr>
        <w:t>专用条款</w:t>
      </w:r>
      <w:r>
        <w:rPr>
          <w:rFonts w:ascii="宋体" w:hAnsi="宋体" w:eastAsia="宋体" w:cs="Times New Roman"/>
          <w:kern w:val="0"/>
          <w:szCs w:val="24"/>
        </w:rPr>
        <w:t>约定的时间内配合予以修正；经发承包双方复核并同意修正的，应在</w:t>
      </w:r>
      <w:r>
        <w:rPr>
          <w:rFonts w:hint="eastAsia" w:ascii="宋体" w:hAnsi="宋体" w:eastAsia="宋体" w:cs="Times New Roman"/>
          <w:kern w:val="0"/>
          <w:szCs w:val="24"/>
        </w:rPr>
        <w:t>本期</w:t>
      </w:r>
      <w:r>
        <w:rPr>
          <w:rFonts w:ascii="宋体" w:hAnsi="宋体" w:eastAsia="宋体" w:cs="Times New Roman"/>
          <w:kern w:val="0"/>
          <w:szCs w:val="24"/>
        </w:rPr>
        <w:t>的过程结算中补充修正内容。</w:t>
      </w:r>
    </w:p>
    <w:p w14:paraId="64985495">
      <w:pPr>
        <w:tabs>
          <w:tab w:val="left" w:pos="1620"/>
          <w:tab w:val="left" w:pos="2340"/>
        </w:tabs>
        <w:spacing w:after="156"/>
        <w:ind w:left="899"/>
        <w:rPr>
          <w:rFonts w:ascii="宋体" w:hAnsi="宋体" w:eastAsia="宋体" w:cs="Times New Roman"/>
          <w:kern w:val="0"/>
          <w:szCs w:val="24"/>
        </w:rPr>
      </w:pPr>
      <w:r>
        <w:rPr>
          <w:rFonts w:hint="eastAsia" w:ascii="宋体" w:hAnsi="宋体" w:eastAsia="宋体" w:cs="Times New Roman"/>
          <w:kern w:val="0"/>
          <w:szCs w:val="24"/>
        </w:rPr>
        <w:t>(4)</w:t>
      </w:r>
      <w:r>
        <w:rPr>
          <w:rFonts w:ascii="宋体" w:hAnsi="宋体" w:eastAsia="宋体" w:cs="Times New Roman"/>
          <w:kern w:val="0"/>
          <w:szCs w:val="24"/>
        </w:rPr>
        <w:t>过程结算价款累计</w:t>
      </w:r>
      <w:r>
        <w:rPr>
          <w:rFonts w:hint="eastAsia" w:ascii="宋体" w:hAnsi="宋体" w:eastAsia="宋体" w:cs="Times New Roman"/>
          <w:kern w:val="0"/>
          <w:szCs w:val="24"/>
        </w:rPr>
        <w:t>支付</w:t>
      </w:r>
      <w:r>
        <w:rPr>
          <w:rFonts w:ascii="宋体" w:hAnsi="宋体" w:eastAsia="宋体" w:cs="Times New Roman"/>
          <w:kern w:val="0"/>
          <w:szCs w:val="24"/>
        </w:rPr>
        <w:t>总额达到合同价格的一定比例时，暂停支付。发承包双方应在</w:t>
      </w:r>
      <w:r>
        <w:rPr>
          <w:rFonts w:ascii="宋体" w:hAnsi="宋体" w:eastAsia="宋体" w:cs="Times New Roman"/>
          <w:b/>
          <w:bCs/>
          <w:i/>
          <w:iCs/>
          <w:kern w:val="0"/>
          <w:szCs w:val="24"/>
        </w:rPr>
        <w:t>专用条款</w:t>
      </w:r>
      <w:r>
        <w:rPr>
          <w:rFonts w:ascii="宋体" w:hAnsi="宋体" w:eastAsia="宋体" w:cs="Times New Roman"/>
          <w:kern w:val="0"/>
          <w:szCs w:val="24"/>
        </w:rPr>
        <w:t>中约定具体比例</w:t>
      </w:r>
      <w:r>
        <w:rPr>
          <w:rFonts w:hint="eastAsia" w:ascii="宋体" w:hAnsi="宋体" w:eastAsia="宋体" w:cs="Times New Roman"/>
          <w:kern w:val="0"/>
          <w:szCs w:val="24"/>
        </w:rPr>
        <w:t>，不宜低于当期过程结算价款总额的80%</w:t>
      </w:r>
      <w:r>
        <w:rPr>
          <w:rFonts w:ascii="宋体" w:hAnsi="宋体" w:eastAsia="宋体" w:cs="Times New Roman"/>
          <w:kern w:val="0"/>
          <w:szCs w:val="24"/>
        </w:rPr>
        <w:t>。</w:t>
      </w:r>
    </w:p>
    <w:p w14:paraId="0AD3D73D">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(5)有关过程结算文件的编制和审核均须经注册造价工程师签字盖章确认。</w:t>
      </w:r>
    </w:p>
    <w:p w14:paraId="03EC7368">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197" w:name="_Toc27785"/>
      <w:bookmarkStart w:id="3198" w:name="_Toc15595"/>
      <w:bookmarkStart w:id="3199" w:name="_Toc9888"/>
      <w:bookmarkStart w:id="3200" w:name="_Toc14249"/>
      <w:bookmarkStart w:id="3201" w:name="_Toc14024"/>
      <w:bookmarkStart w:id="3202" w:name="_Toc208587661"/>
      <w:bookmarkStart w:id="3203" w:name="_Toc25586"/>
      <w:bookmarkStart w:id="3204" w:name="_Toc25659"/>
      <w:bookmarkStart w:id="3205" w:name="_Toc31209"/>
      <w:bookmarkStart w:id="3206" w:name="_Toc16681"/>
      <w:bookmarkStart w:id="3207" w:name="_Toc7827"/>
      <w:bookmarkStart w:id="3208" w:name="_Toc9855"/>
      <w:bookmarkStart w:id="3209" w:name="_Toc2999"/>
      <w:bookmarkStart w:id="3210" w:name="_Toc15824"/>
      <w:bookmarkStart w:id="3211" w:name="_Toc27116214"/>
      <w:bookmarkStart w:id="3212" w:name="_Toc30390"/>
      <w:bookmarkStart w:id="3213" w:name="_Toc201735435"/>
      <w:bookmarkStart w:id="3214" w:name="_Toc24727"/>
      <w:r>
        <w:rPr>
          <w:rFonts w:hint="eastAsia" w:ascii="宋体" w:hAnsi="宋体" w:eastAsia="宋体" w:cs="Times New Roman"/>
          <w:b/>
          <w:bCs/>
          <w:kern w:val="0"/>
          <w:sz w:val="24"/>
          <w:szCs w:val="24"/>
          <w:lang w:val="en-US" w:eastAsia="zh-CN" w:bidi="ar-SA"/>
        </w:rPr>
        <w:t>过程结算暂定意见</w:t>
      </w:r>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p>
    <w:p w14:paraId="0A2C0E9E">
      <w:pPr>
        <w:tabs>
          <w:tab w:val="left" w:pos="1620"/>
          <w:tab w:val="left" w:pos="2340"/>
        </w:tabs>
        <w:ind w:left="899"/>
        <w:jc w:val="left"/>
        <w:rPr>
          <w:rFonts w:ascii="宋体" w:hAnsi="宋体" w:eastAsia="宋体" w:cs="Times New Roman"/>
          <w:kern w:val="0"/>
          <w:szCs w:val="24"/>
        </w:rPr>
      </w:pPr>
      <w:r>
        <w:rPr>
          <w:rFonts w:ascii="宋体" w:hAnsi="宋体" w:eastAsia="宋体" w:cs="Times New Roman"/>
          <w:kern w:val="0"/>
          <w:szCs w:val="24"/>
        </w:rPr>
        <w:t>发承包双方对过程结算不能达成一致意见的，双方可委托</w:t>
      </w:r>
      <w:r>
        <w:rPr>
          <w:rFonts w:ascii="宋体" w:hAnsi="宋体" w:eastAsia="宋体" w:cs="Times New Roman"/>
          <w:b/>
          <w:bCs/>
          <w:i/>
          <w:iCs/>
          <w:kern w:val="0"/>
          <w:szCs w:val="24"/>
        </w:rPr>
        <w:t>专用条款</w:t>
      </w:r>
      <w:r>
        <w:rPr>
          <w:rFonts w:ascii="宋体" w:hAnsi="宋体" w:eastAsia="宋体" w:cs="Times New Roman"/>
          <w:kern w:val="0"/>
          <w:szCs w:val="24"/>
        </w:rPr>
        <w:t>约定的第三方提出暂定结算意见。发承包双方在收到第三方暂定结算意见后，</w:t>
      </w:r>
      <w:r>
        <w:rPr>
          <w:rFonts w:hint="eastAsia" w:ascii="宋体" w:hAnsi="宋体" w:eastAsia="宋体" w:cs="Times New Roman"/>
          <w:kern w:val="0"/>
          <w:szCs w:val="24"/>
        </w:rPr>
        <w:t>应</w:t>
      </w:r>
      <w:r>
        <w:rPr>
          <w:rFonts w:ascii="宋体" w:hAnsi="宋体" w:eastAsia="宋体" w:cs="Times New Roman"/>
          <w:kern w:val="0"/>
          <w:szCs w:val="24"/>
        </w:rPr>
        <w:t>在</w:t>
      </w:r>
      <w:r>
        <w:rPr>
          <w:rFonts w:ascii="宋体" w:hAnsi="宋体" w:eastAsia="宋体" w:cs="Times New Roman"/>
          <w:b/>
          <w:bCs/>
          <w:i/>
          <w:iCs/>
          <w:kern w:val="0"/>
          <w:szCs w:val="24"/>
        </w:rPr>
        <w:t>专用条款</w:t>
      </w:r>
      <w:r>
        <w:rPr>
          <w:rFonts w:ascii="宋体" w:hAnsi="宋体" w:eastAsia="宋体" w:cs="Times New Roman"/>
          <w:kern w:val="0"/>
          <w:szCs w:val="24"/>
        </w:rPr>
        <w:t>约定时间内，对暂定结算意见予以确认或提出异议。发承包双方同意暂定结算意见的，应以书面形式确认。</w:t>
      </w:r>
      <w:r>
        <w:rPr>
          <w:rFonts w:hint="eastAsia" w:ascii="宋体" w:hAnsi="宋体" w:eastAsia="宋体" w:cs="Times New Roman"/>
          <w:kern w:val="0"/>
          <w:szCs w:val="24"/>
        </w:rPr>
        <w:t>经</w:t>
      </w:r>
      <w:r>
        <w:rPr>
          <w:rFonts w:ascii="宋体" w:hAnsi="宋体" w:eastAsia="宋体" w:cs="Times New Roman"/>
          <w:kern w:val="0"/>
          <w:szCs w:val="24"/>
        </w:rPr>
        <w:t>发承包双方同意的暂定结算意见</w:t>
      </w:r>
      <w:r>
        <w:rPr>
          <w:rFonts w:hint="eastAsia" w:ascii="宋体" w:hAnsi="宋体" w:eastAsia="宋体" w:cs="Times New Roman"/>
          <w:kern w:val="0"/>
          <w:szCs w:val="24"/>
        </w:rPr>
        <w:t>将</w:t>
      </w:r>
      <w:r>
        <w:rPr>
          <w:rFonts w:ascii="宋体" w:hAnsi="宋体" w:eastAsia="宋体" w:cs="Times New Roman"/>
          <w:kern w:val="0"/>
          <w:szCs w:val="24"/>
        </w:rPr>
        <w:t>作为过程结算依据，对发承包双方都有约束力，直到其被改变为止。如发承包双方或一方不同意暂定结算意见的，应以书面形式向合同约定的第三方提出，同时抄送另一方。暂定结算意见应在竣工结算前被最终确认或修改，并在被确认或修改的</w:t>
      </w:r>
      <w:r>
        <w:rPr>
          <w:rFonts w:hint="eastAsia" w:ascii="宋体" w:hAnsi="宋体" w:eastAsia="宋体" w:cs="Times New Roman"/>
          <w:kern w:val="0"/>
          <w:szCs w:val="24"/>
        </w:rPr>
        <w:t>本期</w:t>
      </w:r>
      <w:r>
        <w:rPr>
          <w:rFonts w:ascii="宋体" w:hAnsi="宋体" w:eastAsia="宋体" w:cs="Times New Roman"/>
          <w:kern w:val="0"/>
          <w:szCs w:val="24"/>
        </w:rPr>
        <w:t>调整</w:t>
      </w:r>
      <w:r>
        <w:rPr>
          <w:rFonts w:hint="eastAsia" w:ascii="宋体" w:hAnsi="宋体" w:eastAsia="宋体" w:cs="Times New Roman"/>
          <w:kern w:val="0"/>
          <w:szCs w:val="24"/>
        </w:rPr>
        <w:t>过程</w:t>
      </w:r>
      <w:r>
        <w:rPr>
          <w:rFonts w:ascii="宋体" w:hAnsi="宋体" w:eastAsia="宋体" w:cs="Times New Roman"/>
          <w:kern w:val="0"/>
          <w:szCs w:val="24"/>
        </w:rPr>
        <w:t>结算价款。</w:t>
      </w:r>
    </w:p>
    <w:p w14:paraId="2ED49E2B">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3215" w:name="_Toc8997"/>
      <w:bookmarkStart w:id="3216" w:name="_Toc1493637054"/>
      <w:bookmarkStart w:id="3217" w:name="_Toc22921"/>
      <w:bookmarkStart w:id="3218" w:name="_Toc1843"/>
      <w:bookmarkStart w:id="3219" w:name="_Toc208587662"/>
      <w:bookmarkStart w:id="3220" w:name="_Toc9989"/>
      <w:bookmarkStart w:id="3221" w:name="_Toc15584"/>
      <w:bookmarkStart w:id="3222" w:name="_Toc21632"/>
      <w:bookmarkStart w:id="3223" w:name="_Toc201735436"/>
      <w:bookmarkStart w:id="3224" w:name="_Toc18889"/>
      <w:bookmarkStart w:id="3225" w:name="_Toc3754"/>
      <w:bookmarkStart w:id="3226" w:name="_Toc4471"/>
      <w:r>
        <w:rPr>
          <w:rFonts w:hint="eastAsia" w:ascii="华文细黑" w:hAnsi="宋体" w:eastAsia="宋体" w:cs="Times New Roman"/>
          <w:b/>
          <w:bCs/>
          <w:snapToGrid w:val="0"/>
          <w:kern w:val="0"/>
          <w:sz w:val="28"/>
          <w:szCs w:val="44"/>
          <w:lang w:val="en-US" w:eastAsia="zh-CN" w:bidi="ar-SA"/>
        </w:rPr>
        <w:t>竣工验收</w:t>
      </w:r>
      <w:bookmarkEnd w:id="3083"/>
      <w:bookmarkEnd w:id="3084"/>
      <w:bookmarkEnd w:id="3085"/>
      <w:bookmarkEnd w:id="3086"/>
      <w:bookmarkEnd w:id="3087"/>
      <w:bookmarkEnd w:id="3088"/>
      <w:bookmarkEnd w:id="3215"/>
      <w:bookmarkEnd w:id="3216"/>
      <w:bookmarkEnd w:id="3217"/>
      <w:bookmarkEnd w:id="3218"/>
      <w:bookmarkEnd w:id="3219"/>
      <w:bookmarkEnd w:id="3220"/>
      <w:bookmarkEnd w:id="3221"/>
      <w:bookmarkEnd w:id="3222"/>
      <w:bookmarkEnd w:id="3223"/>
      <w:bookmarkEnd w:id="3224"/>
      <w:bookmarkEnd w:id="3225"/>
      <w:bookmarkEnd w:id="3226"/>
    </w:p>
    <w:p w14:paraId="20B26878">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227" w:name="_Toc302635874"/>
      <w:bookmarkStart w:id="3228" w:name="_Toc27070"/>
      <w:bookmarkStart w:id="3229" w:name="_Toc10908"/>
      <w:bookmarkStart w:id="3230" w:name="_Toc32260"/>
      <w:bookmarkStart w:id="3231" w:name="_Toc5911"/>
      <w:bookmarkStart w:id="3232" w:name="_Toc1349425921"/>
      <w:bookmarkStart w:id="3233" w:name="_Toc201735437"/>
      <w:bookmarkStart w:id="3234" w:name="_Toc20088"/>
      <w:bookmarkStart w:id="3235" w:name="_Toc29915"/>
      <w:bookmarkStart w:id="3236" w:name="_Toc20966"/>
      <w:bookmarkStart w:id="3237" w:name="_Toc208587663"/>
      <w:bookmarkStart w:id="3238" w:name="_Toc32206"/>
      <w:bookmarkStart w:id="3239" w:name="_Toc305331379"/>
      <w:bookmarkStart w:id="3240" w:name="_Toc26071"/>
      <w:bookmarkStart w:id="3241" w:name="_Toc32310"/>
      <w:bookmarkStart w:id="3242" w:name="_Toc34909068"/>
      <w:r>
        <w:rPr>
          <w:rFonts w:hint="eastAsia" w:ascii="宋体" w:hAnsi="宋体" w:eastAsia="宋体" w:cs="Times New Roman"/>
          <w:b/>
          <w:bCs/>
          <w:kern w:val="0"/>
          <w:sz w:val="24"/>
          <w:szCs w:val="24"/>
          <w:lang w:val="en-US" w:eastAsia="zh-CN" w:bidi="ar-SA"/>
        </w:rPr>
        <w:t>竣工验收</w:t>
      </w:r>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p>
    <w:p w14:paraId="1431CF90">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工程具备以下条件的，承包人可以申请竣工验收：</w:t>
      </w:r>
    </w:p>
    <w:p w14:paraId="3CF61273">
      <w:pPr>
        <w:tabs>
          <w:tab w:val="left" w:pos="1620"/>
          <w:tab w:val="left" w:pos="2340"/>
        </w:tabs>
        <w:ind w:left="1134"/>
        <w:jc w:val="left"/>
        <w:rPr>
          <w:rFonts w:ascii="宋体" w:hAnsi="宋体" w:eastAsia="宋体" w:cs="Times New Roman"/>
          <w:kern w:val="0"/>
          <w:szCs w:val="24"/>
        </w:rPr>
      </w:pPr>
      <w:r>
        <w:rPr>
          <w:rFonts w:hint="eastAsia" w:ascii="宋体" w:hAnsi="宋体" w:eastAsia="宋体" w:cs="Times New Roman"/>
          <w:kern w:val="0"/>
          <w:szCs w:val="24"/>
        </w:rPr>
        <w:t>①</w:t>
      </w:r>
      <w:r>
        <w:rPr>
          <w:rFonts w:ascii="宋体" w:hAnsi="宋体" w:eastAsia="宋体" w:cs="Times New Roman"/>
          <w:kern w:val="0"/>
          <w:szCs w:val="24"/>
        </w:rPr>
        <w:t>除发包人同意的甩项</w:t>
      </w:r>
      <w:r>
        <w:rPr>
          <w:rFonts w:hint="eastAsia" w:ascii="宋体" w:hAnsi="宋体" w:eastAsia="宋体" w:cs="Times New Roman"/>
          <w:kern w:val="0"/>
          <w:szCs w:val="24"/>
        </w:rPr>
        <w:t>工作</w:t>
      </w:r>
      <w:r>
        <w:rPr>
          <w:rFonts w:ascii="宋体" w:hAnsi="宋体" w:eastAsia="宋体" w:cs="Times New Roman"/>
          <w:kern w:val="0"/>
          <w:szCs w:val="24"/>
        </w:rPr>
        <w:t>和缺陷修补工作外，合同范围内的全部工程以及有关工作，包括合同要求的试验、试运行以及检验均已完成，并符合合同要求；</w:t>
      </w:r>
    </w:p>
    <w:p w14:paraId="72BAC786">
      <w:pPr>
        <w:tabs>
          <w:tab w:val="left" w:pos="1620"/>
          <w:tab w:val="left" w:pos="2340"/>
        </w:tabs>
        <w:ind w:left="1134"/>
        <w:jc w:val="left"/>
        <w:rPr>
          <w:rFonts w:ascii="宋体" w:hAnsi="宋体" w:eastAsia="宋体" w:cs="Times New Roman"/>
          <w:kern w:val="0"/>
          <w:szCs w:val="24"/>
        </w:rPr>
      </w:pPr>
      <w:r>
        <w:rPr>
          <w:rFonts w:hint="eastAsia" w:ascii="宋体" w:hAnsi="宋体" w:eastAsia="宋体" w:cs="Times New Roman"/>
          <w:kern w:val="0"/>
          <w:szCs w:val="24"/>
        </w:rPr>
        <w:t>②</w:t>
      </w:r>
      <w:r>
        <w:rPr>
          <w:rFonts w:ascii="宋体" w:hAnsi="宋体" w:eastAsia="宋体" w:cs="Times New Roman"/>
          <w:kern w:val="0"/>
          <w:szCs w:val="24"/>
        </w:rPr>
        <w:t>已按合同约定编制了甩项</w:t>
      </w:r>
      <w:r>
        <w:rPr>
          <w:rFonts w:hint="eastAsia" w:ascii="宋体" w:hAnsi="宋体" w:eastAsia="宋体" w:cs="Times New Roman"/>
          <w:kern w:val="0"/>
          <w:szCs w:val="24"/>
        </w:rPr>
        <w:t>工作</w:t>
      </w:r>
      <w:r>
        <w:rPr>
          <w:rFonts w:ascii="宋体" w:hAnsi="宋体" w:eastAsia="宋体" w:cs="Times New Roman"/>
          <w:kern w:val="0"/>
          <w:szCs w:val="24"/>
        </w:rPr>
        <w:t>和缺陷修补工作清单以及相应的施工计划；</w:t>
      </w:r>
    </w:p>
    <w:p w14:paraId="5C6CA29D">
      <w:pPr>
        <w:tabs>
          <w:tab w:val="left" w:pos="1620"/>
          <w:tab w:val="left" w:pos="2340"/>
        </w:tabs>
        <w:ind w:left="1134"/>
        <w:jc w:val="left"/>
        <w:rPr>
          <w:rFonts w:hint="eastAsia" w:ascii="宋体" w:hAnsi="宋体" w:eastAsia="宋体" w:cs="Times New Roman"/>
          <w:kern w:val="0"/>
          <w:szCs w:val="24"/>
        </w:rPr>
      </w:pPr>
      <w:r>
        <w:rPr>
          <w:rFonts w:hint="eastAsia" w:ascii="宋体" w:hAnsi="宋体" w:eastAsia="宋体" w:cs="Times New Roman"/>
          <w:kern w:val="0"/>
          <w:szCs w:val="24"/>
        </w:rPr>
        <w:t>③</w:t>
      </w:r>
      <w:r>
        <w:rPr>
          <w:rFonts w:ascii="宋体" w:hAnsi="宋体" w:eastAsia="宋体" w:cs="Times New Roman"/>
          <w:kern w:val="0"/>
          <w:szCs w:val="24"/>
        </w:rPr>
        <w:t>已按合同约定的内容和份数备齐竣工资料。</w:t>
      </w:r>
    </w:p>
    <w:p w14:paraId="762FA9A1">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(2)工程具备竣工验收条件后21天内，承包人应按工程竣工验收的有关规定和</w:t>
      </w:r>
      <w:r>
        <w:rPr>
          <w:rFonts w:hint="eastAsia" w:ascii="宋体" w:hAnsi="宋体" w:eastAsia="宋体" w:cs="Times New Roman"/>
          <w:b/>
          <w:i/>
          <w:kern w:val="0"/>
          <w:szCs w:val="24"/>
        </w:rPr>
        <w:t>专用条款</w:t>
      </w:r>
      <w:r>
        <w:rPr>
          <w:rFonts w:hint="eastAsia" w:ascii="宋体" w:hAnsi="宋体" w:eastAsia="宋体" w:cs="Times New Roman"/>
          <w:kern w:val="0"/>
          <w:szCs w:val="24"/>
        </w:rPr>
        <w:t>的约定向</w:t>
      </w:r>
      <w:r>
        <w:rPr>
          <w:rFonts w:ascii="宋体" w:hAnsi="宋体" w:eastAsia="宋体" w:cs="Times New Roman"/>
          <w:kern w:val="0"/>
          <w:szCs w:val="24"/>
        </w:rPr>
        <w:t>监理人</w:t>
      </w:r>
      <w:r>
        <w:rPr>
          <w:rFonts w:hint="eastAsia" w:ascii="宋体" w:hAnsi="宋体" w:eastAsia="宋体" w:cs="Times New Roman"/>
          <w:kern w:val="0"/>
          <w:szCs w:val="24"/>
        </w:rPr>
        <w:t>申请竣工验收并提供竣工资料(如项目经理任命通知书、施工组织设计方案、施工质量技术交底、施工日志、各种验收记录表和检测报告、工程变更资料、工程质量事故处理报告、竣工图纸等)，监理人应在收到竣工验收申请报告后14天内完成审查并报送发包人。</w:t>
      </w:r>
    </w:p>
    <w:p w14:paraId="40C1A3B3">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监理人审查后认为尚不具备验收条件的，应通知承包人在竣工验收前承包人还需完成的工作内容，承包人应在完成监理人通知的全部工作内容后，再次提交竣工验收申请报告。</w:t>
      </w:r>
    </w:p>
    <w:p w14:paraId="4554E204">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w:t>
      </w:r>
      <w:r>
        <w:rPr>
          <w:rFonts w:ascii="宋体" w:hAnsi="宋体" w:eastAsia="宋体" w:cs="Times New Roman"/>
          <w:kern w:val="0"/>
          <w:szCs w:val="24"/>
        </w:rPr>
        <w:t>监理人审查后认为已具备竣工验收条件的，应将竣工验收申请报告提交发包人，发包人应在收到</w:t>
      </w:r>
      <w:r>
        <w:rPr>
          <w:rFonts w:hint="eastAsia" w:ascii="宋体" w:hAnsi="宋体" w:eastAsia="宋体" w:cs="Times New Roman"/>
          <w:kern w:val="0"/>
          <w:szCs w:val="24"/>
        </w:rPr>
        <w:t>经</w:t>
      </w:r>
      <w:r>
        <w:rPr>
          <w:rFonts w:ascii="宋体" w:hAnsi="宋体" w:eastAsia="宋体" w:cs="Times New Roman"/>
          <w:kern w:val="0"/>
          <w:szCs w:val="24"/>
        </w:rPr>
        <w:t>监理人审核的竣工验收申请报告后28天内</w:t>
      </w:r>
      <w:r>
        <w:rPr>
          <w:rFonts w:hint="eastAsia" w:ascii="宋体" w:hAnsi="宋体" w:eastAsia="宋体" w:cs="Times New Roman"/>
          <w:kern w:val="0"/>
          <w:szCs w:val="24"/>
        </w:rPr>
        <w:t>审批</w:t>
      </w:r>
      <w:r>
        <w:rPr>
          <w:rFonts w:ascii="宋体" w:hAnsi="宋体" w:eastAsia="宋体" w:cs="Times New Roman"/>
          <w:kern w:val="0"/>
          <w:szCs w:val="24"/>
        </w:rPr>
        <w:t>完毕并组织监理人、承包人、设计人等相关单位完成竣工验收。</w:t>
      </w:r>
      <w:r>
        <w:rPr>
          <w:rFonts w:hint="eastAsia" w:ascii="宋体" w:hAnsi="宋体" w:eastAsia="宋体" w:cs="Times New Roman"/>
          <w:kern w:val="0"/>
          <w:szCs w:val="24"/>
        </w:rPr>
        <w:t>竣工验收通过后，发包人应按照深圳市建设工程联合验收的相关规定完成联合验收。</w:t>
      </w:r>
    </w:p>
    <w:p w14:paraId="433691DE">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5</w:t>
      </w:r>
      <w:r>
        <w:rPr>
          <w:rFonts w:hint="eastAsia" w:ascii="宋体" w:hAnsi="宋体" w:eastAsia="宋体" w:cs="Times New Roman"/>
          <w:kern w:val="0"/>
          <w:szCs w:val="24"/>
        </w:rPr>
        <w:t>)本工程未经竣工验收或竣工验收未通过的，发包人不得使用。如发包人擅自使用，由此发生的质量问题及其他问题，由发包人承担责任，并承担此后本工程的一切保管责任。</w:t>
      </w:r>
    </w:p>
    <w:p w14:paraId="5CE85370">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6</w:t>
      </w:r>
      <w:r>
        <w:rPr>
          <w:rFonts w:hint="eastAsia" w:ascii="宋体" w:hAnsi="宋体" w:eastAsia="宋体" w:cs="Times New Roman"/>
          <w:kern w:val="0"/>
          <w:szCs w:val="24"/>
        </w:rPr>
        <w:t>)根据</w:t>
      </w:r>
      <w:r>
        <w:rPr>
          <w:rFonts w:hint="eastAsia" w:ascii="宋体" w:hAnsi="宋体" w:eastAsia="宋体" w:cs="Times New Roman"/>
          <w:b/>
          <w:i/>
          <w:kern w:val="0"/>
          <w:szCs w:val="24"/>
        </w:rPr>
        <w:t>专用条款</w:t>
      </w:r>
      <w:r>
        <w:rPr>
          <w:rFonts w:hint="eastAsia" w:ascii="宋体" w:hAnsi="宋体" w:eastAsia="宋体" w:cs="Times New Roman"/>
          <w:kern w:val="0"/>
          <w:szCs w:val="24"/>
        </w:rPr>
        <w:t>的约定，本工程中某单位工程须单独进行竣工验收的，按本条有关竣工验收规定办理。</w:t>
      </w:r>
    </w:p>
    <w:bookmarkEnd w:id="3242"/>
    <w:p w14:paraId="557D12FE">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243" w:name="_Toc2285"/>
      <w:bookmarkStart w:id="3244" w:name="_Toc208587664"/>
      <w:bookmarkStart w:id="3245" w:name="_Toc305331380"/>
      <w:bookmarkStart w:id="3246" w:name="_Toc16091"/>
      <w:bookmarkStart w:id="3247" w:name="_Toc1032119331"/>
      <w:bookmarkStart w:id="3248" w:name="_Toc302635875"/>
      <w:bookmarkStart w:id="3249" w:name="_Toc21145"/>
      <w:bookmarkStart w:id="3250" w:name="_Toc27266"/>
      <w:bookmarkStart w:id="3251" w:name="_Toc27693"/>
      <w:bookmarkStart w:id="3252" w:name="_Toc23692"/>
      <w:bookmarkStart w:id="3253" w:name="_Toc3002"/>
      <w:bookmarkStart w:id="3254" w:name="_Toc201735438"/>
      <w:bookmarkStart w:id="3255" w:name="_Toc3729"/>
      <w:bookmarkStart w:id="3256" w:name="_Toc29261"/>
      <w:bookmarkStart w:id="3257" w:name="_Toc28437"/>
      <w:bookmarkStart w:id="3258" w:name="_Toc34909119"/>
      <w:r>
        <w:rPr>
          <w:rFonts w:hint="eastAsia" w:ascii="宋体" w:hAnsi="宋体" w:eastAsia="宋体" w:cs="Times New Roman"/>
          <w:b/>
          <w:bCs/>
          <w:kern w:val="0"/>
          <w:sz w:val="24"/>
          <w:szCs w:val="24"/>
          <w:lang w:val="en-US" w:eastAsia="zh-CN" w:bidi="ar-SA"/>
        </w:rPr>
        <w:t>竣工验收合格后的移交和清理</w:t>
      </w:r>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p>
    <w:p w14:paraId="5FFD75E3">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工程竣工验收通过，发包人应在验收工作完毕后7天内向承包人签发接收证书，同时办理工程的移交工作。接收证书上应写明本工程的实际竣工日期(即竣工验收合格之日)。接收证书签发后，承包人应将工程交付给发包人，承包人不再承担对工程的照管责任。</w:t>
      </w:r>
      <w:bookmarkEnd w:id="3258"/>
      <w:r>
        <w:rPr>
          <w:rFonts w:ascii="宋体" w:hAnsi="宋体" w:eastAsia="宋体" w:cs="Times New Roman"/>
          <w:kern w:val="0"/>
          <w:szCs w:val="24"/>
        </w:rPr>
        <w:t>承包人无正当理由不移交工程的，</w:t>
      </w:r>
      <w:r>
        <w:rPr>
          <w:rFonts w:hint="eastAsia" w:ascii="宋体" w:hAnsi="宋体" w:eastAsia="宋体" w:cs="Times New Roman"/>
          <w:kern w:val="0"/>
          <w:szCs w:val="24"/>
        </w:rPr>
        <w:t>承包人应承担</w:t>
      </w:r>
      <w:r>
        <w:rPr>
          <w:rFonts w:ascii="宋体" w:hAnsi="宋体" w:eastAsia="宋体" w:cs="Times New Roman"/>
          <w:kern w:val="0"/>
          <w:szCs w:val="24"/>
        </w:rPr>
        <w:t>工程照管、成品保护、保管等与工程有关的各项费用</w:t>
      </w:r>
      <w:r>
        <w:rPr>
          <w:rFonts w:hint="eastAsia" w:ascii="宋体" w:hAnsi="宋体" w:eastAsia="宋体" w:cs="Times New Roman"/>
          <w:kern w:val="0"/>
          <w:szCs w:val="24"/>
        </w:rPr>
        <w:t>，发承包双方可以在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中另行约定承包人无正当理由不移交工程的违约责任</w:t>
      </w:r>
      <w:r>
        <w:rPr>
          <w:rFonts w:ascii="宋体" w:hAnsi="宋体" w:eastAsia="宋体" w:cs="Times New Roman"/>
          <w:kern w:val="0"/>
          <w:szCs w:val="24"/>
        </w:rPr>
        <w:t>。</w:t>
      </w:r>
    </w:p>
    <w:p w14:paraId="119C79F1">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(2)在签发接收证书后，承包人应从施工现场清理并运出承包人装备、剩余材料设备、垃圾和各种临时工程，保持整个现场及工程整洁，达到竣工使用状态。如承包人未在发包人或</w:t>
      </w:r>
      <w:r>
        <w:rPr>
          <w:rFonts w:ascii="宋体" w:hAnsi="宋体" w:eastAsia="宋体" w:cs="Times New Roman"/>
          <w:kern w:val="0"/>
          <w:szCs w:val="24"/>
        </w:rPr>
        <w:t>监理人</w:t>
      </w:r>
      <w:r>
        <w:rPr>
          <w:rFonts w:hint="eastAsia" w:ascii="宋体" w:hAnsi="宋体" w:eastAsia="宋体" w:cs="Times New Roman"/>
          <w:kern w:val="0"/>
          <w:szCs w:val="24"/>
        </w:rPr>
        <w:t>允许的合理时间内把所有的承包人装备、剩余材料设备、垃圾及各种临时工程运走，则发包人可以：</w:t>
      </w:r>
    </w:p>
    <w:p w14:paraId="7BD09A9D">
      <w:pPr>
        <w:tabs>
          <w:tab w:val="left" w:pos="1620"/>
          <w:tab w:val="left" w:pos="2340"/>
        </w:tabs>
        <w:ind w:left="899" w:firstLine="181"/>
        <w:jc w:val="left"/>
        <w:rPr>
          <w:rFonts w:ascii="宋体" w:hAnsi="宋体" w:eastAsia="宋体" w:cs="Times New Roman"/>
          <w:kern w:val="0"/>
          <w:szCs w:val="24"/>
        </w:rPr>
      </w:pPr>
      <w:r>
        <w:rPr>
          <w:rFonts w:hint="eastAsia" w:ascii="宋体" w:hAnsi="宋体" w:eastAsia="宋体" w:cs="Times New Roman"/>
          <w:kern w:val="0"/>
          <w:szCs w:val="24"/>
        </w:rPr>
        <w:t>①委托他人将承包人装备、剩余材料及承包人的其他财产觅地存放；</w:t>
      </w:r>
    </w:p>
    <w:p w14:paraId="369BBE1A">
      <w:pPr>
        <w:tabs>
          <w:tab w:val="left" w:pos="1620"/>
          <w:tab w:val="left" w:pos="2340"/>
        </w:tabs>
        <w:ind w:left="899" w:firstLine="181"/>
        <w:jc w:val="left"/>
        <w:rPr>
          <w:rFonts w:ascii="宋体" w:hAnsi="宋体" w:eastAsia="宋体" w:cs="Times New Roman"/>
          <w:kern w:val="0"/>
          <w:szCs w:val="24"/>
        </w:rPr>
      </w:pPr>
      <w:r>
        <w:rPr>
          <w:rFonts w:hint="eastAsia" w:ascii="宋体" w:hAnsi="宋体" w:eastAsia="宋体" w:cs="Times New Roman"/>
          <w:kern w:val="0"/>
          <w:szCs w:val="24"/>
        </w:rPr>
        <w:t>②委托他人清除并运走垃圾、废料。</w:t>
      </w:r>
    </w:p>
    <w:p w14:paraId="08E4EBFF">
      <w:pPr>
        <w:tabs>
          <w:tab w:val="left" w:pos="1620"/>
          <w:tab w:val="left" w:pos="2340"/>
        </w:tabs>
        <w:ind w:left="899"/>
        <w:jc w:val="left"/>
        <w:rPr>
          <w:rFonts w:hint="eastAsia" w:ascii="宋体" w:hAnsi="宋体" w:eastAsia="宋体" w:cs="Times New Roman"/>
          <w:kern w:val="0"/>
          <w:szCs w:val="24"/>
        </w:rPr>
      </w:pPr>
      <w:r>
        <w:rPr>
          <w:rFonts w:hint="eastAsia" w:ascii="宋体" w:hAnsi="宋体" w:eastAsia="宋体" w:cs="Times New Roman"/>
          <w:kern w:val="0"/>
          <w:szCs w:val="24"/>
        </w:rPr>
        <w:t>因上述工作而发生的费用由承包人承担，发包人可从应付承包人的任何款项内扣除。</w:t>
      </w:r>
    </w:p>
    <w:p w14:paraId="5E938513">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发包人无正当理由不接收工程的，发包人自</w:t>
      </w:r>
      <w:r>
        <w:rPr>
          <w:rFonts w:hint="eastAsia" w:ascii="宋体" w:hAnsi="宋体" w:eastAsia="宋体" w:cs="Times New Roman"/>
          <w:kern w:val="0"/>
          <w:szCs w:val="24"/>
        </w:rPr>
        <w:t>应当接收工程</w:t>
      </w:r>
      <w:r>
        <w:rPr>
          <w:rFonts w:ascii="宋体" w:hAnsi="宋体" w:eastAsia="宋体" w:cs="Times New Roman"/>
          <w:kern w:val="0"/>
          <w:szCs w:val="24"/>
        </w:rPr>
        <w:t>之日起，承担工程照管、成品保护、保管等与工程有关的各项费用</w:t>
      </w:r>
      <w:r>
        <w:rPr>
          <w:rFonts w:hint="eastAsia" w:ascii="宋体" w:hAnsi="宋体" w:eastAsia="宋体" w:cs="Times New Roman"/>
          <w:kern w:val="0"/>
          <w:szCs w:val="24"/>
        </w:rPr>
        <w:t>，发承包双方可以在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中另行约定发包人逾期接收工程的违约责任</w:t>
      </w:r>
      <w:r>
        <w:rPr>
          <w:rFonts w:ascii="宋体" w:hAnsi="宋体" w:eastAsia="宋体" w:cs="Times New Roman"/>
          <w:kern w:val="0"/>
          <w:szCs w:val="24"/>
        </w:rPr>
        <w:t>。</w:t>
      </w:r>
    </w:p>
    <w:p w14:paraId="43489061">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259" w:name="_Toc19073"/>
      <w:bookmarkStart w:id="3260" w:name="_Toc208587665"/>
      <w:bookmarkStart w:id="3261" w:name="_Toc27758"/>
      <w:bookmarkStart w:id="3262" w:name="_Toc1682664868"/>
      <w:bookmarkStart w:id="3263" w:name="_Toc14584"/>
      <w:bookmarkStart w:id="3264" w:name="_Toc201735439"/>
      <w:bookmarkStart w:id="3265" w:name="_Toc21459"/>
      <w:bookmarkStart w:id="3266" w:name="_Toc305331381"/>
      <w:bookmarkStart w:id="3267" w:name="_Toc7840"/>
      <w:bookmarkStart w:id="3268" w:name="_Toc29485"/>
      <w:bookmarkStart w:id="3269" w:name="_Toc11839"/>
      <w:bookmarkStart w:id="3270" w:name="_Toc19391"/>
      <w:bookmarkStart w:id="3271" w:name="_Toc11981"/>
      <w:bookmarkStart w:id="3272" w:name="_Toc302635876"/>
      <w:bookmarkStart w:id="3273" w:name="_Toc17239"/>
      <w:bookmarkStart w:id="3274" w:name="_Toc34909121"/>
      <w:r>
        <w:rPr>
          <w:rFonts w:hint="eastAsia" w:ascii="宋体" w:hAnsi="宋体" w:eastAsia="宋体" w:cs="Times New Roman"/>
          <w:b/>
          <w:bCs/>
          <w:kern w:val="0"/>
          <w:sz w:val="24"/>
          <w:szCs w:val="24"/>
          <w:lang w:val="en-US" w:eastAsia="zh-CN" w:bidi="ar-SA"/>
        </w:rPr>
        <w:t>竣工验收质量不合格和重新验收</w:t>
      </w:r>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p>
    <w:p w14:paraId="5EAC93EF">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(1)如本工程竣工验收质量未达到合同约定的标准，承包人应按</w:t>
      </w:r>
      <w:r>
        <w:rPr>
          <w:rFonts w:hint="eastAsia" w:ascii="宋体" w:hAnsi="宋体" w:eastAsia="宋体" w:cs="Times New Roman"/>
          <w:b/>
          <w:i/>
          <w:kern w:val="0"/>
          <w:szCs w:val="24"/>
        </w:rPr>
        <w:t>专用条款</w:t>
      </w:r>
      <w:r>
        <w:rPr>
          <w:rFonts w:hint="eastAsia" w:ascii="宋体" w:hAnsi="宋体" w:eastAsia="宋体" w:cs="Times New Roman"/>
          <w:kern w:val="0"/>
          <w:szCs w:val="24"/>
        </w:rPr>
        <w:t>的约定承担违约责任。</w:t>
      </w:r>
    </w:p>
    <w:p w14:paraId="33038F66">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(2)如本工程竣工验收质量未达到合同约定的标准，</w:t>
      </w:r>
      <w:r>
        <w:rPr>
          <w:rFonts w:ascii="宋体" w:hAnsi="宋体" w:eastAsia="宋体" w:cs="Times New Roman"/>
          <w:kern w:val="0"/>
          <w:szCs w:val="24"/>
        </w:rPr>
        <w:t>监理人</w:t>
      </w:r>
      <w:r>
        <w:rPr>
          <w:rFonts w:hint="eastAsia" w:ascii="宋体" w:hAnsi="宋体" w:eastAsia="宋体" w:cs="Times New Roman"/>
          <w:kern w:val="0"/>
          <w:szCs w:val="24"/>
        </w:rPr>
        <w:t>应在验收工作完毕后7天内向承包人发出不予验收的指令，要求承包人对达不到合同约定标准的工程返工或修复。承包人在完成上述工作后，应重新提出竣工验收申请。发包人应按照第27.1款的约定重新组织竣工验收。竣工验收通过，发包人应按第27.2款的约定签发接收证书。接收证书中写明的实际竣工日期应为重新验收合格之日。</w:t>
      </w:r>
      <w:bookmarkEnd w:id="3274"/>
    </w:p>
    <w:p w14:paraId="4F5857E4">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275" w:name="_Toc4730"/>
      <w:bookmarkStart w:id="3276" w:name="_Toc13903"/>
      <w:bookmarkStart w:id="3277" w:name="_Toc1995609130"/>
      <w:bookmarkStart w:id="3278" w:name="_Toc622"/>
      <w:bookmarkStart w:id="3279" w:name="_Toc27399"/>
      <w:bookmarkStart w:id="3280" w:name="_Toc302635880"/>
      <w:bookmarkStart w:id="3281" w:name="_Toc20339"/>
      <w:bookmarkStart w:id="3282" w:name="_Toc208587666"/>
      <w:bookmarkStart w:id="3283" w:name="_Toc201735440"/>
      <w:bookmarkStart w:id="3284" w:name="_Toc9365"/>
      <w:bookmarkStart w:id="3285" w:name="_Toc10213"/>
      <w:bookmarkStart w:id="3286" w:name="_Toc1140"/>
      <w:bookmarkStart w:id="3287" w:name="_Toc31487"/>
      <w:bookmarkStart w:id="3288" w:name="_Toc21784"/>
      <w:bookmarkStart w:id="3289" w:name="_Toc305331386"/>
      <w:bookmarkStart w:id="3290" w:name="_Toc305331385"/>
      <w:r>
        <w:rPr>
          <w:rFonts w:hint="eastAsia" w:ascii="宋体" w:hAnsi="宋体" w:eastAsia="宋体" w:cs="Times New Roman"/>
          <w:b/>
          <w:bCs/>
          <w:kern w:val="0"/>
          <w:sz w:val="24"/>
          <w:szCs w:val="24"/>
          <w:lang w:val="en-US" w:eastAsia="zh-CN" w:bidi="ar-SA"/>
        </w:rPr>
        <w:t>竣工日期</w:t>
      </w:r>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p>
    <w:p w14:paraId="52004AF9">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工程经竣工验收合格的，以</w:t>
      </w:r>
      <w:r>
        <w:rPr>
          <w:rFonts w:hint="eastAsia" w:ascii="宋体" w:hAnsi="宋体" w:eastAsia="宋体" w:cs="Times New Roman"/>
          <w:kern w:val="0"/>
          <w:szCs w:val="24"/>
        </w:rPr>
        <w:t>竣工验收合格</w:t>
      </w:r>
      <w:r>
        <w:rPr>
          <w:rFonts w:ascii="宋体" w:hAnsi="宋体" w:eastAsia="宋体" w:cs="Times New Roman"/>
          <w:kern w:val="0"/>
          <w:szCs w:val="24"/>
        </w:rPr>
        <w:t>之日为实际竣工日期，并在工程接收证书中载明；因发包人原因，未在监理人收到承包人提交的竣工验收申请报告42天内完成</w:t>
      </w:r>
      <w:r>
        <w:rPr>
          <w:rFonts w:hint="eastAsia" w:ascii="宋体" w:hAnsi="宋体" w:eastAsia="宋体" w:cs="Times New Roman"/>
          <w:kern w:val="0"/>
          <w:szCs w:val="24"/>
        </w:rPr>
        <w:t>竣工</w:t>
      </w:r>
      <w:r>
        <w:rPr>
          <w:rFonts w:ascii="宋体" w:hAnsi="宋体" w:eastAsia="宋体" w:cs="Times New Roman"/>
          <w:kern w:val="0"/>
          <w:szCs w:val="24"/>
        </w:rPr>
        <w:t>验收</w:t>
      </w:r>
      <w:r>
        <w:rPr>
          <w:rFonts w:hint="eastAsia" w:ascii="宋体" w:hAnsi="宋体" w:eastAsia="宋体" w:cs="Times New Roman"/>
          <w:kern w:val="0"/>
          <w:szCs w:val="24"/>
        </w:rPr>
        <w:t>，或完成竣工验收不予签发工程接收证书</w:t>
      </w:r>
      <w:r>
        <w:rPr>
          <w:rFonts w:ascii="宋体" w:hAnsi="宋体" w:eastAsia="宋体" w:cs="Times New Roman"/>
          <w:kern w:val="0"/>
          <w:szCs w:val="24"/>
        </w:rPr>
        <w:t>的，以提交竣工验</w:t>
      </w:r>
      <w:bookmarkStart w:id="3291" w:name="#go14"/>
      <w:bookmarkEnd w:id="3291"/>
      <w:r>
        <w:rPr>
          <w:rFonts w:ascii="宋体" w:hAnsi="宋体" w:eastAsia="宋体" w:cs="Times New Roman"/>
          <w:kern w:val="0"/>
          <w:szCs w:val="24"/>
        </w:rPr>
        <w:t>收申请报告的日期为实际竣工日期；工程未经竣工验收，发包人擅自使用的，以转移占有工程之日为实际竣工日期。</w:t>
      </w:r>
    </w:p>
    <w:p w14:paraId="042B730C">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292" w:name="_Toc10547"/>
      <w:bookmarkStart w:id="3293" w:name="_Toc201735441"/>
      <w:bookmarkStart w:id="3294" w:name="_Toc16205"/>
      <w:bookmarkStart w:id="3295" w:name="_Toc21769"/>
      <w:bookmarkStart w:id="3296" w:name="_Toc302635881"/>
      <w:bookmarkStart w:id="3297" w:name="_Toc29802"/>
      <w:bookmarkStart w:id="3298" w:name="_Toc11482"/>
      <w:bookmarkStart w:id="3299" w:name="_Toc30306"/>
      <w:bookmarkStart w:id="3300" w:name="_Toc9717"/>
      <w:bookmarkStart w:id="3301" w:name="_Toc8059"/>
      <w:bookmarkStart w:id="3302" w:name="_Toc1343"/>
      <w:bookmarkStart w:id="3303" w:name="_Toc460413490"/>
      <w:bookmarkStart w:id="3304" w:name="_Toc208587667"/>
      <w:bookmarkStart w:id="3305" w:name="_Toc22426"/>
      <w:r>
        <w:rPr>
          <w:rFonts w:ascii="宋体" w:hAnsi="宋体" w:eastAsia="宋体" w:cs="Times New Roman"/>
          <w:b/>
          <w:bCs/>
          <w:kern w:val="0"/>
          <w:sz w:val="24"/>
          <w:szCs w:val="24"/>
          <w:lang w:val="en-US" w:eastAsia="zh-CN" w:bidi="ar-SA"/>
        </w:rPr>
        <w:t>拒绝接收全部或部分工程</w:t>
      </w:r>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p>
    <w:p w14:paraId="1304B3DB">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对于竣工验收不合格的工程，承包人完成整改后，</w:t>
      </w:r>
      <w:r>
        <w:rPr>
          <w:rFonts w:hint="eastAsia" w:ascii="宋体" w:hAnsi="宋体" w:eastAsia="宋体" w:cs="Times New Roman"/>
          <w:kern w:val="0"/>
          <w:szCs w:val="24"/>
        </w:rPr>
        <w:t>应当</w:t>
      </w:r>
      <w:r>
        <w:rPr>
          <w:rFonts w:ascii="宋体" w:hAnsi="宋体" w:eastAsia="宋体" w:cs="Times New Roman"/>
          <w:kern w:val="0"/>
          <w:szCs w:val="24"/>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3A3A33BF">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306" w:name="_Toc2521"/>
      <w:bookmarkStart w:id="3307" w:name="_Toc201735442"/>
      <w:bookmarkStart w:id="3308" w:name="_Toc24614"/>
      <w:bookmarkStart w:id="3309" w:name="_Toc25501"/>
      <w:bookmarkStart w:id="3310" w:name="_Toc10711"/>
      <w:bookmarkStart w:id="3311" w:name="_Toc15204"/>
      <w:bookmarkStart w:id="3312" w:name="_Toc208587668"/>
      <w:bookmarkStart w:id="3313" w:name="_Toc2984"/>
      <w:bookmarkStart w:id="3314" w:name="_Toc26766"/>
      <w:bookmarkStart w:id="3315" w:name="_Toc4889"/>
      <w:bookmarkStart w:id="3316" w:name="_Toc302635882"/>
      <w:bookmarkStart w:id="3317" w:name="_Toc4369"/>
      <w:bookmarkStart w:id="3318" w:name="_Toc29190"/>
      <w:bookmarkStart w:id="3319" w:name="_Toc961836861"/>
      <w:r>
        <w:rPr>
          <w:rFonts w:hint="eastAsia" w:ascii="宋体" w:hAnsi="宋体" w:eastAsia="宋体" w:cs="Times New Roman"/>
          <w:b/>
          <w:bCs/>
          <w:kern w:val="0"/>
          <w:sz w:val="24"/>
          <w:szCs w:val="24"/>
          <w:lang w:val="en-US" w:eastAsia="zh-CN" w:bidi="ar-SA"/>
        </w:rPr>
        <w:t>竣工验收工程质量争议处理</w:t>
      </w:r>
      <w:bookmarkEnd w:id="3289"/>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p>
    <w:p w14:paraId="52953CF8">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除发包人同意降低合同约定的质量标准接收工程(但不得低于国家强制性质量标准)外，发包人对工程质量有异议，拒不签发工程接收证书的，发包人与承包人应将此质量争议共同委托</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有资质的质量检测鉴定机构进行检测。若质量检测达到合同约定的质量标准，检测费用由发包人承担；若质量检测不达到合同约定的质量标准，检测费用由承包人承担，并同时负责无偿整改直至达到合同约定的质量标准。</w:t>
      </w:r>
    </w:p>
    <w:p w14:paraId="1F957ADE">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320" w:name="_Toc2200"/>
      <w:bookmarkStart w:id="3321" w:name="_Toc1135385560"/>
      <w:bookmarkStart w:id="3322" w:name="_Toc27329"/>
      <w:bookmarkStart w:id="3323" w:name="_Toc30161"/>
      <w:bookmarkStart w:id="3324" w:name="_Toc208587669"/>
      <w:bookmarkStart w:id="3325" w:name="_Toc28663"/>
      <w:bookmarkStart w:id="3326" w:name="_Toc302635883"/>
      <w:bookmarkStart w:id="3327" w:name="_Toc8858"/>
      <w:bookmarkStart w:id="3328" w:name="_Toc31623"/>
      <w:bookmarkStart w:id="3329" w:name="_Toc201735443"/>
      <w:bookmarkStart w:id="3330" w:name="_Toc13441"/>
      <w:bookmarkStart w:id="3331" w:name="_Toc8930"/>
      <w:bookmarkStart w:id="3332" w:name="_Toc16052"/>
      <w:bookmarkStart w:id="3333" w:name="_Toc14479"/>
      <w:r>
        <w:rPr>
          <w:rFonts w:hint="eastAsia" w:ascii="宋体" w:hAnsi="宋体" w:eastAsia="宋体" w:cs="Times New Roman"/>
          <w:b/>
          <w:bCs/>
          <w:kern w:val="0"/>
          <w:sz w:val="24"/>
          <w:szCs w:val="24"/>
          <w:lang w:val="en-US" w:eastAsia="zh-CN" w:bidi="ar-SA"/>
        </w:rPr>
        <w:t>履约评价与优质优价</w:t>
      </w:r>
      <w:bookmarkEnd w:id="3290"/>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p>
    <w:p w14:paraId="4BC6574F">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(1)发包人应按照</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中的约定对承包人进行履约评价。</w:t>
      </w:r>
    </w:p>
    <w:p w14:paraId="71B7EDEC">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(2)本工程实行优质优价，发包人与承包人应在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中约定履约评价奖励及工程创优的奖励办法。</w:t>
      </w:r>
    </w:p>
    <w:p w14:paraId="1C66CEEB">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3334" w:name="_Toc19534"/>
      <w:bookmarkStart w:id="3335" w:name="_Toc34909125"/>
      <w:bookmarkStart w:id="3336" w:name="_Toc19887"/>
      <w:bookmarkStart w:id="3337" w:name="_Toc201735444"/>
      <w:bookmarkStart w:id="3338" w:name="_Toc35656999"/>
      <w:bookmarkStart w:id="3339" w:name="_Toc7605"/>
      <w:bookmarkStart w:id="3340" w:name="_Toc18373"/>
      <w:bookmarkStart w:id="3341" w:name="_Toc850"/>
      <w:bookmarkStart w:id="3342" w:name="_Toc208587670"/>
      <w:bookmarkStart w:id="3343" w:name="_Toc30852"/>
      <w:bookmarkStart w:id="3344" w:name="_Toc302635884"/>
      <w:bookmarkStart w:id="3345" w:name="_Toc24798"/>
      <w:bookmarkStart w:id="3346" w:name="_Toc6036"/>
      <w:bookmarkStart w:id="3347" w:name="_Toc35656497"/>
      <w:bookmarkStart w:id="3348" w:name="_Toc305331387"/>
      <w:bookmarkStart w:id="3349" w:name="_Toc13528"/>
      <w:bookmarkStart w:id="3350" w:name="_Toc2036836076"/>
      <w:bookmarkStart w:id="3351" w:name="_Toc24166"/>
      <w:r>
        <w:rPr>
          <w:rFonts w:hint="eastAsia" w:ascii="华文细黑" w:hAnsi="宋体" w:eastAsia="宋体" w:cs="Times New Roman"/>
          <w:b/>
          <w:bCs/>
          <w:snapToGrid w:val="0"/>
          <w:kern w:val="0"/>
          <w:sz w:val="28"/>
          <w:szCs w:val="44"/>
          <w:lang w:val="en-US" w:eastAsia="zh-CN" w:bidi="ar-SA"/>
        </w:rPr>
        <w:t>竣工结算</w:t>
      </w:r>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p>
    <w:p w14:paraId="0B4C80B8">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352" w:name="_Toc15006"/>
      <w:bookmarkStart w:id="3353" w:name="_Toc20443"/>
      <w:bookmarkStart w:id="3354" w:name="_Toc208587671"/>
      <w:bookmarkStart w:id="3355" w:name="_Toc1640368649"/>
      <w:bookmarkStart w:id="3356" w:name="_Toc201735445"/>
      <w:bookmarkStart w:id="3357" w:name="_Toc4270"/>
      <w:bookmarkStart w:id="3358" w:name="_Toc12762"/>
      <w:bookmarkStart w:id="3359" w:name="_Toc20788"/>
      <w:bookmarkStart w:id="3360" w:name="_Toc27376"/>
      <w:bookmarkStart w:id="3361" w:name="_Toc305331388"/>
      <w:bookmarkStart w:id="3362" w:name="_Toc31839"/>
      <w:bookmarkStart w:id="3363" w:name="_Toc302635885"/>
      <w:bookmarkStart w:id="3364" w:name="_Toc10166"/>
      <w:bookmarkStart w:id="3365" w:name="_Toc24651"/>
      <w:bookmarkStart w:id="3366" w:name="_Toc14898"/>
      <w:bookmarkStart w:id="3367" w:name="_Toc34909126"/>
      <w:r>
        <w:rPr>
          <w:rFonts w:hint="eastAsia" w:ascii="宋体" w:hAnsi="宋体" w:eastAsia="宋体" w:cs="Times New Roman"/>
          <w:b/>
          <w:bCs/>
          <w:kern w:val="0"/>
          <w:sz w:val="24"/>
          <w:szCs w:val="24"/>
          <w:lang w:val="en-US" w:eastAsia="zh-CN" w:bidi="ar-SA"/>
        </w:rPr>
        <w:t>竣工结算书的编制和提交</w:t>
      </w:r>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p>
    <w:p w14:paraId="6DACFEC6">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(1)承包人应按照第20.1款约定的签约合同价和第20.2款约定的</w:t>
      </w:r>
      <w:r>
        <w:rPr>
          <w:rFonts w:ascii="宋体" w:hAnsi="宋体" w:eastAsia="宋体" w:cs="Times New Roman"/>
          <w:kern w:val="0"/>
          <w:szCs w:val="24"/>
        </w:rPr>
        <w:t>合同价格调整</w:t>
      </w:r>
      <w:r>
        <w:rPr>
          <w:rFonts w:hint="eastAsia" w:ascii="宋体" w:hAnsi="宋体" w:eastAsia="宋体" w:cs="Times New Roman"/>
          <w:kern w:val="0"/>
          <w:szCs w:val="24"/>
        </w:rPr>
        <w:t>内容计算竣工结算价款，编制竣工结算书，并汇总竣工结算资料。竣工结算资料一般包括施工合同、工程竣工图纸及资料、双方确认的工程量、双方确认追加(减)的合同价格、双方确认的索赔、招标文件、投标文件、合同清单等与竣工结算有关的资料。</w:t>
      </w:r>
    </w:p>
    <w:p w14:paraId="2235411B">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(2)工程竣工验收合格后，在</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约定的时间内，承包人应向发包人提交竣工结算书及完整的结算资料</w:t>
      </w:r>
      <w:bookmarkEnd w:id="3367"/>
      <w:r>
        <w:rPr>
          <w:rFonts w:hint="eastAsia" w:ascii="宋体" w:hAnsi="宋体" w:eastAsia="宋体" w:cs="Times New Roman"/>
          <w:kern w:val="0"/>
          <w:szCs w:val="24"/>
        </w:rPr>
        <w:t>。政府投资项目应按《深圳经济特区政府投资项目管理条例》等相关规定执行。</w:t>
      </w:r>
    </w:p>
    <w:p w14:paraId="66921BD7">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368" w:name="_Toc305331389"/>
      <w:bookmarkStart w:id="3369" w:name="_Toc19181"/>
      <w:bookmarkStart w:id="3370" w:name="_Toc15922"/>
      <w:bookmarkStart w:id="3371" w:name="_Toc4642"/>
      <w:bookmarkStart w:id="3372" w:name="_Toc12338"/>
      <w:bookmarkStart w:id="3373" w:name="_Toc23741"/>
      <w:bookmarkStart w:id="3374" w:name="_Toc7429"/>
      <w:bookmarkStart w:id="3375" w:name="_Toc18388"/>
      <w:bookmarkStart w:id="3376" w:name="_Toc201735446"/>
      <w:bookmarkStart w:id="3377" w:name="_Toc16855"/>
      <w:bookmarkStart w:id="3378" w:name="_Toc302635886"/>
      <w:bookmarkStart w:id="3379" w:name="_Toc555149682"/>
      <w:bookmarkStart w:id="3380" w:name="_Toc7425"/>
      <w:bookmarkStart w:id="3381" w:name="_Toc208587672"/>
      <w:bookmarkStart w:id="3382" w:name="_Toc15175"/>
      <w:bookmarkStart w:id="3383" w:name="_Toc34909127"/>
      <w:r>
        <w:rPr>
          <w:rFonts w:hint="eastAsia" w:ascii="宋体" w:hAnsi="宋体" w:eastAsia="宋体" w:cs="Times New Roman"/>
          <w:b/>
          <w:bCs/>
          <w:kern w:val="0"/>
          <w:sz w:val="24"/>
          <w:szCs w:val="24"/>
          <w:lang w:val="en-US" w:eastAsia="zh-CN" w:bidi="ar-SA"/>
        </w:rPr>
        <w:t>竣工结算书的核对和修改</w:t>
      </w:r>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p>
    <w:p w14:paraId="3CA377F9">
      <w:pPr>
        <w:tabs>
          <w:tab w:val="left" w:pos="1620"/>
          <w:tab w:val="left" w:pos="2340"/>
        </w:tabs>
        <w:ind w:left="899"/>
        <w:jc w:val="left"/>
        <w:rPr>
          <w:rFonts w:ascii="宋体" w:hAnsi="宋体" w:eastAsia="宋体" w:cs="Times New Roman"/>
          <w:kern w:val="0"/>
          <w:szCs w:val="24"/>
        </w:rPr>
      </w:pPr>
      <w:r>
        <w:rPr>
          <w:rFonts w:ascii="宋体" w:hAnsi="宋体" w:eastAsia="宋体" w:cs="Times New Roman"/>
          <w:kern w:val="0"/>
          <w:szCs w:val="24"/>
        </w:rPr>
        <w:t>(1)</w:t>
      </w:r>
      <w:r>
        <w:rPr>
          <w:rFonts w:hint="eastAsia" w:ascii="宋体" w:hAnsi="宋体" w:eastAsia="宋体" w:cs="Times New Roman"/>
          <w:kern w:val="0"/>
          <w:szCs w:val="24"/>
        </w:rPr>
        <w:t>发包人在收到承包人提交的竣工结算书及结算资料后28天或</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约定的时间内，应按合同的有关约定，依据结算资料，在</w:t>
      </w:r>
      <w:r>
        <w:rPr>
          <w:rFonts w:ascii="宋体" w:hAnsi="宋体" w:eastAsia="宋体" w:cs="Times New Roman"/>
          <w:kern w:val="0"/>
          <w:szCs w:val="24"/>
        </w:rPr>
        <w:t>监理人</w:t>
      </w:r>
      <w:r>
        <w:rPr>
          <w:rFonts w:hint="eastAsia" w:ascii="宋体" w:hAnsi="宋体" w:eastAsia="宋体" w:cs="Times New Roman"/>
          <w:kern w:val="0"/>
          <w:szCs w:val="24"/>
        </w:rPr>
        <w:t>的协助下，对承包人提交的竣工结算书进行核对：</w:t>
      </w:r>
    </w:p>
    <w:p w14:paraId="25A63824">
      <w:pPr>
        <w:tabs>
          <w:tab w:val="left" w:pos="1620"/>
          <w:tab w:val="left" w:pos="2340"/>
        </w:tabs>
        <w:ind w:left="899" w:firstLine="181"/>
        <w:jc w:val="left"/>
        <w:rPr>
          <w:rFonts w:ascii="宋体" w:hAnsi="宋体" w:eastAsia="宋体" w:cs="Times New Roman"/>
          <w:kern w:val="0"/>
          <w:szCs w:val="24"/>
        </w:rPr>
      </w:pPr>
      <w:r>
        <w:rPr>
          <w:rFonts w:hint="eastAsia" w:ascii="宋体" w:hAnsi="宋体" w:eastAsia="宋体" w:cs="Times New Roman"/>
          <w:kern w:val="0"/>
          <w:szCs w:val="24"/>
        </w:rPr>
        <w:t>①认可承包人提交的竣工结算书，并确认工程竣工结算价款；或</w:t>
      </w:r>
    </w:p>
    <w:p w14:paraId="74CD5B7F">
      <w:pPr>
        <w:tabs>
          <w:tab w:val="left" w:pos="1620"/>
          <w:tab w:val="left" w:pos="2340"/>
        </w:tabs>
        <w:ind w:left="899" w:firstLine="181"/>
        <w:jc w:val="left"/>
        <w:rPr>
          <w:rFonts w:ascii="宋体" w:hAnsi="宋体" w:eastAsia="宋体" w:cs="Times New Roman"/>
          <w:kern w:val="0"/>
          <w:szCs w:val="24"/>
        </w:rPr>
      </w:pPr>
      <w:r>
        <w:rPr>
          <w:rFonts w:hint="eastAsia" w:ascii="宋体" w:hAnsi="宋体" w:eastAsia="宋体" w:cs="Times New Roman"/>
          <w:kern w:val="0"/>
          <w:szCs w:val="24"/>
        </w:rPr>
        <w:t>②提出核对意见或要求补充结算资料。</w:t>
      </w:r>
    </w:p>
    <w:p w14:paraId="60831870">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(2)承包人应在收到发包人提出的核对意见后14天或</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约定的时间内，向发包人提交经修改的竣工结算书或补充结算资料。发包人应在收到后14天或</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约定的时间内，进行核对，经与承包人协商达成一致意见后确认工程竣工结算价款。</w:t>
      </w:r>
      <w:bookmarkEnd w:id="3383"/>
    </w:p>
    <w:p w14:paraId="549395AB">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(3)承包人在收到发包人提出的核对意见后，在合同约定的时间内，未提出异议或没有明确答复的，视为发包人的核对意见被承包人认可且接受，竣工结算至此办理完毕。</w:t>
      </w:r>
    </w:p>
    <w:p w14:paraId="6C23D2CB">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384" w:name="_Toc31584"/>
      <w:bookmarkStart w:id="3385" w:name="_Toc305331390"/>
      <w:bookmarkStart w:id="3386" w:name="_Toc10905"/>
      <w:bookmarkStart w:id="3387" w:name="_Toc568244388"/>
      <w:bookmarkStart w:id="3388" w:name="_Toc16499"/>
      <w:bookmarkStart w:id="3389" w:name="_Toc30245"/>
      <w:bookmarkStart w:id="3390" w:name="_Toc17001"/>
      <w:bookmarkStart w:id="3391" w:name="_Toc302635887"/>
      <w:bookmarkStart w:id="3392" w:name="_Toc18188"/>
      <w:bookmarkStart w:id="3393" w:name="_Toc208587673"/>
      <w:bookmarkStart w:id="3394" w:name="_Toc23884"/>
      <w:bookmarkStart w:id="3395" w:name="_Toc27315"/>
      <w:bookmarkStart w:id="3396" w:name="_Toc5305"/>
      <w:bookmarkStart w:id="3397" w:name="_Toc24019"/>
      <w:bookmarkStart w:id="3398" w:name="_Toc201735447"/>
      <w:r>
        <w:rPr>
          <w:rFonts w:hint="eastAsia" w:ascii="宋体" w:hAnsi="宋体" w:eastAsia="宋体" w:cs="Times New Roman"/>
          <w:b/>
          <w:bCs/>
          <w:kern w:val="0"/>
          <w:sz w:val="24"/>
          <w:szCs w:val="24"/>
          <w:lang w:val="en-US" w:eastAsia="zh-CN" w:bidi="ar-SA"/>
        </w:rPr>
        <w:t>竣工结算书核对次数</w:t>
      </w:r>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p>
    <w:p w14:paraId="415746DD">
      <w:pPr>
        <w:tabs>
          <w:tab w:val="left" w:pos="1620"/>
          <w:tab w:val="left" w:pos="2340"/>
        </w:tabs>
        <w:spacing w:before="156" w:after="156"/>
        <w:ind w:left="899"/>
        <w:jc w:val="left"/>
        <w:rPr>
          <w:rFonts w:hint="eastAsia" w:ascii="宋体" w:hAnsi="宋体" w:eastAsia="宋体" w:cs="Times New Roman"/>
          <w:kern w:val="0"/>
          <w:szCs w:val="24"/>
        </w:rPr>
      </w:pPr>
      <w:r>
        <w:rPr>
          <w:rFonts w:ascii="宋体" w:hAnsi="宋体" w:eastAsia="宋体" w:cs="Times New Roman"/>
          <w:kern w:val="0"/>
          <w:szCs w:val="24"/>
        </w:rPr>
        <w:t>(1)</w:t>
      </w:r>
      <w:r>
        <w:rPr>
          <w:rFonts w:hint="eastAsia" w:ascii="宋体" w:hAnsi="宋体" w:eastAsia="宋体" w:cs="Times New Roman"/>
          <w:kern w:val="0"/>
          <w:szCs w:val="24"/>
        </w:rPr>
        <w:t>除</w:t>
      </w:r>
      <w:r>
        <w:rPr>
          <w:rFonts w:hint="eastAsia" w:ascii="宋体" w:hAnsi="宋体" w:eastAsia="宋体" w:cs="Times New Roman"/>
          <w:b/>
          <w:i/>
          <w:kern w:val="0"/>
          <w:szCs w:val="24"/>
        </w:rPr>
        <w:t>专用条款</w:t>
      </w:r>
      <w:r>
        <w:rPr>
          <w:rFonts w:hint="eastAsia" w:ascii="宋体" w:hAnsi="宋体" w:eastAsia="宋体" w:cs="Times New Roman"/>
          <w:kern w:val="0"/>
          <w:szCs w:val="24"/>
        </w:rPr>
        <w:t>明确约定核对人及核对次数，发包人、承包人双方对竣工结算仅需核对一次，但承包人依据发包人提出的核对意见后修改重新提交核对的除外。本工程竣工结算核对完成，发包人、承包人双方签字确认后，发包人不应要求承包人与另一个或多个工程造价咨询机构重复核对发包人和承包人已确认的竣工结算。</w:t>
      </w:r>
    </w:p>
    <w:p w14:paraId="4BDB98B3">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(2)依据相关法律、法规、规章，要求使用国有资金和集体所有资金等投资建设工程的竣工结算需向政府指定机构提交评审或审核的，该评审或审核行为不视为第28.3款</w:t>
      </w:r>
      <w:r>
        <w:rPr>
          <w:rFonts w:ascii="宋体" w:hAnsi="宋体" w:eastAsia="宋体" w:cs="Times New Roman"/>
          <w:kern w:val="0"/>
          <w:szCs w:val="24"/>
        </w:rPr>
        <w:t>(1)</w:t>
      </w:r>
      <w:r>
        <w:rPr>
          <w:rFonts w:hint="eastAsia" w:ascii="宋体" w:hAnsi="宋体" w:eastAsia="宋体" w:cs="Times New Roman"/>
          <w:kern w:val="0"/>
          <w:szCs w:val="24"/>
        </w:rPr>
        <w:t>项所述核对。</w:t>
      </w:r>
    </w:p>
    <w:p w14:paraId="6A5C735B">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399" w:name="_Toc27562"/>
      <w:bookmarkStart w:id="3400" w:name="_Toc31281"/>
      <w:bookmarkStart w:id="3401" w:name="_Toc208587674"/>
      <w:bookmarkStart w:id="3402" w:name="_Toc13819"/>
      <w:bookmarkStart w:id="3403" w:name="_Toc166061198"/>
      <w:bookmarkStart w:id="3404" w:name="_Toc24701"/>
      <w:bookmarkStart w:id="3405" w:name="_Toc201735448"/>
      <w:bookmarkStart w:id="3406" w:name="_Toc24776"/>
      <w:bookmarkStart w:id="3407" w:name="_Toc22546"/>
      <w:bookmarkStart w:id="3408" w:name="_Toc28575"/>
      <w:bookmarkStart w:id="3409" w:name="_Toc302635888"/>
      <w:bookmarkStart w:id="3410" w:name="_Toc3782"/>
      <w:bookmarkStart w:id="3411" w:name="_Toc8732"/>
      <w:bookmarkStart w:id="3412" w:name="_Toc26169"/>
      <w:bookmarkStart w:id="3413" w:name="_Toc305331391"/>
      <w:r>
        <w:rPr>
          <w:rFonts w:hint="eastAsia" w:ascii="宋体" w:hAnsi="宋体" w:eastAsia="宋体" w:cs="Times New Roman"/>
          <w:b/>
          <w:bCs/>
          <w:kern w:val="0"/>
          <w:sz w:val="24"/>
          <w:szCs w:val="24"/>
          <w:lang w:val="en-US" w:eastAsia="zh-CN" w:bidi="ar-SA"/>
        </w:rPr>
        <w:t>承包人不提交竣工结算书</w:t>
      </w:r>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p>
    <w:p w14:paraId="78C1E4AB">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在本合同约定期限内，承包人未提交竣工结算书及结算资料(包括经修改的竣工结算书或补充结算资料)，</w:t>
      </w:r>
      <w:r>
        <w:rPr>
          <w:rFonts w:ascii="宋体" w:hAnsi="宋体" w:eastAsia="宋体" w:cs="Times New Roman"/>
          <w:kern w:val="0"/>
          <w:szCs w:val="24"/>
        </w:rPr>
        <w:t>监理人</w:t>
      </w:r>
      <w:r>
        <w:rPr>
          <w:rFonts w:hint="eastAsia" w:ascii="宋体" w:hAnsi="宋体" w:eastAsia="宋体" w:cs="Times New Roman"/>
          <w:kern w:val="0"/>
          <w:szCs w:val="24"/>
        </w:rPr>
        <w:t>应通知其要求提交，通知后14天内仍不提交的</w:t>
      </w:r>
      <w:r>
        <w:rPr>
          <w:rFonts w:ascii="宋体" w:hAnsi="宋体" w:eastAsia="宋体" w:cs="Times New Roman"/>
          <w:kern w:val="0"/>
          <w:szCs w:val="24"/>
        </w:rPr>
        <w:t>或没有明确答复</w:t>
      </w:r>
      <w:r>
        <w:rPr>
          <w:rFonts w:hint="eastAsia" w:ascii="宋体" w:hAnsi="宋体" w:eastAsia="宋体" w:cs="Times New Roman"/>
          <w:kern w:val="0"/>
          <w:szCs w:val="24"/>
        </w:rPr>
        <w:t>的</w:t>
      </w:r>
      <w:r>
        <w:rPr>
          <w:rFonts w:ascii="宋体" w:hAnsi="宋体" w:eastAsia="宋体" w:cs="Times New Roman"/>
          <w:kern w:val="0"/>
          <w:szCs w:val="24"/>
        </w:rPr>
        <w:t>，</w:t>
      </w:r>
      <w:r>
        <w:rPr>
          <w:rFonts w:hint="eastAsia" w:ascii="宋体" w:hAnsi="宋体" w:eastAsia="宋体" w:cs="Times New Roman"/>
          <w:kern w:val="0"/>
          <w:szCs w:val="24"/>
        </w:rPr>
        <w:t>发包人可在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中约定按以下方式进行处理：</w:t>
      </w:r>
    </w:p>
    <w:p w14:paraId="46C92741">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(1)依据已有资料进行审查、核实，并确定工程竣工结算价款，书面提交承包人，并以此作为竣工结算价款支付依据。若承包人不予接受的，按第31条【争议解决】的约定处理。</w:t>
      </w:r>
    </w:p>
    <w:p w14:paraId="4BE17545">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(2)承包人应按</w:t>
      </w:r>
      <w:r>
        <w:rPr>
          <w:rFonts w:hint="eastAsia" w:ascii="宋体" w:hAnsi="宋体" w:eastAsia="宋体" w:cs="Times New Roman"/>
          <w:b/>
          <w:i/>
          <w:kern w:val="0"/>
          <w:szCs w:val="24"/>
        </w:rPr>
        <w:t>专用条款</w:t>
      </w:r>
      <w:r>
        <w:rPr>
          <w:rFonts w:hint="eastAsia" w:ascii="宋体" w:hAnsi="宋体" w:eastAsia="宋体" w:cs="Times New Roman"/>
          <w:kern w:val="0"/>
          <w:szCs w:val="24"/>
        </w:rPr>
        <w:t>的约定向发包人承担违约责任。</w:t>
      </w:r>
    </w:p>
    <w:p w14:paraId="201B68FD">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414" w:name="_Toc305331392"/>
      <w:bookmarkStart w:id="3415" w:name="_Toc12082"/>
      <w:bookmarkStart w:id="3416" w:name="_Toc8269"/>
      <w:bookmarkStart w:id="3417" w:name="_Toc22683"/>
      <w:bookmarkStart w:id="3418" w:name="_Toc1811037558"/>
      <w:bookmarkStart w:id="3419" w:name="_Toc14187"/>
      <w:bookmarkStart w:id="3420" w:name="_Toc208587675"/>
      <w:bookmarkStart w:id="3421" w:name="_Toc201735449"/>
      <w:bookmarkStart w:id="3422" w:name="_Toc10400"/>
      <w:bookmarkStart w:id="3423" w:name="_Toc18849"/>
      <w:bookmarkStart w:id="3424" w:name="_Toc1040"/>
      <w:bookmarkStart w:id="3425" w:name="_Toc302635889"/>
      <w:bookmarkStart w:id="3426" w:name="_Toc24126"/>
      <w:bookmarkStart w:id="3427" w:name="_Toc2957"/>
      <w:bookmarkStart w:id="3428" w:name="_Toc20767"/>
      <w:r>
        <w:rPr>
          <w:rFonts w:hint="eastAsia" w:ascii="宋体" w:hAnsi="宋体" w:eastAsia="宋体" w:cs="Times New Roman"/>
          <w:b/>
          <w:bCs/>
          <w:kern w:val="0"/>
          <w:sz w:val="24"/>
          <w:szCs w:val="24"/>
          <w:lang w:val="en-US" w:eastAsia="zh-CN" w:bidi="ar-SA"/>
        </w:rPr>
        <w:t>发包人逾期不结算</w:t>
      </w:r>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p>
    <w:p w14:paraId="72133D1D">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发包人收到竣工结算书及结算资料后，或在收到经修改的竣工结算书或补充结算资料后，在合同约定的时间内，既不认可承包人提交的竣工结算书(包括经修改的竣工结算书)，又不提出异议的，视同认可承包人提交的竣工结算书(包括经修改的竣工结算书)。承包人依此向发包人申请支付，发包人拒不支付的，按第31条【争议解决】的约定处理。</w:t>
      </w:r>
    </w:p>
    <w:p w14:paraId="55D41BE5">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429" w:name="_Toc305331393"/>
      <w:bookmarkStart w:id="3430" w:name="_Toc949613967"/>
      <w:bookmarkStart w:id="3431" w:name="_Toc6433"/>
      <w:bookmarkStart w:id="3432" w:name="_Toc15415"/>
      <w:bookmarkStart w:id="3433" w:name="_Toc1844"/>
      <w:bookmarkStart w:id="3434" w:name="_Toc302635890"/>
      <w:bookmarkStart w:id="3435" w:name="_Toc30045"/>
      <w:bookmarkStart w:id="3436" w:name="_Toc1062"/>
      <w:bookmarkStart w:id="3437" w:name="_Toc208587676"/>
      <w:bookmarkStart w:id="3438" w:name="_Toc23360"/>
      <w:bookmarkStart w:id="3439" w:name="_Toc12474"/>
      <w:bookmarkStart w:id="3440" w:name="_Toc14210"/>
      <w:bookmarkStart w:id="3441" w:name="_Toc7022"/>
      <w:bookmarkStart w:id="3442" w:name="_Toc201735450"/>
      <w:bookmarkStart w:id="3443" w:name="_Toc18006"/>
      <w:bookmarkStart w:id="3444" w:name="_Toc34909128"/>
      <w:r>
        <w:rPr>
          <w:rFonts w:hint="eastAsia" w:ascii="宋体" w:hAnsi="宋体" w:eastAsia="宋体" w:cs="Times New Roman"/>
          <w:b/>
          <w:bCs/>
          <w:kern w:val="0"/>
          <w:sz w:val="24"/>
          <w:szCs w:val="24"/>
          <w:lang w:val="en-US" w:eastAsia="zh-CN" w:bidi="ar-SA"/>
        </w:rPr>
        <w:t>竣工结算</w:t>
      </w:r>
      <w:bookmarkEnd w:id="3429"/>
      <w:r>
        <w:rPr>
          <w:rFonts w:hint="eastAsia" w:ascii="宋体" w:hAnsi="宋体" w:eastAsia="宋体" w:cs="Times New Roman"/>
          <w:b/>
          <w:bCs/>
          <w:kern w:val="0"/>
          <w:sz w:val="24"/>
          <w:szCs w:val="24"/>
          <w:lang w:val="en-US" w:eastAsia="zh-CN" w:bidi="ar-SA"/>
        </w:rPr>
        <w:t>评审或审核</w:t>
      </w:r>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p>
    <w:p w14:paraId="1BC82C60">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(1)在发包人和承包人确认竣工结算价款后7天内，发包人应当将经发包人和承包人共同确认的竣工结算书按规定报政府指定机构评审或审核。在</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约定的特殊情况下，发包人可启动强制结算机制，将其单方编制的结算文件送评审或审核。</w:t>
      </w:r>
    </w:p>
    <w:p w14:paraId="434D123A">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本合同的任何</w:t>
      </w:r>
      <w:r>
        <w:rPr>
          <w:rFonts w:hint="eastAsia" w:ascii="宋体" w:hAnsi="宋体" w:eastAsia="宋体" w:cs="Times New Roman"/>
          <w:kern w:val="0"/>
          <w:szCs w:val="24"/>
        </w:rPr>
        <w:t>工程</w:t>
      </w:r>
      <w:r>
        <w:rPr>
          <w:rFonts w:ascii="宋体" w:hAnsi="宋体" w:eastAsia="宋体" w:cs="Times New Roman"/>
          <w:kern w:val="0"/>
          <w:szCs w:val="24"/>
        </w:rPr>
        <w:t>变更、索赔和竣工结算以及补充协议</w:t>
      </w:r>
      <w:r>
        <w:rPr>
          <w:rFonts w:hint="eastAsia" w:ascii="宋体" w:hAnsi="宋体" w:eastAsia="宋体" w:cs="Times New Roman"/>
          <w:kern w:val="0"/>
          <w:szCs w:val="24"/>
        </w:rPr>
        <w:t>(</w:t>
      </w:r>
      <w:r>
        <w:rPr>
          <w:rFonts w:ascii="宋体" w:hAnsi="宋体" w:eastAsia="宋体" w:cs="Times New Roman"/>
          <w:kern w:val="0"/>
          <w:szCs w:val="24"/>
        </w:rPr>
        <w:t>如果有</w:t>
      </w:r>
      <w:r>
        <w:rPr>
          <w:rFonts w:hint="eastAsia" w:ascii="宋体" w:hAnsi="宋体" w:eastAsia="宋体" w:cs="Times New Roman"/>
          <w:kern w:val="0"/>
          <w:szCs w:val="24"/>
        </w:rPr>
        <w:t>)应按规定</w:t>
      </w:r>
      <w:r>
        <w:rPr>
          <w:rFonts w:ascii="宋体" w:hAnsi="宋体" w:eastAsia="宋体" w:cs="Times New Roman"/>
          <w:kern w:val="0"/>
          <w:szCs w:val="24"/>
        </w:rPr>
        <w:t>经过</w:t>
      </w:r>
      <w:r>
        <w:rPr>
          <w:rFonts w:hint="eastAsia" w:ascii="宋体" w:hAnsi="宋体" w:eastAsia="宋体" w:cs="Times New Roman"/>
          <w:kern w:val="0"/>
          <w:szCs w:val="24"/>
        </w:rPr>
        <w:t>政府指定机构</w:t>
      </w:r>
      <w:r>
        <w:rPr>
          <w:rFonts w:ascii="宋体" w:hAnsi="宋体" w:eastAsia="宋体" w:cs="Times New Roman"/>
          <w:kern w:val="0"/>
          <w:szCs w:val="24"/>
        </w:rPr>
        <w:t>评审</w:t>
      </w:r>
      <w:r>
        <w:rPr>
          <w:rFonts w:hint="eastAsia" w:ascii="宋体" w:hAnsi="宋体" w:eastAsia="宋体" w:cs="Times New Roman"/>
          <w:kern w:val="0"/>
          <w:szCs w:val="24"/>
        </w:rPr>
        <w:t>或审核</w:t>
      </w:r>
      <w:r>
        <w:rPr>
          <w:rFonts w:ascii="宋体" w:hAnsi="宋体" w:eastAsia="宋体" w:cs="Times New Roman"/>
          <w:kern w:val="0"/>
          <w:szCs w:val="24"/>
        </w:rPr>
        <w:t>。</w:t>
      </w:r>
      <w:r>
        <w:rPr>
          <w:rFonts w:hint="eastAsia" w:ascii="宋体" w:hAnsi="宋体" w:eastAsia="宋体" w:cs="Times New Roman"/>
          <w:kern w:val="0"/>
          <w:szCs w:val="24"/>
        </w:rPr>
        <w:t>最终的竣工结算和支付依据按</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约定执行。</w:t>
      </w:r>
    </w:p>
    <w:p w14:paraId="5D97B9EC">
      <w:pPr>
        <w:tabs>
          <w:tab w:val="left" w:pos="1620"/>
          <w:tab w:val="left" w:pos="2340"/>
        </w:tabs>
        <w:spacing w:before="156"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(3)政府指定机构的</w:t>
      </w:r>
      <w:r>
        <w:rPr>
          <w:rFonts w:ascii="宋体" w:hAnsi="宋体" w:eastAsia="宋体" w:cs="Times New Roman"/>
          <w:kern w:val="0"/>
          <w:szCs w:val="24"/>
        </w:rPr>
        <w:t>评审</w:t>
      </w:r>
      <w:r>
        <w:rPr>
          <w:rFonts w:hint="eastAsia" w:ascii="宋体" w:hAnsi="宋体" w:eastAsia="宋体" w:cs="Times New Roman"/>
          <w:kern w:val="0"/>
          <w:szCs w:val="24"/>
        </w:rPr>
        <w:t>或审核</w:t>
      </w:r>
      <w:r>
        <w:rPr>
          <w:rFonts w:ascii="宋体" w:hAnsi="宋体" w:eastAsia="宋体" w:cs="Times New Roman"/>
          <w:kern w:val="0"/>
          <w:szCs w:val="24"/>
        </w:rPr>
        <w:t>包括合同履行期间的过程评审</w:t>
      </w:r>
      <w:r>
        <w:rPr>
          <w:rFonts w:hint="eastAsia" w:ascii="宋体" w:hAnsi="宋体" w:eastAsia="宋体" w:cs="Times New Roman"/>
          <w:kern w:val="0"/>
          <w:szCs w:val="24"/>
        </w:rPr>
        <w:t>或审核、工程完工后的</w:t>
      </w:r>
      <w:r>
        <w:rPr>
          <w:rFonts w:ascii="宋体" w:hAnsi="宋体" w:eastAsia="宋体" w:cs="Times New Roman"/>
          <w:kern w:val="0"/>
          <w:szCs w:val="24"/>
        </w:rPr>
        <w:t>竣工结算评审</w:t>
      </w:r>
      <w:r>
        <w:rPr>
          <w:rFonts w:hint="eastAsia" w:ascii="宋体" w:hAnsi="宋体" w:eastAsia="宋体" w:cs="Times New Roman"/>
          <w:kern w:val="0"/>
          <w:szCs w:val="24"/>
        </w:rPr>
        <w:t>或审核</w:t>
      </w:r>
      <w:r>
        <w:rPr>
          <w:rFonts w:ascii="宋体" w:hAnsi="宋体" w:eastAsia="宋体" w:cs="Times New Roman"/>
          <w:kern w:val="0"/>
          <w:szCs w:val="24"/>
        </w:rPr>
        <w:t>。</w:t>
      </w:r>
      <w:r>
        <w:rPr>
          <w:rFonts w:hint="eastAsia" w:ascii="宋体" w:hAnsi="宋体" w:eastAsia="宋体" w:cs="Times New Roman"/>
          <w:kern w:val="0"/>
          <w:szCs w:val="24"/>
        </w:rPr>
        <w:t>发包人和</w:t>
      </w:r>
      <w:r>
        <w:rPr>
          <w:rFonts w:ascii="宋体" w:hAnsi="宋体" w:eastAsia="宋体" w:cs="Times New Roman"/>
          <w:kern w:val="0"/>
          <w:szCs w:val="24"/>
        </w:rPr>
        <w:t>承包人</w:t>
      </w:r>
      <w:r>
        <w:rPr>
          <w:rFonts w:hint="eastAsia" w:ascii="宋体" w:hAnsi="宋体" w:eastAsia="宋体" w:cs="Times New Roman"/>
          <w:kern w:val="0"/>
          <w:szCs w:val="24"/>
        </w:rPr>
        <w:t>均</w:t>
      </w:r>
      <w:r>
        <w:rPr>
          <w:rFonts w:ascii="宋体" w:hAnsi="宋体" w:eastAsia="宋体" w:cs="Times New Roman"/>
          <w:kern w:val="0"/>
          <w:szCs w:val="24"/>
        </w:rPr>
        <w:t>不得拒绝</w:t>
      </w:r>
      <w:r>
        <w:rPr>
          <w:rFonts w:hint="eastAsia" w:ascii="宋体" w:hAnsi="宋体" w:eastAsia="宋体" w:cs="Times New Roman"/>
          <w:kern w:val="0"/>
          <w:szCs w:val="24"/>
        </w:rPr>
        <w:t>政府指定机构的任何监管</w:t>
      </w:r>
      <w:r>
        <w:rPr>
          <w:rFonts w:ascii="宋体" w:hAnsi="宋体" w:eastAsia="宋体" w:cs="Times New Roman"/>
          <w:kern w:val="0"/>
          <w:szCs w:val="24"/>
        </w:rPr>
        <w:t>，必须充分配合</w:t>
      </w:r>
      <w:r>
        <w:rPr>
          <w:rFonts w:hint="eastAsia" w:ascii="宋体" w:hAnsi="宋体" w:eastAsia="宋体" w:cs="Times New Roman"/>
          <w:kern w:val="0"/>
          <w:szCs w:val="24"/>
        </w:rPr>
        <w:t>评审或审核</w:t>
      </w:r>
      <w:r>
        <w:rPr>
          <w:rFonts w:ascii="宋体" w:hAnsi="宋体" w:eastAsia="宋体" w:cs="Times New Roman"/>
          <w:kern w:val="0"/>
          <w:szCs w:val="24"/>
        </w:rPr>
        <w:t>，不得拖延。</w:t>
      </w:r>
    </w:p>
    <w:p w14:paraId="68B39ED6">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445" w:name="_Toc11063"/>
      <w:bookmarkStart w:id="3446" w:name="_Toc201735451"/>
      <w:bookmarkStart w:id="3447" w:name="_Toc19090"/>
      <w:bookmarkStart w:id="3448" w:name="_Toc14924"/>
      <w:bookmarkStart w:id="3449" w:name="_Toc305331394"/>
      <w:bookmarkStart w:id="3450" w:name="_Toc1901461036"/>
      <w:bookmarkStart w:id="3451" w:name="_Toc9004"/>
      <w:bookmarkStart w:id="3452" w:name="_Toc3327"/>
      <w:bookmarkStart w:id="3453" w:name="_Toc5511"/>
      <w:bookmarkStart w:id="3454" w:name="_Toc302635891"/>
      <w:bookmarkStart w:id="3455" w:name="_Toc28870"/>
      <w:bookmarkStart w:id="3456" w:name="_Toc208587677"/>
      <w:bookmarkStart w:id="3457" w:name="_Toc23824"/>
      <w:bookmarkStart w:id="3458" w:name="_Toc2181"/>
      <w:bookmarkStart w:id="3459" w:name="_Toc7825"/>
      <w:r>
        <w:rPr>
          <w:rFonts w:hint="eastAsia" w:ascii="宋体" w:hAnsi="宋体" w:eastAsia="宋体" w:cs="Times New Roman"/>
          <w:b/>
          <w:bCs/>
          <w:kern w:val="0"/>
          <w:sz w:val="24"/>
          <w:szCs w:val="24"/>
          <w:lang w:val="en-US" w:eastAsia="zh-CN" w:bidi="ar-SA"/>
        </w:rPr>
        <w:t>竣工结算支付</w:t>
      </w:r>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p>
    <w:p w14:paraId="470C9C8A">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(1)在按28.6款竣工结算</w:t>
      </w:r>
      <w:r>
        <w:rPr>
          <w:rFonts w:ascii="宋体" w:hAnsi="宋体" w:eastAsia="宋体" w:cs="Times New Roman"/>
          <w:kern w:val="0"/>
          <w:szCs w:val="24"/>
        </w:rPr>
        <w:t>评审</w:t>
      </w:r>
      <w:r>
        <w:rPr>
          <w:rFonts w:hint="eastAsia" w:ascii="宋体" w:hAnsi="宋体" w:eastAsia="宋体" w:cs="Times New Roman"/>
          <w:kern w:val="0"/>
          <w:szCs w:val="24"/>
        </w:rPr>
        <w:t>或审核完毕后7天内，监理</w:t>
      </w:r>
      <w:r>
        <w:rPr>
          <w:rFonts w:ascii="宋体" w:hAnsi="宋体" w:eastAsia="宋体" w:cs="Times New Roman"/>
          <w:kern w:val="0"/>
          <w:szCs w:val="24"/>
        </w:rPr>
        <w:t>人</w:t>
      </w:r>
      <w:r>
        <w:rPr>
          <w:rFonts w:hint="eastAsia" w:ascii="宋体" w:hAnsi="宋体" w:eastAsia="宋体" w:cs="Times New Roman"/>
          <w:kern w:val="0"/>
          <w:szCs w:val="24"/>
        </w:rPr>
        <w:t>应向承包人送交经发包人签发的竣工支付证书。竣工支付证书中应载明</w:t>
      </w:r>
      <w:bookmarkEnd w:id="3444"/>
      <w:r>
        <w:rPr>
          <w:rFonts w:hint="eastAsia" w:ascii="宋体" w:hAnsi="宋体" w:eastAsia="宋体" w:cs="Times New Roman"/>
          <w:kern w:val="0"/>
          <w:szCs w:val="24"/>
        </w:rPr>
        <w:t>按照经确认的工程竣工结算价款及根据合同约定最后应支付给承包人的价款。</w:t>
      </w:r>
    </w:p>
    <w:p w14:paraId="0DE03348">
      <w:pPr>
        <w:tabs>
          <w:tab w:val="left" w:pos="1620"/>
          <w:tab w:val="left" w:pos="2340"/>
        </w:tabs>
        <w:spacing w:before="156" w:after="156"/>
        <w:ind w:left="899"/>
        <w:jc w:val="left"/>
        <w:rPr>
          <w:rFonts w:ascii="宋体" w:hAnsi="宋体" w:eastAsia="宋体" w:cs="Times New Roman"/>
          <w:kern w:val="0"/>
          <w:szCs w:val="24"/>
        </w:rPr>
      </w:pPr>
      <w:bookmarkStart w:id="3460" w:name="_Toc34909129"/>
      <w:r>
        <w:rPr>
          <w:rFonts w:hint="eastAsia" w:ascii="宋体" w:hAnsi="宋体" w:eastAsia="宋体" w:cs="Times New Roman"/>
          <w:kern w:val="0"/>
          <w:szCs w:val="24"/>
        </w:rPr>
        <w:t>(2)发包人应在确认竣工支付证书后14天内向承包人支付本工程竣工结算价款。</w:t>
      </w:r>
      <w:bookmarkEnd w:id="3460"/>
    </w:p>
    <w:p w14:paraId="3AE3DDAB">
      <w:pPr>
        <w:tabs>
          <w:tab w:val="left" w:pos="1620"/>
          <w:tab w:val="left" w:pos="2340"/>
        </w:tabs>
        <w:spacing w:before="156" w:after="156"/>
        <w:ind w:left="899"/>
        <w:jc w:val="left"/>
        <w:rPr>
          <w:rFonts w:ascii="宋体" w:hAnsi="宋体" w:eastAsia="宋体" w:cs="Times New Roman"/>
          <w:kern w:val="0"/>
          <w:szCs w:val="24"/>
        </w:rPr>
      </w:pPr>
      <w:bookmarkStart w:id="3461" w:name="_Toc34909130"/>
      <w:r>
        <w:rPr>
          <w:rFonts w:hint="eastAsia" w:ascii="宋体" w:hAnsi="宋体" w:eastAsia="宋体" w:cs="Times New Roman"/>
          <w:kern w:val="0"/>
          <w:szCs w:val="24"/>
        </w:rPr>
        <w:t>(3)发包人在签发竣工结算价款后14天内无正当理由不支付工程竣工结算价款，从第15天起按全国银行间同业拆借中心公布的基准市场报价利率（LPR）支付拖欠工程价款的贷款利息，并承担第29.1款(2)项约定的违约责任。承包人可以催告发包人支付结算价款，如双方达成延期支付协议，发包人应按全国银行间同业拆借中心公布的基准市场报价利率（LPR）支付拖欠工程价款的利息。</w:t>
      </w:r>
      <w:bookmarkEnd w:id="3461"/>
    </w:p>
    <w:p w14:paraId="56DE5BA4">
      <w:pPr>
        <w:tabs>
          <w:tab w:val="left" w:pos="1620"/>
          <w:tab w:val="left" w:pos="2340"/>
        </w:tabs>
        <w:spacing w:before="156" w:after="0"/>
        <w:ind w:left="899"/>
        <w:jc w:val="left"/>
        <w:rPr>
          <w:rFonts w:hint="eastAsia" w:ascii="宋体" w:hAnsi="宋体" w:eastAsia="宋体" w:cs="Times New Roman"/>
          <w:kern w:val="0"/>
          <w:szCs w:val="24"/>
        </w:rPr>
      </w:pPr>
      <w:bookmarkStart w:id="3462" w:name="_Toc34909131"/>
      <w:bookmarkStart w:id="3463" w:name="_Toc4907"/>
      <w:r>
        <w:rPr>
          <w:rFonts w:hint="eastAsia" w:ascii="宋体" w:hAnsi="宋体" w:eastAsia="宋体" w:cs="Times New Roman"/>
          <w:kern w:val="0"/>
          <w:szCs w:val="24"/>
        </w:rPr>
        <w:t>(4)有关本工程竣工结算的文件的编制和核均须经注册造价工程师签字盖章确认。</w:t>
      </w:r>
      <w:bookmarkEnd w:id="3462"/>
      <w:bookmarkEnd w:id="3463"/>
    </w:p>
    <w:p w14:paraId="522B723F">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464" w:name="_Toc1916"/>
      <w:bookmarkStart w:id="3465" w:name="_Toc302635892"/>
      <w:bookmarkStart w:id="3466" w:name="_Toc16615"/>
      <w:bookmarkStart w:id="3467" w:name="_Toc14664"/>
      <w:bookmarkStart w:id="3468" w:name="_Toc20826"/>
      <w:bookmarkStart w:id="3469" w:name="_Toc201735452"/>
      <w:bookmarkStart w:id="3470" w:name="_Toc25024"/>
      <w:bookmarkStart w:id="3471" w:name="_Toc23235"/>
      <w:bookmarkStart w:id="3472" w:name="_Toc13392"/>
      <w:bookmarkStart w:id="3473" w:name="_Toc11765"/>
      <w:bookmarkStart w:id="3474" w:name="_Toc208587678"/>
      <w:bookmarkStart w:id="3475" w:name="_Toc2001467206"/>
      <w:bookmarkStart w:id="3476" w:name="_Toc21568"/>
      <w:bookmarkStart w:id="3477" w:name="_Toc26264"/>
      <w:r>
        <w:rPr>
          <w:rFonts w:hint="eastAsia" w:ascii="宋体" w:hAnsi="宋体" w:eastAsia="宋体" w:cs="Times New Roman"/>
          <w:b/>
          <w:bCs/>
          <w:kern w:val="0"/>
          <w:sz w:val="24"/>
          <w:szCs w:val="24"/>
          <w:lang w:val="en-US" w:eastAsia="zh-CN" w:bidi="ar-SA"/>
        </w:rPr>
        <w:t>最终结清申请</w:t>
      </w:r>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p>
    <w:p w14:paraId="567572D8">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除</w:t>
      </w:r>
      <w:r>
        <w:rPr>
          <w:rFonts w:ascii="宋体" w:hAnsi="宋体" w:eastAsia="宋体" w:cs="Times New Roman"/>
          <w:b/>
          <w:i/>
          <w:kern w:val="0"/>
          <w:szCs w:val="24"/>
        </w:rPr>
        <w:t>专用条款</w:t>
      </w:r>
      <w:r>
        <w:rPr>
          <w:rFonts w:ascii="宋体" w:hAnsi="宋体" w:eastAsia="宋体" w:cs="Times New Roman"/>
          <w:kern w:val="0"/>
          <w:szCs w:val="24"/>
        </w:rPr>
        <w:t>另有约定外，承包人应在缺陷责任期终止证书颁发后7天内，按</w:t>
      </w:r>
      <w:r>
        <w:rPr>
          <w:rFonts w:ascii="宋体" w:hAnsi="宋体" w:eastAsia="宋体" w:cs="Times New Roman"/>
          <w:b/>
          <w:i/>
          <w:kern w:val="0"/>
          <w:szCs w:val="24"/>
        </w:rPr>
        <w:t>专用条款</w:t>
      </w:r>
      <w:r>
        <w:rPr>
          <w:rFonts w:ascii="宋体" w:hAnsi="宋体" w:eastAsia="宋体" w:cs="Times New Roman"/>
          <w:kern w:val="0"/>
          <w:szCs w:val="24"/>
        </w:rPr>
        <w:t>约定的份数向发包人提交最终结清申请单，并提供相关证明材料。</w:t>
      </w:r>
    </w:p>
    <w:p w14:paraId="3E9F0137">
      <w:pPr>
        <w:tabs>
          <w:tab w:val="left" w:pos="1620"/>
          <w:tab w:val="left" w:pos="2340"/>
        </w:tabs>
        <w:spacing w:before="156" w:after="156"/>
        <w:ind w:left="899"/>
        <w:jc w:val="left"/>
        <w:rPr>
          <w:rFonts w:ascii="宋体" w:hAnsi="宋体" w:eastAsia="宋体" w:cs="Times New Roman"/>
          <w:kern w:val="0"/>
          <w:szCs w:val="24"/>
        </w:rPr>
      </w:pPr>
      <w:r>
        <w:rPr>
          <w:rFonts w:ascii="宋体" w:hAnsi="宋体" w:eastAsia="宋体" w:cs="Times New Roman"/>
          <w:kern w:val="0"/>
          <w:szCs w:val="24"/>
        </w:rPr>
        <w:t>除</w:t>
      </w:r>
      <w:r>
        <w:rPr>
          <w:rFonts w:ascii="宋体" w:hAnsi="宋体" w:eastAsia="宋体" w:cs="Times New Roman"/>
          <w:b/>
          <w:i/>
          <w:kern w:val="0"/>
          <w:szCs w:val="24"/>
        </w:rPr>
        <w:t>专用条款</w:t>
      </w:r>
      <w:r>
        <w:rPr>
          <w:rFonts w:ascii="宋体" w:hAnsi="宋体" w:eastAsia="宋体" w:cs="Times New Roman"/>
          <w:kern w:val="0"/>
          <w:szCs w:val="24"/>
        </w:rPr>
        <w:t>另有约定外，最终结清申请单应列明质量保证金、应扣除的质量保证金、缺陷责任期内发生的增减费用。</w:t>
      </w:r>
    </w:p>
    <w:p w14:paraId="04C79381">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发包人对最终结清申请单内容有异议的，有权要求承包人进行修正和提供补充资料，承包人应向发包人提交修正后的最终结清申请单。</w:t>
      </w:r>
    </w:p>
    <w:p w14:paraId="1F2C8535">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478" w:name="_Toc201735453"/>
      <w:bookmarkStart w:id="3479" w:name="_Toc1496"/>
      <w:bookmarkStart w:id="3480" w:name="_Toc23353"/>
      <w:bookmarkStart w:id="3481" w:name="_Toc15770"/>
      <w:bookmarkStart w:id="3482" w:name="_Toc87"/>
      <w:bookmarkStart w:id="3483" w:name="_Toc302635893"/>
      <w:bookmarkStart w:id="3484" w:name="_Toc465332707"/>
      <w:bookmarkStart w:id="3485" w:name="_Toc7829"/>
      <w:bookmarkStart w:id="3486" w:name="_Toc208587679"/>
      <w:bookmarkStart w:id="3487" w:name="_Toc10947"/>
      <w:bookmarkStart w:id="3488" w:name="_Toc10470"/>
      <w:bookmarkStart w:id="3489" w:name="_Toc10850"/>
      <w:bookmarkStart w:id="3490" w:name="_Toc31250"/>
      <w:bookmarkStart w:id="3491" w:name="_Toc16047"/>
      <w:r>
        <w:rPr>
          <w:rFonts w:ascii="宋体" w:hAnsi="宋体" w:eastAsia="宋体" w:cs="Times New Roman"/>
          <w:b/>
          <w:bCs/>
          <w:kern w:val="0"/>
          <w:sz w:val="24"/>
          <w:szCs w:val="24"/>
          <w:lang w:val="en-US" w:eastAsia="zh-CN" w:bidi="ar-SA"/>
        </w:rPr>
        <w:t>最终结清证书和支付</w:t>
      </w:r>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p>
    <w:p w14:paraId="2B4E557F">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除</w:t>
      </w:r>
      <w:r>
        <w:rPr>
          <w:rFonts w:ascii="宋体" w:hAnsi="宋体" w:eastAsia="宋体" w:cs="Times New Roman"/>
          <w:b/>
          <w:i/>
          <w:kern w:val="0"/>
          <w:szCs w:val="24"/>
        </w:rPr>
        <w:t>专用条款</w:t>
      </w:r>
      <w:r>
        <w:rPr>
          <w:rFonts w:ascii="宋体" w:hAnsi="宋体" w:eastAsia="宋体" w:cs="Times New Roman"/>
          <w:kern w:val="0"/>
          <w:szCs w:val="24"/>
        </w:rPr>
        <w:t>另有约定外，发包人应在收到承包人提交的最终结清申请单后14天内完成审批并向承包人颁发最终结清证书。发包人逾期未完成</w:t>
      </w:r>
      <w:r>
        <w:rPr>
          <w:rFonts w:hint="eastAsia" w:ascii="宋体" w:hAnsi="宋体" w:eastAsia="宋体" w:cs="Times New Roman"/>
          <w:kern w:val="0"/>
          <w:szCs w:val="24"/>
        </w:rPr>
        <w:t>审批</w:t>
      </w:r>
      <w:r>
        <w:rPr>
          <w:rFonts w:ascii="宋体" w:hAnsi="宋体" w:eastAsia="宋体" w:cs="Times New Roman"/>
          <w:kern w:val="0"/>
          <w:szCs w:val="24"/>
        </w:rPr>
        <w:t>，又未提出修改意见的，视为发包人同意承包人提交的最终结清申请单，且自发包人收到承包人提交的最终结清申请单后15天起视为已颁发最终结清证书。</w:t>
      </w:r>
    </w:p>
    <w:p w14:paraId="0852A50D">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除</w:t>
      </w:r>
      <w:r>
        <w:rPr>
          <w:rFonts w:ascii="宋体" w:hAnsi="宋体" w:eastAsia="宋体" w:cs="Times New Roman"/>
          <w:b/>
          <w:i/>
          <w:kern w:val="0"/>
          <w:szCs w:val="24"/>
        </w:rPr>
        <w:t>专用条款</w:t>
      </w:r>
      <w:r>
        <w:rPr>
          <w:rFonts w:ascii="宋体" w:hAnsi="宋体" w:eastAsia="宋体" w:cs="Times New Roman"/>
          <w:kern w:val="0"/>
          <w:szCs w:val="24"/>
        </w:rPr>
        <w:t>另有约定外，发包人应在颁发最终结清证书后7天内完成支付。发包人逾期支付的，</w:t>
      </w:r>
      <w:r>
        <w:rPr>
          <w:rFonts w:hint="eastAsia" w:ascii="宋体" w:hAnsi="宋体" w:eastAsia="宋体" w:cs="Times New Roman"/>
          <w:kern w:val="0"/>
          <w:szCs w:val="24"/>
        </w:rPr>
        <w:t>按照全国银行间同业拆借中心公布的基准市场报价利率（LPR）支付拖欠最终结清价款的贷款利息，并</w:t>
      </w:r>
      <w:r>
        <w:rPr>
          <w:rFonts w:ascii="宋体" w:hAnsi="宋体" w:eastAsia="宋体" w:cs="Times New Roman"/>
          <w:kern w:val="0"/>
          <w:szCs w:val="24"/>
        </w:rPr>
        <w:t>按照</w:t>
      </w:r>
      <w:r>
        <w:rPr>
          <w:rFonts w:hint="eastAsia" w:ascii="宋体" w:hAnsi="宋体" w:eastAsia="宋体" w:cs="Times New Roman"/>
          <w:kern w:val="0"/>
          <w:szCs w:val="24"/>
        </w:rPr>
        <w:t>全国银行间同业拆借中心公布的基准市场报价利率（LPR）</w:t>
      </w:r>
      <w:r>
        <w:rPr>
          <w:rFonts w:ascii="宋体" w:hAnsi="宋体" w:eastAsia="宋体" w:cs="Times New Roman"/>
          <w:kern w:val="0"/>
          <w:szCs w:val="24"/>
        </w:rPr>
        <w:t>支付违约金；逾期支付超过56天的，按照中国</w:t>
      </w:r>
      <w:r>
        <w:rPr>
          <w:rFonts w:hint="eastAsia" w:ascii="宋体" w:hAnsi="宋体" w:eastAsia="宋体" w:cs="Times New Roman"/>
          <w:kern w:val="0"/>
          <w:szCs w:val="24"/>
        </w:rPr>
        <w:t>全国银行间同业拆借中心公布的基准市场报价利率（LPR）</w:t>
      </w:r>
      <w:r>
        <w:rPr>
          <w:rFonts w:ascii="宋体" w:hAnsi="宋体" w:eastAsia="宋体" w:cs="Times New Roman"/>
          <w:kern w:val="0"/>
          <w:szCs w:val="24"/>
        </w:rPr>
        <w:t>的两倍支付违约金。</w:t>
      </w:r>
    </w:p>
    <w:p w14:paraId="333BF95B">
      <w:pPr>
        <w:tabs>
          <w:tab w:val="left" w:pos="1620"/>
          <w:tab w:val="left" w:pos="2340"/>
        </w:tabs>
        <w:spacing w:before="156" w:after="156"/>
        <w:ind w:left="899"/>
        <w:jc w:val="left"/>
        <w:rPr>
          <w:rFonts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承包人对发包人颁发的最终结清证书有异议的，按第</w:t>
      </w:r>
      <w:r>
        <w:rPr>
          <w:rFonts w:hint="eastAsia" w:ascii="宋体" w:hAnsi="宋体" w:eastAsia="宋体" w:cs="Times New Roman"/>
          <w:kern w:val="0"/>
          <w:szCs w:val="24"/>
        </w:rPr>
        <w:t>31</w:t>
      </w:r>
      <w:r>
        <w:rPr>
          <w:rFonts w:ascii="宋体" w:hAnsi="宋体" w:eastAsia="宋体" w:cs="Times New Roman"/>
          <w:kern w:val="0"/>
          <w:szCs w:val="24"/>
        </w:rPr>
        <w:t>条</w:t>
      </w:r>
      <w:r>
        <w:rPr>
          <w:rFonts w:hint="eastAsia" w:ascii="宋体" w:hAnsi="宋体" w:eastAsia="宋体" w:cs="Times New Roman"/>
          <w:kern w:val="0"/>
          <w:szCs w:val="24"/>
        </w:rPr>
        <w:t>【</w:t>
      </w:r>
      <w:r>
        <w:rPr>
          <w:rFonts w:ascii="宋体" w:hAnsi="宋体" w:eastAsia="宋体" w:cs="Times New Roman"/>
          <w:kern w:val="0"/>
          <w:szCs w:val="24"/>
        </w:rPr>
        <w:t>争议解决</w:t>
      </w:r>
      <w:r>
        <w:rPr>
          <w:rFonts w:hint="eastAsia" w:ascii="宋体" w:hAnsi="宋体" w:eastAsia="宋体" w:cs="Times New Roman"/>
          <w:kern w:val="0"/>
          <w:szCs w:val="24"/>
        </w:rPr>
        <w:t>】</w:t>
      </w:r>
      <w:r>
        <w:rPr>
          <w:rFonts w:ascii="宋体" w:hAnsi="宋体" w:eastAsia="宋体" w:cs="Times New Roman"/>
          <w:kern w:val="0"/>
          <w:szCs w:val="24"/>
        </w:rPr>
        <w:t>的约定</w:t>
      </w:r>
      <w:r>
        <w:rPr>
          <w:rFonts w:hint="eastAsia" w:ascii="宋体" w:hAnsi="宋体" w:eastAsia="宋体" w:cs="Times New Roman"/>
          <w:kern w:val="0"/>
          <w:szCs w:val="24"/>
        </w:rPr>
        <w:t>处</w:t>
      </w:r>
      <w:r>
        <w:rPr>
          <w:rFonts w:ascii="宋体" w:hAnsi="宋体" w:eastAsia="宋体" w:cs="Times New Roman"/>
          <w:kern w:val="0"/>
          <w:szCs w:val="24"/>
        </w:rPr>
        <w:t>理。</w:t>
      </w:r>
    </w:p>
    <w:p w14:paraId="62AE452A">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3492" w:name="_Toc30972"/>
      <w:bookmarkStart w:id="3493" w:name="_Toc201735454"/>
      <w:bookmarkStart w:id="3494" w:name="_Toc35657001"/>
      <w:bookmarkStart w:id="3495" w:name="_Toc4508"/>
      <w:bookmarkStart w:id="3496" w:name="_Toc208587680"/>
      <w:bookmarkStart w:id="3497" w:name="_Toc39900946"/>
      <w:bookmarkStart w:id="3498" w:name="_Toc34909133"/>
      <w:bookmarkStart w:id="3499" w:name="_Toc24886"/>
      <w:bookmarkStart w:id="3500" w:name="_Toc302635894"/>
      <w:bookmarkStart w:id="3501" w:name="_Toc23598"/>
      <w:bookmarkStart w:id="3502" w:name="_Toc16946"/>
      <w:bookmarkStart w:id="3503" w:name="_Toc12854"/>
      <w:bookmarkStart w:id="3504" w:name="_Toc305331395"/>
      <w:bookmarkStart w:id="3505" w:name="_Toc31329"/>
      <w:bookmarkStart w:id="3506" w:name="_Toc9659"/>
      <w:bookmarkStart w:id="3507" w:name="_Toc3208"/>
      <w:bookmarkStart w:id="3508" w:name="_Toc15767"/>
      <w:bookmarkStart w:id="3509" w:name="_Toc35656499"/>
      <w:r>
        <w:rPr>
          <w:rFonts w:hint="eastAsia" w:ascii="华文细黑" w:hAnsi="宋体" w:eastAsia="宋体" w:cs="Times New Roman"/>
          <w:b/>
          <w:bCs/>
          <w:snapToGrid w:val="0"/>
          <w:kern w:val="0"/>
          <w:sz w:val="28"/>
          <w:szCs w:val="44"/>
          <w:lang w:val="en-US" w:eastAsia="zh-CN" w:bidi="ar-SA"/>
        </w:rPr>
        <w:t>违约</w:t>
      </w:r>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p>
    <w:p w14:paraId="0B2606C1">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510" w:name="_Toc11656"/>
      <w:bookmarkStart w:id="3511" w:name="_Toc333563759"/>
      <w:bookmarkStart w:id="3512" w:name="_Toc17949"/>
      <w:bookmarkStart w:id="3513" w:name="_Toc26178"/>
      <w:bookmarkStart w:id="3514" w:name="_Toc6441"/>
      <w:bookmarkStart w:id="3515" w:name="_Toc8106"/>
      <w:bookmarkStart w:id="3516" w:name="_Toc22317"/>
      <w:bookmarkStart w:id="3517" w:name="_Toc8252"/>
      <w:bookmarkStart w:id="3518" w:name="_Toc305331396"/>
      <w:bookmarkStart w:id="3519" w:name="_Toc10254"/>
      <w:bookmarkStart w:id="3520" w:name="_Toc302635895"/>
      <w:bookmarkStart w:id="3521" w:name="_Toc25496"/>
      <w:bookmarkStart w:id="3522" w:name="_Toc208587681"/>
      <w:bookmarkStart w:id="3523" w:name="_Toc201735455"/>
      <w:bookmarkStart w:id="3524" w:name="_Toc3581"/>
      <w:bookmarkStart w:id="3525" w:name="_Toc34909134"/>
      <w:r>
        <w:rPr>
          <w:rFonts w:hint="eastAsia" w:ascii="宋体" w:hAnsi="宋体" w:eastAsia="宋体" w:cs="Times New Roman"/>
          <w:b/>
          <w:bCs/>
          <w:kern w:val="0"/>
          <w:sz w:val="24"/>
          <w:szCs w:val="24"/>
          <w:lang w:val="en-US" w:eastAsia="zh-CN" w:bidi="ar-SA"/>
        </w:rPr>
        <w:t>发包人违约</w:t>
      </w:r>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p>
    <w:p w14:paraId="0BA47E7C">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发包人不履行合同义务或不按合同约定履行义务，应承担因其违约给承包人增加的费用和（或）延误的工期，并支付承包人合理的利润。当发生下列情况时，发包人应</w:t>
      </w:r>
      <w:bookmarkEnd w:id="3525"/>
      <w:r>
        <w:rPr>
          <w:rFonts w:hint="eastAsia" w:ascii="宋体" w:hAnsi="宋体" w:eastAsia="宋体" w:cs="Times New Roman"/>
          <w:kern w:val="0"/>
          <w:szCs w:val="24"/>
        </w:rPr>
        <w:t>承担违约责任，发承包双方应在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中约定违约责任的承担方式、计算方法及违约金上限。</w:t>
      </w:r>
    </w:p>
    <w:p w14:paraId="2AEECE91">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因发包人原因未能在计划开工日期前7天下达开工通知的；</w:t>
      </w:r>
    </w:p>
    <w:p w14:paraId="792A6458">
      <w:pPr>
        <w:tabs>
          <w:tab w:val="left" w:pos="1620"/>
          <w:tab w:val="left" w:pos="2340"/>
        </w:tabs>
        <w:ind w:left="869" w:leftChars="414"/>
        <w:jc w:val="left"/>
        <w:rPr>
          <w:rFonts w:hint="eastAsia" w:ascii="宋体" w:hAnsi="宋体" w:eastAsia="宋体" w:cs="Times New Roman"/>
          <w:kern w:val="0"/>
          <w:szCs w:val="24"/>
        </w:rPr>
      </w:pPr>
      <w:r>
        <w:rPr>
          <w:rFonts w:hint="eastAsia" w:ascii="宋体" w:hAnsi="宋体" w:eastAsia="宋体" w:cs="Times New Roman"/>
          <w:kern w:val="0"/>
          <w:szCs w:val="24"/>
        </w:rPr>
        <w:t>(2)发包人不按时支付工程预付款、工程进度款、工程过程结算款、工程竣工结算款；</w:t>
      </w:r>
    </w:p>
    <w:p w14:paraId="28452F59">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发包人提供的材料、工程设备的规格、数量或质量不符合合同约定，或因发包人原因导致交货日期延误或交货地点变更等情况的；</w:t>
      </w:r>
    </w:p>
    <w:p w14:paraId="37B1A76F">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(4)</w:t>
      </w:r>
      <w:r>
        <w:rPr>
          <w:rFonts w:ascii="宋体" w:hAnsi="宋体" w:eastAsia="宋体" w:cs="Times New Roman"/>
          <w:kern w:val="0"/>
          <w:szCs w:val="24"/>
        </w:rPr>
        <w:t>因发包人违反合同约定造成暂停施工的；</w:t>
      </w:r>
    </w:p>
    <w:p w14:paraId="7576E5FC">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(5)</w:t>
      </w:r>
      <w:r>
        <w:rPr>
          <w:rFonts w:ascii="宋体" w:hAnsi="宋体" w:eastAsia="宋体" w:cs="Times New Roman"/>
          <w:kern w:val="0"/>
          <w:szCs w:val="24"/>
        </w:rPr>
        <w:t>发包人无正当理由没有在约定期限内发出复工指示，导致承包人无法复工的；</w:t>
      </w:r>
    </w:p>
    <w:p w14:paraId="0A00F8FE">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(6)</w:t>
      </w:r>
      <w:r>
        <w:rPr>
          <w:rFonts w:ascii="宋体" w:hAnsi="宋体" w:eastAsia="宋体" w:cs="Times New Roman"/>
          <w:kern w:val="0"/>
          <w:szCs w:val="24"/>
        </w:rPr>
        <w:t>发包人明确表示或者以其行为表明不履行合同主要义务的；</w:t>
      </w:r>
    </w:p>
    <w:p w14:paraId="43CD04E7">
      <w:pPr>
        <w:tabs>
          <w:tab w:val="left" w:pos="1620"/>
          <w:tab w:val="left" w:pos="2340"/>
        </w:tabs>
        <w:ind w:left="869" w:leftChars="414"/>
        <w:jc w:val="left"/>
        <w:rPr>
          <w:rFonts w:hint="eastAsia" w:ascii="宋体" w:hAnsi="宋体" w:eastAsia="宋体" w:cs="Times New Roman"/>
          <w:kern w:val="0"/>
          <w:szCs w:val="24"/>
        </w:rPr>
      </w:pPr>
      <w:r>
        <w:rPr>
          <w:rFonts w:hint="eastAsia" w:ascii="宋体" w:hAnsi="宋体" w:eastAsia="宋体" w:cs="Times New Roman"/>
          <w:kern w:val="0"/>
          <w:szCs w:val="24"/>
        </w:rPr>
        <w:t>(</w:t>
      </w:r>
      <w:r>
        <w:rPr>
          <w:rFonts w:ascii="宋体" w:hAnsi="宋体" w:eastAsia="宋体" w:cs="Times New Roman"/>
          <w:kern w:val="0"/>
          <w:szCs w:val="24"/>
        </w:rPr>
        <w:t>7</w:t>
      </w:r>
      <w:r>
        <w:rPr>
          <w:rFonts w:hint="eastAsia" w:ascii="宋体" w:hAnsi="宋体" w:eastAsia="宋体" w:cs="Times New Roman"/>
          <w:kern w:val="0"/>
          <w:szCs w:val="24"/>
        </w:rPr>
        <w:t>)</w:t>
      </w:r>
      <w:r>
        <w:rPr>
          <w:rFonts w:ascii="宋体" w:hAnsi="宋体" w:eastAsia="宋体" w:cs="Times New Roman"/>
          <w:kern w:val="0"/>
          <w:szCs w:val="24"/>
        </w:rPr>
        <w:t>发包人未能按照合同约定履行其他义务的。</w:t>
      </w:r>
      <w:bookmarkStart w:id="3526" w:name="_Toc201735456"/>
      <w:bookmarkEnd w:id="3526"/>
    </w:p>
    <w:p w14:paraId="789F70D4">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527" w:name="_Toc149686244"/>
      <w:bookmarkStart w:id="3528" w:name="_Toc19220"/>
      <w:bookmarkStart w:id="3529" w:name="_Toc14670"/>
      <w:bookmarkStart w:id="3530" w:name="_Toc1066"/>
      <w:bookmarkStart w:id="3531" w:name="_Toc27074"/>
      <w:bookmarkStart w:id="3532" w:name="_Toc302635896"/>
      <w:bookmarkStart w:id="3533" w:name="_Toc10595"/>
      <w:bookmarkStart w:id="3534" w:name="_Toc24890"/>
      <w:bookmarkStart w:id="3535" w:name="_Toc208587682"/>
      <w:bookmarkStart w:id="3536" w:name="_Toc6494"/>
      <w:bookmarkStart w:id="3537" w:name="_Toc13493"/>
      <w:bookmarkStart w:id="3538" w:name="_Toc305331397"/>
      <w:bookmarkStart w:id="3539" w:name="_Toc201735457"/>
      <w:bookmarkStart w:id="3540" w:name="_Toc16861"/>
      <w:bookmarkStart w:id="3541" w:name="_Toc12805"/>
      <w:bookmarkStart w:id="3542" w:name="_Toc34909135"/>
      <w:r>
        <w:rPr>
          <w:rFonts w:hint="eastAsia" w:ascii="宋体" w:hAnsi="宋体" w:eastAsia="宋体" w:cs="Times New Roman"/>
          <w:b/>
          <w:bCs/>
          <w:kern w:val="0"/>
          <w:sz w:val="24"/>
          <w:szCs w:val="24"/>
          <w:lang w:val="en-US" w:eastAsia="zh-CN" w:bidi="ar-SA"/>
        </w:rPr>
        <w:t>承包人违约</w:t>
      </w:r>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p>
    <w:p w14:paraId="14123C5C">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承包人不履行合同义务或不按合同约定履行义务，应承担因其违约行为而增加的费用和（或）延误的工期。当发生下列情况时，承包人应承担违约责任，发承包双方应在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中约定违约责任的承担方式、计算方法及违约金上限</w:t>
      </w:r>
      <w:bookmarkEnd w:id="3542"/>
      <w:r>
        <w:rPr>
          <w:rFonts w:hint="eastAsia" w:ascii="宋体" w:hAnsi="宋体" w:eastAsia="宋体" w:cs="Times New Roman"/>
          <w:kern w:val="0"/>
          <w:szCs w:val="24"/>
        </w:rPr>
        <w:t>。</w:t>
      </w:r>
    </w:p>
    <w:p w14:paraId="2765E404">
      <w:pPr>
        <w:tabs>
          <w:tab w:val="left" w:pos="1620"/>
          <w:tab w:val="left" w:pos="2340"/>
        </w:tabs>
        <w:ind w:left="869" w:leftChars="414"/>
        <w:jc w:val="left"/>
        <w:rPr>
          <w:rFonts w:ascii="宋体" w:hAnsi="宋体" w:eastAsia="宋体" w:cs="Times New Roman"/>
          <w:bCs/>
          <w:szCs w:val="24"/>
        </w:rPr>
      </w:pPr>
      <w:r>
        <w:rPr>
          <w:rFonts w:hint="eastAsia" w:ascii="宋体" w:hAnsi="宋体" w:eastAsia="宋体" w:cs="Times New Roman"/>
          <w:kern w:val="0"/>
          <w:szCs w:val="24"/>
        </w:rPr>
        <w:t>(1)</w:t>
      </w:r>
      <w:r>
        <w:rPr>
          <w:rFonts w:ascii="宋体" w:hAnsi="宋体" w:eastAsia="宋体" w:cs="Times New Roman"/>
          <w:bCs/>
          <w:szCs w:val="24"/>
        </w:rPr>
        <w:t>承包人违反合同约定进行转包或违法分包的；</w:t>
      </w:r>
    </w:p>
    <w:p w14:paraId="42DA0AAD">
      <w:pPr>
        <w:tabs>
          <w:tab w:val="left" w:pos="1620"/>
          <w:tab w:val="left" w:pos="2340"/>
        </w:tabs>
        <w:ind w:left="869" w:leftChars="414"/>
        <w:jc w:val="left"/>
        <w:rPr>
          <w:rFonts w:ascii="宋体" w:hAnsi="宋体" w:eastAsia="宋体" w:cs="Times New Roman"/>
          <w:bCs/>
          <w:szCs w:val="24"/>
        </w:rPr>
      </w:pPr>
      <w:r>
        <w:rPr>
          <w:rFonts w:hint="eastAsia" w:ascii="宋体" w:hAnsi="宋体" w:eastAsia="宋体" w:cs="Times New Roman"/>
          <w:kern w:val="0"/>
          <w:szCs w:val="24"/>
        </w:rPr>
        <w:t>(2)</w:t>
      </w:r>
      <w:r>
        <w:rPr>
          <w:rFonts w:ascii="宋体" w:hAnsi="宋体" w:eastAsia="宋体" w:cs="Times New Roman"/>
          <w:bCs/>
          <w:szCs w:val="24"/>
        </w:rPr>
        <w:t>承包人违反合同约定采购和使用不合格的材料和工程设备的；</w:t>
      </w:r>
    </w:p>
    <w:p w14:paraId="21ECC23A">
      <w:pPr>
        <w:tabs>
          <w:tab w:val="left" w:pos="1620"/>
          <w:tab w:val="left" w:pos="2340"/>
        </w:tabs>
        <w:ind w:left="869" w:leftChars="414"/>
        <w:jc w:val="left"/>
        <w:rPr>
          <w:rFonts w:ascii="宋体" w:hAnsi="宋体" w:eastAsia="宋体" w:cs="Times New Roman"/>
          <w:bCs/>
          <w:szCs w:val="24"/>
        </w:rPr>
      </w:pPr>
      <w:r>
        <w:rPr>
          <w:rFonts w:hint="eastAsia" w:ascii="宋体" w:hAnsi="宋体" w:eastAsia="宋体" w:cs="Times New Roman"/>
          <w:kern w:val="0"/>
          <w:szCs w:val="24"/>
        </w:rPr>
        <w:t>(3)</w:t>
      </w:r>
      <w:r>
        <w:rPr>
          <w:rFonts w:ascii="宋体" w:hAnsi="宋体" w:eastAsia="宋体" w:cs="Times New Roman"/>
          <w:bCs/>
          <w:szCs w:val="24"/>
        </w:rPr>
        <w:t xml:space="preserve">因承包人原因导致工程质量不符合合同要求的； </w:t>
      </w:r>
    </w:p>
    <w:p w14:paraId="4CDD85DB">
      <w:pPr>
        <w:tabs>
          <w:tab w:val="left" w:pos="1620"/>
          <w:tab w:val="left" w:pos="2340"/>
        </w:tabs>
        <w:ind w:left="869" w:leftChars="414"/>
        <w:jc w:val="left"/>
        <w:rPr>
          <w:rFonts w:ascii="宋体" w:hAnsi="宋体" w:eastAsia="宋体" w:cs="Times New Roman"/>
          <w:bCs/>
          <w:szCs w:val="24"/>
        </w:rPr>
      </w:pPr>
      <w:r>
        <w:rPr>
          <w:rFonts w:hint="eastAsia" w:ascii="宋体" w:hAnsi="宋体" w:eastAsia="宋体" w:cs="Times New Roman"/>
          <w:kern w:val="0"/>
          <w:szCs w:val="24"/>
        </w:rPr>
        <w:t>(4)</w:t>
      </w:r>
      <w:r>
        <w:rPr>
          <w:rFonts w:ascii="宋体" w:hAnsi="宋体" w:eastAsia="宋体" w:cs="Times New Roman"/>
          <w:bCs/>
          <w:szCs w:val="24"/>
        </w:rPr>
        <w:t>承包人未经批准，私自将已按照合同约定进入施工现场的材料或设备撤离施工现场的；</w:t>
      </w:r>
    </w:p>
    <w:p w14:paraId="7CAC2E30">
      <w:pPr>
        <w:tabs>
          <w:tab w:val="left" w:pos="1620"/>
          <w:tab w:val="left" w:pos="2340"/>
        </w:tabs>
        <w:ind w:left="869" w:leftChars="414"/>
        <w:jc w:val="left"/>
        <w:rPr>
          <w:rFonts w:ascii="宋体" w:hAnsi="宋体" w:eastAsia="宋体" w:cs="Times New Roman"/>
          <w:bCs/>
          <w:szCs w:val="24"/>
        </w:rPr>
      </w:pPr>
      <w:r>
        <w:rPr>
          <w:rFonts w:hint="eastAsia" w:ascii="宋体" w:hAnsi="宋体" w:eastAsia="宋体" w:cs="Times New Roman"/>
          <w:kern w:val="0"/>
          <w:szCs w:val="24"/>
        </w:rPr>
        <w:t>(5)</w:t>
      </w:r>
      <w:r>
        <w:rPr>
          <w:rFonts w:ascii="宋体" w:hAnsi="宋体" w:eastAsia="宋体" w:cs="Times New Roman"/>
          <w:bCs/>
          <w:szCs w:val="24"/>
        </w:rPr>
        <w:t>承包人未能按施工进度计划及时完成合同约定的工作，造成工期延误的；</w:t>
      </w:r>
    </w:p>
    <w:p w14:paraId="0680719D">
      <w:pPr>
        <w:tabs>
          <w:tab w:val="left" w:pos="1620"/>
          <w:tab w:val="left" w:pos="2340"/>
        </w:tabs>
        <w:ind w:left="869" w:leftChars="414"/>
        <w:jc w:val="left"/>
        <w:rPr>
          <w:rFonts w:ascii="宋体" w:hAnsi="宋体" w:eastAsia="宋体" w:cs="Times New Roman"/>
          <w:bCs/>
          <w:szCs w:val="24"/>
        </w:rPr>
      </w:pPr>
      <w:r>
        <w:rPr>
          <w:rFonts w:hint="eastAsia" w:ascii="宋体" w:hAnsi="宋体" w:eastAsia="宋体" w:cs="Times New Roman"/>
          <w:kern w:val="0"/>
          <w:szCs w:val="24"/>
        </w:rPr>
        <w:t>(6)</w:t>
      </w:r>
      <w:r>
        <w:rPr>
          <w:rFonts w:ascii="宋体" w:hAnsi="宋体" w:eastAsia="宋体" w:cs="Times New Roman"/>
          <w:bCs/>
          <w:szCs w:val="24"/>
        </w:rPr>
        <w:t>承包人在缺陷责任期及保修期内，未能在合理期限对工程缺陷进行修复，或拒绝按发包人要求进行修复的；</w:t>
      </w:r>
    </w:p>
    <w:p w14:paraId="5B0B2AA5">
      <w:pPr>
        <w:tabs>
          <w:tab w:val="left" w:pos="1620"/>
          <w:tab w:val="left" w:pos="2340"/>
        </w:tabs>
        <w:ind w:left="869" w:leftChars="414"/>
        <w:jc w:val="left"/>
        <w:rPr>
          <w:rFonts w:ascii="宋体" w:hAnsi="宋体" w:eastAsia="宋体" w:cs="Times New Roman"/>
          <w:bCs/>
          <w:szCs w:val="24"/>
        </w:rPr>
      </w:pPr>
      <w:r>
        <w:rPr>
          <w:rFonts w:hint="eastAsia" w:ascii="宋体" w:hAnsi="宋体" w:eastAsia="宋体" w:cs="Times New Roman"/>
          <w:kern w:val="0"/>
          <w:szCs w:val="24"/>
        </w:rPr>
        <w:t>(7)</w:t>
      </w:r>
      <w:r>
        <w:rPr>
          <w:rFonts w:hint="eastAsia" w:ascii="宋体" w:hAnsi="宋体" w:eastAsia="宋体" w:cs="Times New Roman"/>
          <w:bCs/>
          <w:szCs w:val="24"/>
        </w:rPr>
        <w:t>因承包人原因导致BIM实施应用不符合合同要求的；</w:t>
      </w:r>
    </w:p>
    <w:p w14:paraId="5943A3A4">
      <w:pPr>
        <w:tabs>
          <w:tab w:val="left" w:pos="1620"/>
          <w:tab w:val="left" w:pos="2340"/>
        </w:tabs>
        <w:ind w:left="869" w:leftChars="414"/>
        <w:jc w:val="left"/>
        <w:rPr>
          <w:rFonts w:ascii="宋体" w:hAnsi="宋体" w:eastAsia="宋体" w:cs="Times New Roman"/>
          <w:bCs/>
          <w:szCs w:val="24"/>
        </w:rPr>
      </w:pPr>
      <w:r>
        <w:rPr>
          <w:rFonts w:hint="eastAsia" w:ascii="宋体" w:hAnsi="宋体" w:eastAsia="宋体" w:cs="Times New Roman"/>
          <w:kern w:val="0"/>
          <w:szCs w:val="24"/>
        </w:rPr>
        <w:t>(8)</w:t>
      </w:r>
      <w:r>
        <w:rPr>
          <w:rFonts w:ascii="宋体" w:hAnsi="宋体" w:eastAsia="宋体" w:cs="Times New Roman"/>
          <w:bCs/>
          <w:szCs w:val="24"/>
        </w:rPr>
        <w:t>承包人明确表示或者以其行为表明不履行合同主要义务的；</w:t>
      </w:r>
    </w:p>
    <w:p w14:paraId="4304EFC2">
      <w:pPr>
        <w:tabs>
          <w:tab w:val="left" w:pos="1620"/>
          <w:tab w:val="left" w:pos="2340"/>
        </w:tabs>
        <w:ind w:left="869" w:leftChars="414"/>
        <w:jc w:val="left"/>
        <w:rPr>
          <w:rFonts w:ascii="宋体" w:hAnsi="宋体" w:eastAsia="宋体" w:cs="Times New Roman"/>
          <w:bCs/>
          <w:szCs w:val="24"/>
        </w:rPr>
      </w:pPr>
      <w:r>
        <w:rPr>
          <w:rFonts w:hint="eastAsia" w:ascii="宋体" w:hAnsi="宋体" w:eastAsia="宋体" w:cs="Times New Roman"/>
          <w:kern w:val="0"/>
          <w:szCs w:val="24"/>
        </w:rPr>
        <w:t>(9)承</w:t>
      </w:r>
      <w:r>
        <w:rPr>
          <w:rFonts w:ascii="宋体" w:hAnsi="宋体" w:eastAsia="宋体" w:cs="Times New Roman"/>
          <w:bCs/>
          <w:szCs w:val="24"/>
        </w:rPr>
        <w:t>包人未能按照合同约定履行其他义务的。</w:t>
      </w:r>
    </w:p>
    <w:p w14:paraId="39E4DBBE">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543" w:name="_Toc1420882541"/>
      <w:bookmarkStart w:id="3544" w:name="_Toc1953"/>
      <w:bookmarkStart w:id="3545" w:name="_Toc7582"/>
      <w:bookmarkStart w:id="3546" w:name="_Toc9661"/>
      <w:bookmarkStart w:id="3547" w:name="_Toc201735458"/>
      <w:bookmarkStart w:id="3548" w:name="_Toc90"/>
      <w:bookmarkStart w:id="3549" w:name="_Toc19827"/>
      <w:bookmarkStart w:id="3550" w:name="_Toc3506"/>
      <w:bookmarkStart w:id="3551" w:name="_Toc21882"/>
      <w:bookmarkStart w:id="3552" w:name="_Toc302635897"/>
      <w:bookmarkStart w:id="3553" w:name="_Toc17493"/>
      <w:bookmarkStart w:id="3554" w:name="_Toc208587683"/>
      <w:bookmarkStart w:id="3555" w:name="_Toc7038"/>
      <w:bookmarkStart w:id="3556" w:name="_Toc20977"/>
      <w:r>
        <w:rPr>
          <w:rFonts w:ascii="宋体" w:hAnsi="宋体" w:eastAsia="宋体" w:cs="Times New Roman"/>
          <w:b/>
          <w:bCs/>
          <w:kern w:val="0"/>
          <w:sz w:val="24"/>
          <w:szCs w:val="24"/>
          <w:lang w:val="en-US" w:eastAsia="zh-CN" w:bidi="ar-SA"/>
        </w:rPr>
        <w:t>第三人造成的违约</w:t>
      </w:r>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p>
    <w:p w14:paraId="0AE41076">
      <w:pPr>
        <w:tabs>
          <w:tab w:val="left" w:pos="1620"/>
          <w:tab w:val="left" w:pos="2340"/>
        </w:tabs>
        <w:ind w:left="899"/>
        <w:jc w:val="left"/>
        <w:rPr>
          <w:rFonts w:hint="eastAsia" w:ascii="宋体" w:hAnsi="宋体" w:eastAsia="宋体" w:cs="Times New Roman"/>
          <w:kern w:val="0"/>
          <w:szCs w:val="24"/>
        </w:rPr>
      </w:pPr>
      <w:r>
        <w:rPr>
          <w:rFonts w:ascii="宋体" w:hAnsi="宋体" w:eastAsia="宋体" w:cs="Times New Roman"/>
          <w:kern w:val="0"/>
          <w:szCs w:val="24"/>
        </w:rPr>
        <w:t>在履行合同过程中，</w:t>
      </w:r>
      <w:r>
        <w:rPr>
          <w:rFonts w:hint="eastAsia" w:ascii="宋体" w:hAnsi="宋体" w:eastAsia="宋体" w:cs="Times New Roman"/>
          <w:kern w:val="0"/>
          <w:szCs w:val="24"/>
        </w:rPr>
        <w:t>发包人或承包人</w:t>
      </w:r>
      <w:r>
        <w:rPr>
          <w:rFonts w:ascii="宋体" w:hAnsi="宋体" w:eastAsia="宋体" w:cs="Times New Roman"/>
          <w:kern w:val="0"/>
          <w:szCs w:val="24"/>
        </w:rPr>
        <w:t>一方因第三人的原因造成违约的，应当向对方承担违约责任。</w:t>
      </w:r>
      <w:r>
        <w:rPr>
          <w:rFonts w:hint="eastAsia" w:ascii="宋体" w:hAnsi="宋体" w:eastAsia="宋体" w:cs="Times New Roman"/>
          <w:kern w:val="0"/>
          <w:szCs w:val="24"/>
        </w:rPr>
        <w:t>发包人或承包人</w:t>
      </w:r>
      <w:r>
        <w:rPr>
          <w:rFonts w:ascii="宋体" w:hAnsi="宋体" w:eastAsia="宋体" w:cs="Times New Roman"/>
          <w:kern w:val="0"/>
          <w:szCs w:val="24"/>
        </w:rPr>
        <w:t>一方和第三人之间的纠纷，依照</w:t>
      </w:r>
      <w:r>
        <w:rPr>
          <w:rFonts w:hint="eastAsia" w:ascii="宋体" w:hAnsi="宋体" w:eastAsia="宋体" w:cs="Times New Roman"/>
          <w:kern w:val="0"/>
          <w:szCs w:val="24"/>
        </w:rPr>
        <w:t>相关</w:t>
      </w:r>
      <w:r>
        <w:rPr>
          <w:rFonts w:ascii="宋体" w:hAnsi="宋体" w:eastAsia="宋体" w:cs="Times New Roman"/>
          <w:kern w:val="0"/>
          <w:szCs w:val="24"/>
        </w:rPr>
        <w:t>法律规定解决。</w:t>
      </w:r>
    </w:p>
    <w:p w14:paraId="79255DBA">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557" w:name="_Toc5055"/>
      <w:bookmarkStart w:id="3558" w:name="_Toc17062"/>
      <w:bookmarkStart w:id="3559" w:name="_Toc10325"/>
      <w:bookmarkStart w:id="3560" w:name="_Toc21587"/>
      <w:bookmarkStart w:id="3561" w:name="_Toc305331398"/>
      <w:bookmarkStart w:id="3562" w:name="_Toc18139"/>
      <w:bookmarkStart w:id="3563" w:name="_Toc23628"/>
      <w:bookmarkStart w:id="3564" w:name="_Toc23903"/>
      <w:bookmarkStart w:id="3565" w:name="_Toc30110"/>
      <w:bookmarkStart w:id="3566" w:name="_Toc302635898"/>
      <w:bookmarkStart w:id="3567" w:name="_Toc201735459"/>
      <w:bookmarkStart w:id="3568" w:name="_Toc28751"/>
      <w:bookmarkStart w:id="3569" w:name="_Toc208587684"/>
      <w:bookmarkStart w:id="3570" w:name="_Toc2121070764"/>
      <w:bookmarkStart w:id="3571" w:name="_Toc19565"/>
      <w:bookmarkStart w:id="3572" w:name="_Toc34909136"/>
      <w:r>
        <w:rPr>
          <w:rFonts w:hint="eastAsia" w:ascii="宋体" w:hAnsi="宋体" w:eastAsia="宋体" w:cs="Times New Roman"/>
          <w:b/>
          <w:bCs/>
          <w:kern w:val="0"/>
          <w:sz w:val="24"/>
          <w:szCs w:val="24"/>
          <w:lang w:val="en-US" w:eastAsia="zh-CN" w:bidi="ar-SA"/>
        </w:rPr>
        <w:t>继续履行合同</w:t>
      </w:r>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p>
    <w:p w14:paraId="6AD88F2A">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除非另有约定，发包人和承包人一方违约后，另一方要求违约方继续履行本合同时，违约方承担上述违约责任后仍应继续履行合同。</w:t>
      </w:r>
      <w:bookmarkEnd w:id="3572"/>
    </w:p>
    <w:p w14:paraId="4CB491F0">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3573" w:name="_Toc13798"/>
      <w:bookmarkStart w:id="3574" w:name="_Toc14628"/>
      <w:bookmarkStart w:id="3575" w:name="_Toc6086"/>
      <w:bookmarkStart w:id="3576" w:name="_Toc35656500"/>
      <w:bookmarkStart w:id="3577" w:name="_Toc2118"/>
      <w:bookmarkStart w:id="3578" w:name="_Toc889"/>
      <w:bookmarkStart w:id="3579" w:name="_Toc19603"/>
      <w:bookmarkStart w:id="3580" w:name="_Toc302635899"/>
      <w:bookmarkStart w:id="3581" w:name="_Toc34909137"/>
      <w:bookmarkStart w:id="3582" w:name="_Toc23961"/>
      <w:bookmarkStart w:id="3583" w:name="_Toc201735460"/>
      <w:bookmarkStart w:id="3584" w:name="_Toc824124641"/>
      <w:bookmarkStart w:id="3585" w:name="_Toc35657002"/>
      <w:bookmarkStart w:id="3586" w:name="_Toc208587685"/>
      <w:bookmarkStart w:id="3587" w:name="_Toc305331399"/>
      <w:bookmarkStart w:id="3588" w:name="_Toc24373"/>
      <w:bookmarkStart w:id="3589" w:name="_Toc24588"/>
      <w:bookmarkStart w:id="3590" w:name="_Toc26854"/>
      <w:r>
        <w:rPr>
          <w:rFonts w:hint="eastAsia" w:ascii="华文细黑" w:hAnsi="宋体" w:eastAsia="宋体" w:cs="Times New Roman"/>
          <w:b/>
          <w:bCs/>
          <w:snapToGrid w:val="0"/>
          <w:kern w:val="0"/>
          <w:sz w:val="28"/>
          <w:szCs w:val="44"/>
          <w:lang w:val="en-US" w:eastAsia="zh-CN" w:bidi="ar-SA"/>
        </w:rPr>
        <w:t>索赔</w:t>
      </w:r>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p>
    <w:p w14:paraId="4D8BE7E8">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591" w:name="_Toc8622"/>
      <w:bookmarkStart w:id="3592" w:name="_Toc2621"/>
      <w:bookmarkStart w:id="3593" w:name="_Toc20235"/>
      <w:bookmarkStart w:id="3594" w:name="_Toc16300"/>
      <w:bookmarkStart w:id="3595" w:name="_Toc2049932357"/>
      <w:bookmarkStart w:id="3596" w:name="_Toc201735461"/>
      <w:bookmarkStart w:id="3597" w:name="_Toc23037"/>
      <w:bookmarkStart w:id="3598" w:name="_Toc3992"/>
      <w:bookmarkStart w:id="3599" w:name="_Toc302635900"/>
      <w:bookmarkStart w:id="3600" w:name="_Toc208587686"/>
      <w:bookmarkStart w:id="3601" w:name="_Toc13794"/>
      <w:bookmarkStart w:id="3602" w:name="_Toc20832"/>
      <w:bookmarkStart w:id="3603" w:name="_Toc305331400"/>
      <w:bookmarkStart w:id="3604" w:name="_Toc25846"/>
      <w:bookmarkStart w:id="3605" w:name="_Toc18688"/>
      <w:bookmarkStart w:id="3606" w:name="_Toc34909138"/>
      <w:r>
        <w:rPr>
          <w:rFonts w:hint="eastAsia" w:ascii="宋体" w:hAnsi="宋体" w:eastAsia="宋体" w:cs="Times New Roman"/>
          <w:b/>
          <w:bCs/>
          <w:kern w:val="0"/>
          <w:sz w:val="24"/>
          <w:szCs w:val="24"/>
          <w:lang w:val="en-US" w:eastAsia="zh-CN" w:bidi="ar-SA"/>
        </w:rPr>
        <w:t>索赔理由与记录</w:t>
      </w:r>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p>
    <w:p w14:paraId="65798B51">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(1)发包人和承包人双方中，</w:t>
      </w:r>
      <w:bookmarkEnd w:id="3606"/>
      <w:r>
        <w:rPr>
          <w:rFonts w:hint="eastAsia" w:ascii="宋体" w:hAnsi="宋体" w:eastAsia="宋体" w:cs="Times New Roman"/>
          <w:kern w:val="0"/>
          <w:szCs w:val="24"/>
        </w:rPr>
        <w:t>当一方向另一方提出索赔时，要有合理的索赔理由，且有其要求索赔的事件发生时的有效证据。</w:t>
      </w:r>
    </w:p>
    <w:p w14:paraId="0E5747BA">
      <w:pPr>
        <w:tabs>
          <w:tab w:val="left" w:pos="1620"/>
          <w:tab w:val="left" w:pos="2340"/>
        </w:tabs>
        <w:spacing w:after="156"/>
        <w:ind w:left="899"/>
        <w:jc w:val="left"/>
        <w:rPr>
          <w:rFonts w:hint="eastAsia" w:ascii="宋体" w:hAnsi="宋体" w:eastAsia="宋体" w:cs="Times New Roman"/>
          <w:kern w:val="0"/>
          <w:szCs w:val="24"/>
        </w:rPr>
      </w:pPr>
      <w:bookmarkStart w:id="3607" w:name="_Toc34909139"/>
      <w:r>
        <w:rPr>
          <w:rFonts w:hint="eastAsia" w:ascii="宋体" w:hAnsi="宋体" w:eastAsia="宋体" w:cs="Times New Roman"/>
          <w:kern w:val="0"/>
          <w:szCs w:val="24"/>
        </w:rPr>
        <w:t>(2)提出索赔的一方在其要求索赔的事件发生时，应保存好必要的记录，以便证明提出的索赔，并应允许另一方或</w:t>
      </w:r>
      <w:r>
        <w:rPr>
          <w:rFonts w:ascii="宋体" w:hAnsi="宋体" w:eastAsia="宋体" w:cs="Times New Roman"/>
          <w:kern w:val="0"/>
          <w:szCs w:val="24"/>
        </w:rPr>
        <w:t>监理人</w:t>
      </w:r>
      <w:r>
        <w:rPr>
          <w:rFonts w:hint="eastAsia" w:ascii="宋体" w:hAnsi="宋体" w:eastAsia="宋体" w:cs="Times New Roman"/>
          <w:kern w:val="0"/>
          <w:szCs w:val="24"/>
        </w:rPr>
        <w:t>查阅全部记录。</w:t>
      </w:r>
      <w:bookmarkEnd w:id="3607"/>
    </w:p>
    <w:p w14:paraId="351DBF77">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608" w:name="_Toc302635901"/>
      <w:bookmarkStart w:id="3609" w:name="_Toc5346"/>
      <w:bookmarkStart w:id="3610" w:name="_Toc201735462"/>
      <w:bookmarkStart w:id="3611" w:name="_Toc208587687"/>
      <w:bookmarkStart w:id="3612" w:name="_Toc32382"/>
      <w:bookmarkStart w:id="3613" w:name="_Toc17525"/>
      <w:bookmarkStart w:id="3614" w:name="_Toc12897"/>
      <w:bookmarkStart w:id="3615" w:name="_Toc487512584"/>
      <w:bookmarkStart w:id="3616" w:name="_Toc3458"/>
      <w:bookmarkStart w:id="3617" w:name="_Toc14130"/>
      <w:bookmarkStart w:id="3618" w:name="_Toc26105"/>
      <w:bookmarkStart w:id="3619" w:name="_Toc8325"/>
      <w:bookmarkStart w:id="3620" w:name="_Toc7383"/>
      <w:bookmarkStart w:id="3621" w:name="_Toc12676"/>
      <w:bookmarkStart w:id="3622" w:name="_Toc305331401"/>
      <w:bookmarkStart w:id="3623" w:name="_Toc34909140"/>
      <w:r>
        <w:rPr>
          <w:rFonts w:hint="eastAsia" w:ascii="宋体" w:hAnsi="宋体" w:eastAsia="宋体" w:cs="Times New Roman"/>
          <w:b/>
          <w:bCs/>
          <w:kern w:val="0"/>
          <w:sz w:val="24"/>
          <w:szCs w:val="24"/>
          <w:lang w:val="en-US" w:eastAsia="zh-CN" w:bidi="ar-SA"/>
        </w:rPr>
        <w:t>索赔</w:t>
      </w:r>
      <w:bookmarkEnd w:id="3608"/>
      <w:r>
        <w:rPr>
          <w:rFonts w:hint="eastAsia" w:ascii="宋体" w:hAnsi="宋体" w:eastAsia="宋体" w:cs="Times New Roman"/>
          <w:b/>
          <w:bCs/>
          <w:kern w:val="0"/>
          <w:sz w:val="24"/>
          <w:szCs w:val="24"/>
          <w:lang w:val="en-US" w:eastAsia="zh-CN" w:bidi="ar-SA"/>
        </w:rPr>
        <w:t>内容</w:t>
      </w:r>
      <w:bookmarkEnd w:id="3609"/>
      <w:bookmarkEnd w:id="3610"/>
      <w:bookmarkEnd w:id="3611"/>
      <w:bookmarkEnd w:id="3612"/>
      <w:bookmarkEnd w:id="3613"/>
      <w:bookmarkEnd w:id="3614"/>
      <w:bookmarkEnd w:id="3615"/>
      <w:bookmarkEnd w:id="3616"/>
      <w:bookmarkEnd w:id="3617"/>
      <w:bookmarkEnd w:id="3618"/>
      <w:bookmarkEnd w:id="3619"/>
      <w:bookmarkEnd w:id="3620"/>
      <w:bookmarkEnd w:id="3621"/>
    </w:p>
    <w:p w14:paraId="2704601F">
      <w:pPr>
        <w:tabs>
          <w:tab w:val="left" w:pos="1620"/>
          <w:tab w:val="left" w:pos="2340"/>
        </w:tabs>
        <w:spacing w:before="156"/>
        <w:ind w:left="899"/>
        <w:jc w:val="left"/>
        <w:rPr>
          <w:rFonts w:hint="eastAsia" w:ascii="宋体" w:hAnsi="宋体" w:eastAsia="宋体" w:cs="Times New Roman"/>
          <w:kern w:val="0"/>
          <w:szCs w:val="24"/>
        </w:rPr>
      </w:pPr>
      <w:r>
        <w:rPr>
          <w:rFonts w:hint="eastAsia" w:ascii="宋体" w:hAnsi="宋体" w:eastAsia="宋体" w:cs="Times New Roman"/>
          <w:kern w:val="0"/>
          <w:szCs w:val="24"/>
        </w:rPr>
        <w:t>发承包双方均应采取措施避免和减少因索赔事件引起的损失扩大，应采取措施的一方当事人不采取积极措施引起损失扩大的，应对扩大的损失承担责任。</w:t>
      </w:r>
    </w:p>
    <w:p w14:paraId="0336BA65">
      <w:pPr>
        <w:tabs>
          <w:tab w:val="left" w:pos="1620"/>
          <w:tab w:val="left" w:pos="2340"/>
        </w:tabs>
        <w:spacing w:before="156"/>
        <w:ind w:left="899"/>
        <w:jc w:val="left"/>
        <w:rPr>
          <w:rFonts w:ascii="宋体" w:hAnsi="宋体" w:eastAsia="宋体" w:cs="Times New Roman"/>
          <w:kern w:val="0"/>
          <w:szCs w:val="24"/>
        </w:rPr>
      </w:pPr>
      <w:r>
        <w:rPr>
          <w:rFonts w:hint="eastAsia" w:ascii="宋体" w:hAnsi="宋体" w:eastAsia="宋体" w:cs="Times New Roman"/>
          <w:kern w:val="0"/>
          <w:szCs w:val="24"/>
        </w:rPr>
        <w:t>(1)发包人提出索赔时，可选择下列一项或几项方式获得赔偿：</w:t>
      </w:r>
    </w:p>
    <w:p w14:paraId="0CCD5106">
      <w:pPr>
        <w:tabs>
          <w:tab w:val="left" w:pos="1620"/>
          <w:tab w:val="left" w:pos="2340"/>
        </w:tabs>
        <w:ind w:left="1134"/>
        <w:jc w:val="left"/>
        <w:rPr>
          <w:rFonts w:hint="eastAsia" w:ascii="宋体" w:hAnsi="宋体" w:eastAsia="宋体" w:cs="Times New Roman"/>
          <w:kern w:val="0"/>
          <w:szCs w:val="24"/>
        </w:rPr>
      </w:pPr>
      <w:r>
        <w:rPr>
          <w:rFonts w:hint="eastAsia" w:ascii="宋体" w:hAnsi="宋体" w:eastAsia="宋体" w:cs="Times New Roman"/>
          <w:kern w:val="0"/>
          <w:szCs w:val="24"/>
        </w:rPr>
        <w:t>①延长缺陷责任期；</w:t>
      </w:r>
    </w:p>
    <w:p w14:paraId="1CED3C14">
      <w:pPr>
        <w:tabs>
          <w:tab w:val="left" w:pos="1620"/>
          <w:tab w:val="left" w:pos="2340"/>
        </w:tabs>
        <w:ind w:left="1134"/>
        <w:jc w:val="left"/>
        <w:rPr>
          <w:rFonts w:hint="eastAsia" w:ascii="宋体" w:hAnsi="宋体" w:eastAsia="宋体" w:cs="Times New Roman"/>
          <w:kern w:val="0"/>
          <w:szCs w:val="24"/>
        </w:rPr>
      </w:pPr>
      <w:r>
        <w:rPr>
          <w:rFonts w:hint="eastAsia" w:ascii="宋体" w:hAnsi="宋体" w:eastAsia="宋体" w:cs="Times New Roman"/>
          <w:kern w:val="0"/>
          <w:szCs w:val="24"/>
        </w:rPr>
        <w:t>②要求承包人支付受影响发生的额外费用；</w:t>
      </w:r>
    </w:p>
    <w:p w14:paraId="74234100">
      <w:pPr>
        <w:tabs>
          <w:tab w:val="left" w:pos="1620"/>
          <w:tab w:val="left" w:pos="2340"/>
        </w:tabs>
        <w:ind w:left="1134"/>
        <w:jc w:val="left"/>
        <w:rPr>
          <w:rFonts w:ascii="宋体" w:hAnsi="宋体" w:eastAsia="宋体" w:cs="Times New Roman"/>
          <w:kern w:val="0"/>
          <w:szCs w:val="24"/>
        </w:rPr>
      </w:pPr>
      <w:r>
        <w:rPr>
          <w:rFonts w:hint="eastAsia" w:ascii="宋体" w:hAnsi="宋体" w:eastAsia="宋体" w:cs="Times New Roman"/>
          <w:kern w:val="0"/>
          <w:szCs w:val="24"/>
        </w:rPr>
        <w:t>③要求承包人支付合同约定的违约金。</w:t>
      </w:r>
    </w:p>
    <w:p w14:paraId="11E40EA4">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(2)承包人提出索赔时，可选择下列一项或几项方式获得赔偿：</w:t>
      </w:r>
    </w:p>
    <w:p w14:paraId="2D6EF846">
      <w:pPr>
        <w:tabs>
          <w:tab w:val="left" w:pos="1620"/>
          <w:tab w:val="left" w:pos="2340"/>
        </w:tabs>
        <w:ind w:left="1134"/>
        <w:jc w:val="left"/>
        <w:rPr>
          <w:rFonts w:hint="eastAsia" w:ascii="宋体" w:hAnsi="宋体" w:eastAsia="宋体" w:cs="Times New Roman"/>
          <w:kern w:val="0"/>
          <w:szCs w:val="24"/>
        </w:rPr>
      </w:pPr>
      <w:r>
        <w:rPr>
          <w:rFonts w:hint="eastAsia" w:ascii="宋体" w:hAnsi="宋体" w:eastAsia="宋体" w:cs="Times New Roman"/>
          <w:kern w:val="0"/>
          <w:szCs w:val="24"/>
        </w:rPr>
        <w:t>①延长工期；</w:t>
      </w:r>
    </w:p>
    <w:p w14:paraId="3BD0AD86">
      <w:pPr>
        <w:tabs>
          <w:tab w:val="left" w:pos="1620"/>
          <w:tab w:val="left" w:pos="2340"/>
        </w:tabs>
        <w:ind w:left="1134"/>
        <w:jc w:val="left"/>
        <w:rPr>
          <w:rFonts w:hint="eastAsia" w:ascii="宋体" w:hAnsi="宋体" w:eastAsia="宋体" w:cs="Times New Roman"/>
          <w:kern w:val="0"/>
          <w:szCs w:val="24"/>
        </w:rPr>
      </w:pPr>
      <w:r>
        <w:rPr>
          <w:rFonts w:hint="eastAsia" w:ascii="宋体" w:hAnsi="宋体" w:eastAsia="宋体" w:cs="Times New Roman"/>
          <w:kern w:val="0"/>
          <w:szCs w:val="24"/>
        </w:rPr>
        <w:t>②要求发包人支付受影响发生的额外费用；</w:t>
      </w:r>
    </w:p>
    <w:p w14:paraId="2A93CD5F">
      <w:pPr>
        <w:tabs>
          <w:tab w:val="left" w:pos="1620"/>
          <w:tab w:val="left" w:pos="2340"/>
        </w:tabs>
        <w:ind w:left="1134"/>
        <w:jc w:val="left"/>
        <w:rPr>
          <w:rFonts w:hint="eastAsia" w:ascii="宋体" w:hAnsi="宋体" w:eastAsia="宋体" w:cs="Times New Roman"/>
          <w:kern w:val="0"/>
          <w:szCs w:val="24"/>
        </w:rPr>
      </w:pPr>
      <w:r>
        <w:rPr>
          <w:rFonts w:hint="eastAsia" w:ascii="宋体" w:hAnsi="宋体" w:eastAsia="宋体" w:cs="Times New Roman"/>
          <w:kern w:val="0"/>
          <w:szCs w:val="24"/>
        </w:rPr>
        <w:t xml:space="preserve">③要求发包人支付合理的利润； </w:t>
      </w:r>
    </w:p>
    <w:p w14:paraId="4D2E8697">
      <w:pPr>
        <w:tabs>
          <w:tab w:val="left" w:pos="1620"/>
          <w:tab w:val="left" w:pos="2340"/>
        </w:tabs>
        <w:ind w:left="1134"/>
        <w:jc w:val="left"/>
        <w:rPr>
          <w:rFonts w:hint="eastAsia" w:ascii="宋体" w:hAnsi="宋体" w:eastAsia="宋体" w:cs="Times New Roman"/>
          <w:kern w:val="0"/>
          <w:szCs w:val="24"/>
        </w:rPr>
      </w:pPr>
      <w:r>
        <w:rPr>
          <w:rFonts w:hint="eastAsia" w:ascii="宋体" w:hAnsi="宋体" w:eastAsia="宋体" w:cs="Times New Roman"/>
          <w:kern w:val="0"/>
          <w:szCs w:val="24"/>
        </w:rPr>
        <w:t>④要求发包人支付合同约定的违约金。</w:t>
      </w:r>
    </w:p>
    <w:bookmarkEnd w:id="3622"/>
    <w:bookmarkEnd w:id="3623"/>
    <w:p w14:paraId="205ABC22">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624" w:name="_Toc208587688"/>
      <w:bookmarkEnd w:id="3624"/>
      <w:bookmarkStart w:id="3625" w:name="_Toc10255"/>
      <w:bookmarkStart w:id="3626" w:name="_Toc21238"/>
      <w:bookmarkStart w:id="3627" w:name="_Toc21693"/>
      <w:bookmarkStart w:id="3628" w:name="_Toc31783"/>
      <w:bookmarkStart w:id="3629" w:name="_Toc208587689"/>
      <w:bookmarkStart w:id="3630" w:name="_Toc334184585"/>
      <w:bookmarkStart w:id="3631" w:name="_Toc28345"/>
      <w:bookmarkStart w:id="3632" w:name="_Toc201735463"/>
      <w:bookmarkStart w:id="3633" w:name="_Toc19272"/>
      <w:bookmarkStart w:id="3634" w:name="_Toc7408"/>
      <w:bookmarkStart w:id="3635" w:name="_Toc29730"/>
      <w:bookmarkStart w:id="3636" w:name="_Toc32035"/>
      <w:bookmarkStart w:id="3637" w:name="_Toc4623"/>
      <w:bookmarkStart w:id="3638" w:name="_Toc302635903"/>
      <w:bookmarkStart w:id="3639" w:name="_Toc305331402"/>
      <w:bookmarkStart w:id="3640" w:name="_Toc34909143"/>
      <w:bookmarkStart w:id="3641" w:name="_Toc34909142"/>
      <w:r>
        <w:rPr>
          <w:rFonts w:hint="eastAsia" w:ascii="宋体" w:hAnsi="宋体" w:eastAsia="宋体" w:cs="Times New Roman"/>
          <w:b/>
          <w:bCs/>
          <w:kern w:val="0"/>
          <w:sz w:val="24"/>
          <w:szCs w:val="24"/>
          <w:lang w:val="en-US" w:eastAsia="zh-CN" w:bidi="ar-SA"/>
        </w:rPr>
        <w:t>发包人索赔情形</w:t>
      </w:r>
      <w:bookmarkEnd w:id="3625"/>
      <w:bookmarkEnd w:id="3626"/>
      <w:bookmarkEnd w:id="3627"/>
      <w:bookmarkEnd w:id="3628"/>
      <w:bookmarkEnd w:id="3629"/>
      <w:bookmarkEnd w:id="3630"/>
      <w:bookmarkEnd w:id="3631"/>
      <w:bookmarkEnd w:id="3632"/>
      <w:bookmarkEnd w:id="3633"/>
      <w:bookmarkEnd w:id="3634"/>
      <w:bookmarkEnd w:id="3635"/>
      <w:bookmarkEnd w:id="3636"/>
      <w:bookmarkEnd w:id="3637"/>
    </w:p>
    <w:p w14:paraId="1B675E0D">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合同履行过程中，因承包人原因造成发包人经济损失、费用增加和（或）工期延误等事件，根据合同约定应由承包人承担赔偿或补偿义务的，发包人可向承包人提出索赔，并相应调整合同价格。</w:t>
      </w:r>
    </w:p>
    <w:p w14:paraId="5CCDE0E6">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642" w:name="_Toc29520"/>
      <w:bookmarkStart w:id="3643" w:name="_Toc10456"/>
      <w:bookmarkStart w:id="3644" w:name="_Toc5214"/>
      <w:bookmarkStart w:id="3645" w:name="_Toc5030"/>
      <w:bookmarkStart w:id="3646" w:name="_Toc201735469"/>
      <w:bookmarkStart w:id="3647" w:name="_Toc394050996"/>
      <w:bookmarkStart w:id="3648" w:name="_Toc208587695"/>
      <w:bookmarkStart w:id="3649" w:name="_Toc1910"/>
      <w:bookmarkStart w:id="3650" w:name="_Toc25647"/>
      <w:bookmarkStart w:id="3651" w:name="_Toc14619"/>
      <w:bookmarkStart w:id="3652" w:name="_Toc10887"/>
      <w:bookmarkStart w:id="3653" w:name="_Toc6959"/>
      <w:bookmarkStart w:id="3654" w:name="_Toc17536"/>
      <w:r>
        <w:rPr>
          <w:rFonts w:hint="eastAsia" w:ascii="宋体" w:hAnsi="宋体" w:eastAsia="宋体" w:cs="Times New Roman"/>
          <w:b/>
          <w:bCs/>
          <w:kern w:val="0"/>
          <w:sz w:val="24"/>
          <w:szCs w:val="24"/>
          <w:lang w:val="en-US" w:eastAsia="zh-CN" w:bidi="ar-SA"/>
        </w:rPr>
        <w:t>发包人索赔程序</w:t>
      </w:r>
      <w:bookmarkEnd w:id="3638"/>
      <w:bookmarkEnd w:id="3639"/>
      <w:bookmarkEnd w:id="3642"/>
      <w:bookmarkEnd w:id="3643"/>
      <w:bookmarkEnd w:id="3644"/>
      <w:bookmarkEnd w:id="3645"/>
      <w:bookmarkEnd w:id="3646"/>
      <w:bookmarkEnd w:id="3647"/>
      <w:bookmarkEnd w:id="3648"/>
      <w:bookmarkEnd w:id="3649"/>
      <w:bookmarkEnd w:id="3650"/>
      <w:bookmarkEnd w:id="3651"/>
      <w:bookmarkEnd w:id="3652"/>
      <w:bookmarkEnd w:id="3653"/>
      <w:bookmarkEnd w:id="3654"/>
    </w:p>
    <w:p w14:paraId="799CA347">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当发生第3</w:t>
      </w:r>
      <w:r>
        <w:rPr>
          <w:rFonts w:ascii="宋体" w:hAnsi="宋体" w:eastAsia="宋体" w:cs="Times New Roman"/>
          <w:kern w:val="0"/>
          <w:szCs w:val="24"/>
        </w:rPr>
        <w:t>0.3</w:t>
      </w:r>
      <w:r>
        <w:rPr>
          <w:rFonts w:hint="eastAsia" w:ascii="宋体" w:hAnsi="宋体" w:eastAsia="宋体" w:cs="Times New Roman"/>
          <w:kern w:val="0"/>
          <w:szCs w:val="24"/>
        </w:rPr>
        <w:t>款约定情形时，发包人应按下列程序向承包人提出索赔</w:t>
      </w:r>
      <w:bookmarkEnd w:id="3640"/>
      <w:r>
        <w:rPr>
          <w:rFonts w:hint="eastAsia" w:ascii="宋体" w:hAnsi="宋体" w:eastAsia="宋体" w:cs="Times New Roman"/>
          <w:kern w:val="0"/>
          <w:szCs w:val="24"/>
        </w:rPr>
        <w:t>：</w:t>
      </w:r>
    </w:p>
    <w:p w14:paraId="0759628F">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(1)发包人应在知道或应当知道索赔事件发生后28天内，通过监理人向承包人提出索赔意向通知。逾期不提出的，视为放弃索赔；</w:t>
      </w:r>
    </w:p>
    <w:p w14:paraId="0B4C6890">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(2)发包人应在提出索赔意向通知后28天内，通过监理人向承包人提出赔付金额和（或）延长缺陷责任期的索赔报告及有关资料；</w:t>
      </w:r>
    </w:p>
    <w:p w14:paraId="23A68DFC">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(3)承包人在收到发包人提交的索赔报告和有关资料后，于28天内给予答复，或要求发包人进一步补充索赔理由和证据；</w:t>
      </w:r>
    </w:p>
    <w:p w14:paraId="728966D7">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(4)承包人在收到发包人提交的索赔报告和有关资料后28天内未予答复或未对发包人作进一步要求，视为该项索赔已被认可；</w:t>
      </w:r>
    </w:p>
    <w:p w14:paraId="618FF937">
      <w:pPr>
        <w:tabs>
          <w:tab w:val="left" w:pos="1620"/>
          <w:tab w:val="left" w:pos="2340"/>
        </w:tabs>
        <w:ind w:left="869" w:leftChars="414"/>
        <w:jc w:val="left"/>
        <w:rPr>
          <w:rFonts w:hint="eastAsia" w:ascii="宋体" w:hAnsi="宋体" w:eastAsia="宋体" w:cs="Times New Roman"/>
          <w:kern w:val="0"/>
          <w:szCs w:val="24"/>
        </w:rPr>
      </w:pPr>
      <w:r>
        <w:rPr>
          <w:rFonts w:ascii="宋体" w:hAnsi="宋体" w:eastAsia="宋体" w:cs="Times New Roman"/>
          <w:kern w:val="0"/>
          <w:szCs w:val="24"/>
        </w:rPr>
        <w:t>(5)</w:t>
      </w:r>
      <w:r>
        <w:rPr>
          <w:rFonts w:hint="eastAsia" w:ascii="宋体" w:hAnsi="宋体" w:eastAsia="宋体" w:cs="Times New Roman"/>
          <w:kern w:val="0"/>
          <w:szCs w:val="24"/>
        </w:rPr>
        <w:t>当索赔事件持续进行时，发包人应阶段性通过监理人向承包人提出索赔意向通知，在该事件终了后28天内，向承包人提交索赔的有关资料和最终索赔报告。索赔答复程序与本款第(3)、(4)项约定相同。</w:t>
      </w:r>
    </w:p>
    <w:p w14:paraId="1E407D03">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(6)</w:t>
      </w:r>
      <w:r>
        <w:rPr>
          <w:rFonts w:ascii="宋体" w:hAnsi="宋体" w:eastAsia="宋体" w:cs="Times New Roman"/>
          <w:kern w:val="0"/>
          <w:szCs w:val="24"/>
        </w:rPr>
        <w:t>承包人接受索赔处理结果的，发包人可从应支付给承包人的合同价款中扣除赔付的金额或延长缺陷责任期；发包人不接受索赔处理结果的，按第</w:t>
      </w:r>
      <w:r>
        <w:rPr>
          <w:rFonts w:hint="eastAsia" w:ascii="宋体" w:hAnsi="宋体" w:eastAsia="宋体" w:cs="Times New Roman"/>
          <w:kern w:val="0"/>
          <w:szCs w:val="24"/>
        </w:rPr>
        <w:t>31</w:t>
      </w:r>
      <w:r>
        <w:rPr>
          <w:rFonts w:ascii="宋体" w:hAnsi="宋体" w:eastAsia="宋体" w:cs="Times New Roman"/>
          <w:kern w:val="0"/>
          <w:szCs w:val="24"/>
        </w:rPr>
        <w:t>条</w:t>
      </w:r>
      <w:r>
        <w:rPr>
          <w:rFonts w:hint="eastAsia" w:ascii="宋体" w:hAnsi="宋体" w:eastAsia="宋体" w:cs="Times New Roman"/>
          <w:kern w:val="0"/>
          <w:szCs w:val="24"/>
        </w:rPr>
        <w:t>【</w:t>
      </w:r>
      <w:r>
        <w:rPr>
          <w:rFonts w:ascii="宋体" w:hAnsi="宋体" w:eastAsia="宋体" w:cs="Times New Roman"/>
          <w:kern w:val="0"/>
          <w:szCs w:val="24"/>
        </w:rPr>
        <w:t>争议解决</w:t>
      </w:r>
      <w:r>
        <w:rPr>
          <w:rFonts w:hint="eastAsia" w:ascii="宋体" w:hAnsi="宋体" w:eastAsia="宋体" w:cs="Times New Roman"/>
          <w:kern w:val="0"/>
          <w:szCs w:val="24"/>
        </w:rPr>
        <w:t>】的</w:t>
      </w:r>
      <w:r>
        <w:rPr>
          <w:rFonts w:ascii="宋体" w:hAnsi="宋体" w:eastAsia="宋体" w:cs="Times New Roman"/>
          <w:kern w:val="0"/>
          <w:szCs w:val="24"/>
        </w:rPr>
        <w:t>约定处理。</w:t>
      </w:r>
    </w:p>
    <w:p w14:paraId="625AA621">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655" w:name="_Toc28579"/>
      <w:bookmarkStart w:id="3656" w:name="_Toc2046"/>
      <w:bookmarkStart w:id="3657" w:name="_Toc201735470"/>
      <w:bookmarkStart w:id="3658" w:name="_Toc30781"/>
      <w:bookmarkStart w:id="3659" w:name="_Toc30962"/>
      <w:bookmarkStart w:id="3660" w:name="_Toc5354"/>
      <w:bookmarkStart w:id="3661" w:name="_Toc25087"/>
      <w:bookmarkStart w:id="3662" w:name="_Toc20061"/>
      <w:bookmarkStart w:id="3663" w:name="_Toc909802753"/>
      <w:bookmarkStart w:id="3664" w:name="_Toc17479"/>
      <w:bookmarkStart w:id="3665" w:name="_Toc23054"/>
      <w:bookmarkStart w:id="3666" w:name="_Toc208587696"/>
      <w:bookmarkStart w:id="3667" w:name="_Toc23060"/>
      <w:bookmarkStart w:id="3668" w:name="_Toc302635902"/>
      <w:bookmarkStart w:id="3669" w:name="_Toc302635904"/>
      <w:bookmarkStart w:id="3670" w:name="_Toc305331403"/>
      <w:r>
        <w:rPr>
          <w:rFonts w:hint="eastAsia" w:ascii="宋体" w:hAnsi="宋体" w:eastAsia="宋体" w:cs="Times New Roman"/>
          <w:b/>
          <w:bCs/>
          <w:kern w:val="0"/>
          <w:sz w:val="24"/>
          <w:szCs w:val="24"/>
          <w:lang w:val="en-US" w:eastAsia="zh-CN" w:bidi="ar-SA"/>
        </w:rPr>
        <w:t>承包人索赔情形</w:t>
      </w:r>
      <w:bookmarkEnd w:id="3655"/>
      <w:bookmarkEnd w:id="3656"/>
      <w:bookmarkEnd w:id="3657"/>
      <w:bookmarkEnd w:id="3658"/>
      <w:bookmarkEnd w:id="3659"/>
      <w:bookmarkEnd w:id="3660"/>
      <w:bookmarkEnd w:id="3661"/>
      <w:bookmarkEnd w:id="3662"/>
      <w:bookmarkEnd w:id="3663"/>
      <w:bookmarkEnd w:id="3664"/>
      <w:bookmarkEnd w:id="3665"/>
      <w:bookmarkEnd w:id="3666"/>
      <w:bookmarkEnd w:id="3667"/>
    </w:p>
    <w:p w14:paraId="4994F79C">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合同履行过程中，因发包人原因造成承包人经济损失、费用增加和（或）工期延误等事件，根据合同约定应由发包人承担赔偿或补偿义务的，承包人可向发包人提出索赔，并相应调整合同价格和（或）延长工期。</w:t>
      </w:r>
    </w:p>
    <w:p w14:paraId="083D9288">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671" w:name="_Toc208587705"/>
      <w:bookmarkStart w:id="3672" w:name="_Toc19580"/>
      <w:bookmarkStart w:id="3673" w:name="_Toc201735479"/>
      <w:bookmarkStart w:id="3674" w:name="_Toc27386"/>
      <w:bookmarkStart w:id="3675" w:name="_Toc17173"/>
      <w:bookmarkStart w:id="3676" w:name="_Toc32440"/>
      <w:bookmarkStart w:id="3677" w:name="_Toc28664"/>
      <w:bookmarkStart w:id="3678" w:name="_Toc1194064089"/>
      <w:bookmarkStart w:id="3679" w:name="_Toc24471"/>
      <w:bookmarkStart w:id="3680" w:name="_Toc21715"/>
      <w:bookmarkStart w:id="3681" w:name="_Toc32010"/>
      <w:bookmarkStart w:id="3682" w:name="_Toc26689"/>
      <w:bookmarkStart w:id="3683" w:name="_Toc30253"/>
      <w:r>
        <w:rPr>
          <w:rFonts w:hint="eastAsia" w:ascii="宋体" w:hAnsi="宋体" w:eastAsia="宋体" w:cs="Times New Roman"/>
          <w:b/>
          <w:bCs/>
          <w:kern w:val="0"/>
          <w:sz w:val="24"/>
          <w:szCs w:val="24"/>
          <w:lang w:val="en-US" w:eastAsia="zh-CN" w:bidi="ar-SA"/>
        </w:rPr>
        <w:t>承包人索赔程序</w:t>
      </w:r>
      <w:bookmarkEnd w:id="3668"/>
      <w:bookmarkEnd w:id="3671"/>
      <w:bookmarkEnd w:id="3672"/>
      <w:bookmarkEnd w:id="3673"/>
      <w:bookmarkEnd w:id="3674"/>
      <w:bookmarkEnd w:id="3675"/>
      <w:bookmarkEnd w:id="3676"/>
      <w:bookmarkEnd w:id="3677"/>
      <w:bookmarkEnd w:id="3678"/>
      <w:bookmarkEnd w:id="3679"/>
      <w:bookmarkEnd w:id="3680"/>
      <w:bookmarkEnd w:id="3681"/>
      <w:bookmarkEnd w:id="3682"/>
      <w:bookmarkEnd w:id="3683"/>
    </w:p>
    <w:p w14:paraId="40659372">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当发生第3</w:t>
      </w:r>
      <w:r>
        <w:rPr>
          <w:rFonts w:ascii="宋体" w:hAnsi="宋体" w:eastAsia="宋体" w:cs="Times New Roman"/>
          <w:kern w:val="0"/>
          <w:szCs w:val="24"/>
        </w:rPr>
        <w:t>0.5</w:t>
      </w:r>
      <w:r>
        <w:rPr>
          <w:rFonts w:hint="eastAsia" w:ascii="宋体" w:hAnsi="宋体" w:eastAsia="宋体" w:cs="Times New Roman"/>
          <w:kern w:val="0"/>
          <w:szCs w:val="24"/>
        </w:rPr>
        <w:t>款约定情形时，承包人可按下列程序向发包人提出索赔：</w:t>
      </w:r>
    </w:p>
    <w:p w14:paraId="07DAA1A1">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(1)承包人应在知道或应当知道索赔事件发生后28天内，向</w:t>
      </w:r>
      <w:r>
        <w:rPr>
          <w:rFonts w:ascii="宋体" w:hAnsi="宋体" w:eastAsia="宋体" w:cs="Times New Roman"/>
          <w:kern w:val="0"/>
          <w:szCs w:val="24"/>
        </w:rPr>
        <w:t>监理人</w:t>
      </w:r>
      <w:r>
        <w:rPr>
          <w:rFonts w:hint="eastAsia" w:ascii="宋体" w:hAnsi="宋体" w:eastAsia="宋体" w:cs="Times New Roman"/>
          <w:kern w:val="0"/>
          <w:szCs w:val="24"/>
        </w:rPr>
        <w:t>提出索赔意向通知。逾期不提出的，视为放弃索赔；</w:t>
      </w:r>
    </w:p>
    <w:p w14:paraId="65ACCA38">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(2)承包人应在提出索赔意向通知后28天内，向</w:t>
      </w:r>
      <w:r>
        <w:rPr>
          <w:rFonts w:ascii="宋体" w:hAnsi="宋体" w:eastAsia="宋体" w:cs="Times New Roman"/>
          <w:kern w:val="0"/>
          <w:szCs w:val="24"/>
        </w:rPr>
        <w:t>监理人</w:t>
      </w:r>
      <w:r>
        <w:rPr>
          <w:rFonts w:hint="eastAsia" w:ascii="宋体" w:hAnsi="宋体" w:eastAsia="宋体" w:cs="Times New Roman"/>
          <w:kern w:val="0"/>
          <w:szCs w:val="24"/>
        </w:rPr>
        <w:t>提交追加的付款金额和(或)延长工期的索赔报告及有关资料；</w:t>
      </w:r>
    </w:p>
    <w:p w14:paraId="2F79A120">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监理人</w:t>
      </w:r>
      <w:r>
        <w:rPr>
          <w:rFonts w:hint="eastAsia" w:ascii="宋体" w:hAnsi="宋体" w:eastAsia="宋体" w:cs="Times New Roman"/>
          <w:kern w:val="0"/>
          <w:szCs w:val="24"/>
        </w:rPr>
        <w:t>在收到承包人提交的索赔报告和有关资料后，于</w:t>
      </w:r>
      <w:r>
        <w:rPr>
          <w:rFonts w:ascii="宋体" w:hAnsi="宋体" w:eastAsia="宋体" w:cs="Times New Roman"/>
          <w:kern w:val="0"/>
          <w:szCs w:val="24"/>
        </w:rPr>
        <w:t>14</w:t>
      </w:r>
      <w:r>
        <w:rPr>
          <w:rFonts w:hint="eastAsia" w:ascii="宋体" w:hAnsi="宋体" w:eastAsia="宋体" w:cs="Times New Roman"/>
          <w:kern w:val="0"/>
          <w:szCs w:val="24"/>
        </w:rPr>
        <w:t>天内完成审查并报送发包人，或要求承包人进一步补充索赔理由和证据；</w:t>
      </w:r>
    </w:p>
    <w:p w14:paraId="78B31CC3">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(4)发包</w:t>
      </w:r>
      <w:r>
        <w:rPr>
          <w:rFonts w:ascii="宋体" w:hAnsi="宋体" w:eastAsia="宋体" w:cs="Times New Roman"/>
          <w:kern w:val="0"/>
          <w:szCs w:val="24"/>
        </w:rPr>
        <w:t>人</w:t>
      </w:r>
      <w:r>
        <w:rPr>
          <w:rFonts w:hint="eastAsia" w:ascii="宋体" w:hAnsi="宋体" w:eastAsia="宋体" w:cs="Times New Roman"/>
          <w:kern w:val="0"/>
          <w:szCs w:val="24"/>
        </w:rPr>
        <w:t>在收到承包人提交的索赔报告和有关资料后28天内，由监理人向承包人出具经发包人签认的索赔处理结果。未予答复或未对承包人作进一步要求，视为该项索赔已被认可；</w:t>
      </w:r>
    </w:p>
    <w:p w14:paraId="4A5C4338">
      <w:pPr>
        <w:tabs>
          <w:tab w:val="left" w:pos="1620"/>
          <w:tab w:val="left" w:pos="2340"/>
        </w:tabs>
        <w:ind w:left="869" w:leftChars="414"/>
        <w:jc w:val="left"/>
        <w:rPr>
          <w:rFonts w:hint="eastAsia" w:ascii="宋体" w:hAnsi="宋体" w:eastAsia="宋体" w:cs="Times New Roman"/>
          <w:kern w:val="0"/>
          <w:szCs w:val="24"/>
        </w:rPr>
      </w:pPr>
      <w:r>
        <w:rPr>
          <w:rFonts w:ascii="宋体" w:hAnsi="宋体" w:eastAsia="宋体" w:cs="Times New Roman"/>
          <w:kern w:val="0"/>
          <w:szCs w:val="24"/>
        </w:rPr>
        <w:t>(5)</w:t>
      </w:r>
      <w:r>
        <w:rPr>
          <w:rFonts w:hint="eastAsia" w:ascii="宋体" w:hAnsi="宋体" w:eastAsia="宋体" w:cs="Times New Roman"/>
          <w:kern w:val="0"/>
          <w:szCs w:val="24"/>
        </w:rPr>
        <w:t>当索赔事件持续进行时，承包人应阶段性向</w:t>
      </w:r>
      <w:r>
        <w:rPr>
          <w:rFonts w:ascii="宋体" w:hAnsi="宋体" w:eastAsia="宋体" w:cs="Times New Roman"/>
          <w:kern w:val="0"/>
          <w:szCs w:val="24"/>
        </w:rPr>
        <w:t>监理人</w:t>
      </w:r>
      <w:r>
        <w:rPr>
          <w:rFonts w:hint="eastAsia" w:ascii="宋体" w:hAnsi="宋体" w:eastAsia="宋体" w:cs="Times New Roman"/>
          <w:kern w:val="0"/>
          <w:szCs w:val="24"/>
        </w:rPr>
        <w:t>提出索赔意向通知，在该事件终了后28天内，向</w:t>
      </w:r>
      <w:r>
        <w:rPr>
          <w:rFonts w:ascii="宋体" w:hAnsi="宋体" w:eastAsia="宋体" w:cs="Times New Roman"/>
          <w:kern w:val="0"/>
          <w:szCs w:val="24"/>
        </w:rPr>
        <w:t>监理人</w:t>
      </w:r>
      <w:r>
        <w:rPr>
          <w:rFonts w:hint="eastAsia" w:ascii="宋体" w:hAnsi="宋体" w:eastAsia="宋体" w:cs="Times New Roman"/>
          <w:kern w:val="0"/>
          <w:szCs w:val="24"/>
        </w:rPr>
        <w:t>提交索赔的有关资料和最终索赔报告。索赔答复程序与本款第(3)、(4)项的约定相同。</w:t>
      </w:r>
    </w:p>
    <w:p w14:paraId="7C17FBF6">
      <w:pPr>
        <w:tabs>
          <w:tab w:val="left" w:pos="1620"/>
          <w:tab w:val="left" w:pos="2340"/>
        </w:tabs>
        <w:ind w:left="869" w:leftChars="414"/>
        <w:jc w:val="left"/>
        <w:rPr>
          <w:rFonts w:hint="eastAsia" w:ascii="宋体" w:hAnsi="宋体" w:eastAsia="宋体" w:cs="Times New Roman"/>
          <w:kern w:val="0"/>
          <w:szCs w:val="24"/>
        </w:rPr>
      </w:pPr>
      <w:r>
        <w:rPr>
          <w:rFonts w:hint="eastAsia" w:ascii="宋体" w:hAnsi="宋体" w:eastAsia="宋体" w:cs="Times New Roman"/>
          <w:kern w:val="0"/>
          <w:szCs w:val="24"/>
        </w:rPr>
        <w:t>(6)</w:t>
      </w:r>
      <w:r>
        <w:rPr>
          <w:rFonts w:ascii="宋体" w:hAnsi="宋体" w:eastAsia="宋体" w:cs="Times New Roman"/>
          <w:kern w:val="0"/>
          <w:szCs w:val="24"/>
        </w:rPr>
        <w:t>承包人接受索赔处理结果的，索赔款项在</w:t>
      </w:r>
      <w:r>
        <w:rPr>
          <w:rFonts w:hint="eastAsia" w:ascii="宋体" w:hAnsi="宋体" w:eastAsia="宋体" w:cs="Times New Roman"/>
          <w:kern w:val="0"/>
          <w:szCs w:val="24"/>
        </w:rPr>
        <w:t>本期</w:t>
      </w:r>
      <w:r>
        <w:rPr>
          <w:rFonts w:ascii="宋体" w:hAnsi="宋体" w:eastAsia="宋体" w:cs="Times New Roman"/>
          <w:kern w:val="0"/>
          <w:szCs w:val="24"/>
        </w:rPr>
        <w:t>进度款中进行支付；承包人不接受索赔处理结果的，按照第</w:t>
      </w:r>
      <w:r>
        <w:rPr>
          <w:rFonts w:hint="eastAsia" w:ascii="宋体" w:hAnsi="宋体" w:eastAsia="宋体" w:cs="Times New Roman"/>
          <w:kern w:val="0"/>
          <w:szCs w:val="24"/>
        </w:rPr>
        <w:t>31</w:t>
      </w:r>
      <w:r>
        <w:rPr>
          <w:rFonts w:ascii="宋体" w:hAnsi="宋体" w:eastAsia="宋体" w:cs="Times New Roman"/>
          <w:kern w:val="0"/>
          <w:szCs w:val="24"/>
        </w:rPr>
        <w:t>条</w:t>
      </w:r>
      <w:r>
        <w:rPr>
          <w:rFonts w:hint="eastAsia" w:ascii="宋体" w:hAnsi="宋体" w:eastAsia="宋体" w:cs="Times New Roman"/>
          <w:kern w:val="0"/>
          <w:szCs w:val="24"/>
        </w:rPr>
        <w:t>【</w:t>
      </w:r>
      <w:r>
        <w:rPr>
          <w:rFonts w:ascii="宋体" w:hAnsi="宋体" w:eastAsia="宋体" w:cs="Times New Roman"/>
          <w:kern w:val="0"/>
          <w:szCs w:val="24"/>
        </w:rPr>
        <w:t>争议解决</w:t>
      </w:r>
      <w:r>
        <w:rPr>
          <w:rFonts w:hint="eastAsia" w:ascii="宋体" w:hAnsi="宋体" w:eastAsia="宋体" w:cs="Times New Roman"/>
          <w:kern w:val="0"/>
          <w:szCs w:val="24"/>
        </w:rPr>
        <w:t>】</w:t>
      </w:r>
      <w:r>
        <w:rPr>
          <w:rFonts w:ascii="宋体" w:hAnsi="宋体" w:eastAsia="宋体" w:cs="Times New Roman"/>
          <w:kern w:val="0"/>
          <w:szCs w:val="24"/>
        </w:rPr>
        <w:t>约定处理。</w:t>
      </w:r>
    </w:p>
    <w:p w14:paraId="3932D494">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684" w:name="_Toc201735480"/>
      <w:bookmarkStart w:id="3685" w:name="_Toc29357"/>
      <w:bookmarkStart w:id="3686" w:name="_Toc23133"/>
      <w:bookmarkStart w:id="3687" w:name="_Toc30079"/>
      <w:bookmarkStart w:id="3688" w:name="_Toc12146"/>
      <w:bookmarkStart w:id="3689" w:name="_Toc30400"/>
      <w:bookmarkStart w:id="3690" w:name="_Toc3129"/>
      <w:bookmarkStart w:id="3691" w:name="_Toc19251"/>
      <w:bookmarkStart w:id="3692" w:name="_Toc208587706"/>
      <w:bookmarkStart w:id="3693" w:name="_Toc5851"/>
      <w:bookmarkStart w:id="3694" w:name="_Toc421167210"/>
      <w:bookmarkStart w:id="3695" w:name="_Toc17462"/>
      <w:bookmarkStart w:id="3696" w:name="_Toc30918"/>
      <w:r>
        <w:rPr>
          <w:rFonts w:hint="eastAsia" w:ascii="宋体" w:hAnsi="宋体" w:eastAsia="宋体" w:cs="Times New Roman"/>
          <w:b/>
          <w:bCs/>
          <w:kern w:val="0"/>
          <w:sz w:val="24"/>
          <w:szCs w:val="24"/>
          <w:lang w:val="en-US" w:eastAsia="zh-CN" w:bidi="ar-SA"/>
        </w:rPr>
        <w:t>提出索赔的期限</w:t>
      </w:r>
      <w:bookmarkEnd w:id="3669"/>
      <w:bookmarkEnd w:id="3684"/>
      <w:bookmarkEnd w:id="3685"/>
      <w:bookmarkEnd w:id="3686"/>
      <w:bookmarkEnd w:id="3687"/>
      <w:bookmarkEnd w:id="3688"/>
      <w:bookmarkEnd w:id="3689"/>
      <w:bookmarkEnd w:id="3690"/>
      <w:bookmarkEnd w:id="3691"/>
      <w:bookmarkEnd w:id="3692"/>
      <w:bookmarkEnd w:id="3693"/>
      <w:bookmarkEnd w:id="3694"/>
      <w:bookmarkEnd w:id="3695"/>
      <w:bookmarkEnd w:id="3696"/>
    </w:p>
    <w:p w14:paraId="61FD8D8C">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承包人按第</w:t>
      </w:r>
      <w:r>
        <w:rPr>
          <w:rFonts w:hint="eastAsia" w:ascii="宋体" w:hAnsi="宋体" w:eastAsia="宋体" w:cs="Times New Roman"/>
          <w:kern w:val="0"/>
          <w:szCs w:val="24"/>
        </w:rPr>
        <w:t>28</w:t>
      </w:r>
      <w:r>
        <w:rPr>
          <w:rFonts w:ascii="宋体" w:hAnsi="宋体" w:eastAsia="宋体" w:cs="Times New Roman"/>
          <w:kern w:val="0"/>
          <w:szCs w:val="24"/>
        </w:rPr>
        <w:t>.</w:t>
      </w:r>
      <w:r>
        <w:rPr>
          <w:rFonts w:hint="eastAsia" w:ascii="宋体" w:hAnsi="宋体" w:eastAsia="宋体" w:cs="Times New Roman"/>
          <w:kern w:val="0"/>
          <w:szCs w:val="24"/>
        </w:rPr>
        <w:t>7</w:t>
      </w:r>
      <w:r>
        <w:rPr>
          <w:rFonts w:ascii="宋体" w:hAnsi="宋体" w:eastAsia="宋体" w:cs="Times New Roman"/>
          <w:kern w:val="0"/>
          <w:szCs w:val="24"/>
        </w:rPr>
        <w:t>款</w:t>
      </w:r>
      <w:r>
        <w:rPr>
          <w:rFonts w:hint="eastAsia" w:ascii="宋体" w:hAnsi="宋体" w:eastAsia="宋体" w:cs="Times New Roman"/>
          <w:kern w:val="0"/>
          <w:szCs w:val="24"/>
        </w:rPr>
        <w:t>【</w:t>
      </w:r>
      <w:r>
        <w:rPr>
          <w:rFonts w:ascii="宋体" w:hAnsi="宋体" w:eastAsia="宋体" w:cs="Times New Roman"/>
          <w:kern w:val="0"/>
          <w:szCs w:val="24"/>
        </w:rPr>
        <w:t>竣工结算</w:t>
      </w:r>
      <w:r>
        <w:rPr>
          <w:rFonts w:hint="eastAsia" w:ascii="宋体" w:hAnsi="宋体" w:eastAsia="宋体" w:cs="Times New Roman"/>
          <w:kern w:val="0"/>
          <w:szCs w:val="24"/>
        </w:rPr>
        <w:t>支付】</w:t>
      </w:r>
      <w:r>
        <w:rPr>
          <w:rFonts w:ascii="宋体" w:hAnsi="宋体" w:eastAsia="宋体" w:cs="Times New Roman"/>
          <w:kern w:val="0"/>
          <w:szCs w:val="24"/>
        </w:rPr>
        <w:t>约定接收竣工</w:t>
      </w:r>
      <w:r>
        <w:rPr>
          <w:rFonts w:hint="eastAsia" w:ascii="宋体" w:hAnsi="宋体" w:eastAsia="宋体" w:cs="Times New Roman"/>
          <w:kern w:val="0"/>
          <w:szCs w:val="24"/>
        </w:rPr>
        <w:t>支付</w:t>
      </w:r>
      <w:r>
        <w:rPr>
          <w:rFonts w:ascii="宋体" w:hAnsi="宋体" w:eastAsia="宋体" w:cs="Times New Roman"/>
          <w:kern w:val="0"/>
          <w:szCs w:val="24"/>
        </w:rPr>
        <w:t>证书后，应被视为已无权再提出在工程接收证书颁发前所发生的任何索赔。</w:t>
      </w:r>
    </w:p>
    <w:p w14:paraId="128B1BCA">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承包人按第</w:t>
      </w:r>
      <w:r>
        <w:rPr>
          <w:rFonts w:hint="eastAsia" w:ascii="宋体" w:hAnsi="宋体" w:eastAsia="宋体" w:cs="Times New Roman"/>
          <w:kern w:val="0"/>
          <w:szCs w:val="24"/>
        </w:rPr>
        <w:t>28</w:t>
      </w:r>
      <w:r>
        <w:rPr>
          <w:rFonts w:ascii="宋体" w:hAnsi="宋体" w:eastAsia="宋体" w:cs="Times New Roman"/>
          <w:kern w:val="0"/>
          <w:szCs w:val="24"/>
        </w:rPr>
        <w:t>.</w:t>
      </w:r>
      <w:r>
        <w:rPr>
          <w:rFonts w:hint="eastAsia" w:ascii="宋体" w:hAnsi="宋体" w:eastAsia="宋体" w:cs="Times New Roman"/>
          <w:kern w:val="0"/>
          <w:szCs w:val="24"/>
        </w:rPr>
        <w:t>8</w:t>
      </w:r>
      <w:r>
        <w:rPr>
          <w:rFonts w:ascii="宋体" w:hAnsi="宋体" w:eastAsia="宋体" w:cs="Times New Roman"/>
          <w:kern w:val="0"/>
          <w:szCs w:val="24"/>
        </w:rPr>
        <w:t>款</w:t>
      </w:r>
      <w:r>
        <w:rPr>
          <w:rFonts w:hint="eastAsia" w:ascii="宋体" w:hAnsi="宋体" w:eastAsia="宋体" w:cs="Times New Roman"/>
          <w:kern w:val="0"/>
          <w:szCs w:val="24"/>
        </w:rPr>
        <w:t>【</w:t>
      </w:r>
      <w:r>
        <w:rPr>
          <w:rFonts w:ascii="宋体" w:hAnsi="宋体" w:eastAsia="宋体" w:cs="Times New Roman"/>
          <w:kern w:val="0"/>
          <w:szCs w:val="24"/>
        </w:rPr>
        <w:t>最终结清</w:t>
      </w:r>
      <w:r>
        <w:rPr>
          <w:rFonts w:hint="eastAsia" w:ascii="宋体" w:hAnsi="宋体" w:eastAsia="宋体" w:cs="Times New Roman"/>
          <w:kern w:val="0"/>
          <w:szCs w:val="24"/>
        </w:rPr>
        <w:t>申请】</w:t>
      </w:r>
      <w:r>
        <w:rPr>
          <w:rFonts w:ascii="宋体" w:hAnsi="宋体" w:eastAsia="宋体" w:cs="Times New Roman"/>
          <w:kern w:val="0"/>
          <w:szCs w:val="24"/>
        </w:rPr>
        <w:t>提交的最终结清申请单中，只限于提出工程接收证书颁发后发生的索赔。提出索赔的期限自接受最终结清证书时终止。</w:t>
      </w:r>
    </w:p>
    <w:p w14:paraId="48457EF7">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697" w:name="_Toc11954"/>
      <w:bookmarkStart w:id="3698" w:name="_Toc302635905"/>
      <w:bookmarkStart w:id="3699" w:name="_Toc255956159"/>
      <w:bookmarkStart w:id="3700" w:name="_Toc1913"/>
      <w:bookmarkStart w:id="3701" w:name="_Toc201735481"/>
      <w:bookmarkStart w:id="3702" w:name="_Toc19148"/>
      <w:bookmarkStart w:id="3703" w:name="_Toc25134"/>
      <w:bookmarkStart w:id="3704" w:name="_Toc12418"/>
      <w:bookmarkStart w:id="3705" w:name="_Toc24025"/>
      <w:bookmarkStart w:id="3706" w:name="_Toc16345"/>
      <w:bookmarkStart w:id="3707" w:name="_Toc208587707"/>
      <w:bookmarkStart w:id="3708" w:name="_Toc23180"/>
      <w:bookmarkStart w:id="3709" w:name="_Toc30601"/>
      <w:bookmarkStart w:id="3710" w:name="_Toc9063"/>
      <w:r>
        <w:rPr>
          <w:rFonts w:hint="eastAsia" w:ascii="宋体" w:hAnsi="宋体" w:eastAsia="宋体" w:cs="Times New Roman"/>
          <w:b/>
          <w:bCs/>
          <w:kern w:val="0"/>
          <w:sz w:val="24"/>
          <w:szCs w:val="24"/>
          <w:lang w:val="en-US" w:eastAsia="zh-CN" w:bidi="ar-SA"/>
        </w:rPr>
        <w:t>索赔费用的支付</w:t>
      </w:r>
      <w:bookmarkEnd w:id="3670"/>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p>
    <w:p w14:paraId="1D5FBD79">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监理人</w:t>
      </w:r>
      <w:r>
        <w:rPr>
          <w:rFonts w:hint="eastAsia" w:ascii="宋体" w:hAnsi="宋体" w:eastAsia="宋体" w:cs="Times New Roman"/>
          <w:kern w:val="0"/>
          <w:szCs w:val="24"/>
        </w:rPr>
        <w:t>对承包人根据第30.6款提交的索赔报告和有关资料进行核实，并报发包人批准后，确定赔偿的费用并与工程款同期支付，确定延误的工期并顺延工期。</w:t>
      </w:r>
      <w:bookmarkEnd w:id="3641"/>
    </w:p>
    <w:p w14:paraId="635A5D66">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(2)承包人对发包人根据第30.4款提交的索赔报告和有关资料进行核实，与发包人协商后确定赔偿的费用并在</w:t>
      </w:r>
      <w:r>
        <w:rPr>
          <w:rFonts w:ascii="宋体" w:hAnsi="宋体" w:eastAsia="宋体" w:cs="Times New Roman"/>
          <w:kern w:val="0"/>
          <w:szCs w:val="24"/>
        </w:rPr>
        <w:t>监理人</w:t>
      </w:r>
      <w:r>
        <w:rPr>
          <w:rFonts w:hint="eastAsia" w:ascii="宋体" w:hAnsi="宋体" w:eastAsia="宋体" w:cs="Times New Roman"/>
          <w:kern w:val="0"/>
          <w:szCs w:val="24"/>
        </w:rPr>
        <w:t>签发给承包人的支付证书中予以扣除。</w:t>
      </w:r>
    </w:p>
    <w:p w14:paraId="04843A80">
      <w:pPr>
        <w:tabs>
          <w:tab w:val="left" w:pos="1620"/>
          <w:tab w:val="left" w:pos="2340"/>
        </w:tabs>
        <w:spacing w:after="156"/>
        <w:ind w:left="899"/>
        <w:jc w:val="left"/>
        <w:rPr>
          <w:rFonts w:ascii="宋体" w:hAnsi="宋体" w:eastAsia="宋体" w:cs="Times New Roman"/>
          <w:kern w:val="0"/>
          <w:szCs w:val="24"/>
        </w:rPr>
      </w:pPr>
      <w:bookmarkStart w:id="3711" w:name="_Toc34909144"/>
      <w:r>
        <w:rPr>
          <w:rFonts w:hint="eastAsia" w:ascii="宋体" w:hAnsi="宋体" w:eastAsia="宋体" w:cs="Times New Roman"/>
          <w:kern w:val="0"/>
          <w:szCs w:val="24"/>
        </w:rPr>
        <w:t>(3)有关本工程索赔的文件的编制和审核均须经注册造价工程师签字盖章确认。</w:t>
      </w:r>
      <w:bookmarkEnd w:id="3711"/>
    </w:p>
    <w:p w14:paraId="471D1E42">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3712" w:name="_Toc35656501"/>
      <w:bookmarkStart w:id="3713" w:name="_Toc35657003"/>
      <w:bookmarkStart w:id="3714" w:name="_Toc305331404"/>
      <w:bookmarkStart w:id="3715" w:name="_Toc34909145"/>
      <w:bookmarkStart w:id="3716" w:name="_Toc3232"/>
      <w:bookmarkStart w:id="3717" w:name="_Toc25185"/>
      <w:bookmarkStart w:id="3718" w:name="_Toc208587708"/>
      <w:bookmarkStart w:id="3719" w:name="_Toc396006363"/>
      <w:bookmarkStart w:id="3720" w:name="_Toc201735482"/>
      <w:bookmarkStart w:id="3721" w:name="_Toc302635906"/>
      <w:bookmarkStart w:id="3722" w:name="_Toc15597"/>
      <w:bookmarkStart w:id="3723" w:name="_Toc28532"/>
      <w:bookmarkStart w:id="3724" w:name="_Toc15914"/>
      <w:bookmarkStart w:id="3725" w:name="_Toc21420"/>
      <w:bookmarkStart w:id="3726" w:name="_Toc14510"/>
      <w:bookmarkStart w:id="3727" w:name="_Toc9626"/>
      <w:bookmarkStart w:id="3728" w:name="_Toc14796"/>
      <w:bookmarkStart w:id="3729" w:name="_Toc9748"/>
      <w:r>
        <w:rPr>
          <w:rFonts w:hint="eastAsia" w:ascii="华文细黑" w:hAnsi="宋体" w:eastAsia="宋体" w:cs="Times New Roman"/>
          <w:b/>
          <w:bCs/>
          <w:snapToGrid w:val="0"/>
          <w:kern w:val="0"/>
          <w:sz w:val="28"/>
          <w:szCs w:val="44"/>
          <w:lang w:val="en-US" w:eastAsia="zh-CN" w:bidi="ar-SA"/>
        </w:rPr>
        <w:t>争议</w:t>
      </w:r>
      <w:bookmarkEnd w:id="3712"/>
      <w:bookmarkEnd w:id="3713"/>
      <w:bookmarkEnd w:id="3714"/>
      <w:bookmarkEnd w:id="3715"/>
      <w:r>
        <w:rPr>
          <w:rFonts w:hint="eastAsia" w:ascii="华文细黑" w:hAnsi="宋体" w:eastAsia="宋体" w:cs="Times New Roman"/>
          <w:b/>
          <w:bCs/>
          <w:snapToGrid w:val="0"/>
          <w:kern w:val="0"/>
          <w:sz w:val="28"/>
          <w:szCs w:val="44"/>
          <w:lang w:val="en-US" w:eastAsia="zh-CN" w:bidi="ar-SA"/>
        </w:rPr>
        <w:t>解决</w:t>
      </w:r>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p>
    <w:p w14:paraId="79C03631">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730" w:name="_Toc302635907"/>
      <w:bookmarkStart w:id="3731" w:name="_Toc208587709"/>
      <w:bookmarkStart w:id="3732" w:name="_Toc8755"/>
      <w:bookmarkStart w:id="3733" w:name="_Toc9549"/>
      <w:bookmarkStart w:id="3734" w:name="_Toc5230"/>
      <w:bookmarkStart w:id="3735" w:name="_Toc22833"/>
      <w:bookmarkStart w:id="3736" w:name="_Toc23457"/>
      <w:bookmarkStart w:id="3737" w:name="_Toc9987"/>
      <w:bookmarkStart w:id="3738" w:name="_Toc305331405"/>
      <w:bookmarkStart w:id="3739" w:name="_Toc201735483"/>
      <w:bookmarkStart w:id="3740" w:name="_Toc1453286542"/>
      <w:bookmarkStart w:id="3741" w:name="_Toc28374"/>
      <w:bookmarkStart w:id="3742" w:name="_Toc8076"/>
      <w:bookmarkStart w:id="3743" w:name="_Toc21570"/>
      <w:bookmarkStart w:id="3744" w:name="_Toc23624"/>
      <w:bookmarkStart w:id="3745" w:name="_Toc34909146"/>
      <w:r>
        <w:rPr>
          <w:rFonts w:hint="eastAsia" w:ascii="宋体" w:hAnsi="宋体" w:eastAsia="宋体" w:cs="Times New Roman"/>
          <w:b/>
          <w:bCs/>
          <w:kern w:val="0"/>
          <w:sz w:val="24"/>
          <w:szCs w:val="24"/>
          <w:lang w:val="en-US" w:eastAsia="zh-CN" w:bidi="ar-SA"/>
        </w:rPr>
        <w:t>争议的解决方式</w:t>
      </w:r>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p>
    <w:p w14:paraId="44B8427A">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(1)发承包双方可以就争议自行和解，自行和解达成协议的经双方签字并盖章后作为合同补充文件，双方均应遵照执行。</w:t>
      </w:r>
    </w:p>
    <w:p w14:paraId="70F66B26">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(2)发承包双方在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中约定采取争议评审方式解决争议以及评审规则，并按下列约定执行：</w:t>
      </w:r>
    </w:p>
    <w:p w14:paraId="5A2A71D2">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①争议评审小组的确定</w:t>
      </w:r>
    </w:p>
    <w:p w14:paraId="4A516E2F">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发承包双方可以共同选择一名或三名争议评审员，组成争议评审小组。除</w:t>
      </w:r>
      <w:r>
        <w:rPr>
          <w:rFonts w:hint="eastAsia" w:ascii="宋体" w:hAnsi="宋体" w:eastAsia="宋体" w:cs="Times New Roman"/>
          <w:b/>
          <w:i/>
          <w:kern w:val="0"/>
          <w:szCs w:val="24"/>
        </w:rPr>
        <w:t>专用条款</w:t>
      </w:r>
      <w:r>
        <w:rPr>
          <w:rFonts w:hint="eastAsia" w:ascii="宋体" w:hAnsi="宋体" w:eastAsia="宋体" w:cs="Times New Roman"/>
          <w:kern w:val="0"/>
          <w:szCs w:val="24"/>
        </w:rPr>
        <w:t>另有约定外，发承包双方应当自合同签订后28天内，或者争议发生后14天内，选定争议评审员。</w:t>
      </w:r>
    </w:p>
    <w:p w14:paraId="078E20ED">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选择一名争议评审员的，由发承包双方共同确定；选择三名争议评审员的，各自选定一名，第三名成员为首席争议评审员，由发承包双方共同确定或由发承包双方委托已选定的争议评审员共同确定，或由</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约定的评审机构指定第三名首席争议评审员。</w:t>
      </w:r>
    </w:p>
    <w:p w14:paraId="6DE9CBB0">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除</w:t>
      </w:r>
      <w:r>
        <w:rPr>
          <w:rFonts w:hint="eastAsia" w:ascii="宋体" w:hAnsi="宋体" w:eastAsia="宋体" w:cs="Times New Roman"/>
          <w:b/>
          <w:i/>
          <w:kern w:val="0"/>
          <w:szCs w:val="24"/>
        </w:rPr>
        <w:t>专用条款</w:t>
      </w:r>
      <w:r>
        <w:rPr>
          <w:rFonts w:hint="eastAsia" w:ascii="宋体" w:hAnsi="宋体" w:eastAsia="宋体" w:cs="Times New Roman"/>
          <w:kern w:val="0"/>
          <w:szCs w:val="24"/>
        </w:rPr>
        <w:t>另有约定外，评审员报酬由发包人和承包人各承担一半。</w:t>
      </w:r>
    </w:p>
    <w:p w14:paraId="0A6B0FD0">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②争议评审小组的决定</w:t>
      </w:r>
    </w:p>
    <w:p w14:paraId="1991840C">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发承包双方可在任何时间将与合同有关的任何争议共同提请争议评审小组进行评审。争议评审小组应秉持客观、公正原则，充分听取发承包双方的意见，依据相关法律、规范、标准、案例经验及商业惯例等，自收到争议评审申请报告后14天内作出书面决定，并说明理由。发承包双方可以在</w:t>
      </w:r>
      <w:r>
        <w:rPr>
          <w:rFonts w:hint="eastAsia" w:ascii="宋体" w:hAnsi="宋体" w:eastAsia="宋体" w:cs="Times New Roman"/>
          <w:b/>
          <w:i/>
          <w:kern w:val="0"/>
          <w:szCs w:val="24"/>
        </w:rPr>
        <w:t>专用条款</w:t>
      </w:r>
      <w:r>
        <w:rPr>
          <w:rFonts w:hint="eastAsia" w:ascii="宋体" w:hAnsi="宋体" w:eastAsia="宋体" w:cs="Times New Roman"/>
          <w:kern w:val="0"/>
          <w:szCs w:val="24"/>
        </w:rPr>
        <w:t>中对本项事项另行约定。</w:t>
      </w:r>
    </w:p>
    <w:p w14:paraId="0838E383">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③争议评审小组决定的效力</w:t>
      </w:r>
    </w:p>
    <w:p w14:paraId="097EBB4E">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争议评审小组作出的书面决定经发承包双方签字确认后，对双方具有约束力，双方应遵照执行。</w:t>
      </w:r>
    </w:p>
    <w:p w14:paraId="5D5FB44D">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任何一方当事人不接受争议评审小组决定或不履行争议评审小组决定的，双方可选择采用其他争议解决方式。</w:t>
      </w:r>
    </w:p>
    <w:p w14:paraId="1A5A6A53">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(3)发承包双方可将争议事项提交</w:t>
      </w:r>
      <w:r>
        <w:rPr>
          <w:rFonts w:hint="eastAsia" w:ascii="宋体" w:hAnsi="宋体" w:eastAsia="宋体" w:cs="Times New Roman"/>
          <w:b/>
          <w:bCs/>
          <w:i/>
          <w:iCs/>
          <w:kern w:val="0"/>
          <w:szCs w:val="24"/>
        </w:rPr>
        <w:t>专用条款</w:t>
      </w:r>
      <w:r>
        <w:rPr>
          <w:rFonts w:hint="eastAsia" w:ascii="宋体" w:hAnsi="宋体" w:eastAsia="宋体" w:cs="Times New Roman"/>
          <w:kern w:val="0"/>
          <w:szCs w:val="24"/>
        </w:rPr>
        <w:t>约定的机构进行调解，调解达成协议的，经双方签字并盖章后作为合同补充文件，双方均应遵照执行。</w:t>
      </w:r>
    </w:p>
    <w:p w14:paraId="1B77BC51">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(4)因合同及合同有关事项产生的争议，经和解、争议评审、调解仍无法解决，或者未就前述争议解决方式达成一致的，发承包双方可以按</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约定的方式申请仲裁或提起诉讼解决争议。</w:t>
      </w:r>
    </w:p>
    <w:bookmarkEnd w:id="3745"/>
    <w:p w14:paraId="2EF9E1D1">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746" w:name="_Toc201735484"/>
      <w:bookmarkEnd w:id="3746"/>
      <w:bookmarkStart w:id="3747" w:name="_Toc208587710"/>
      <w:bookmarkEnd w:id="3747"/>
      <w:bookmarkStart w:id="3748" w:name="_Toc32346"/>
      <w:bookmarkStart w:id="3749" w:name="_Toc6244"/>
      <w:bookmarkStart w:id="3750" w:name="_Toc208587713"/>
      <w:bookmarkStart w:id="3751" w:name="_Toc20256"/>
      <w:bookmarkStart w:id="3752" w:name="_Toc305331406"/>
      <w:bookmarkStart w:id="3753" w:name="_Toc302635908"/>
      <w:bookmarkStart w:id="3754" w:name="_Toc12289"/>
      <w:bookmarkStart w:id="3755" w:name="_Toc12984"/>
      <w:bookmarkStart w:id="3756" w:name="_Toc21147"/>
      <w:bookmarkStart w:id="3757" w:name="_Toc15259"/>
      <w:bookmarkStart w:id="3758" w:name="_Toc201735487"/>
      <w:bookmarkStart w:id="3759" w:name="_Toc23810"/>
      <w:bookmarkStart w:id="3760" w:name="_Toc15429"/>
      <w:bookmarkStart w:id="3761" w:name="_Toc1938621027"/>
      <w:bookmarkStart w:id="3762" w:name="_Toc22165"/>
      <w:bookmarkStart w:id="3763" w:name="_Toc34909148"/>
      <w:r>
        <w:rPr>
          <w:rFonts w:hint="eastAsia" w:ascii="宋体" w:hAnsi="宋体" w:eastAsia="宋体" w:cs="Times New Roman"/>
          <w:b/>
          <w:bCs/>
          <w:kern w:val="0"/>
          <w:sz w:val="24"/>
          <w:szCs w:val="24"/>
          <w:lang w:val="en-US" w:eastAsia="zh-CN" w:bidi="ar-SA"/>
        </w:rPr>
        <w:t>继续履行合同</w:t>
      </w:r>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p>
    <w:p w14:paraId="1A3BBA88">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发生争议后，除非出现下列情况及本合同另有约定的情况，双方都应继续履行合同，保持施工连续，保护好已完工程：</w:t>
      </w:r>
      <w:bookmarkEnd w:id="3763"/>
    </w:p>
    <w:p w14:paraId="7B729CAD">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(1)单方违约导致合同确已无法履行，双方协议停止施工；</w:t>
      </w:r>
    </w:p>
    <w:p w14:paraId="06548AD0">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(2)调解或争议评审小组要求停止施工，且为双方接受；</w:t>
      </w:r>
    </w:p>
    <w:p w14:paraId="1B1930EA">
      <w:pPr>
        <w:tabs>
          <w:tab w:val="left" w:pos="1620"/>
          <w:tab w:val="left" w:pos="2340"/>
        </w:tabs>
        <w:ind w:left="869" w:leftChars="414"/>
        <w:jc w:val="left"/>
        <w:rPr>
          <w:rFonts w:ascii="宋体" w:hAnsi="宋体" w:eastAsia="宋体" w:cs="Times New Roman"/>
          <w:kern w:val="0"/>
          <w:szCs w:val="24"/>
        </w:rPr>
      </w:pPr>
      <w:r>
        <w:rPr>
          <w:rFonts w:hint="eastAsia" w:ascii="宋体" w:hAnsi="宋体" w:eastAsia="宋体" w:cs="Times New Roman"/>
          <w:kern w:val="0"/>
          <w:szCs w:val="24"/>
        </w:rPr>
        <w:t>(3)仲裁机构要求停止施工；</w:t>
      </w:r>
    </w:p>
    <w:p w14:paraId="6B0FE1E1">
      <w:pPr>
        <w:tabs>
          <w:tab w:val="left" w:pos="1620"/>
          <w:tab w:val="left" w:pos="2340"/>
        </w:tabs>
        <w:ind w:left="869" w:leftChars="414"/>
        <w:jc w:val="left"/>
        <w:rPr>
          <w:rFonts w:hint="eastAsia" w:ascii="宋体" w:hAnsi="宋体" w:eastAsia="宋体" w:cs="Times New Roman"/>
          <w:kern w:val="0"/>
          <w:szCs w:val="24"/>
        </w:rPr>
      </w:pPr>
      <w:r>
        <w:rPr>
          <w:rFonts w:hint="eastAsia" w:ascii="宋体" w:hAnsi="宋体" w:eastAsia="宋体" w:cs="Times New Roman"/>
          <w:kern w:val="0"/>
          <w:szCs w:val="24"/>
        </w:rPr>
        <w:t>(4)人民法院要求停止施工。</w:t>
      </w:r>
    </w:p>
    <w:p w14:paraId="601442E3">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3764" w:name="_Toc20789"/>
      <w:bookmarkStart w:id="3765" w:name="_Toc977"/>
      <w:bookmarkStart w:id="3766" w:name="_Toc10194"/>
      <w:bookmarkStart w:id="3767" w:name="_Toc12493"/>
      <w:bookmarkStart w:id="3768" w:name="_Toc244131845"/>
      <w:bookmarkStart w:id="3769" w:name="_Toc1640"/>
      <w:bookmarkStart w:id="3770" w:name="_Toc29828"/>
      <w:bookmarkStart w:id="3771" w:name="_Toc26974"/>
      <w:bookmarkStart w:id="3772" w:name="_Toc20573"/>
      <w:bookmarkStart w:id="3773" w:name="_Toc302635909"/>
      <w:bookmarkStart w:id="3774" w:name="_Toc26231"/>
      <w:bookmarkStart w:id="3775" w:name="_Toc201735488"/>
      <w:bookmarkStart w:id="3776" w:name="_Toc305331407"/>
      <w:bookmarkStart w:id="3777" w:name="_Toc208587714"/>
      <w:bookmarkStart w:id="3778" w:name="_Toc22010"/>
      <w:r>
        <w:rPr>
          <w:rFonts w:hint="eastAsia" w:ascii="华文细黑" w:hAnsi="宋体" w:eastAsia="宋体" w:cs="Times New Roman"/>
          <w:b/>
          <w:bCs/>
          <w:snapToGrid w:val="0"/>
          <w:kern w:val="0"/>
          <w:sz w:val="28"/>
          <w:szCs w:val="44"/>
          <w:lang w:val="en-US" w:eastAsia="zh-CN" w:bidi="ar-SA"/>
        </w:rPr>
        <w:t>工程缺陷责任与保修</w:t>
      </w:r>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p>
    <w:p w14:paraId="7FB93E0A">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779" w:name="_Toc201735489"/>
      <w:bookmarkStart w:id="3780" w:name="_Toc28428"/>
      <w:bookmarkStart w:id="3781" w:name="_Toc20374"/>
      <w:bookmarkStart w:id="3782" w:name="_Toc6451"/>
      <w:bookmarkStart w:id="3783" w:name="_Toc11885"/>
      <w:bookmarkStart w:id="3784" w:name="_Toc7378"/>
      <w:bookmarkStart w:id="3785" w:name="_Toc32528"/>
      <w:bookmarkStart w:id="3786" w:name="_Toc24452"/>
      <w:bookmarkStart w:id="3787" w:name="_Toc1913700032"/>
      <w:bookmarkStart w:id="3788" w:name="_Toc31078"/>
      <w:bookmarkStart w:id="3789" w:name="_Toc20993"/>
      <w:bookmarkStart w:id="3790" w:name="_Toc208587715"/>
      <w:bookmarkStart w:id="3791" w:name="_Toc10800"/>
      <w:bookmarkStart w:id="3792" w:name="_Toc302635910"/>
      <w:bookmarkStart w:id="3793" w:name="_Toc34909151"/>
      <w:bookmarkStart w:id="3794" w:name="_Toc305331408"/>
      <w:r>
        <w:rPr>
          <w:rFonts w:hint="eastAsia" w:ascii="宋体" w:hAnsi="宋体" w:eastAsia="宋体" w:cs="Times New Roman"/>
          <w:b/>
          <w:bCs/>
          <w:kern w:val="0"/>
          <w:sz w:val="24"/>
          <w:szCs w:val="24"/>
          <w:lang w:val="en-US" w:eastAsia="zh-CN" w:bidi="ar-SA"/>
        </w:rPr>
        <w:t>工程保修的原则</w:t>
      </w:r>
      <w:bookmarkEnd w:id="3779"/>
      <w:bookmarkEnd w:id="3780"/>
      <w:bookmarkEnd w:id="3781"/>
      <w:bookmarkEnd w:id="3782"/>
      <w:bookmarkEnd w:id="3783"/>
      <w:bookmarkEnd w:id="3784"/>
      <w:bookmarkEnd w:id="3785"/>
      <w:bookmarkEnd w:id="3786"/>
      <w:bookmarkEnd w:id="3787"/>
      <w:bookmarkEnd w:id="3788"/>
      <w:bookmarkEnd w:id="3789"/>
      <w:bookmarkEnd w:id="3790"/>
      <w:bookmarkEnd w:id="3791"/>
    </w:p>
    <w:p w14:paraId="443D1038">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在工程移交发包人后，因承包人原因产生的质量缺陷，承包人应承担质量缺陷责任和保修义务。缺陷责任期届满，承包人仍应按合同约定的工程各部位保修年限承担保修义务。</w:t>
      </w:r>
    </w:p>
    <w:bookmarkEnd w:id="3792"/>
    <w:bookmarkEnd w:id="3793"/>
    <w:bookmarkEnd w:id="3794"/>
    <w:p w14:paraId="40379D6E">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795" w:name="_Toc302635911"/>
      <w:bookmarkStart w:id="3796" w:name="_Toc3760"/>
      <w:bookmarkStart w:id="3797" w:name="_Toc26319"/>
      <w:bookmarkStart w:id="3798" w:name="_Toc10661"/>
      <w:bookmarkStart w:id="3799" w:name="_Toc752974240"/>
      <w:bookmarkStart w:id="3800" w:name="_Toc9126"/>
      <w:bookmarkStart w:id="3801" w:name="_Toc201735490"/>
      <w:bookmarkStart w:id="3802" w:name="_Toc3347"/>
      <w:bookmarkStart w:id="3803" w:name="_Toc14563"/>
      <w:bookmarkStart w:id="3804" w:name="_Toc10627"/>
      <w:bookmarkStart w:id="3805" w:name="_Toc15962"/>
      <w:bookmarkStart w:id="3806" w:name="_Toc24547"/>
      <w:bookmarkStart w:id="3807" w:name="_Toc208587716"/>
      <w:bookmarkStart w:id="3808" w:name="_Toc27131"/>
      <w:bookmarkStart w:id="3809" w:name="_Toc34909152"/>
      <w:bookmarkStart w:id="3810" w:name="_Toc305331409"/>
      <w:r>
        <w:rPr>
          <w:rFonts w:hint="eastAsia" w:ascii="宋体" w:hAnsi="宋体" w:eastAsia="宋体" w:cs="Times New Roman"/>
          <w:b/>
          <w:bCs/>
          <w:kern w:val="0"/>
          <w:sz w:val="24"/>
          <w:szCs w:val="24"/>
          <w:lang w:val="en-US" w:eastAsia="zh-CN" w:bidi="ar-SA"/>
        </w:rPr>
        <w:t>缺陷责任期</w:t>
      </w:r>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p>
    <w:p w14:paraId="0CAD96F9">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缺陷责任期自</w:t>
      </w:r>
      <w:r>
        <w:rPr>
          <w:rFonts w:hint="eastAsia" w:ascii="Times New Roman" w:hAnsi="Times New Roman" w:eastAsia="宋体" w:cs="Times New Roman"/>
          <w:color w:val="auto"/>
          <w:szCs w:val="24"/>
          <w:shd w:val="clear" w:color="auto" w:fill="FFFFFF"/>
        </w:rPr>
        <w:t>工程通过竣工验收之日</w:t>
      </w:r>
      <w:r>
        <w:rPr>
          <w:rFonts w:ascii="宋体" w:hAnsi="宋体" w:eastAsia="宋体" w:cs="Times New Roman"/>
          <w:kern w:val="0"/>
          <w:szCs w:val="24"/>
        </w:rPr>
        <w:t>起计算，发承包双方应在</w:t>
      </w:r>
      <w:r>
        <w:rPr>
          <w:rFonts w:ascii="宋体" w:hAnsi="宋体" w:eastAsia="宋体" w:cs="Times New Roman"/>
          <w:b/>
          <w:i/>
          <w:kern w:val="0"/>
          <w:szCs w:val="24"/>
        </w:rPr>
        <w:t>专用条款</w:t>
      </w:r>
      <w:r>
        <w:rPr>
          <w:rFonts w:ascii="宋体" w:hAnsi="宋体" w:eastAsia="宋体" w:cs="Times New Roman"/>
          <w:kern w:val="0"/>
          <w:szCs w:val="24"/>
        </w:rPr>
        <w:t>约定缺陷责任期的具体期限，但该期限最长不超过24个月。</w:t>
      </w:r>
    </w:p>
    <w:p w14:paraId="279189EE">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单位工程先于全部工程进行验收，经验收合格并交付使用的，该单位工程缺陷责任期自单位工程验收合格之日起算。</w:t>
      </w:r>
      <w:r>
        <w:rPr>
          <w:rFonts w:hint="eastAsia" w:ascii="宋体" w:hAnsi="宋体" w:eastAsia="宋体" w:cs="Times New Roman"/>
          <w:kern w:val="0"/>
          <w:szCs w:val="24"/>
        </w:rPr>
        <w:t>因承包人原因导致工程无法按规定期限进行竣工验收的，缺陷责任期从实际通过竣工验收之日起计。</w:t>
      </w:r>
      <w:r>
        <w:rPr>
          <w:rFonts w:ascii="宋体" w:hAnsi="宋体" w:eastAsia="宋体" w:cs="Times New Roman"/>
          <w:kern w:val="0"/>
          <w:szCs w:val="24"/>
        </w:rPr>
        <w:t>因发包人原因导致工程无法按合同约定期限进行竣工验收的，缺陷责任期自承包人提交竣工验收申请报告之日起</w:t>
      </w:r>
      <w:r>
        <w:rPr>
          <w:rFonts w:hint="eastAsia" w:ascii="宋体" w:hAnsi="宋体" w:eastAsia="宋体" w:cs="Times New Roman"/>
          <w:kern w:val="0"/>
          <w:szCs w:val="24"/>
        </w:rPr>
        <w:t>第91天（含）</w:t>
      </w:r>
      <w:r>
        <w:rPr>
          <w:rFonts w:ascii="宋体" w:hAnsi="宋体" w:eastAsia="宋体" w:cs="Times New Roman"/>
          <w:kern w:val="0"/>
          <w:szCs w:val="24"/>
        </w:rPr>
        <w:t>开始计算；发包人未经竣工验收擅自使用工程的，缺陷责任期自工程转移占有之日起开始计算。</w:t>
      </w:r>
    </w:p>
    <w:p w14:paraId="1FD45AEE">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工程竣工验收合格后，因承包人原因导致的缺陷或损坏致使工程、单位工程或某项主要</w:t>
      </w:r>
      <w:r>
        <w:rPr>
          <w:rFonts w:hint="eastAsia" w:ascii="宋体" w:hAnsi="宋体" w:eastAsia="宋体" w:cs="Times New Roman"/>
          <w:kern w:val="0"/>
          <w:szCs w:val="24"/>
        </w:rPr>
        <w:t>工程</w:t>
      </w:r>
      <w:r>
        <w:rPr>
          <w:rFonts w:ascii="宋体" w:hAnsi="宋体" w:eastAsia="宋体" w:cs="Times New Roman"/>
          <w:kern w:val="0"/>
          <w:szCs w:val="24"/>
        </w:rPr>
        <w:t>设备不能按原定目的使用的，发包人有权要求承包人延长缺陷责任期，并应在原缺陷责任期届满前发出延长通知，但缺陷责任期最长不能超过24个月。</w:t>
      </w:r>
    </w:p>
    <w:p w14:paraId="17B5B7F1">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任何一项缺陷或损坏修复后，经检查证明其影响了工程或工程设备的使用性能，承包人应重新进行合同约定的试验和试运行，试验和试运行的全部费用应由责任方承担。</w:t>
      </w:r>
    </w:p>
    <w:p w14:paraId="40A18569">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w:t>
      </w:r>
      <w:r>
        <w:rPr>
          <w:rFonts w:ascii="宋体" w:hAnsi="宋体" w:eastAsia="宋体" w:cs="Times New Roman"/>
          <w:kern w:val="0"/>
          <w:szCs w:val="24"/>
        </w:rPr>
        <w:t>除</w:t>
      </w:r>
      <w:r>
        <w:rPr>
          <w:rFonts w:ascii="宋体" w:hAnsi="宋体" w:eastAsia="宋体" w:cs="Times New Roman"/>
          <w:b/>
          <w:i/>
          <w:kern w:val="0"/>
          <w:szCs w:val="24"/>
        </w:rPr>
        <w:t>专用条款</w:t>
      </w:r>
      <w:r>
        <w:rPr>
          <w:rFonts w:ascii="宋体" w:hAnsi="宋体" w:eastAsia="宋体" w:cs="Times New Roman"/>
          <w:kern w:val="0"/>
          <w:szCs w:val="24"/>
        </w:rPr>
        <w:t>另有约定外，承包人应于缺陷责任期届满后7天内向发包人发出缺陷责任期</w:t>
      </w:r>
      <w:r>
        <w:rPr>
          <w:rFonts w:hint="eastAsia" w:ascii="宋体" w:hAnsi="宋体" w:eastAsia="宋体" w:cs="Times New Roman"/>
          <w:kern w:val="0"/>
          <w:szCs w:val="24"/>
        </w:rPr>
        <w:t>届</w:t>
      </w:r>
      <w:r>
        <w:rPr>
          <w:rFonts w:ascii="宋体" w:hAnsi="宋体" w:eastAsia="宋体" w:cs="Times New Roman"/>
          <w:kern w:val="0"/>
          <w:szCs w:val="24"/>
        </w:rPr>
        <w:t>满通知，发包人应在</w:t>
      </w:r>
      <w:r>
        <w:rPr>
          <w:rFonts w:hint="eastAsia" w:ascii="宋体" w:hAnsi="宋体" w:eastAsia="宋体" w:cs="Times New Roman"/>
          <w:kern w:val="0"/>
          <w:szCs w:val="24"/>
        </w:rPr>
        <w:t>收</w:t>
      </w:r>
      <w:r>
        <w:rPr>
          <w:rFonts w:ascii="宋体" w:hAnsi="宋体" w:eastAsia="宋体" w:cs="Times New Roman"/>
          <w:kern w:val="0"/>
          <w:szCs w:val="24"/>
        </w:rPr>
        <w:t>到缺陷责任期满通知后14天内核实承包人是否履行缺陷</w:t>
      </w:r>
      <w:r>
        <w:rPr>
          <w:rFonts w:hint="eastAsia" w:ascii="宋体" w:hAnsi="宋体" w:eastAsia="宋体" w:cs="Times New Roman"/>
          <w:kern w:val="0"/>
          <w:szCs w:val="24"/>
        </w:rPr>
        <w:t>修复</w:t>
      </w:r>
      <w:r>
        <w:rPr>
          <w:rFonts w:ascii="宋体" w:hAnsi="宋体" w:eastAsia="宋体" w:cs="Times New Roman"/>
          <w:kern w:val="0"/>
          <w:szCs w:val="24"/>
        </w:rPr>
        <w:t>义务，承包人未能履行缺陷</w:t>
      </w:r>
      <w:r>
        <w:rPr>
          <w:rFonts w:hint="eastAsia" w:ascii="宋体" w:hAnsi="宋体" w:eastAsia="宋体" w:cs="Times New Roman"/>
          <w:kern w:val="0"/>
          <w:szCs w:val="24"/>
        </w:rPr>
        <w:t>修复</w:t>
      </w:r>
      <w:r>
        <w:rPr>
          <w:rFonts w:ascii="宋体" w:hAnsi="宋体" w:eastAsia="宋体" w:cs="Times New Roman"/>
          <w:kern w:val="0"/>
          <w:szCs w:val="24"/>
        </w:rPr>
        <w:t>义务的，发包人有权扣除相应金额的维修费用。发包人应在</w:t>
      </w:r>
      <w:r>
        <w:rPr>
          <w:rFonts w:hint="eastAsia" w:ascii="宋体" w:hAnsi="宋体" w:eastAsia="宋体" w:cs="Times New Roman"/>
          <w:kern w:val="0"/>
          <w:szCs w:val="24"/>
        </w:rPr>
        <w:t>收到</w:t>
      </w:r>
      <w:r>
        <w:rPr>
          <w:rFonts w:ascii="宋体" w:hAnsi="宋体" w:eastAsia="宋体" w:cs="Times New Roman"/>
          <w:kern w:val="0"/>
          <w:szCs w:val="24"/>
        </w:rPr>
        <w:t>缺陷责任期</w:t>
      </w:r>
      <w:r>
        <w:rPr>
          <w:rFonts w:hint="eastAsia" w:ascii="宋体" w:hAnsi="宋体" w:eastAsia="宋体" w:cs="Times New Roman"/>
          <w:kern w:val="0"/>
          <w:szCs w:val="24"/>
        </w:rPr>
        <w:t>届</w:t>
      </w:r>
      <w:r>
        <w:rPr>
          <w:rFonts w:ascii="宋体" w:hAnsi="宋体" w:eastAsia="宋体" w:cs="Times New Roman"/>
          <w:kern w:val="0"/>
          <w:szCs w:val="24"/>
        </w:rPr>
        <w:t>满</w:t>
      </w:r>
      <w:r>
        <w:rPr>
          <w:rFonts w:hint="eastAsia" w:ascii="宋体" w:hAnsi="宋体" w:eastAsia="宋体" w:cs="Times New Roman"/>
          <w:kern w:val="0"/>
          <w:szCs w:val="24"/>
        </w:rPr>
        <w:t>通知后</w:t>
      </w:r>
      <w:r>
        <w:rPr>
          <w:rFonts w:ascii="宋体" w:hAnsi="宋体" w:eastAsia="宋体" w:cs="Times New Roman"/>
          <w:kern w:val="0"/>
          <w:szCs w:val="24"/>
        </w:rPr>
        <w:t>14天内，向承包人颁发缺陷责任期终止证</w:t>
      </w:r>
      <w:r>
        <w:rPr>
          <w:rFonts w:hint="eastAsia" w:ascii="宋体" w:hAnsi="宋体" w:eastAsia="宋体" w:cs="Times New Roman"/>
          <w:kern w:val="0"/>
          <w:szCs w:val="24"/>
        </w:rPr>
        <w:t>书</w:t>
      </w:r>
      <w:r>
        <w:rPr>
          <w:rFonts w:ascii="宋体" w:hAnsi="宋体" w:eastAsia="宋体" w:cs="Times New Roman"/>
          <w:kern w:val="0"/>
          <w:szCs w:val="24"/>
        </w:rPr>
        <w:t>。</w:t>
      </w:r>
    </w:p>
    <w:bookmarkEnd w:id="3809"/>
    <w:bookmarkEnd w:id="3810"/>
    <w:p w14:paraId="0C612A92">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811" w:name="_Toc5872"/>
      <w:bookmarkStart w:id="3812" w:name="_Toc11382"/>
      <w:bookmarkStart w:id="3813" w:name="_Toc10076"/>
      <w:bookmarkStart w:id="3814" w:name="_Toc208587717"/>
      <w:bookmarkStart w:id="3815" w:name="_Toc17919"/>
      <w:bookmarkStart w:id="3816" w:name="_Toc1379517405"/>
      <w:bookmarkStart w:id="3817" w:name="_Toc201735491"/>
      <w:bookmarkStart w:id="3818" w:name="_Toc23018"/>
      <w:bookmarkStart w:id="3819" w:name="_Toc29426"/>
      <w:bookmarkStart w:id="3820" w:name="_Toc302635913"/>
      <w:bookmarkStart w:id="3821" w:name="_Toc25344"/>
      <w:bookmarkStart w:id="3822" w:name="_Toc6426"/>
      <w:bookmarkStart w:id="3823" w:name="_Toc17163"/>
      <w:r>
        <w:rPr>
          <w:rFonts w:hint="eastAsia" w:ascii="宋体" w:hAnsi="宋体" w:eastAsia="宋体" w:cs="Times New Roman"/>
          <w:b/>
          <w:bCs/>
          <w:kern w:val="0"/>
          <w:sz w:val="24"/>
          <w:szCs w:val="24"/>
          <w:lang w:val="en-US" w:eastAsia="zh-CN" w:bidi="ar-SA"/>
        </w:rPr>
        <w:t>质量保证金</w:t>
      </w:r>
      <w:bookmarkEnd w:id="3811"/>
      <w:bookmarkEnd w:id="3812"/>
      <w:bookmarkEnd w:id="3813"/>
      <w:bookmarkEnd w:id="3814"/>
      <w:bookmarkEnd w:id="3815"/>
      <w:bookmarkEnd w:id="3816"/>
      <w:bookmarkEnd w:id="3817"/>
      <w:bookmarkEnd w:id="3818"/>
      <w:bookmarkEnd w:id="3819"/>
      <w:bookmarkEnd w:id="3820"/>
      <w:bookmarkEnd w:id="3821"/>
      <w:bookmarkEnd w:id="3822"/>
      <w:bookmarkEnd w:id="3823"/>
    </w:p>
    <w:p w14:paraId="6133FBF8">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(1)发承包双方应在</w:t>
      </w:r>
      <w:r>
        <w:rPr>
          <w:rFonts w:ascii="宋体" w:hAnsi="宋体" w:eastAsia="宋体" w:cs="Times New Roman"/>
          <w:b/>
          <w:i/>
          <w:kern w:val="0"/>
          <w:szCs w:val="24"/>
        </w:rPr>
        <w:t>专用条款</w:t>
      </w:r>
      <w:r>
        <w:rPr>
          <w:rFonts w:hint="eastAsia" w:ascii="宋体" w:hAnsi="宋体" w:eastAsia="宋体" w:cs="Times New Roman"/>
          <w:kern w:val="0"/>
          <w:szCs w:val="24"/>
        </w:rPr>
        <w:t>中约定</w:t>
      </w:r>
      <w:r>
        <w:rPr>
          <w:rFonts w:ascii="宋体" w:hAnsi="宋体" w:eastAsia="宋体" w:cs="Times New Roman"/>
          <w:kern w:val="0"/>
          <w:szCs w:val="24"/>
        </w:rPr>
        <w:t>质量保证金</w:t>
      </w:r>
      <w:r>
        <w:rPr>
          <w:rFonts w:hint="eastAsia" w:ascii="宋体" w:hAnsi="宋体" w:eastAsia="宋体" w:cs="Times New Roman"/>
          <w:kern w:val="0"/>
          <w:szCs w:val="24"/>
        </w:rPr>
        <w:t>提供方式</w:t>
      </w:r>
      <w:r>
        <w:rPr>
          <w:rFonts w:ascii="宋体" w:hAnsi="宋体" w:eastAsia="宋体" w:cs="Times New Roman"/>
          <w:kern w:val="0"/>
          <w:szCs w:val="24"/>
        </w:rPr>
        <w:t>：</w:t>
      </w:r>
    </w:p>
    <w:p w14:paraId="53662752">
      <w:pPr>
        <w:tabs>
          <w:tab w:val="left" w:pos="1620"/>
          <w:tab w:val="left" w:pos="2340"/>
        </w:tabs>
        <w:ind w:left="899" w:firstLine="210" w:firstLineChars="100"/>
        <w:jc w:val="left"/>
        <w:rPr>
          <w:rFonts w:ascii="宋体" w:hAnsi="宋体" w:eastAsia="宋体" w:cs="Times New Roman"/>
          <w:kern w:val="0"/>
          <w:szCs w:val="24"/>
        </w:rPr>
      </w:pPr>
      <w:r>
        <w:rPr>
          <w:rFonts w:hint="eastAsia" w:ascii="宋体" w:hAnsi="宋体" w:eastAsia="宋体" w:cs="Times New Roman"/>
          <w:kern w:val="0"/>
          <w:szCs w:val="24"/>
        </w:rPr>
        <w:t>①</w:t>
      </w:r>
      <w:r>
        <w:rPr>
          <w:rFonts w:ascii="宋体" w:hAnsi="宋体" w:eastAsia="宋体" w:cs="Times New Roman"/>
          <w:color w:val="auto"/>
          <w:kern w:val="0"/>
          <w:szCs w:val="24"/>
        </w:rPr>
        <w:t>质量保证金</w:t>
      </w:r>
      <w:r>
        <w:rPr>
          <w:rFonts w:hint="eastAsia" w:ascii="宋体" w:hAnsi="宋体" w:eastAsia="宋体" w:cs="Times New Roman"/>
          <w:kern w:val="0"/>
          <w:szCs w:val="24"/>
        </w:rPr>
        <w:t>银行</w:t>
      </w:r>
      <w:r>
        <w:rPr>
          <w:rFonts w:ascii="宋体" w:hAnsi="宋体" w:eastAsia="宋体" w:cs="Times New Roman"/>
          <w:kern w:val="0"/>
          <w:szCs w:val="24"/>
        </w:rPr>
        <w:t xml:space="preserve">保函； </w:t>
      </w:r>
    </w:p>
    <w:p w14:paraId="534B1DA1">
      <w:pPr>
        <w:tabs>
          <w:tab w:val="left" w:pos="1620"/>
          <w:tab w:val="left" w:pos="2340"/>
        </w:tabs>
        <w:ind w:left="1109" w:leftChars="528"/>
        <w:jc w:val="left"/>
        <w:rPr>
          <w:rFonts w:ascii="宋体" w:hAnsi="宋体" w:eastAsia="宋体" w:cs="Times New Roman"/>
          <w:kern w:val="0"/>
          <w:szCs w:val="24"/>
        </w:rPr>
      </w:pPr>
      <w:r>
        <w:rPr>
          <w:rFonts w:hint="eastAsia" w:ascii="宋体" w:hAnsi="宋体" w:eastAsia="宋体" w:cs="Times New Roman"/>
          <w:kern w:val="0"/>
          <w:szCs w:val="24"/>
        </w:rPr>
        <w:t>②相应</w:t>
      </w:r>
      <w:r>
        <w:rPr>
          <w:rFonts w:hint="eastAsia" w:ascii="宋体" w:hAnsi="宋体" w:eastAsia="宋体" w:cs="Times New Roman"/>
          <w:color w:val="auto"/>
          <w:kern w:val="0"/>
          <w:szCs w:val="24"/>
        </w:rPr>
        <w:t>比例的工程</w:t>
      </w:r>
      <w:r>
        <w:rPr>
          <w:rFonts w:hint="eastAsia" w:ascii="宋体" w:hAnsi="宋体" w:eastAsia="宋体" w:cs="Times New Roman"/>
          <w:kern w:val="0"/>
          <w:szCs w:val="24"/>
        </w:rPr>
        <w:t>竣工结算价款</w:t>
      </w:r>
      <w:r>
        <w:rPr>
          <w:rFonts w:ascii="宋体" w:hAnsi="宋体" w:eastAsia="宋体" w:cs="Times New Roman"/>
          <w:kern w:val="0"/>
          <w:szCs w:val="24"/>
        </w:rPr>
        <w:t>；</w:t>
      </w:r>
    </w:p>
    <w:p w14:paraId="4853BF74">
      <w:pPr>
        <w:tabs>
          <w:tab w:val="left" w:pos="1620"/>
          <w:tab w:val="left" w:pos="2340"/>
        </w:tabs>
        <w:ind w:left="1109" w:leftChars="528"/>
        <w:jc w:val="left"/>
        <w:rPr>
          <w:rFonts w:ascii="宋体" w:hAnsi="宋体" w:eastAsia="宋体" w:cs="Times New Roman"/>
          <w:kern w:val="0"/>
          <w:szCs w:val="24"/>
        </w:rPr>
      </w:pPr>
      <w:r>
        <w:rPr>
          <w:rFonts w:hint="eastAsia" w:ascii="宋体" w:hAnsi="宋体" w:eastAsia="宋体" w:cs="Times New Roman"/>
          <w:kern w:val="0"/>
          <w:szCs w:val="24"/>
        </w:rPr>
        <w:t>③工程质量保证担保；</w:t>
      </w:r>
    </w:p>
    <w:p w14:paraId="57EB5459">
      <w:pPr>
        <w:tabs>
          <w:tab w:val="left" w:pos="1620"/>
          <w:tab w:val="left" w:pos="2340"/>
        </w:tabs>
        <w:ind w:left="1109" w:leftChars="528"/>
        <w:jc w:val="left"/>
        <w:rPr>
          <w:rFonts w:ascii="宋体" w:hAnsi="宋体" w:eastAsia="宋体" w:cs="Times New Roman"/>
          <w:kern w:val="0"/>
          <w:szCs w:val="24"/>
        </w:rPr>
      </w:pPr>
      <w:r>
        <w:rPr>
          <w:rFonts w:hint="eastAsia" w:ascii="宋体" w:hAnsi="宋体" w:eastAsia="宋体" w:cs="Times New Roman"/>
          <w:kern w:val="0"/>
          <w:szCs w:val="24"/>
        </w:rPr>
        <w:t>④工程</w:t>
      </w:r>
      <w:r>
        <w:rPr>
          <w:rFonts w:ascii="宋体" w:hAnsi="宋体" w:eastAsia="宋体" w:cs="Times New Roman"/>
          <w:kern w:val="0"/>
          <w:szCs w:val="24"/>
        </w:rPr>
        <w:t>质量保</w:t>
      </w:r>
      <w:r>
        <w:rPr>
          <w:rFonts w:hint="eastAsia" w:ascii="宋体" w:hAnsi="宋体" w:eastAsia="宋体" w:cs="Times New Roman"/>
          <w:kern w:val="0"/>
          <w:szCs w:val="24"/>
        </w:rPr>
        <w:t>险；</w:t>
      </w:r>
    </w:p>
    <w:p w14:paraId="497EFDB5">
      <w:pPr>
        <w:tabs>
          <w:tab w:val="left" w:pos="1620"/>
          <w:tab w:val="left" w:pos="2340"/>
        </w:tabs>
        <w:ind w:left="1109" w:leftChars="528"/>
        <w:jc w:val="left"/>
        <w:rPr>
          <w:rFonts w:ascii="宋体" w:hAnsi="宋体" w:eastAsia="宋体" w:cs="Times New Roman"/>
          <w:kern w:val="0"/>
          <w:szCs w:val="24"/>
        </w:rPr>
      </w:pPr>
      <w:r>
        <w:rPr>
          <w:rFonts w:hint="eastAsia" w:ascii="宋体" w:hAnsi="宋体" w:eastAsia="宋体" w:cs="Times New Roman"/>
          <w:kern w:val="0"/>
          <w:szCs w:val="24"/>
        </w:rPr>
        <w:t>⑤</w:t>
      </w:r>
      <w:r>
        <w:rPr>
          <w:rFonts w:ascii="宋体" w:hAnsi="宋体" w:eastAsia="宋体" w:cs="Times New Roman"/>
          <w:kern w:val="0"/>
          <w:szCs w:val="24"/>
        </w:rPr>
        <w:t>双方约定的其他</w:t>
      </w:r>
      <w:r>
        <w:rPr>
          <w:rFonts w:hint="eastAsia" w:ascii="宋体" w:hAnsi="宋体" w:eastAsia="宋体" w:cs="Times New Roman"/>
          <w:kern w:val="0"/>
          <w:szCs w:val="24"/>
        </w:rPr>
        <w:t>方</w:t>
      </w:r>
      <w:r>
        <w:rPr>
          <w:rFonts w:ascii="宋体" w:hAnsi="宋体" w:eastAsia="宋体" w:cs="Times New Roman"/>
          <w:kern w:val="0"/>
          <w:szCs w:val="24"/>
        </w:rPr>
        <w:t>式。</w:t>
      </w:r>
    </w:p>
    <w:p w14:paraId="0C0ADB77">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质量保证金不得超过</w:t>
      </w:r>
      <w:r>
        <w:rPr>
          <w:rFonts w:hint="eastAsia" w:ascii="宋体" w:hAnsi="宋体" w:eastAsia="宋体" w:cs="Times New Roman"/>
          <w:color w:val="auto"/>
          <w:kern w:val="0"/>
          <w:szCs w:val="24"/>
        </w:rPr>
        <w:t>工程</w:t>
      </w:r>
      <w:r>
        <w:rPr>
          <w:rFonts w:hint="eastAsia" w:ascii="宋体" w:hAnsi="宋体" w:eastAsia="宋体" w:cs="Times New Roman"/>
          <w:kern w:val="0"/>
          <w:szCs w:val="24"/>
        </w:rPr>
        <w:t>竣工结算价款</w:t>
      </w:r>
      <w:r>
        <w:rPr>
          <w:rFonts w:ascii="宋体" w:hAnsi="宋体" w:eastAsia="宋体" w:cs="Times New Roman"/>
          <w:kern w:val="0"/>
          <w:szCs w:val="24"/>
        </w:rPr>
        <w:t>的</w:t>
      </w:r>
      <w:r>
        <w:rPr>
          <w:rFonts w:hint="eastAsia" w:ascii="宋体" w:hAnsi="宋体" w:eastAsia="宋体" w:cs="Times New Roman"/>
          <w:kern w:val="0"/>
          <w:szCs w:val="24"/>
        </w:rPr>
        <w:t>3</w:t>
      </w:r>
      <w:r>
        <w:rPr>
          <w:rFonts w:ascii="宋体" w:hAnsi="宋体" w:eastAsia="宋体" w:cs="Times New Roman"/>
          <w:kern w:val="0"/>
          <w:szCs w:val="24"/>
        </w:rPr>
        <w:t>%，</w:t>
      </w:r>
      <w:r>
        <w:rPr>
          <w:rFonts w:hint="eastAsia" w:ascii="宋体" w:hAnsi="宋体" w:eastAsia="宋体" w:cs="Times New Roman"/>
          <w:kern w:val="0"/>
          <w:szCs w:val="24"/>
        </w:rPr>
        <w:t>以银行保函替代预留保证金的，保函金额不得超过</w:t>
      </w:r>
      <w:r>
        <w:rPr>
          <w:rFonts w:hint="eastAsia" w:ascii="宋体" w:hAnsi="宋体" w:eastAsia="宋体" w:cs="Times New Roman"/>
          <w:color w:val="auto"/>
          <w:kern w:val="0"/>
          <w:szCs w:val="24"/>
        </w:rPr>
        <w:t>工程</w:t>
      </w:r>
      <w:r>
        <w:rPr>
          <w:rFonts w:hint="eastAsia" w:ascii="宋体" w:hAnsi="宋体" w:eastAsia="宋体" w:cs="Times New Roman"/>
          <w:kern w:val="0"/>
          <w:szCs w:val="24"/>
        </w:rPr>
        <w:t xml:space="preserve">竣工结算价款的3%。 </w:t>
      </w:r>
    </w:p>
    <w:p w14:paraId="783F54A3">
      <w:pPr>
        <w:tabs>
          <w:tab w:val="left" w:pos="1620"/>
          <w:tab w:val="left" w:pos="2340"/>
        </w:tabs>
        <w:ind w:left="899"/>
        <w:jc w:val="left"/>
        <w:rPr>
          <w:rFonts w:hint="eastAsia" w:ascii="宋体" w:hAnsi="宋体" w:eastAsia="宋体" w:cs="Times New Roman"/>
          <w:kern w:val="0"/>
          <w:szCs w:val="24"/>
        </w:rPr>
      </w:pPr>
      <w:r>
        <w:rPr>
          <w:rFonts w:ascii="宋体" w:hAnsi="宋体" w:eastAsia="宋体" w:cs="Times New Roman"/>
          <w:kern w:val="0"/>
          <w:szCs w:val="24"/>
        </w:rPr>
        <w:t>(3)</w:t>
      </w:r>
      <w:r>
        <w:rPr>
          <w:rFonts w:hint="eastAsia" w:ascii="宋体" w:hAnsi="宋体" w:eastAsia="宋体" w:cs="Times New Roman"/>
          <w:kern w:val="0"/>
          <w:szCs w:val="24"/>
        </w:rPr>
        <w:t>发包人应</w:t>
      </w:r>
      <w:r>
        <w:rPr>
          <w:rFonts w:ascii="宋体" w:hAnsi="宋体" w:eastAsia="宋体" w:cs="Times New Roman"/>
          <w:kern w:val="0"/>
          <w:szCs w:val="24"/>
        </w:rPr>
        <w:t>按</w:t>
      </w:r>
      <w:r>
        <w:rPr>
          <w:rFonts w:hint="eastAsia" w:ascii="宋体" w:hAnsi="宋体" w:eastAsia="宋体" w:cs="Times New Roman"/>
          <w:kern w:val="0"/>
          <w:szCs w:val="24"/>
        </w:rPr>
        <w:t>28</w:t>
      </w:r>
      <w:r>
        <w:rPr>
          <w:rFonts w:ascii="宋体" w:hAnsi="宋体" w:eastAsia="宋体" w:cs="Times New Roman"/>
          <w:kern w:val="0"/>
          <w:szCs w:val="24"/>
        </w:rPr>
        <w:t>.</w:t>
      </w:r>
      <w:r>
        <w:rPr>
          <w:rFonts w:hint="eastAsia" w:ascii="宋体" w:hAnsi="宋体" w:eastAsia="宋体" w:cs="Times New Roman"/>
          <w:kern w:val="0"/>
          <w:szCs w:val="24"/>
        </w:rPr>
        <w:t>8</w:t>
      </w:r>
      <w:r>
        <w:rPr>
          <w:rFonts w:ascii="宋体" w:hAnsi="宋体" w:eastAsia="宋体" w:cs="Times New Roman"/>
          <w:kern w:val="0"/>
          <w:szCs w:val="24"/>
        </w:rPr>
        <w:t>款</w:t>
      </w:r>
      <w:r>
        <w:rPr>
          <w:rFonts w:hint="eastAsia" w:ascii="宋体" w:hAnsi="宋体" w:eastAsia="宋体" w:cs="Times New Roman"/>
          <w:kern w:val="0"/>
          <w:szCs w:val="24"/>
        </w:rPr>
        <w:t>【</w:t>
      </w:r>
      <w:r>
        <w:rPr>
          <w:rFonts w:ascii="宋体" w:hAnsi="宋体" w:eastAsia="宋体" w:cs="Times New Roman"/>
          <w:kern w:val="0"/>
          <w:szCs w:val="24"/>
        </w:rPr>
        <w:t>最终结清</w:t>
      </w:r>
      <w:r>
        <w:rPr>
          <w:rFonts w:hint="eastAsia" w:ascii="宋体" w:hAnsi="宋体" w:eastAsia="宋体" w:cs="Times New Roman"/>
          <w:kern w:val="0"/>
          <w:szCs w:val="24"/>
        </w:rPr>
        <w:t>申请】的</w:t>
      </w:r>
      <w:r>
        <w:rPr>
          <w:rFonts w:ascii="宋体" w:hAnsi="宋体" w:eastAsia="宋体" w:cs="Times New Roman"/>
          <w:kern w:val="0"/>
          <w:szCs w:val="24"/>
        </w:rPr>
        <w:t>约定</w:t>
      </w:r>
      <w:r>
        <w:rPr>
          <w:rFonts w:hint="eastAsia" w:ascii="宋体" w:hAnsi="宋体" w:eastAsia="宋体" w:cs="Times New Roman"/>
          <w:kern w:val="0"/>
          <w:szCs w:val="24"/>
        </w:rPr>
        <w:t>退还</w:t>
      </w:r>
      <w:r>
        <w:rPr>
          <w:rFonts w:ascii="宋体" w:hAnsi="宋体" w:eastAsia="宋体" w:cs="Times New Roman"/>
          <w:kern w:val="0"/>
          <w:szCs w:val="24"/>
        </w:rPr>
        <w:t>质量保证金。</w:t>
      </w:r>
    </w:p>
    <w:p w14:paraId="7B57DD27">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824" w:name="_Toc1814"/>
      <w:bookmarkStart w:id="3825" w:name="_Toc26416"/>
      <w:bookmarkStart w:id="3826" w:name="_Toc9669"/>
      <w:bookmarkStart w:id="3827" w:name="_Toc31598"/>
      <w:bookmarkStart w:id="3828" w:name="_Toc2538"/>
      <w:bookmarkStart w:id="3829" w:name="_Toc26901"/>
      <w:bookmarkStart w:id="3830" w:name="_Toc16837"/>
      <w:bookmarkStart w:id="3831" w:name="_Toc27451"/>
      <w:bookmarkStart w:id="3832" w:name="_Toc30480"/>
      <w:bookmarkStart w:id="3833" w:name="_Toc1803052460"/>
      <w:bookmarkStart w:id="3834" w:name="_Toc208587718"/>
      <w:bookmarkStart w:id="3835" w:name="_Toc21985"/>
      <w:bookmarkStart w:id="3836" w:name="_Toc201735492"/>
      <w:r>
        <w:rPr>
          <w:rFonts w:ascii="宋体" w:hAnsi="宋体" w:eastAsia="宋体" w:cs="Times New Roman"/>
          <w:b/>
          <w:bCs/>
          <w:kern w:val="0"/>
          <w:sz w:val="24"/>
          <w:szCs w:val="24"/>
          <w:lang w:val="en-US" w:eastAsia="zh-CN" w:bidi="ar-SA"/>
        </w:rPr>
        <w:t>保修责任</w:t>
      </w:r>
      <w:bookmarkEnd w:id="3824"/>
      <w:bookmarkEnd w:id="3825"/>
      <w:bookmarkEnd w:id="3826"/>
      <w:bookmarkEnd w:id="3827"/>
      <w:bookmarkEnd w:id="3828"/>
      <w:bookmarkEnd w:id="3829"/>
      <w:bookmarkEnd w:id="3830"/>
      <w:bookmarkEnd w:id="3831"/>
      <w:bookmarkEnd w:id="3832"/>
      <w:bookmarkEnd w:id="3833"/>
      <w:bookmarkEnd w:id="3834"/>
      <w:bookmarkEnd w:id="3835"/>
      <w:bookmarkEnd w:id="3836"/>
    </w:p>
    <w:p w14:paraId="47334A97">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工程保修期从工程竣工验收合格之日起算，具体分部分项工程的保修期由</w:t>
      </w:r>
      <w:r>
        <w:rPr>
          <w:rFonts w:hint="eastAsia" w:ascii="宋体" w:hAnsi="宋体" w:eastAsia="宋体" w:cs="Times New Roman"/>
          <w:kern w:val="0"/>
          <w:szCs w:val="24"/>
        </w:rPr>
        <w:t>发承包双方</w:t>
      </w:r>
      <w:r>
        <w:rPr>
          <w:rFonts w:ascii="宋体" w:hAnsi="宋体" w:eastAsia="宋体" w:cs="Times New Roman"/>
          <w:kern w:val="0"/>
          <w:szCs w:val="24"/>
        </w:rPr>
        <w:t>在</w:t>
      </w:r>
      <w:r>
        <w:rPr>
          <w:rFonts w:hint="eastAsia" w:ascii="宋体" w:hAnsi="宋体" w:eastAsia="宋体" w:cs="Times New Roman"/>
          <w:kern w:val="0"/>
          <w:szCs w:val="24"/>
        </w:rPr>
        <w:t>工程质量保修书</w:t>
      </w:r>
      <w:r>
        <w:rPr>
          <w:rFonts w:ascii="宋体" w:hAnsi="宋体" w:eastAsia="宋体" w:cs="Times New Roman"/>
          <w:kern w:val="0"/>
          <w:szCs w:val="24"/>
        </w:rPr>
        <w:t>中约定，但不得低于法定最低保修年限。在工程保修期内，承包人应当根据有关法律规定以及合同约定承担保修责任。</w:t>
      </w:r>
    </w:p>
    <w:p w14:paraId="1CD53360">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发包人未经竣工验收擅自使用工程的，保修期自转移占有之日起算。</w:t>
      </w:r>
    </w:p>
    <w:p w14:paraId="05E09EFE">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837" w:name="_Toc27302"/>
      <w:bookmarkStart w:id="3838" w:name="_Toc22342"/>
      <w:bookmarkStart w:id="3839" w:name="_Toc387"/>
      <w:bookmarkStart w:id="3840" w:name="_Toc6129"/>
      <w:bookmarkStart w:id="3841" w:name="_Toc23158"/>
      <w:bookmarkStart w:id="3842" w:name="_Toc245859241"/>
      <w:bookmarkStart w:id="3843" w:name="_Toc201735493"/>
      <w:bookmarkStart w:id="3844" w:name="_Toc22350"/>
      <w:bookmarkStart w:id="3845" w:name="_Toc208587719"/>
      <w:bookmarkStart w:id="3846" w:name="_Toc28219"/>
      <w:bookmarkStart w:id="3847" w:name="_Toc5045"/>
      <w:bookmarkStart w:id="3848" w:name="_Toc4852"/>
      <w:bookmarkStart w:id="3849" w:name="_Toc1523"/>
      <w:r>
        <w:rPr>
          <w:rFonts w:ascii="宋体" w:hAnsi="宋体" w:eastAsia="宋体" w:cs="Times New Roman"/>
          <w:b/>
          <w:bCs/>
          <w:kern w:val="0"/>
          <w:sz w:val="24"/>
          <w:szCs w:val="24"/>
          <w:lang w:val="en-US" w:eastAsia="zh-CN" w:bidi="ar-SA"/>
        </w:rPr>
        <w:t>修复费用</w:t>
      </w:r>
      <w:bookmarkEnd w:id="3837"/>
      <w:bookmarkEnd w:id="3838"/>
      <w:bookmarkEnd w:id="3839"/>
      <w:bookmarkEnd w:id="3840"/>
      <w:bookmarkEnd w:id="3841"/>
      <w:bookmarkEnd w:id="3842"/>
      <w:bookmarkEnd w:id="3843"/>
      <w:bookmarkEnd w:id="3844"/>
      <w:bookmarkEnd w:id="3845"/>
      <w:bookmarkEnd w:id="3846"/>
      <w:bookmarkEnd w:id="3847"/>
      <w:bookmarkEnd w:id="3848"/>
      <w:bookmarkEnd w:id="3849"/>
    </w:p>
    <w:p w14:paraId="4F22A400">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保修期内，修复的费用按照以下约定处理：</w:t>
      </w:r>
    </w:p>
    <w:p w14:paraId="2E3F66CD">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保修期内，因承包人原因造成工程的缺陷、损坏，承包人应负责修复，并承担修复的费用以及因工程的缺陷、损坏造成的人身伤害和财产损失；</w:t>
      </w:r>
    </w:p>
    <w:p w14:paraId="566B6327">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保修期内，因发包人使用不当造成工程的缺陷、损坏，可以委托承包人修复，但发包人应承担修复的费用，并支付承包人合理利润；</w:t>
      </w:r>
    </w:p>
    <w:p w14:paraId="5A38E82E">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(3)因其他原因造成工程的缺陷、损坏，可以委托承包人修复，发包人应承担修复的费用，并支付承包人合理的利润，因工程的缺陷、损坏造成的人身伤害和财产损失由责任方承担。</w:t>
      </w:r>
    </w:p>
    <w:p w14:paraId="3506EF3A">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850" w:name="_Toc24622"/>
      <w:bookmarkStart w:id="3851" w:name="_Toc1934667088"/>
      <w:bookmarkStart w:id="3852" w:name="_Toc17159"/>
      <w:bookmarkStart w:id="3853" w:name="_Toc32242"/>
      <w:bookmarkStart w:id="3854" w:name="_Toc201735494"/>
      <w:bookmarkStart w:id="3855" w:name="_Toc1664"/>
      <w:bookmarkStart w:id="3856" w:name="_Toc31875"/>
      <w:bookmarkStart w:id="3857" w:name="_Toc208587720"/>
      <w:bookmarkStart w:id="3858" w:name="_Toc9418"/>
      <w:bookmarkStart w:id="3859" w:name="_Toc2407"/>
      <w:bookmarkStart w:id="3860" w:name="_Toc8983"/>
      <w:bookmarkStart w:id="3861" w:name="_Toc9889"/>
      <w:bookmarkStart w:id="3862" w:name="_Toc20738"/>
      <w:r>
        <w:rPr>
          <w:rFonts w:ascii="宋体" w:hAnsi="宋体" w:eastAsia="宋体" w:cs="Times New Roman"/>
          <w:b/>
          <w:bCs/>
          <w:kern w:val="0"/>
          <w:sz w:val="24"/>
          <w:szCs w:val="24"/>
          <w:lang w:val="en-US" w:eastAsia="zh-CN" w:bidi="ar-SA"/>
        </w:rPr>
        <w:t>修复通知</w:t>
      </w:r>
      <w:bookmarkEnd w:id="3850"/>
      <w:bookmarkEnd w:id="3851"/>
      <w:bookmarkEnd w:id="3852"/>
      <w:bookmarkEnd w:id="3853"/>
      <w:bookmarkEnd w:id="3854"/>
      <w:bookmarkEnd w:id="3855"/>
      <w:bookmarkEnd w:id="3856"/>
      <w:bookmarkEnd w:id="3857"/>
      <w:bookmarkEnd w:id="3858"/>
      <w:bookmarkEnd w:id="3859"/>
      <w:bookmarkEnd w:id="3860"/>
      <w:bookmarkEnd w:id="3861"/>
      <w:bookmarkEnd w:id="3862"/>
    </w:p>
    <w:p w14:paraId="5A3FDEAA">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w:t>
      </w:r>
      <w:r>
        <w:rPr>
          <w:rFonts w:ascii="宋体" w:hAnsi="宋体" w:eastAsia="宋体" w:cs="Times New Roman"/>
          <w:b/>
          <w:i/>
          <w:kern w:val="0"/>
          <w:szCs w:val="24"/>
        </w:rPr>
        <w:t>专用条款</w:t>
      </w:r>
      <w:r>
        <w:rPr>
          <w:rFonts w:ascii="宋体" w:hAnsi="宋体" w:eastAsia="宋体" w:cs="Times New Roman"/>
          <w:kern w:val="0"/>
          <w:szCs w:val="24"/>
        </w:rPr>
        <w:t>约定的合理期限内到达工程现场并修复缺陷或损坏。</w:t>
      </w:r>
    </w:p>
    <w:p w14:paraId="4E7B6862">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863" w:name="_Toc208587721"/>
      <w:bookmarkStart w:id="3864" w:name="_Toc223813200"/>
      <w:bookmarkStart w:id="3865" w:name="_Toc762"/>
      <w:bookmarkStart w:id="3866" w:name="_Toc7456"/>
      <w:bookmarkStart w:id="3867" w:name="_Toc201735495"/>
      <w:bookmarkStart w:id="3868" w:name="_Toc3643"/>
      <w:bookmarkStart w:id="3869" w:name="_Toc18161"/>
      <w:bookmarkStart w:id="3870" w:name="_Toc31825"/>
      <w:bookmarkStart w:id="3871" w:name="_Toc16578"/>
      <w:bookmarkStart w:id="3872" w:name="_Toc25674"/>
      <w:bookmarkStart w:id="3873" w:name="_Toc1935"/>
      <w:bookmarkStart w:id="3874" w:name="_Toc19493"/>
      <w:bookmarkStart w:id="3875" w:name="_Toc17996"/>
      <w:r>
        <w:rPr>
          <w:rFonts w:ascii="宋体" w:hAnsi="宋体" w:eastAsia="宋体" w:cs="Times New Roman"/>
          <w:b/>
          <w:bCs/>
          <w:kern w:val="0"/>
          <w:sz w:val="24"/>
          <w:szCs w:val="24"/>
          <w:lang w:val="en-US" w:eastAsia="zh-CN" w:bidi="ar-SA"/>
        </w:rPr>
        <w:t>未能修复</w:t>
      </w:r>
      <w:bookmarkEnd w:id="3863"/>
      <w:bookmarkEnd w:id="3864"/>
      <w:bookmarkEnd w:id="3865"/>
      <w:bookmarkEnd w:id="3866"/>
      <w:bookmarkEnd w:id="3867"/>
      <w:bookmarkEnd w:id="3868"/>
      <w:bookmarkEnd w:id="3869"/>
      <w:bookmarkEnd w:id="3870"/>
      <w:bookmarkEnd w:id="3871"/>
      <w:bookmarkEnd w:id="3872"/>
      <w:bookmarkEnd w:id="3873"/>
      <w:bookmarkEnd w:id="3874"/>
      <w:bookmarkEnd w:id="3875"/>
    </w:p>
    <w:p w14:paraId="352AB482">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宋体" w:hAnsi="宋体" w:eastAsia="宋体" w:cs="Times New Roman"/>
          <w:kern w:val="0"/>
          <w:szCs w:val="24"/>
        </w:rPr>
        <w:t>但修复范围超出缺陷或损坏范围的，超出范围部分的修复费用由发包人承担。</w:t>
      </w:r>
    </w:p>
    <w:p w14:paraId="32FACF83">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876" w:name="_Toc23286"/>
      <w:bookmarkStart w:id="3877" w:name="_Toc21021"/>
      <w:bookmarkStart w:id="3878" w:name="_Toc201735496"/>
      <w:bookmarkStart w:id="3879" w:name="_Toc208587722"/>
      <w:bookmarkStart w:id="3880" w:name="_Toc19465"/>
      <w:bookmarkStart w:id="3881" w:name="_Toc7688"/>
      <w:bookmarkStart w:id="3882" w:name="_Toc18709"/>
      <w:bookmarkStart w:id="3883" w:name="_Toc14258"/>
      <w:bookmarkStart w:id="3884" w:name="_Toc31422"/>
      <w:bookmarkStart w:id="3885" w:name="_Toc26393"/>
      <w:bookmarkStart w:id="3886" w:name="_Toc4408"/>
      <w:bookmarkStart w:id="3887" w:name="_Toc28688"/>
      <w:bookmarkStart w:id="3888" w:name="_Toc411920440"/>
      <w:r>
        <w:rPr>
          <w:rFonts w:ascii="宋体" w:hAnsi="宋体" w:eastAsia="宋体" w:cs="Times New Roman"/>
          <w:b/>
          <w:bCs/>
          <w:kern w:val="0"/>
          <w:sz w:val="24"/>
          <w:szCs w:val="24"/>
          <w:lang w:val="en-US" w:eastAsia="zh-CN" w:bidi="ar-SA"/>
        </w:rPr>
        <w:t>承包人出入权</w:t>
      </w:r>
      <w:bookmarkEnd w:id="3876"/>
      <w:bookmarkEnd w:id="3877"/>
      <w:bookmarkEnd w:id="3878"/>
      <w:bookmarkEnd w:id="3879"/>
      <w:bookmarkEnd w:id="3880"/>
      <w:bookmarkEnd w:id="3881"/>
      <w:bookmarkEnd w:id="3882"/>
      <w:bookmarkEnd w:id="3883"/>
      <w:bookmarkEnd w:id="3884"/>
      <w:bookmarkEnd w:id="3885"/>
      <w:bookmarkEnd w:id="3886"/>
      <w:bookmarkEnd w:id="3887"/>
      <w:bookmarkEnd w:id="3888"/>
    </w:p>
    <w:p w14:paraId="51EC74B3">
      <w:pPr>
        <w:tabs>
          <w:tab w:val="left" w:pos="1620"/>
          <w:tab w:val="left" w:pos="2340"/>
        </w:tabs>
        <w:spacing w:after="156"/>
        <w:ind w:left="899"/>
        <w:jc w:val="left"/>
        <w:rPr>
          <w:rFonts w:ascii="宋体" w:hAnsi="宋体" w:eastAsia="宋体" w:cs="Times New Roman"/>
          <w:kern w:val="0"/>
          <w:szCs w:val="24"/>
        </w:rPr>
      </w:pPr>
      <w:r>
        <w:rPr>
          <w:rFonts w:ascii="宋体" w:hAnsi="宋体" w:eastAsia="宋体" w:cs="Times New Roman"/>
          <w:kern w:val="0"/>
          <w:szCs w:val="24"/>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73F405F1">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3889" w:name="_Toc305331410"/>
      <w:bookmarkStart w:id="3890" w:name="_Toc25858"/>
      <w:bookmarkStart w:id="3891" w:name="_Toc35656506"/>
      <w:bookmarkStart w:id="3892" w:name="_Toc5274"/>
      <w:bookmarkStart w:id="3893" w:name="_Toc19927"/>
      <w:bookmarkStart w:id="3894" w:name="_Toc35657008"/>
      <w:bookmarkStart w:id="3895" w:name="_Toc25202"/>
      <w:bookmarkStart w:id="3896" w:name="_Toc15520"/>
      <w:bookmarkStart w:id="3897" w:name="_Toc302635914"/>
      <w:bookmarkStart w:id="3898" w:name="_Toc12412"/>
      <w:bookmarkStart w:id="3899" w:name="_Toc34909160"/>
      <w:bookmarkStart w:id="3900" w:name="_Toc19228"/>
      <w:bookmarkStart w:id="3901" w:name="_Toc201735497"/>
      <w:bookmarkStart w:id="3902" w:name="_Toc4147"/>
      <w:bookmarkStart w:id="3903" w:name="_Toc22642"/>
      <w:bookmarkStart w:id="3904" w:name="_Toc6530"/>
      <w:bookmarkStart w:id="3905" w:name="_Toc1598220998"/>
      <w:bookmarkStart w:id="3906" w:name="_Toc208587723"/>
      <w:r>
        <w:rPr>
          <w:rFonts w:hint="eastAsia" w:ascii="华文细黑" w:hAnsi="宋体" w:eastAsia="宋体" w:cs="Times New Roman"/>
          <w:b/>
          <w:bCs/>
          <w:snapToGrid w:val="0"/>
          <w:kern w:val="0"/>
          <w:sz w:val="28"/>
          <w:szCs w:val="44"/>
          <w:lang w:val="en-US" w:eastAsia="zh-CN" w:bidi="ar-SA"/>
        </w:rPr>
        <w:t>不可抗力</w:t>
      </w:r>
      <w:bookmarkEnd w:id="3889"/>
      <w:bookmarkEnd w:id="3890"/>
      <w:bookmarkEnd w:id="3891"/>
      <w:bookmarkEnd w:id="3892"/>
      <w:bookmarkEnd w:id="3893"/>
      <w:bookmarkEnd w:id="3894"/>
      <w:bookmarkEnd w:id="3895"/>
      <w:bookmarkEnd w:id="3896"/>
      <w:bookmarkEnd w:id="3897"/>
      <w:bookmarkEnd w:id="3898"/>
      <w:bookmarkEnd w:id="3899"/>
      <w:r>
        <w:rPr>
          <w:rFonts w:hint="eastAsia" w:ascii="华文细黑" w:hAnsi="宋体" w:eastAsia="宋体" w:cs="Times New Roman"/>
          <w:b/>
          <w:bCs/>
          <w:snapToGrid w:val="0"/>
          <w:kern w:val="0"/>
          <w:sz w:val="28"/>
          <w:szCs w:val="44"/>
          <w:lang w:val="en-US" w:eastAsia="zh-CN" w:bidi="ar-SA"/>
        </w:rPr>
        <w:t>及其他</w:t>
      </w:r>
      <w:bookmarkEnd w:id="3900"/>
      <w:bookmarkEnd w:id="3901"/>
      <w:bookmarkEnd w:id="3902"/>
      <w:bookmarkEnd w:id="3903"/>
      <w:bookmarkEnd w:id="3904"/>
      <w:bookmarkEnd w:id="3905"/>
      <w:bookmarkEnd w:id="3906"/>
    </w:p>
    <w:p w14:paraId="6073EC43">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907" w:name="_Toc305331411"/>
      <w:bookmarkStart w:id="3908" w:name="_Toc28153"/>
      <w:bookmarkStart w:id="3909" w:name="_Toc1328"/>
      <w:bookmarkStart w:id="3910" w:name="_Toc23789"/>
      <w:bookmarkStart w:id="3911" w:name="_Toc30840"/>
      <w:bookmarkStart w:id="3912" w:name="_Toc10943"/>
      <w:bookmarkStart w:id="3913" w:name="_Toc18099"/>
      <w:bookmarkStart w:id="3914" w:name="_Toc8240"/>
      <w:bookmarkStart w:id="3915" w:name="_Toc208587724"/>
      <w:bookmarkStart w:id="3916" w:name="_Toc20116"/>
      <w:bookmarkStart w:id="3917" w:name="_Toc18647"/>
      <w:bookmarkStart w:id="3918" w:name="_Toc1173427167"/>
      <w:bookmarkStart w:id="3919" w:name="_Toc201735498"/>
      <w:bookmarkStart w:id="3920" w:name="_Toc302635915"/>
      <w:bookmarkStart w:id="3921" w:name="_Toc20154"/>
      <w:bookmarkStart w:id="3922" w:name="_Toc34909161"/>
      <w:r>
        <w:rPr>
          <w:rFonts w:hint="eastAsia" w:ascii="宋体" w:hAnsi="宋体" w:eastAsia="宋体" w:cs="Times New Roman"/>
          <w:b/>
          <w:bCs/>
          <w:kern w:val="0"/>
          <w:sz w:val="24"/>
          <w:szCs w:val="24"/>
          <w:lang w:val="en-US" w:eastAsia="zh-CN" w:bidi="ar-SA"/>
        </w:rPr>
        <w:t>不可抗力包括范围</w:t>
      </w:r>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p>
    <w:p w14:paraId="4F8AAE49">
      <w:pPr>
        <w:tabs>
          <w:tab w:val="left" w:pos="1620"/>
          <w:tab w:val="left" w:pos="2340"/>
        </w:tabs>
        <w:spacing w:after="156"/>
        <w:ind w:left="899"/>
        <w:jc w:val="left"/>
        <w:rPr>
          <w:rFonts w:hint="eastAsia" w:ascii="宋体" w:hAnsi="宋体" w:eastAsia="宋体" w:cs="Times New Roman"/>
          <w:kern w:val="0"/>
          <w:szCs w:val="24"/>
        </w:rPr>
      </w:pPr>
      <w:r>
        <w:rPr>
          <w:rFonts w:hint="eastAsia" w:ascii="Times New Roman" w:hAnsi="宋体" w:eastAsia="宋体" w:cs="Times New Roman"/>
          <w:szCs w:val="24"/>
        </w:rPr>
        <w:t>不可抗力事件是指发包人和承包人在订立合同时无法预见，在合同履行过程中不可避免发生并不能克服的自然灾害和社会突发事件，</w:t>
      </w:r>
      <w:r>
        <w:rPr>
          <w:rFonts w:hint="eastAsia" w:ascii="宋体" w:hAnsi="宋体" w:eastAsia="宋体" w:cs="Times New Roman"/>
          <w:kern w:val="0"/>
          <w:szCs w:val="24"/>
        </w:rPr>
        <w:t>包括战争、恐怖活动、瘟疫、空中飞行物体坠落或其他非发包人与承包人责任造成的爆炸、火灾，以及地震、洪涝和</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约定的大风、暴雨、高温等自然灾害</w:t>
      </w:r>
      <w:r>
        <w:rPr>
          <w:rFonts w:hint="eastAsia" w:ascii="Times New Roman" w:hAnsi="宋体" w:eastAsia="宋体" w:cs="Times New Roman"/>
          <w:szCs w:val="24"/>
        </w:rPr>
        <w:t>，以至于本合同部分或全部不能继续履行</w:t>
      </w:r>
      <w:r>
        <w:rPr>
          <w:rFonts w:hint="eastAsia" w:ascii="宋体" w:hAnsi="宋体" w:eastAsia="宋体" w:cs="Times New Roman"/>
          <w:kern w:val="0"/>
          <w:szCs w:val="24"/>
        </w:rPr>
        <w:t>。</w:t>
      </w:r>
      <w:bookmarkEnd w:id="3922"/>
    </w:p>
    <w:p w14:paraId="516CFC98">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923" w:name="_Toc165897828"/>
      <w:bookmarkStart w:id="3924" w:name="_Toc208587725"/>
      <w:bookmarkStart w:id="3925" w:name="_Toc20063"/>
      <w:bookmarkStart w:id="3926" w:name="_Toc30378"/>
      <w:bookmarkStart w:id="3927" w:name="_Toc27959"/>
      <w:bookmarkStart w:id="3928" w:name="_Toc29644"/>
      <w:bookmarkStart w:id="3929" w:name="_Toc201735499"/>
      <w:bookmarkStart w:id="3930" w:name="_Toc20301"/>
      <w:bookmarkStart w:id="3931" w:name="_Toc24247"/>
      <w:bookmarkStart w:id="3932" w:name="_Toc21140"/>
      <w:bookmarkStart w:id="3933" w:name="_Toc302635916"/>
      <w:bookmarkStart w:id="3934" w:name="_Toc23306"/>
      <w:bookmarkStart w:id="3935" w:name="_Toc16670"/>
      <w:bookmarkStart w:id="3936" w:name="_Toc15270"/>
      <w:bookmarkStart w:id="3937" w:name="_Toc305331412"/>
      <w:bookmarkStart w:id="3938" w:name="_Toc34909162"/>
      <w:r>
        <w:rPr>
          <w:rFonts w:hint="eastAsia" w:ascii="宋体" w:hAnsi="宋体" w:eastAsia="宋体" w:cs="Times New Roman"/>
          <w:b/>
          <w:bCs/>
          <w:kern w:val="0"/>
          <w:sz w:val="24"/>
          <w:szCs w:val="24"/>
          <w:lang w:val="en-US" w:eastAsia="zh-CN" w:bidi="ar-SA"/>
        </w:rPr>
        <w:t>不可抗力的确认</w:t>
      </w:r>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p>
    <w:p w14:paraId="0D3D1BC0">
      <w:pPr>
        <w:tabs>
          <w:tab w:val="left" w:pos="1620"/>
          <w:tab w:val="left" w:pos="2340"/>
        </w:tabs>
        <w:spacing w:after="156"/>
        <w:ind w:left="899"/>
        <w:jc w:val="left"/>
        <w:rPr>
          <w:rFonts w:hint="eastAsia" w:ascii="宋体" w:hAnsi="宋体" w:eastAsia="宋体" w:cs="Times New Roman"/>
          <w:kern w:val="0"/>
          <w:szCs w:val="24"/>
        </w:rPr>
      </w:pPr>
      <w:r>
        <w:rPr>
          <w:rFonts w:ascii="宋体" w:hAnsi="宋体" w:eastAsia="宋体" w:cs="Times New Roman"/>
          <w:kern w:val="0"/>
          <w:szCs w:val="24"/>
        </w:rPr>
        <w:t>不可抗力发生后，发包人和承包人应收集证明不可抗力发生及不可抗力造成损失的证据，并及时认真统计所造成的损失。发承包双方对是否属于不可抗力或其损失的意见不一致的，按第</w:t>
      </w:r>
      <w:r>
        <w:rPr>
          <w:rFonts w:hint="eastAsia" w:ascii="宋体" w:hAnsi="宋体" w:eastAsia="宋体" w:cs="Times New Roman"/>
          <w:kern w:val="0"/>
          <w:szCs w:val="24"/>
        </w:rPr>
        <w:t>31</w:t>
      </w:r>
      <w:r>
        <w:rPr>
          <w:rFonts w:ascii="宋体" w:hAnsi="宋体" w:eastAsia="宋体" w:cs="Times New Roman"/>
          <w:kern w:val="0"/>
          <w:szCs w:val="24"/>
        </w:rPr>
        <w:t>条</w:t>
      </w:r>
      <w:r>
        <w:rPr>
          <w:rFonts w:hint="eastAsia" w:ascii="宋体" w:hAnsi="宋体" w:eastAsia="宋体" w:cs="Times New Roman"/>
          <w:kern w:val="0"/>
          <w:szCs w:val="24"/>
        </w:rPr>
        <w:t>【</w:t>
      </w:r>
      <w:r>
        <w:rPr>
          <w:rFonts w:ascii="宋体" w:hAnsi="宋体" w:eastAsia="宋体" w:cs="Times New Roman"/>
          <w:kern w:val="0"/>
          <w:szCs w:val="24"/>
        </w:rPr>
        <w:t>争议解决</w:t>
      </w:r>
      <w:r>
        <w:rPr>
          <w:rFonts w:hint="eastAsia" w:ascii="宋体" w:hAnsi="宋体" w:eastAsia="宋体" w:cs="Times New Roman"/>
          <w:kern w:val="0"/>
          <w:szCs w:val="24"/>
        </w:rPr>
        <w:t>】</w:t>
      </w:r>
      <w:r>
        <w:rPr>
          <w:rFonts w:ascii="宋体" w:hAnsi="宋体" w:eastAsia="宋体" w:cs="Times New Roman"/>
          <w:kern w:val="0"/>
          <w:szCs w:val="24"/>
        </w:rPr>
        <w:t>的约定处理。</w:t>
      </w:r>
    </w:p>
    <w:p w14:paraId="56096C53">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939" w:name="_Toc302635917"/>
      <w:bookmarkStart w:id="3940" w:name="_Toc19777"/>
      <w:bookmarkStart w:id="3941" w:name="_Toc201735500"/>
      <w:bookmarkStart w:id="3942" w:name="_Toc214"/>
      <w:bookmarkStart w:id="3943" w:name="_Toc20096"/>
      <w:bookmarkStart w:id="3944" w:name="_Toc11907"/>
      <w:bookmarkStart w:id="3945" w:name="_Toc16067"/>
      <w:bookmarkStart w:id="3946" w:name="_Toc29130"/>
      <w:bookmarkStart w:id="3947" w:name="_Toc9268"/>
      <w:bookmarkStart w:id="3948" w:name="_Toc208587726"/>
      <w:bookmarkStart w:id="3949" w:name="_Toc1452204556"/>
      <w:bookmarkStart w:id="3950" w:name="_Toc5308"/>
      <w:bookmarkStart w:id="3951" w:name="_Toc26982"/>
      <w:bookmarkStart w:id="3952" w:name="_Toc18788"/>
      <w:r>
        <w:rPr>
          <w:rFonts w:hint="eastAsia" w:ascii="宋体" w:hAnsi="宋体" w:eastAsia="宋体" w:cs="Times New Roman"/>
          <w:b/>
          <w:bCs/>
          <w:kern w:val="0"/>
          <w:sz w:val="24"/>
          <w:szCs w:val="24"/>
          <w:lang w:val="en-US" w:eastAsia="zh-CN" w:bidi="ar-SA"/>
        </w:rPr>
        <w:t>不可抗力处理程序</w:t>
      </w:r>
      <w:bookmarkEnd w:id="3937"/>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p>
    <w:p w14:paraId="09478A82">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(1)不可抗力事件发生后，承包人应立即通知</w:t>
      </w:r>
      <w:r>
        <w:rPr>
          <w:rFonts w:ascii="宋体" w:hAnsi="宋体" w:eastAsia="宋体" w:cs="Times New Roman"/>
          <w:kern w:val="0"/>
          <w:szCs w:val="24"/>
        </w:rPr>
        <w:t>监理人</w:t>
      </w:r>
      <w:r>
        <w:rPr>
          <w:rFonts w:hint="eastAsia" w:ascii="宋体" w:hAnsi="宋体" w:eastAsia="宋体" w:cs="Times New Roman"/>
          <w:kern w:val="0"/>
          <w:szCs w:val="24"/>
        </w:rPr>
        <w:t>，并在力所能及的条件下迅速采取措施，尽力减少损失，发包人应协助承包人采取措施。</w:t>
      </w:r>
      <w:r>
        <w:rPr>
          <w:rFonts w:ascii="宋体" w:hAnsi="宋体" w:eastAsia="宋体" w:cs="Times New Roman"/>
          <w:kern w:val="0"/>
          <w:szCs w:val="24"/>
        </w:rPr>
        <w:t>监理人</w:t>
      </w:r>
      <w:r>
        <w:rPr>
          <w:rFonts w:hint="eastAsia" w:ascii="宋体" w:hAnsi="宋体" w:eastAsia="宋体" w:cs="Times New Roman"/>
          <w:kern w:val="0"/>
          <w:szCs w:val="24"/>
        </w:rPr>
        <w:t>认为应暂停施工的，承包人应暂停施工。不可抗力事件结束后48小时内承包人向</w:t>
      </w:r>
      <w:r>
        <w:rPr>
          <w:rFonts w:ascii="宋体" w:hAnsi="宋体" w:eastAsia="宋体" w:cs="Times New Roman"/>
          <w:kern w:val="0"/>
          <w:szCs w:val="24"/>
        </w:rPr>
        <w:t>监理人</w:t>
      </w:r>
      <w:r>
        <w:rPr>
          <w:rFonts w:hint="eastAsia" w:ascii="宋体" w:hAnsi="宋体" w:eastAsia="宋体" w:cs="Times New Roman"/>
          <w:kern w:val="0"/>
          <w:szCs w:val="24"/>
        </w:rPr>
        <w:t>通报受害情况以及预计清理和修复的费用。不可抗力事件持续发生，承包人应每隔7天向</w:t>
      </w:r>
      <w:r>
        <w:rPr>
          <w:rFonts w:ascii="宋体" w:hAnsi="宋体" w:eastAsia="宋体" w:cs="Times New Roman"/>
          <w:kern w:val="0"/>
          <w:szCs w:val="24"/>
        </w:rPr>
        <w:t>监理人</w:t>
      </w:r>
      <w:r>
        <w:rPr>
          <w:rFonts w:hint="eastAsia" w:ascii="宋体" w:hAnsi="宋体" w:eastAsia="宋体" w:cs="Times New Roman"/>
          <w:kern w:val="0"/>
          <w:szCs w:val="24"/>
        </w:rPr>
        <w:t>报告一次受害情况。不可抗力事件结束后14天内，承包人向</w:t>
      </w:r>
      <w:r>
        <w:rPr>
          <w:rFonts w:ascii="宋体" w:hAnsi="宋体" w:eastAsia="宋体" w:cs="Times New Roman"/>
          <w:kern w:val="0"/>
          <w:szCs w:val="24"/>
        </w:rPr>
        <w:t>监理人</w:t>
      </w:r>
      <w:r>
        <w:rPr>
          <w:rFonts w:hint="eastAsia" w:ascii="宋体" w:hAnsi="宋体" w:eastAsia="宋体" w:cs="Times New Roman"/>
          <w:kern w:val="0"/>
          <w:szCs w:val="24"/>
        </w:rPr>
        <w:t>提交清理和修复费用的正式报告及有关资料。</w:t>
      </w:r>
      <w:bookmarkEnd w:id="3938"/>
    </w:p>
    <w:p w14:paraId="7C6307F2">
      <w:pPr>
        <w:tabs>
          <w:tab w:val="left" w:pos="1620"/>
          <w:tab w:val="left" w:pos="2340"/>
        </w:tabs>
        <w:spacing w:after="156"/>
        <w:ind w:left="899"/>
        <w:jc w:val="left"/>
        <w:rPr>
          <w:rFonts w:hint="eastAsia" w:ascii="宋体" w:hAnsi="宋体" w:eastAsia="宋体" w:cs="Times New Roman"/>
          <w:kern w:val="0"/>
          <w:szCs w:val="24"/>
        </w:rPr>
      </w:pPr>
      <w:bookmarkStart w:id="3953" w:name="_Toc34909163"/>
      <w:r>
        <w:rPr>
          <w:rFonts w:hint="eastAsia" w:ascii="宋体" w:hAnsi="宋体" w:eastAsia="宋体" w:cs="Times New Roman"/>
          <w:kern w:val="0"/>
          <w:szCs w:val="24"/>
        </w:rPr>
        <w:t>(2)本工程的有关各方均应始终尽所有合理的努力，使不可抗力对本工程及履行本合同造成的损失减至最小。</w:t>
      </w:r>
      <w:bookmarkEnd w:id="3953"/>
      <w:bookmarkStart w:id="3954" w:name="_Toc34909165"/>
    </w:p>
    <w:p w14:paraId="6CBB7615">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(3)因发包人和承包人一方迟延履行合同后发生不可抗力的，</w:t>
      </w:r>
      <w:bookmarkEnd w:id="3954"/>
      <w:r>
        <w:rPr>
          <w:rFonts w:hint="eastAsia" w:ascii="宋体" w:hAnsi="宋体" w:eastAsia="宋体" w:cs="Times New Roman"/>
          <w:kern w:val="0"/>
          <w:szCs w:val="24"/>
        </w:rPr>
        <w:t>不能免除迟延履行方的迟延履行责任。</w:t>
      </w:r>
    </w:p>
    <w:p w14:paraId="5FE23275">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955" w:name="_Toc208587727"/>
      <w:bookmarkStart w:id="3956" w:name="_Toc23757"/>
      <w:bookmarkStart w:id="3957" w:name="_Toc201735501"/>
      <w:bookmarkStart w:id="3958" w:name="_Toc2570"/>
      <w:bookmarkStart w:id="3959" w:name="_Toc305331413"/>
      <w:bookmarkStart w:id="3960" w:name="_Toc29147"/>
      <w:bookmarkStart w:id="3961" w:name="_Toc31805"/>
      <w:bookmarkStart w:id="3962" w:name="_Toc20399"/>
      <w:bookmarkStart w:id="3963" w:name="_Toc16069"/>
      <w:bookmarkStart w:id="3964" w:name="_Toc6298"/>
      <w:bookmarkStart w:id="3965" w:name="_Toc28061"/>
      <w:bookmarkStart w:id="3966" w:name="_Toc1638759875"/>
      <w:bookmarkStart w:id="3967" w:name="_Toc2650"/>
      <w:bookmarkStart w:id="3968" w:name="_Toc30612"/>
      <w:bookmarkStart w:id="3969" w:name="_Toc302635918"/>
      <w:bookmarkStart w:id="3970" w:name="_Toc34909164"/>
      <w:r>
        <w:rPr>
          <w:rFonts w:hint="eastAsia" w:ascii="宋体" w:hAnsi="宋体" w:eastAsia="宋体" w:cs="Times New Roman"/>
          <w:b/>
          <w:bCs/>
          <w:kern w:val="0"/>
          <w:sz w:val="24"/>
          <w:szCs w:val="24"/>
          <w:lang w:val="en-US" w:eastAsia="zh-CN" w:bidi="ar-SA"/>
        </w:rPr>
        <w:t>不可抗力责任承担</w:t>
      </w:r>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p>
    <w:p w14:paraId="71F6337D">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因不可抗力事件导致的费用及延误的工期由发包人和承包人按以下方法分别承担：</w:t>
      </w:r>
      <w:bookmarkEnd w:id="3970"/>
    </w:p>
    <w:p w14:paraId="61728461">
      <w:pPr>
        <w:tabs>
          <w:tab w:val="left" w:pos="1620"/>
          <w:tab w:val="left" w:pos="2340"/>
        </w:tabs>
        <w:ind w:left="899"/>
        <w:jc w:val="left"/>
        <w:rPr>
          <w:rFonts w:ascii="宋体" w:hAnsi="宋体" w:eastAsia="宋体" w:cs="Times New Roman"/>
          <w:kern w:val="0"/>
          <w:szCs w:val="24"/>
        </w:rPr>
      </w:pPr>
      <w:r>
        <w:rPr>
          <w:rFonts w:ascii="宋体" w:hAnsi="宋体" w:eastAsia="宋体" w:cs="Times New Roman"/>
          <w:kern w:val="0"/>
          <w:szCs w:val="24"/>
        </w:rPr>
        <w:t>(1)</w:t>
      </w:r>
      <w:r>
        <w:rPr>
          <w:rFonts w:hint="eastAsia" w:ascii="宋体" w:hAnsi="宋体" w:eastAsia="宋体" w:cs="Times New Roman"/>
          <w:kern w:val="0"/>
          <w:szCs w:val="24"/>
        </w:rPr>
        <w:t>永久工程、已运至施工现场的材料的损坏及修复费用，以及因不可抗力事件引起施工场地内及工程损坏造成的第三方人员伤亡和财产损失应由发包人承担；</w:t>
      </w:r>
    </w:p>
    <w:p w14:paraId="574BC183">
      <w:pPr>
        <w:tabs>
          <w:tab w:val="left" w:pos="1620"/>
          <w:tab w:val="left" w:pos="2340"/>
        </w:tabs>
        <w:ind w:left="899"/>
        <w:jc w:val="left"/>
        <w:rPr>
          <w:rFonts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承包人施工机具的损坏及停工损失和措施项目的损坏、清理、修复费用，以及因承包人原因发生的第三方人员伤亡和财产损失应由承包人承担；</w:t>
      </w:r>
    </w:p>
    <w:p w14:paraId="3A631FA3">
      <w:pPr>
        <w:tabs>
          <w:tab w:val="left" w:pos="1620"/>
          <w:tab w:val="left" w:pos="2340"/>
        </w:tabs>
        <w:ind w:left="899"/>
        <w:jc w:val="left"/>
        <w:rPr>
          <w:rFonts w:ascii="宋体" w:hAnsi="宋体" w:eastAsia="宋体" w:cs="Times New Roman"/>
          <w:kern w:val="0"/>
          <w:szCs w:val="24"/>
        </w:rPr>
      </w:pPr>
      <w:r>
        <w:rPr>
          <w:rFonts w:ascii="宋体" w:hAnsi="宋体" w:eastAsia="宋体" w:cs="Times New Roman"/>
          <w:kern w:val="0"/>
          <w:szCs w:val="24"/>
        </w:rPr>
        <w:t>(3)</w:t>
      </w:r>
      <w:r>
        <w:rPr>
          <w:rFonts w:hint="eastAsia" w:ascii="宋体" w:hAnsi="宋体" w:eastAsia="宋体" w:cs="Times New Roman"/>
          <w:kern w:val="0"/>
          <w:szCs w:val="24"/>
        </w:rPr>
        <w:t>发承包双方应承担各自人员伤亡和本款第</w:t>
      </w:r>
      <w:r>
        <w:rPr>
          <w:rFonts w:ascii="宋体" w:hAnsi="宋体" w:eastAsia="宋体" w:cs="Times New Roman"/>
          <w:kern w:val="0"/>
          <w:szCs w:val="24"/>
        </w:rPr>
        <w:t>(1)</w:t>
      </w:r>
      <w:r>
        <w:rPr>
          <w:rFonts w:hint="eastAsia" w:ascii="宋体" w:hAnsi="宋体" w:eastAsia="宋体" w:cs="Times New Roman"/>
          <w:kern w:val="0"/>
          <w:szCs w:val="24"/>
        </w:rPr>
        <w:t>项、第</w:t>
      </w:r>
      <w:r>
        <w:rPr>
          <w:rFonts w:ascii="宋体" w:hAnsi="宋体" w:eastAsia="宋体" w:cs="Times New Roman"/>
          <w:kern w:val="0"/>
          <w:szCs w:val="24"/>
        </w:rPr>
        <w:t>(2)</w:t>
      </w:r>
      <w:r>
        <w:rPr>
          <w:rFonts w:hint="eastAsia" w:ascii="宋体" w:hAnsi="宋体" w:eastAsia="宋体" w:cs="Times New Roman"/>
          <w:kern w:val="0"/>
          <w:szCs w:val="24"/>
        </w:rPr>
        <w:t>项规定外的其他财产的损失；</w:t>
      </w:r>
    </w:p>
    <w:p w14:paraId="2BB7BA3B">
      <w:pPr>
        <w:tabs>
          <w:tab w:val="left" w:pos="1620"/>
          <w:tab w:val="left" w:pos="2340"/>
        </w:tabs>
        <w:ind w:left="899"/>
        <w:jc w:val="left"/>
        <w:rPr>
          <w:rFonts w:ascii="宋体" w:hAnsi="宋体" w:eastAsia="宋体" w:cs="Times New Roman"/>
          <w:kern w:val="0"/>
          <w:szCs w:val="24"/>
        </w:rPr>
      </w:pPr>
      <w:r>
        <w:rPr>
          <w:rFonts w:ascii="宋体" w:hAnsi="宋体" w:eastAsia="宋体" w:cs="Times New Roman"/>
          <w:kern w:val="0"/>
          <w:szCs w:val="24"/>
        </w:rPr>
        <w:t>(4)</w:t>
      </w:r>
      <w:r>
        <w:rPr>
          <w:rFonts w:hint="eastAsia" w:ascii="宋体" w:hAnsi="宋体" w:eastAsia="宋体" w:cs="Times New Roman"/>
          <w:kern w:val="0"/>
          <w:szCs w:val="24"/>
        </w:rPr>
        <w:t>因不可抗力引起暂停施工的，停工期间按照发包人要求照管、清理、修复工程的费用和发包人要求留驻施工现场必要的管理与保卫人员工资，以及按发包人要求留驻现场待工人员的工资应由发包人承担；</w:t>
      </w:r>
    </w:p>
    <w:p w14:paraId="287E1E85">
      <w:pPr>
        <w:tabs>
          <w:tab w:val="left" w:pos="1620"/>
          <w:tab w:val="left" w:pos="2340"/>
        </w:tabs>
        <w:ind w:left="899"/>
        <w:jc w:val="left"/>
        <w:rPr>
          <w:rFonts w:ascii="Times New Roman" w:hAnsi="Times New Roman" w:eastAsia="宋体" w:cs="Times New Roman"/>
          <w:szCs w:val="24"/>
        </w:rPr>
      </w:pPr>
      <w:r>
        <w:rPr>
          <w:rFonts w:ascii="宋体" w:hAnsi="宋体" w:eastAsia="宋体" w:cs="Times New Roman"/>
          <w:kern w:val="0"/>
          <w:szCs w:val="24"/>
        </w:rPr>
        <w:t>(5)</w:t>
      </w:r>
      <w:r>
        <w:rPr>
          <w:rFonts w:hint="eastAsia" w:ascii="宋体" w:hAnsi="宋体" w:eastAsia="宋体" w:cs="Times New Roman"/>
          <w:kern w:val="0"/>
          <w:szCs w:val="24"/>
        </w:rPr>
        <w:t>因不可抗力影响承包人履行合同约定的义务，引起工期延误的，应当顺延工期，发包人要求赶工的，由此增加的赶工费用应由发包人承担。</w:t>
      </w:r>
    </w:p>
    <w:p w14:paraId="1BE524B9">
      <w:pPr>
        <w:widowControl w:val="0"/>
        <w:numPr>
          <w:ilvl w:val="1"/>
          <w:numId w:val="2"/>
        </w:numPr>
        <w:tabs>
          <w:tab w:val="left" w:pos="540"/>
          <w:tab w:val="left" w:pos="576"/>
          <w:tab w:val="left" w:pos="900"/>
        </w:tabs>
        <w:spacing w:before="120" w:after="156"/>
        <w:ind w:left="359" w:firstLine="0"/>
        <w:jc w:val="left"/>
        <w:outlineLvl w:val="1"/>
        <w:rPr>
          <w:rFonts w:ascii="宋体" w:hAnsi="宋体" w:eastAsia="宋体" w:cs="Times New Roman"/>
          <w:b/>
          <w:bCs/>
          <w:kern w:val="0"/>
          <w:sz w:val="24"/>
          <w:szCs w:val="24"/>
          <w:lang w:val="en-US" w:eastAsia="zh-CN" w:bidi="ar-SA"/>
        </w:rPr>
      </w:pPr>
      <w:bookmarkStart w:id="3971" w:name="_Toc205798774"/>
      <w:bookmarkStart w:id="3972" w:name="_Toc9309"/>
      <w:bookmarkStart w:id="3973" w:name="_Toc1821"/>
      <w:bookmarkStart w:id="3974" w:name="_Toc201735502"/>
      <w:bookmarkStart w:id="3975" w:name="_Toc208587728"/>
      <w:bookmarkStart w:id="3976" w:name="_Toc8035"/>
      <w:bookmarkStart w:id="3977" w:name="_Toc25988"/>
      <w:r>
        <w:rPr>
          <w:rFonts w:hint="eastAsia" w:ascii="宋体" w:hAnsi="宋体" w:eastAsia="宋体" w:cs="Times New Roman"/>
          <w:b/>
          <w:bCs/>
          <w:kern w:val="0"/>
          <w:sz w:val="24"/>
          <w:szCs w:val="24"/>
          <w:lang w:val="en-US" w:eastAsia="zh-CN" w:bidi="ar-SA"/>
        </w:rPr>
        <w:t>例外事件</w:t>
      </w:r>
      <w:bookmarkEnd w:id="3971"/>
      <w:bookmarkEnd w:id="3972"/>
      <w:bookmarkEnd w:id="3973"/>
      <w:bookmarkEnd w:id="3974"/>
      <w:bookmarkEnd w:id="3975"/>
      <w:bookmarkEnd w:id="3976"/>
      <w:bookmarkEnd w:id="3977"/>
    </w:p>
    <w:p w14:paraId="54D1C9F7">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因发生以下具有不可抗力性质的例外事件及</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约定的其他情形并引起工期延误的，受影响的工期应相应顺延，除国家及工程所在地行政主管部门发布的相关文件另有规定外，发承包双方应各自承担相应的损失。</w:t>
      </w:r>
    </w:p>
    <w:p w14:paraId="15C819A7">
      <w:pPr>
        <w:tabs>
          <w:tab w:val="left" w:pos="1620"/>
          <w:tab w:val="left" w:pos="2340"/>
        </w:tabs>
        <w:ind w:left="899"/>
        <w:jc w:val="left"/>
        <w:rPr>
          <w:rFonts w:ascii="宋体" w:hAnsi="宋体" w:eastAsia="宋体" w:cs="Times New Roman"/>
          <w:kern w:val="0"/>
          <w:szCs w:val="24"/>
        </w:rPr>
      </w:pPr>
      <w:r>
        <w:rPr>
          <w:rFonts w:hint="eastAsia" w:ascii="宋体" w:hAnsi="宋体" w:eastAsia="宋体" w:cs="Times New Roman"/>
          <w:kern w:val="0"/>
          <w:szCs w:val="24"/>
        </w:rPr>
        <w:t>(1)动乱和暴动等类似事件（不包括工地现场发生的）；</w:t>
      </w:r>
    </w:p>
    <w:p w14:paraId="191E1449">
      <w:pPr>
        <w:tabs>
          <w:tab w:val="left" w:pos="1620"/>
          <w:tab w:val="left" w:pos="2340"/>
        </w:tabs>
        <w:ind w:left="899"/>
        <w:jc w:val="left"/>
        <w:rPr>
          <w:rFonts w:ascii="宋体" w:hAnsi="宋体" w:eastAsia="宋体" w:cs="Times New Roman"/>
          <w:kern w:val="0"/>
          <w:szCs w:val="24"/>
        </w:rPr>
      </w:pPr>
      <w:r>
        <w:rPr>
          <w:rFonts w:ascii="宋体" w:hAnsi="宋体" w:eastAsia="宋体" w:cs="Times New Roman"/>
          <w:kern w:val="0"/>
          <w:szCs w:val="24"/>
        </w:rPr>
        <w:t>(2)</w:t>
      </w:r>
      <w:r>
        <w:rPr>
          <w:rFonts w:hint="eastAsia" w:ascii="宋体" w:hAnsi="宋体" w:eastAsia="宋体" w:cs="Times New Roman"/>
          <w:kern w:val="0"/>
          <w:szCs w:val="24"/>
        </w:rPr>
        <w:t>因国家及工程所在地行政主管部门要求而必需的停工、暂停（暂缓）施工、间断施工或区域性施工管控造成的影响；</w:t>
      </w:r>
    </w:p>
    <w:p w14:paraId="5F252381">
      <w:pPr>
        <w:tabs>
          <w:tab w:val="left" w:pos="1620"/>
          <w:tab w:val="left" w:pos="2340"/>
        </w:tabs>
        <w:ind w:left="899"/>
        <w:jc w:val="left"/>
        <w:rPr>
          <w:rFonts w:ascii="宋体" w:hAnsi="宋体" w:eastAsia="宋体" w:cs="Times New Roman"/>
          <w:kern w:val="0"/>
          <w:szCs w:val="24"/>
        </w:rPr>
      </w:pPr>
      <w:r>
        <w:rPr>
          <w:rFonts w:ascii="宋体" w:hAnsi="宋体" w:eastAsia="宋体" w:cs="Times New Roman"/>
          <w:kern w:val="0"/>
          <w:szCs w:val="24"/>
        </w:rPr>
        <w:t>(3)</w:t>
      </w:r>
      <w:r>
        <w:rPr>
          <w:rFonts w:hint="eastAsia" w:ascii="宋体" w:hAnsi="宋体" w:eastAsia="宋体" w:cs="Times New Roman"/>
          <w:kern w:val="0"/>
          <w:szCs w:val="24"/>
        </w:rPr>
        <w:t>国家及工程所在地行政主管部门就安全、环保要求停止施工造成的影响；</w:t>
      </w:r>
    </w:p>
    <w:p w14:paraId="1DAEDFEF">
      <w:pPr>
        <w:tabs>
          <w:tab w:val="left" w:pos="1620"/>
          <w:tab w:val="left" w:pos="2340"/>
        </w:tabs>
        <w:ind w:left="899"/>
        <w:jc w:val="left"/>
        <w:rPr>
          <w:rFonts w:hint="eastAsia" w:ascii="宋体" w:hAnsi="宋体" w:eastAsia="宋体" w:cs="Times New Roman"/>
          <w:sz w:val="24"/>
          <w:szCs w:val="24"/>
        </w:rPr>
      </w:pPr>
      <w:r>
        <w:rPr>
          <w:rFonts w:ascii="宋体" w:hAnsi="宋体" w:eastAsia="宋体" w:cs="Times New Roman"/>
          <w:kern w:val="0"/>
          <w:szCs w:val="24"/>
        </w:rPr>
        <w:t>(4)</w:t>
      </w:r>
      <w:r>
        <w:rPr>
          <w:rFonts w:hint="eastAsia" w:ascii="宋体" w:hAnsi="宋体" w:eastAsia="宋体" w:cs="Times New Roman"/>
          <w:kern w:val="0"/>
          <w:szCs w:val="24"/>
        </w:rPr>
        <w:t>国家及工程所在地行政主管部门就健康卫生防疫管控要求停止施工造成的影响。</w:t>
      </w:r>
    </w:p>
    <w:p w14:paraId="2C0010A2">
      <w:pPr>
        <w:widowControl w:val="0"/>
        <w:numPr>
          <w:ilvl w:val="1"/>
          <w:numId w:val="2"/>
        </w:numPr>
        <w:tabs>
          <w:tab w:val="left" w:pos="540"/>
          <w:tab w:val="left" w:pos="576"/>
          <w:tab w:val="left" w:pos="900"/>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3978" w:name="_Toc201735503"/>
      <w:bookmarkStart w:id="3979" w:name="_Toc2768"/>
      <w:bookmarkStart w:id="3980" w:name="_Toc4209"/>
      <w:bookmarkStart w:id="3981" w:name="_Toc208587729"/>
      <w:bookmarkStart w:id="3982" w:name="_Toc1785768315"/>
      <w:bookmarkStart w:id="3983" w:name="_Toc5377"/>
      <w:bookmarkStart w:id="3984" w:name="_Toc19690"/>
      <w:r>
        <w:rPr>
          <w:rFonts w:hint="eastAsia" w:ascii="宋体" w:hAnsi="宋体" w:eastAsia="宋体" w:cs="Times New Roman"/>
          <w:b/>
          <w:bCs/>
          <w:kern w:val="0"/>
          <w:sz w:val="24"/>
          <w:szCs w:val="24"/>
          <w:lang w:val="en-US" w:eastAsia="zh-CN" w:bidi="ar-SA"/>
        </w:rPr>
        <w:t>不利的物质条件</w:t>
      </w:r>
      <w:bookmarkEnd w:id="3978"/>
      <w:bookmarkEnd w:id="3979"/>
      <w:bookmarkEnd w:id="3980"/>
      <w:bookmarkEnd w:id="3981"/>
      <w:bookmarkEnd w:id="3982"/>
      <w:bookmarkEnd w:id="3983"/>
      <w:bookmarkEnd w:id="3984"/>
    </w:p>
    <w:p w14:paraId="5D16B7C7">
      <w:pPr>
        <w:tabs>
          <w:tab w:val="left" w:pos="1620"/>
          <w:tab w:val="left" w:pos="2340"/>
        </w:tabs>
        <w:spacing w:after="156"/>
        <w:ind w:left="899"/>
        <w:jc w:val="left"/>
        <w:rPr>
          <w:rFonts w:hint="eastAsia" w:ascii="Times New Roman" w:hAnsi="Times New Roman" w:eastAsia="宋体" w:cs="Times New Roman"/>
          <w:szCs w:val="24"/>
        </w:rPr>
      </w:pPr>
      <w:r>
        <w:rPr>
          <w:rFonts w:hint="eastAsia" w:ascii="宋体" w:hAnsi="宋体" w:eastAsia="宋体" w:cs="Times New Roman"/>
          <w:kern w:val="0"/>
          <w:szCs w:val="24"/>
        </w:rPr>
        <w:t>(1)</w:t>
      </w:r>
      <w:r>
        <w:rPr>
          <w:rFonts w:hint="eastAsia" w:ascii="Times New Roman" w:hAnsi="Times New Roman" w:eastAsia="宋体" w:cs="Times New Roman"/>
          <w:szCs w:val="24"/>
        </w:rPr>
        <w:t>不利物质条件是指有经验的承包人在施工现场遇到的不可预见的自然物质条件、非自然的物质障碍和污染物，包括地表以下物质条件和水文条件以及</w:t>
      </w:r>
      <w:r>
        <w:rPr>
          <w:rFonts w:hint="eastAsia" w:ascii="Times New Roman" w:hAnsi="Times New Roman" w:eastAsia="宋体" w:cs="Times New Roman"/>
          <w:b/>
          <w:i/>
          <w:szCs w:val="24"/>
        </w:rPr>
        <w:t>专用条款</w:t>
      </w:r>
      <w:r>
        <w:rPr>
          <w:rFonts w:hint="eastAsia" w:ascii="Times New Roman" w:hAnsi="Times New Roman" w:eastAsia="宋体" w:cs="Times New Roman"/>
          <w:szCs w:val="24"/>
        </w:rPr>
        <w:t>约定的其他情形，但不包括气候条件。</w:t>
      </w:r>
    </w:p>
    <w:p w14:paraId="06B0E936">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24条【工程变更】约定执行。除</w:t>
      </w:r>
      <w:r>
        <w:rPr>
          <w:rFonts w:hint="eastAsia" w:ascii="宋体" w:hAnsi="宋体" w:eastAsia="宋体" w:cs="Times New Roman"/>
          <w:b/>
          <w:bCs/>
          <w:i/>
          <w:iCs/>
          <w:kern w:val="0"/>
          <w:szCs w:val="24"/>
        </w:rPr>
        <w:t>专用条款</w:t>
      </w:r>
      <w:r>
        <w:rPr>
          <w:rFonts w:hint="eastAsia" w:ascii="宋体" w:hAnsi="宋体" w:eastAsia="宋体" w:cs="Times New Roman"/>
          <w:kern w:val="0"/>
          <w:szCs w:val="24"/>
        </w:rPr>
        <w:t>另有约定外，承包人因采取合理措施而增加的费用和（或）延误的工期由发包人承担。</w:t>
      </w:r>
    </w:p>
    <w:p w14:paraId="05ACE2D8">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3985" w:name="_Toc3072"/>
      <w:bookmarkStart w:id="3986" w:name="_Toc24016"/>
      <w:bookmarkStart w:id="3987" w:name="_Toc278"/>
      <w:bookmarkStart w:id="3988" w:name="_Toc35657010"/>
      <w:bookmarkStart w:id="3989" w:name="_Toc1788446119"/>
      <w:bookmarkStart w:id="3990" w:name="_Toc14231"/>
      <w:bookmarkStart w:id="3991" w:name="_Toc20608"/>
      <w:bookmarkStart w:id="3992" w:name="_Toc19159"/>
      <w:bookmarkStart w:id="3993" w:name="_Toc11798"/>
      <w:bookmarkStart w:id="3994" w:name="_Toc13324"/>
      <w:bookmarkStart w:id="3995" w:name="_Toc305331414"/>
      <w:bookmarkStart w:id="3996" w:name="_Toc208587730"/>
      <w:bookmarkStart w:id="3997" w:name="_Toc18055"/>
      <w:bookmarkStart w:id="3998" w:name="_Toc302635920"/>
      <w:bookmarkStart w:id="3999" w:name="_Toc201735505"/>
      <w:bookmarkStart w:id="4000" w:name="_Toc28230"/>
      <w:bookmarkStart w:id="4001" w:name="_Toc34909168"/>
      <w:bookmarkStart w:id="4002" w:name="_Toc35656508"/>
      <w:r>
        <w:rPr>
          <w:rFonts w:hint="eastAsia" w:ascii="华文细黑" w:hAnsi="宋体" w:eastAsia="宋体" w:cs="Times New Roman"/>
          <w:b/>
          <w:bCs/>
          <w:snapToGrid w:val="0"/>
          <w:kern w:val="0"/>
          <w:sz w:val="28"/>
          <w:szCs w:val="44"/>
          <w:lang w:val="en-US" w:eastAsia="zh-CN" w:bidi="ar-SA"/>
        </w:rPr>
        <w:t>保险</w:t>
      </w:r>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p>
    <w:p w14:paraId="49408457">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4003" w:name="_Toc32306"/>
      <w:bookmarkStart w:id="4004" w:name="_Toc302635921"/>
      <w:bookmarkStart w:id="4005" w:name="_Toc1210"/>
      <w:bookmarkStart w:id="4006" w:name="_Toc17682"/>
      <w:bookmarkStart w:id="4007" w:name="_Toc1626681315"/>
      <w:bookmarkStart w:id="4008" w:name="_Toc7100"/>
      <w:bookmarkStart w:id="4009" w:name="_Toc4800"/>
      <w:bookmarkStart w:id="4010" w:name="_Toc29973"/>
      <w:bookmarkStart w:id="4011" w:name="_Toc201735506"/>
      <w:bookmarkStart w:id="4012" w:name="_Toc18514"/>
      <w:bookmarkStart w:id="4013" w:name="_Toc15011"/>
      <w:bookmarkStart w:id="4014" w:name="_Toc22281"/>
      <w:bookmarkStart w:id="4015" w:name="_Toc12447"/>
      <w:bookmarkStart w:id="4016" w:name="_Toc208587731"/>
      <w:bookmarkStart w:id="4017" w:name="_Toc305331415"/>
      <w:bookmarkStart w:id="4018" w:name="_Toc34909169"/>
      <w:r>
        <w:rPr>
          <w:rFonts w:hint="eastAsia" w:ascii="宋体" w:hAnsi="宋体" w:eastAsia="宋体" w:cs="Times New Roman"/>
          <w:b/>
          <w:bCs/>
          <w:kern w:val="0"/>
          <w:sz w:val="24"/>
          <w:szCs w:val="24"/>
          <w:lang w:val="en-US" w:eastAsia="zh-CN" w:bidi="ar-SA"/>
        </w:rPr>
        <w:t>发包人办理的保险</w:t>
      </w:r>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p>
    <w:p w14:paraId="1CE0E9DC">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工程开工前，发包人应为本工程、施工场地内的自有人员、第三者人员生命财产、</w:t>
      </w:r>
      <w:r>
        <w:rPr>
          <w:rFonts w:hint="eastAsia" w:ascii="Times New Roman" w:hAnsi="宋体" w:eastAsia="宋体" w:cs="Times New Roman"/>
          <w:szCs w:val="24"/>
        </w:rPr>
        <w:t>运至施工场地内用于永久工程的材料和待安装工程设备</w:t>
      </w:r>
      <w:r>
        <w:rPr>
          <w:rFonts w:hint="eastAsia" w:ascii="宋体" w:hAnsi="宋体" w:eastAsia="宋体" w:cs="Times New Roman"/>
          <w:kern w:val="0"/>
          <w:szCs w:val="24"/>
        </w:rPr>
        <w:t>办理保险，支付保险费用。</w:t>
      </w:r>
      <w:r>
        <w:rPr>
          <w:rFonts w:hint="eastAsia" w:ascii="Times New Roman" w:hAnsi="宋体" w:eastAsia="宋体" w:cs="Times New Roman"/>
          <w:szCs w:val="24"/>
        </w:rPr>
        <w:t>保险期从开工之日起至工程竣工验收合格之日止。</w:t>
      </w:r>
      <w:r>
        <w:rPr>
          <w:rFonts w:hint="eastAsia" w:ascii="宋体" w:hAnsi="宋体" w:eastAsia="宋体" w:cs="Times New Roman"/>
          <w:kern w:val="0"/>
          <w:szCs w:val="24"/>
        </w:rPr>
        <w:t>发包人可以按</w:t>
      </w:r>
      <w:r>
        <w:rPr>
          <w:rFonts w:hint="eastAsia" w:ascii="宋体" w:hAnsi="宋体" w:eastAsia="宋体" w:cs="Times New Roman"/>
          <w:b/>
          <w:i/>
          <w:kern w:val="0"/>
          <w:szCs w:val="24"/>
        </w:rPr>
        <w:t>专用条款</w:t>
      </w:r>
      <w:r>
        <w:rPr>
          <w:rFonts w:hint="eastAsia" w:ascii="宋体" w:hAnsi="宋体" w:eastAsia="宋体" w:cs="Times New Roman"/>
          <w:kern w:val="0"/>
          <w:szCs w:val="24"/>
        </w:rPr>
        <w:t>的约定将上述有关保险事项委托承包人办理，费用由发包人承担。</w:t>
      </w:r>
    </w:p>
    <w:p w14:paraId="1EF015D3">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4019" w:name="_Toc305331416"/>
      <w:bookmarkStart w:id="4020" w:name="_Toc1759355432"/>
      <w:bookmarkStart w:id="4021" w:name="_Toc26984"/>
      <w:bookmarkStart w:id="4022" w:name="_Toc32710"/>
      <w:bookmarkStart w:id="4023" w:name="_Toc23900"/>
      <w:bookmarkStart w:id="4024" w:name="_Toc20597"/>
      <w:bookmarkStart w:id="4025" w:name="_Toc20296"/>
      <w:bookmarkStart w:id="4026" w:name="_Toc208587732"/>
      <w:bookmarkStart w:id="4027" w:name="_Toc22445"/>
      <w:bookmarkStart w:id="4028" w:name="_Toc16817"/>
      <w:bookmarkStart w:id="4029" w:name="_Toc302635922"/>
      <w:bookmarkStart w:id="4030" w:name="_Toc201735507"/>
      <w:bookmarkStart w:id="4031" w:name="_Toc30971"/>
      <w:bookmarkStart w:id="4032" w:name="_Toc2861"/>
      <w:bookmarkStart w:id="4033" w:name="_Toc4394"/>
      <w:r>
        <w:rPr>
          <w:rFonts w:hint="eastAsia" w:ascii="宋体" w:hAnsi="宋体" w:eastAsia="宋体" w:cs="Times New Roman"/>
          <w:b/>
          <w:bCs/>
          <w:kern w:val="0"/>
          <w:sz w:val="24"/>
          <w:szCs w:val="24"/>
          <w:lang w:val="en-US" w:eastAsia="zh-CN" w:bidi="ar-SA"/>
        </w:rPr>
        <w:t>承包人办理的保险</w:t>
      </w:r>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p>
    <w:p w14:paraId="79DA3E4F">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承包人必须为从事危险作业的职工办理意外伤害保险，并为施工场地内的自有人员生命财产及施工机械设备办理保险，支付保险费用。</w:t>
      </w:r>
      <w:r>
        <w:rPr>
          <w:rFonts w:hint="eastAsia" w:ascii="Times New Roman" w:hAnsi="宋体" w:eastAsia="宋体" w:cs="Times New Roman"/>
          <w:szCs w:val="24"/>
        </w:rPr>
        <w:t>保险期从开工之日起至工程竣工验收合格之日止。</w:t>
      </w:r>
      <w:r>
        <w:rPr>
          <w:rFonts w:ascii="宋体" w:hAnsi="宋体" w:eastAsia="宋体" w:cs="Times New Roman"/>
          <w:kern w:val="0"/>
          <w:szCs w:val="24"/>
        </w:rPr>
        <w:t>承包人在保险投保时还必须符合深圳市</w:t>
      </w:r>
      <w:r>
        <w:rPr>
          <w:rFonts w:hint="eastAsia" w:ascii="宋体" w:hAnsi="宋体" w:eastAsia="宋体" w:cs="Times New Roman"/>
          <w:kern w:val="0"/>
          <w:szCs w:val="24"/>
        </w:rPr>
        <w:t>有关员工和机械、设备保险办理规定。对于分包人的人员，此类保险应由分包人投保，但承包人应对其符合本条规定负责。</w:t>
      </w:r>
    </w:p>
    <w:p w14:paraId="23E0A903">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4034" w:name="_Toc798"/>
      <w:bookmarkStart w:id="4035" w:name="_Toc27452"/>
      <w:bookmarkStart w:id="4036" w:name="_Toc305331417"/>
      <w:bookmarkStart w:id="4037" w:name="_Toc9943"/>
      <w:bookmarkStart w:id="4038" w:name="_Toc201735508"/>
      <w:bookmarkStart w:id="4039" w:name="_Toc13762"/>
      <w:bookmarkStart w:id="4040" w:name="_Toc7933"/>
      <w:bookmarkStart w:id="4041" w:name="_Toc465087112"/>
      <w:bookmarkStart w:id="4042" w:name="_Toc10093"/>
      <w:bookmarkStart w:id="4043" w:name="_Toc42"/>
      <w:bookmarkStart w:id="4044" w:name="_Toc31838"/>
      <w:bookmarkStart w:id="4045" w:name="_Toc18220"/>
      <w:bookmarkStart w:id="4046" w:name="_Toc20160"/>
      <w:bookmarkStart w:id="4047" w:name="_Toc208587733"/>
      <w:bookmarkStart w:id="4048" w:name="_Toc302635923"/>
      <w:r>
        <w:rPr>
          <w:rFonts w:hint="eastAsia" w:ascii="宋体" w:hAnsi="宋体" w:eastAsia="宋体" w:cs="Times New Roman"/>
          <w:b/>
          <w:bCs/>
          <w:kern w:val="0"/>
          <w:sz w:val="24"/>
          <w:szCs w:val="24"/>
          <w:lang w:val="en-US" w:eastAsia="zh-CN" w:bidi="ar-SA"/>
        </w:rPr>
        <w:t>投保人责任</w:t>
      </w:r>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p>
    <w:p w14:paraId="546AACB3">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(1)发包人和承包人中一方应向另一方提供按本合同要求其投保的各项保险已经生效的证明。</w:t>
      </w:r>
    </w:p>
    <w:p w14:paraId="31BD62FF">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(2)当本工程施工的性质、规模或工期以及人员发生变更时，被保险人应及时通知保险公司，并在合同履行期间按本合同保险条款的规定保证足够的保险额，因而造成的费用由责任人承担。</w:t>
      </w:r>
    </w:p>
    <w:p w14:paraId="24B63414">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4049" w:name="_Toc3481"/>
      <w:bookmarkStart w:id="4050" w:name="_Toc305331418"/>
      <w:bookmarkStart w:id="4051" w:name="_Toc6712"/>
      <w:bookmarkStart w:id="4052" w:name="_Toc1903"/>
      <w:bookmarkStart w:id="4053" w:name="_Toc208587734"/>
      <w:bookmarkStart w:id="4054" w:name="_Toc18614"/>
      <w:bookmarkStart w:id="4055" w:name="_Toc23698"/>
      <w:bookmarkStart w:id="4056" w:name="_Toc2195"/>
      <w:bookmarkStart w:id="4057" w:name="_Toc1529130024"/>
      <w:bookmarkStart w:id="4058" w:name="_Toc8244"/>
      <w:bookmarkStart w:id="4059" w:name="_Toc25565"/>
      <w:bookmarkStart w:id="4060" w:name="_Toc201735509"/>
      <w:bookmarkStart w:id="4061" w:name="_Toc302635924"/>
      <w:bookmarkStart w:id="4062" w:name="_Toc17093"/>
      <w:bookmarkStart w:id="4063" w:name="_Toc23278"/>
      <w:r>
        <w:rPr>
          <w:rFonts w:hint="eastAsia" w:ascii="宋体" w:hAnsi="宋体" w:eastAsia="宋体" w:cs="Times New Roman"/>
          <w:b/>
          <w:bCs/>
          <w:kern w:val="0"/>
          <w:sz w:val="24"/>
          <w:szCs w:val="24"/>
          <w:lang w:val="en-US" w:eastAsia="zh-CN" w:bidi="ar-SA"/>
        </w:rPr>
        <w:t>保险理赔</w:t>
      </w:r>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p>
    <w:p w14:paraId="6C8CFB95">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当发生本工程承保项目的损失或损害时，被保险人应在风险发生后及时向保险公司提供损失情况和估价报告，如损失继续发生，被保险人在递交第一次报告后每7天报告一次，直到损害结束。发包人和承包人中一方应协助另一方做好向保险公司的报告和索赔工作。</w:t>
      </w:r>
      <w:bookmarkEnd w:id="4018"/>
    </w:p>
    <w:p w14:paraId="4F7061D4">
      <w:pPr>
        <w:tabs>
          <w:tab w:val="left" w:pos="1620"/>
          <w:tab w:val="left" w:pos="2340"/>
        </w:tabs>
        <w:spacing w:after="156"/>
        <w:ind w:left="899"/>
        <w:jc w:val="left"/>
        <w:rPr>
          <w:rFonts w:ascii="宋体" w:hAnsi="宋体" w:eastAsia="宋体" w:cs="Times New Roman"/>
          <w:kern w:val="0"/>
          <w:szCs w:val="24"/>
        </w:rPr>
      </w:pPr>
      <w:bookmarkStart w:id="4064" w:name="_Toc34909177"/>
      <w:r>
        <w:rPr>
          <w:rFonts w:hint="eastAsia" w:ascii="宋体" w:hAnsi="宋体" w:eastAsia="宋体" w:cs="Times New Roman"/>
          <w:kern w:val="0"/>
          <w:szCs w:val="24"/>
        </w:rPr>
        <w:t>(2)从保险公司收到的因本工程本身损失或损坏的保险赔偿金,应专款用于修复本工程这些损失或损坏，或作为对未能修复本工程这些损失或损坏的补偿。</w:t>
      </w:r>
    </w:p>
    <w:p w14:paraId="5EE4114C">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4065" w:name="_Toc208587735"/>
      <w:bookmarkStart w:id="4066" w:name="_Toc8837"/>
      <w:bookmarkStart w:id="4067" w:name="_Toc29766"/>
      <w:bookmarkStart w:id="4068" w:name="_Toc19540"/>
      <w:bookmarkStart w:id="4069" w:name="_Toc201735510"/>
      <w:bookmarkStart w:id="4070" w:name="_Toc6525"/>
      <w:bookmarkStart w:id="4071" w:name="_Toc99384368"/>
      <w:bookmarkStart w:id="4072" w:name="_Toc3334"/>
      <w:bookmarkStart w:id="4073" w:name="_Toc5474"/>
      <w:bookmarkStart w:id="4074" w:name="_Toc30750"/>
      <w:bookmarkStart w:id="4075" w:name="_Toc15676"/>
      <w:bookmarkStart w:id="4076" w:name="_Toc302635925"/>
      <w:bookmarkStart w:id="4077" w:name="_Toc3370"/>
      <w:bookmarkStart w:id="4078" w:name="_Toc7831"/>
      <w:r>
        <w:rPr>
          <w:rFonts w:hint="eastAsia" w:ascii="宋体" w:hAnsi="宋体" w:eastAsia="宋体" w:cs="Times New Roman"/>
          <w:b/>
          <w:bCs/>
          <w:kern w:val="0"/>
          <w:sz w:val="24"/>
          <w:szCs w:val="24"/>
          <w:lang w:val="en-US" w:eastAsia="zh-CN" w:bidi="ar-SA"/>
        </w:rPr>
        <w:t>未按约定投保的补救</w:t>
      </w:r>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p>
    <w:p w14:paraId="06F08A56">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w:t>
      </w:r>
      <w:r>
        <w:rPr>
          <w:rFonts w:ascii="宋体" w:hAnsi="宋体" w:eastAsia="宋体" w:cs="Times New Roman"/>
          <w:kern w:val="0"/>
          <w:szCs w:val="24"/>
        </w:rPr>
        <w:t>发包人未按合同约定办理保险，或未能使保险持续有效的，则承包人可代为办理，所需费用由发包人承担。发包人未按合同约定办理保险，导致未能得到足额赔偿的，由发包人负责补足。</w:t>
      </w:r>
    </w:p>
    <w:p w14:paraId="20589147">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(2)</w:t>
      </w:r>
      <w:r>
        <w:rPr>
          <w:rFonts w:ascii="宋体" w:hAnsi="宋体" w:eastAsia="宋体" w:cs="Times New Roman"/>
          <w:kern w:val="0"/>
          <w:szCs w:val="24"/>
        </w:rPr>
        <w:t>承包人未按合同约定办理保险，或未能使保险持续有效的，则发包人可代为办理，所需费用由承包人承担。承包人未按合同约定办理保险，导致未能得到足额赔偿的，由承包人负责补足。</w:t>
      </w:r>
    </w:p>
    <w:bookmarkEnd w:id="4064"/>
    <w:p w14:paraId="661B27BC">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4079" w:name="_Toc5051"/>
      <w:bookmarkStart w:id="4080" w:name="_Toc302635926"/>
      <w:bookmarkStart w:id="4081" w:name="_Toc8867"/>
      <w:bookmarkStart w:id="4082" w:name="_Toc11261"/>
      <w:bookmarkStart w:id="4083" w:name="_Toc2312"/>
      <w:bookmarkStart w:id="4084" w:name="_Toc35656509"/>
      <w:bookmarkStart w:id="4085" w:name="_Toc17803"/>
      <w:bookmarkStart w:id="4086" w:name="_Toc201735511"/>
      <w:bookmarkStart w:id="4087" w:name="_Toc34909180"/>
      <w:bookmarkStart w:id="4088" w:name="_Toc208587736"/>
      <w:bookmarkStart w:id="4089" w:name="_Toc22933"/>
      <w:bookmarkStart w:id="4090" w:name="_Toc305331419"/>
      <w:bookmarkStart w:id="4091" w:name="_Toc35657011"/>
      <w:bookmarkStart w:id="4092" w:name="_Toc27680"/>
      <w:bookmarkStart w:id="4093" w:name="_Toc16727"/>
      <w:bookmarkStart w:id="4094" w:name="_Toc29429"/>
      <w:bookmarkStart w:id="4095" w:name="_Toc799271697"/>
      <w:bookmarkStart w:id="4096" w:name="_Toc1681"/>
      <w:r>
        <w:rPr>
          <w:rFonts w:hint="eastAsia" w:ascii="华文细黑" w:hAnsi="宋体" w:eastAsia="宋体" w:cs="Times New Roman"/>
          <w:b/>
          <w:bCs/>
          <w:snapToGrid w:val="0"/>
          <w:kern w:val="0"/>
          <w:sz w:val="28"/>
          <w:szCs w:val="44"/>
          <w:lang w:val="en-US" w:eastAsia="zh-CN" w:bidi="ar-SA"/>
        </w:rPr>
        <w:t>工程担保</w:t>
      </w:r>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p>
    <w:p w14:paraId="122E5FBF">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4097" w:name="_Toc22159"/>
      <w:bookmarkStart w:id="4098" w:name="_Toc29156"/>
      <w:bookmarkStart w:id="4099" w:name="_Toc18314"/>
      <w:bookmarkStart w:id="4100" w:name="_Toc1534"/>
      <w:bookmarkStart w:id="4101" w:name="_Toc19209"/>
      <w:bookmarkStart w:id="4102" w:name="_Toc302635927"/>
      <w:bookmarkStart w:id="4103" w:name="_Toc19948"/>
      <w:bookmarkStart w:id="4104" w:name="_Toc24898"/>
      <w:bookmarkStart w:id="4105" w:name="_Toc25499"/>
      <w:bookmarkStart w:id="4106" w:name="_Toc1923181020"/>
      <w:bookmarkStart w:id="4107" w:name="_Toc565"/>
      <w:bookmarkStart w:id="4108" w:name="_Toc208587737"/>
      <w:bookmarkStart w:id="4109" w:name="_Toc305331420"/>
      <w:bookmarkStart w:id="4110" w:name="_Toc201735512"/>
      <w:bookmarkStart w:id="4111" w:name="_Toc12092"/>
      <w:bookmarkStart w:id="4112" w:name="_Toc34909181"/>
      <w:r>
        <w:rPr>
          <w:rFonts w:hint="eastAsia" w:ascii="宋体" w:hAnsi="宋体" w:eastAsia="宋体" w:cs="Times New Roman"/>
          <w:b/>
          <w:bCs/>
          <w:kern w:val="0"/>
          <w:sz w:val="24"/>
          <w:szCs w:val="24"/>
          <w:lang w:val="en-US" w:eastAsia="zh-CN" w:bidi="ar-SA"/>
        </w:rPr>
        <w:t>履约担保</w:t>
      </w:r>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p>
    <w:p w14:paraId="69031B74">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(1)承包人应按</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约定的金额和方式向发包人提交履约担保，履约担保应由保证人(银行、保险公司、担保公司)出具。</w:t>
      </w:r>
      <w:bookmarkEnd w:id="4112"/>
    </w:p>
    <w:p w14:paraId="4AF76C32">
      <w:pPr>
        <w:tabs>
          <w:tab w:val="left" w:pos="1620"/>
          <w:tab w:val="left" w:pos="2340"/>
        </w:tabs>
        <w:spacing w:after="156"/>
        <w:ind w:left="899"/>
        <w:jc w:val="left"/>
        <w:rPr>
          <w:rFonts w:hint="eastAsia" w:ascii="宋体" w:hAnsi="宋体" w:eastAsia="宋体" w:cs="Times New Roman"/>
          <w:kern w:val="0"/>
          <w:szCs w:val="24"/>
        </w:rPr>
      </w:pPr>
      <w:bookmarkStart w:id="4113" w:name="_Toc34909184"/>
      <w:bookmarkStart w:id="4114" w:name="_Toc34909182"/>
      <w:r>
        <w:rPr>
          <w:rFonts w:hint="eastAsia" w:ascii="宋体" w:hAnsi="宋体" w:eastAsia="宋体" w:cs="Times New Roman"/>
          <w:kern w:val="0"/>
          <w:szCs w:val="24"/>
        </w:rPr>
        <w:t>(2)履约担保的有效期应截至本工程竣工验收合格之日。本工程实际竣工验收合格之日之前履约担保的有效期已过的，承包人应及时续保。发包人应在本工程实际竣工验收合格之日后14天内将履约担保退还给承包人。</w:t>
      </w:r>
      <w:bookmarkEnd w:id="4113"/>
    </w:p>
    <w:p w14:paraId="50FBE3E8">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4115" w:name="_Toc16131"/>
      <w:bookmarkStart w:id="4116" w:name="_Toc25099"/>
      <w:bookmarkStart w:id="4117" w:name="_Toc21257"/>
      <w:bookmarkStart w:id="4118" w:name="_Toc305331421"/>
      <w:bookmarkStart w:id="4119" w:name="_Toc28469"/>
      <w:bookmarkStart w:id="4120" w:name="_Toc201735513"/>
      <w:bookmarkStart w:id="4121" w:name="_Toc24642"/>
      <w:bookmarkStart w:id="4122" w:name="_Toc17558"/>
      <w:bookmarkStart w:id="4123" w:name="_Toc302635928"/>
      <w:bookmarkStart w:id="4124" w:name="_Toc18224"/>
      <w:bookmarkStart w:id="4125" w:name="_Toc1009187121"/>
      <w:bookmarkStart w:id="4126" w:name="_Toc3546"/>
      <w:bookmarkStart w:id="4127" w:name="_Toc12505"/>
      <w:bookmarkStart w:id="4128" w:name="_Toc208587738"/>
      <w:r>
        <w:rPr>
          <w:rFonts w:hint="eastAsia" w:ascii="宋体" w:hAnsi="宋体" w:eastAsia="宋体" w:cs="Times New Roman"/>
          <w:b/>
          <w:bCs/>
          <w:kern w:val="0"/>
          <w:sz w:val="24"/>
          <w:szCs w:val="24"/>
          <w:lang w:val="en-US" w:eastAsia="zh-CN" w:bidi="ar-SA"/>
        </w:rPr>
        <w:t>支付担保</w:t>
      </w:r>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p>
    <w:p w14:paraId="31D2D0CC">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(1)发包人和承包人在签订本合同的同时，发包人应按</w:t>
      </w:r>
      <w:r>
        <w:rPr>
          <w:rFonts w:hint="eastAsia" w:ascii="宋体" w:hAnsi="宋体" w:eastAsia="宋体" w:cs="Times New Roman"/>
          <w:b/>
          <w:i/>
          <w:kern w:val="0"/>
          <w:szCs w:val="24"/>
        </w:rPr>
        <w:t>专用条款</w:t>
      </w:r>
      <w:r>
        <w:rPr>
          <w:rFonts w:hint="eastAsia" w:ascii="宋体" w:hAnsi="宋体" w:eastAsia="宋体" w:cs="Times New Roman"/>
          <w:kern w:val="0"/>
          <w:szCs w:val="24"/>
        </w:rPr>
        <w:t>约定的金额和方式向承包人提交支付担保，支付担保应由保证人(银行、保险公司、担保公司)出具。</w:t>
      </w:r>
      <w:bookmarkEnd w:id="4114"/>
    </w:p>
    <w:p w14:paraId="25ECD5FE">
      <w:pPr>
        <w:tabs>
          <w:tab w:val="left" w:pos="1620"/>
          <w:tab w:val="left" w:pos="2340"/>
        </w:tabs>
        <w:spacing w:after="156"/>
        <w:ind w:left="899"/>
        <w:jc w:val="left"/>
        <w:rPr>
          <w:rFonts w:ascii="宋体" w:hAnsi="宋体" w:eastAsia="宋体" w:cs="Times New Roman"/>
          <w:kern w:val="0"/>
          <w:szCs w:val="24"/>
        </w:rPr>
      </w:pPr>
      <w:bookmarkStart w:id="4129" w:name="_Toc34909185"/>
      <w:r>
        <w:rPr>
          <w:rFonts w:hint="eastAsia" w:ascii="宋体" w:hAnsi="宋体" w:eastAsia="宋体" w:cs="Times New Roman"/>
          <w:kern w:val="0"/>
          <w:szCs w:val="24"/>
        </w:rPr>
        <w:t>(2)支付担保的有效期应截至发包人根据本合同约定完成了除质量保证金以外的全部工程结算款项支付之日。上述款项实际完成支付之前支付担保的有效期已过的，发包人应及时续保。承包人应在上述款项实际完成支付之日后14天内将支付担保退还发包人。</w:t>
      </w:r>
      <w:bookmarkEnd w:id="4129"/>
    </w:p>
    <w:p w14:paraId="6F88B480">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4130" w:name="_Toc650"/>
      <w:bookmarkStart w:id="4131" w:name="_Toc27999"/>
      <w:bookmarkStart w:id="4132" w:name="_Toc305331422"/>
      <w:bookmarkStart w:id="4133" w:name="_Toc20050"/>
      <w:bookmarkStart w:id="4134" w:name="_Toc1974"/>
      <w:bookmarkStart w:id="4135" w:name="_Toc302635929"/>
      <w:bookmarkStart w:id="4136" w:name="_Toc729"/>
      <w:bookmarkStart w:id="4137" w:name="_Toc590"/>
      <w:bookmarkStart w:id="4138" w:name="_Toc1993335787"/>
      <w:bookmarkStart w:id="4139" w:name="_Toc12895"/>
      <w:bookmarkStart w:id="4140" w:name="_Toc201735514"/>
      <w:bookmarkStart w:id="4141" w:name="_Toc19252"/>
      <w:bookmarkStart w:id="4142" w:name="_Toc8704"/>
      <w:bookmarkStart w:id="4143" w:name="_Toc19420"/>
      <w:bookmarkStart w:id="4144" w:name="_Toc208587739"/>
      <w:bookmarkStart w:id="4145" w:name="_Toc34909186"/>
      <w:r>
        <w:rPr>
          <w:rFonts w:hint="eastAsia" w:ascii="宋体" w:hAnsi="宋体" w:eastAsia="宋体" w:cs="Times New Roman"/>
          <w:b/>
          <w:bCs/>
          <w:kern w:val="0"/>
          <w:sz w:val="24"/>
          <w:szCs w:val="24"/>
          <w:lang w:val="en-US" w:eastAsia="zh-CN" w:bidi="ar-SA"/>
        </w:rPr>
        <w:t>保证人支付索赔款项</w:t>
      </w:r>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p>
    <w:p w14:paraId="3F1E1234">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如承包人在履行本合同中，由于资金、技术、质量或非不可抗力等原因给发包人造成损失时，在履约担保书的有效期内，发包人应书面通知承包人，说明导致索赔的原因，并及时向保证人提出索赔文件，保证人应无条件就担保金额向发包人支付索赔款项，无须征得承包人的同意。</w:t>
      </w:r>
    </w:p>
    <w:p w14:paraId="70F5F8F2">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如发包人在履行本合同中，由于资金不足或非不可抗力等原因给承包人造成损失时，在支付担保书的有效期内，承包人应书面通知发包人，说明导致索赔的原因，并及时向保证人提出索赔文件，保证人应无条件就担保金额向承包人支付索赔款项，无须征得发包人的同意。</w:t>
      </w:r>
    </w:p>
    <w:bookmarkEnd w:id="4145"/>
    <w:p w14:paraId="46982054">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4146" w:name="_Toc29679"/>
      <w:bookmarkStart w:id="4147" w:name="_Toc23461"/>
      <w:bookmarkStart w:id="4148" w:name="_Toc21876"/>
      <w:bookmarkStart w:id="4149" w:name="_Toc2263"/>
      <w:bookmarkStart w:id="4150" w:name="_Toc196864583"/>
      <w:bookmarkStart w:id="4151" w:name="_Toc305331423"/>
      <w:bookmarkStart w:id="4152" w:name="_Toc302635930"/>
      <w:bookmarkStart w:id="4153" w:name="_Toc208587740"/>
      <w:bookmarkStart w:id="4154" w:name="_Toc28367"/>
      <w:bookmarkStart w:id="4155" w:name="_Toc16622"/>
      <w:bookmarkStart w:id="4156" w:name="_Toc20223"/>
      <w:bookmarkStart w:id="4157" w:name="_Toc201735515"/>
      <w:bookmarkStart w:id="4158" w:name="_Toc3138"/>
      <w:bookmarkStart w:id="4159" w:name="_Toc9033"/>
      <w:bookmarkStart w:id="4160" w:name="_Toc9803"/>
      <w:r>
        <w:rPr>
          <w:rFonts w:hint="eastAsia" w:ascii="宋体" w:hAnsi="宋体" w:eastAsia="宋体" w:cs="Times New Roman"/>
          <w:b/>
          <w:bCs/>
          <w:kern w:val="0"/>
          <w:sz w:val="24"/>
          <w:szCs w:val="24"/>
          <w:lang w:val="en-US" w:eastAsia="zh-CN" w:bidi="ar-SA"/>
        </w:rPr>
        <w:t>留置或追加支付担保</w:t>
      </w:r>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p>
    <w:p w14:paraId="0FF3F04A">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在工程竣工验收时，承包人可留置与预计未结算工程价款相当的标的物，或者要求发包人提供追加支付担保。追加支付担保金额应由发包人和承包人根据预计未结算工程价款款额按35.2款(1)项约定确定。追加支付担保的办理及索赔程序按照第3</w:t>
      </w:r>
      <w:r>
        <w:rPr>
          <w:rFonts w:ascii="宋体" w:hAnsi="宋体" w:eastAsia="宋体" w:cs="Times New Roman"/>
          <w:kern w:val="0"/>
          <w:szCs w:val="24"/>
        </w:rPr>
        <w:t>5.2</w:t>
      </w:r>
      <w:r>
        <w:rPr>
          <w:rFonts w:hint="eastAsia" w:ascii="宋体" w:hAnsi="宋体" w:eastAsia="宋体" w:cs="Times New Roman"/>
          <w:kern w:val="0"/>
          <w:szCs w:val="24"/>
        </w:rPr>
        <w:t>款及</w:t>
      </w:r>
      <w:r>
        <w:rPr>
          <w:rFonts w:ascii="宋体" w:hAnsi="宋体" w:eastAsia="宋体" w:cs="Times New Roman"/>
          <w:kern w:val="0"/>
          <w:szCs w:val="24"/>
        </w:rPr>
        <w:t>35.3</w:t>
      </w:r>
      <w:r>
        <w:rPr>
          <w:rFonts w:hint="eastAsia" w:ascii="宋体" w:hAnsi="宋体" w:eastAsia="宋体" w:cs="Times New Roman"/>
          <w:kern w:val="0"/>
          <w:szCs w:val="24"/>
        </w:rPr>
        <w:t>款约定执行。</w:t>
      </w:r>
    </w:p>
    <w:p w14:paraId="42B28BC2">
      <w:pPr>
        <w:keepNext w:val="0"/>
        <w:keepLines w:val="0"/>
        <w:widowControl w:val="0"/>
        <w:numPr>
          <w:ilvl w:val="0"/>
          <w:numId w:val="1"/>
        </w:numPr>
        <w:tabs>
          <w:tab w:val="left" w:pos="720"/>
          <w:tab w:val="left" w:pos="1620"/>
          <w:tab w:val="left" w:pos="2340"/>
          <w:tab w:val="clear" w:pos="4032"/>
        </w:tabs>
        <w:spacing w:before="240" w:after="120"/>
        <w:ind w:left="178" w:firstLine="0"/>
        <w:jc w:val="left"/>
        <w:outlineLvl w:val="0"/>
        <w:rPr>
          <w:rFonts w:ascii="华文细黑" w:hAnsi="宋体" w:eastAsia="宋体" w:cs="Times New Roman"/>
          <w:b/>
          <w:bCs/>
          <w:snapToGrid w:val="0"/>
          <w:kern w:val="0"/>
          <w:sz w:val="28"/>
          <w:szCs w:val="44"/>
          <w:lang w:val="en-US" w:eastAsia="zh-CN" w:bidi="ar-SA"/>
        </w:rPr>
      </w:pPr>
      <w:bookmarkStart w:id="4161" w:name="_Toc7704"/>
      <w:bookmarkStart w:id="4162" w:name="_Toc27046"/>
      <w:bookmarkStart w:id="4163" w:name="_Toc208587741"/>
      <w:bookmarkStart w:id="4164" w:name="_Toc32266"/>
      <w:bookmarkStart w:id="4165" w:name="_Toc201735516"/>
      <w:bookmarkStart w:id="4166" w:name="_Toc29090"/>
      <w:bookmarkStart w:id="4167" w:name="_Toc305331424"/>
      <w:bookmarkStart w:id="4168" w:name="_Toc25208"/>
      <w:bookmarkStart w:id="4169" w:name="_Toc7675"/>
      <w:bookmarkStart w:id="4170" w:name="_Toc35656510"/>
      <w:bookmarkStart w:id="4171" w:name="_Toc5926"/>
      <w:bookmarkStart w:id="4172" w:name="_Toc35657012"/>
      <w:bookmarkStart w:id="4173" w:name="_Toc26706"/>
      <w:bookmarkStart w:id="4174" w:name="_Toc1265143280"/>
      <w:bookmarkStart w:id="4175" w:name="_Toc12598"/>
      <w:bookmarkStart w:id="4176" w:name="_Toc30540"/>
      <w:bookmarkStart w:id="4177" w:name="_Toc302635931"/>
      <w:bookmarkStart w:id="4178" w:name="_Toc34909187"/>
      <w:r>
        <w:rPr>
          <w:rFonts w:hint="eastAsia" w:ascii="华文细黑" w:hAnsi="宋体" w:eastAsia="宋体" w:cs="Times New Roman"/>
          <w:b/>
          <w:bCs/>
          <w:snapToGrid w:val="0"/>
          <w:kern w:val="0"/>
          <w:sz w:val="28"/>
          <w:szCs w:val="44"/>
          <w:lang w:val="en-US" w:eastAsia="zh-CN" w:bidi="ar-SA"/>
        </w:rPr>
        <w:t>合同的生效、终止和解除</w:t>
      </w:r>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p>
    <w:p w14:paraId="049D0749">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4179" w:name="_Toc241858502"/>
      <w:bookmarkStart w:id="4180" w:name="_Toc30683"/>
      <w:bookmarkStart w:id="4181" w:name="_Toc25848"/>
      <w:bookmarkStart w:id="4182" w:name="_Toc24989"/>
      <w:bookmarkStart w:id="4183" w:name="_Toc23675"/>
      <w:bookmarkStart w:id="4184" w:name="_Toc8765"/>
      <w:bookmarkStart w:id="4185" w:name="_Toc208587742"/>
      <w:bookmarkStart w:id="4186" w:name="_Toc1828"/>
      <w:bookmarkStart w:id="4187" w:name="_Toc302635932"/>
      <w:bookmarkStart w:id="4188" w:name="_Toc2562"/>
      <w:bookmarkStart w:id="4189" w:name="_Toc201735517"/>
      <w:bookmarkStart w:id="4190" w:name="_Toc17987"/>
      <w:bookmarkStart w:id="4191" w:name="_Toc305331425"/>
      <w:bookmarkStart w:id="4192" w:name="_Toc15038"/>
      <w:bookmarkStart w:id="4193" w:name="_Toc18908"/>
      <w:bookmarkStart w:id="4194" w:name="_Toc34909189"/>
      <w:r>
        <w:rPr>
          <w:rFonts w:hint="eastAsia" w:ascii="宋体" w:hAnsi="宋体" w:eastAsia="宋体" w:cs="Times New Roman"/>
          <w:b/>
          <w:bCs/>
          <w:kern w:val="0"/>
          <w:sz w:val="24"/>
          <w:szCs w:val="24"/>
          <w:lang w:val="en-US" w:eastAsia="zh-CN" w:bidi="ar-SA"/>
        </w:rPr>
        <w:t>合同的生效</w:t>
      </w:r>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p>
    <w:p w14:paraId="3E9FEC9B">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发包人和承包人在协议书中约定本合同生效的方式。</w:t>
      </w:r>
      <w:bookmarkEnd w:id="4194"/>
    </w:p>
    <w:p w14:paraId="3E091732">
      <w:pPr>
        <w:widowControl w:val="0"/>
        <w:numPr>
          <w:ilvl w:val="1"/>
          <w:numId w:val="1"/>
        </w:numPr>
        <w:tabs>
          <w:tab w:val="left" w:pos="540"/>
          <w:tab w:val="left" w:pos="900"/>
          <w:tab w:val="clear" w:pos="576"/>
        </w:tabs>
        <w:spacing w:before="120" w:after="156"/>
        <w:ind w:left="359" w:firstLine="0"/>
        <w:jc w:val="left"/>
        <w:outlineLvl w:val="1"/>
        <w:rPr>
          <w:rFonts w:ascii="宋体" w:hAnsi="宋体" w:eastAsia="宋体" w:cs="Times New Roman"/>
          <w:b/>
          <w:bCs/>
          <w:kern w:val="0"/>
          <w:sz w:val="24"/>
          <w:szCs w:val="24"/>
          <w:lang w:val="en-US" w:eastAsia="zh-CN" w:bidi="ar-SA"/>
        </w:rPr>
      </w:pPr>
      <w:bookmarkStart w:id="4195" w:name="_Toc22255"/>
      <w:bookmarkStart w:id="4196" w:name="_Toc15525"/>
      <w:bookmarkStart w:id="4197" w:name="_Toc302635933"/>
      <w:bookmarkStart w:id="4198" w:name="_Toc201735518"/>
      <w:bookmarkStart w:id="4199" w:name="_Toc29271"/>
      <w:bookmarkStart w:id="4200" w:name="_Toc305331426"/>
      <w:bookmarkStart w:id="4201" w:name="_Toc15168"/>
      <w:bookmarkStart w:id="4202" w:name="_Toc1650151125"/>
      <w:bookmarkStart w:id="4203" w:name="_Toc5677"/>
      <w:bookmarkStart w:id="4204" w:name="_Toc17567"/>
      <w:bookmarkStart w:id="4205" w:name="_Toc208587743"/>
      <w:bookmarkStart w:id="4206" w:name="_Toc28754"/>
      <w:bookmarkStart w:id="4207" w:name="_Toc3280"/>
      <w:bookmarkStart w:id="4208" w:name="_Toc28252"/>
      <w:bookmarkStart w:id="4209" w:name="_Toc10979"/>
      <w:bookmarkStart w:id="4210" w:name="_Toc34909190"/>
      <w:r>
        <w:rPr>
          <w:rFonts w:hint="eastAsia" w:ascii="宋体" w:hAnsi="宋体" w:eastAsia="宋体" w:cs="Times New Roman"/>
          <w:b/>
          <w:bCs/>
          <w:kern w:val="0"/>
          <w:sz w:val="24"/>
          <w:szCs w:val="24"/>
          <w:lang w:val="en-US" w:eastAsia="zh-CN" w:bidi="ar-SA"/>
        </w:rPr>
        <w:t>合同的终止</w:t>
      </w:r>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p>
    <w:p w14:paraId="3AE77E54">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(1)除第31条有关争议及第32条有关缺陷责任外，发包人和承包人履行本合同全部义务，工程竣工交付完毕，工程竣工结算价款支付完毕，本合同即告终止。</w:t>
      </w:r>
      <w:bookmarkEnd w:id="4210"/>
    </w:p>
    <w:p w14:paraId="485C0675">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(2)本合同的权利义务终止后，发包人和承包人应遵循诚实信用原则，履行通知、协助、保密等义务。</w:t>
      </w:r>
    </w:p>
    <w:p w14:paraId="0AA3DF3F">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4211" w:name="_Toc24424"/>
      <w:bookmarkStart w:id="4212" w:name="_Toc26641"/>
      <w:bookmarkStart w:id="4213" w:name="_Toc9699"/>
      <w:bookmarkStart w:id="4214" w:name="_Toc201735519"/>
      <w:bookmarkStart w:id="4215" w:name="_Toc208587744"/>
      <w:bookmarkStart w:id="4216" w:name="_Toc305331427"/>
      <w:bookmarkStart w:id="4217" w:name="_Toc31820"/>
      <w:bookmarkStart w:id="4218" w:name="_Toc1056280660"/>
      <w:bookmarkStart w:id="4219" w:name="_Toc20419"/>
      <w:bookmarkStart w:id="4220" w:name="_Toc15621"/>
      <w:bookmarkStart w:id="4221" w:name="_Toc13878"/>
      <w:bookmarkStart w:id="4222" w:name="_Toc302635934"/>
      <w:bookmarkStart w:id="4223" w:name="_Toc23367"/>
      <w:bookmarkStart w:id="4224" w:name="_Toc10256"/>
      <w:bookmarkStart w:id="4225" w:name="_Toc2956"/>
      <w:bookmarkStart w:id="4226" w:name="_Toc34909192"/>
      <w:r>
        <w:rPr>
          <w:rFonts w:hint="eastAsia" w:ascii="宋体" w:hAnsi="宋体" w:eastAsia="宋体" w:cs="Times New Roman"/>
          <w:b/>
          <w:bCs/>
          <w:kern w:val="0"/>
          <w:sz w:val="24"/>
          <w:szCs w:val="24"/>
          <w:lang w:val="en-US" w:eastAsia="zh-CN" w:bidi="ar-SA"/>
        </w:rPr>
        <w:t>解除合同的情形</w:t>
      </w:r>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p>
    <w:p w14:paraId="1F84AE2A">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(1)发包人和承包人协商一致，可以解除合同。</w:t>
      </w:r>
      <w:bookmarkEnd w:id="4226"/>
    </w:p>
    <w:p w14:paraId="021E235E">
      <w:pPr>
        <w:tabs>
          <w:tab w:val="left" w:pos="1620"/>
          <w:tab w:val="left" w:pos="2340"/>
        </w:tabs>
        <w:spacing w:after="156"/>
        <w:ind w:left="899"/>
        <w:jc w:val="left"/>
        <w:rPr>
          <w:rFonts w:ascii="宋体" w:hAnsi="宋体" w:eastAsia="宋体" w:cs="Times New Roman"/>
          <w:kern w:val="0"/>
          <w:szCs w:val="24"/>
        </w:rPr>
      </w:pPr>
      <w:bookmarkStart w:id="4227" w:name="_Toc34909193"/>
      <w:r>
        <w:rPr>
          <w:rFonts w:hint="eastAsia" w:ascii="宋体" w:hAnsi="宋体" w:eastAsia="宋体" w:cs="Times New Roman"/>
          <w:kern w:val="0"/>
          <w:szCs w:val="24"/>
        </w:rPr>
        <w:t>(2)发生第6.1款和第6.2款禁止的情况，承包人将其承包的全部工程转包给他人，或者将其承包的全部工程支解分包，发包人有权解除合同。</w:t>
      </w:r>
      <w:bookmarkEnd w:id="4227"/>
    </w:p>
    <w:p w14:paraId="4A3A11D9">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(3)</w:t>
      </w:r>
      <w:r>
        <w:rPr>
          <w:rFonts w:ascii="宋体" w:hAnsi="宋体" w:eastAsia="宋体" w:cs="Times New Roman"/>
          <w:kern w:val="0"/>
          <w:szCs w:val="24"/>
        </w:rPr>
        <w:t>因不可抗力导致合同无法履行连续超过84天或累计超过140天的，发包人和承包人均有权解除合同</w:t>
      </w:r>
      <w:r>
        <w:rPr>
          <w:rFonts w:hint="eastAsia" w:ascii="宋体" w:hAnsi="宋体" w:eastAsia="宋体" w:cs="Times New Roman"/>
          <w:kern w:val="0"/>
          <w:szCs w:val="24"/>
        </w:rPr>
        <w:t>；</w:t>
      </w:r>
    </w:p>
    <w:p w14:paraId="25F83237">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(4)因一方违约(包括因发包人原因造成工程停建或缓建)致使合同无法履行，另一方可以解除合同。</w:t>
      </w:r>
    </w:p>
    <w:p w14:paraId="2C4045EB">
      <w:pPr>
        <w:widowControl w:val="0"/>
        <w:numPr>
          <w:ilvl w:val="1"/>
          <w:numId w:val="1"/>
        </w:numPr>
        <w:tabs>
          <w:tab w:val="left" w:pos="540"/>
          <w:tab w:val="left" w:pos="900"/>
          <w:tab w:val="clear" w:pos="576"/>
        </w:tabs>
        <w:spacing w:before="120" w:after="156"/>
        <w:ind w:left="359" w:firstLine="0"/>
        <w:jc w:val="left"/>
        <w:outlineLvl w:val="1"/>
        <w:rPr>
          <w:rFonts w:hint="eastAsia" w:ascii="宋体" w:hAnsi="宋体" w:eastAsia="宋体" w:cs="Times New Roman"/>
          <w:b/>
          <w:bCs/>
          <w:kern w:val="0"/>
          <w:sz w:val="24"/>
          <w:szCs w:val="24"/>
          <w:lang w:val="en-US" w:eastAsia="zh-CN" w:bidi="ar-SA"/>
        </w:rPr>
      </w:pPr>
      <w:bookmarkStart w:id="4228" w:name="_Toc305331428"/>
      <w:bookmarkStart w:id="4229" w:name="_Toc15785"/>
      <w:bookmarkStart w:id="4230" w:name="_Toc6888"/>
      <w:bookmarkStart w:id="4231" w:name="_Toc19193"/>
      <w:bookmarkStart w:id="4232" w:name="_Toc14851"/>
      <w:bookmarkStart w:id="4233" w:name="_Toc485990347"/>
      <w:bookmarkStart w:id="4234" w:name="_Toc201735520"/>
      <w:bookmarkStart w:id="4235" w:name="_Toc23434"/>
      <w:bookmarkStart w:id="4236" w:name="_Toc1639"/>
      <w:bookmarkStart w:id="4237" w:name="_Toc208587745"/>
      <w:bookmarkStart w:id="4238" w:name="_Toc7379"/>
      <w:bookmarkStart w:id="4239" w:name="_Toc30629"/>
      <w:bookmarkStart w:id="4240" w:name="_Toc20389"/>
      <w:bookmarkStart w:id="4241" w:name="_Toc302635935"/>
      <w:bookmarkStart w:id="4242" w:name="_Toc28741"/>
      <w:bookmarkStart w:id="4243" w:name="_Toc34909195"/>
      <w:r>
        <w:rPr>
          <w:rFonts w:hint="eastAsia" w:ascii="宋体" w:hAnsi="宋体" w:eastAsia="宋体" w:cs="Times New Roman"/>
          <w:b/>
          <w:bCs/>
          <w:kern w:val="0"/>
          <w:sz w:val="24"/>
          <w:szCs w:val="24"/>
          <w:lang w:val="en-US" w:eastAsia="zh-CN" w:bidi="ar-SA"/>
        </w:rPr>
        <w:t>解除合同的程序</w:t>
      </w:r>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p>
    <w:p w14:paraId="4F63C587">
      <w:pPr>
        <w:tabs>
          <w:tab w:val="left" w:pos="1620"/>
          <w:tab w:val="left" w:pos="2340"/>
        </w:tabs>
        <w:spacing w:after="156"/>
        <w:ind w:left="899"/>
        <w:jc w:val="left"/>
        <w:rPr>
          <w:rFonts w:hint="eastAsia" w:ascii="宋体" w:hAnsi="宋体" w:eastAsia="宋体" w:cs="Times New Roman"/>
          <w:kern w:val="0"/>
          <w:szCs w:val="24"/>
        </w:rPr>
      </w:pPr>
      <w:r>
        <w:rPr>
          <w:rFonts w:hint="eastAsia" w:ascii="宋体" w:hAnsi="宋体" w:eastAsia="宋体" w:cs="Times New Roman"/>
          <w:kern w:val="0"/>
          <w:szCs w:val="24"/>
        </w:rPr>
        <w:t>(1)发包人和承包人一方按第36.3款要求解除合同的，应以书面形式向对方发出解除合同的通知，双方签订解除合同协议后本合同解除。</w:t>
      </w:r>
      <w:bookmarkEnd w:id="4243"/>
      <w:bookmarkStart w:id="4244" w:name="_Toc34909196"/>
    </w:p>
    <w:p w14:paraId="7ACA6DC5">
      <w:pPr>
        <w:tabs>
          <w:tab w:val="left" w:pos="1620"/>
          <w:tab w:val="left" w:pos="2340"/>
        </w:tabs>
        <w:spacing w:after="156"/>
        <w:ind w:left="899"/>
        <w:jc w:val="left"/>
        <w:rPr>
          <w:rFonts w:ascii="宋体" w:hAnsi="宋体" w:eastAsia="宋体" w:cs="Times New Roman"/>
          <w:kern w:val="0"/>
          <w:szCs w:val="24"/>
        </w:rPr>
      </w:pPr>
      <w:r>
        <w:rPr>
          <w:rFonts w:hint="eastAsia" w:ascii="宋体" w:hAnsi="宋体" w:eastAsia="宋体" w:cs="Times New Roman"/>
          <w:kern w:val="0"/>
          <w:szCs w:val="24"/>
        </w:rPr>
        <w:t>(2)合同解除后，承包人应妥善做好已完工程和已购材料、工程设备的保护和移交工作，按发包人要求将承包人装备和人员撤出施工场地。发包人应为承包人撤出提供必要条件，支付以上所发生的费用，并按合同约定支付已完工程价款。已经订货的材料、工程设备由订货方负责退货或解除订货合同，因未及时退货造成的损失由责任方承担。不能退还的货款和因退货、解除订货合同发生的费用，由责任方承担，但是因不可抗力造成合同解除的由发包人承担。除此之外，有过错的一方应赔偿因合同解除给对方造成的损失。</w:t>
      </w:r>
      <w:bookmarkEnd w:id="4244"/>
    </w:p>
    <w:p w14:paraId="08235B7F">
      <w:pPr>
        <w:tabs>
          <w:tab w:val="left" w:pos="1620"/>
          <w:tab w:val="left" w:pos="2340"/>
        </w:tabs>
        <w:spacing w:after="156"/>
        <w:ind w:left="899"/>
        <w:jc w:val="left"/>
        <w:rPr>
          <w:rFonts w:ascii="宋体" w:hAnsi="宋体" w:eastAsia="宋体" w:cs="Times New Roman"/>
          <w:kern w:val="0"/>
          <w:szCs w:val="24"/>
        </w:rPr>
      </w:pPr>
      <w:bookmarkStart w:id="4245" w:name="_Toc34909197"/>
      <w:r>
        <w:rPr>
          <w:rFonts w:hint="eastAsia" w:ascii="宋体" w:hAnsi="宋体" w:eastAsia="宋体" w:cs="Times New Roman"/>
          <w:kern w:val="0"/>
          <w:szCs w:val="24"/>
        </w:rPr>
        <w:t>(3)合同解除后，不影响发包人和承包人在合同中约定的结算和清理条款的效力。</w:t>
      </w:r>
      <w:bookmarkEnd w:id="4245"/>
    </w:p>
    <w:bookmarkEnd w:id="281"/>
    <w:bookmarkEnd w:id="282"/>
    <w:bookmarkEnd w:id="283"/>
    <w:p w14:paraId="3C381608">
      <w:pPr>
        <w:keepNext w:val="0"/>
        <w:keepLines w:val="0"/>
        <w:widowControl/>
        <w:numPr>
          <w:ilvl w:val="0"/>
          <w:numId w:val="0"/>
        </w:numPr>
        <w:spacing w:before="340" w:after="330"/>
        <w:jc w:val="center"/>
        <w:outlineLvl w:val="0"/>
        <w:rPr>
          <w:rFonts w:ascii="宋体" w:hAnsi="宋体" w:eastAsia="宋体" w:cs="Times New Roman"/>
          <w:b/>
          <w:bCs/>
          <w:snapToGrid w:val="0"/>
          <w:kern w:val="0"/>
          <w:sz w:val="32"/>
          <w:szCs w:val="44"/>
          <w:lang w:val="en-US" w:eastAsia="zh-CN" w:bidi="ar-SA"/>
        </w:rPr>
      </w:pPr>
      <w:r>
        <w:rPr>
          <w:rFonts w:ascii="宋体" w:hAnsi="宋体" w:eastAsia="宋体" w:cs="Times New Roman"/>
          <w:b/>
          <w:bCs/>
          <w:snapToGrid w:val="0"/>
          <w:kern w:val="0"/>
          <w:sz w:val="24"/>
          <w:szCs w:val="44"/>
          <w:lang w:val="en-US" w:eastAsia="zh-CN" w:bidi="ar-SA"/>
        </w:rPr>
        <w:br w:type="page"/>
      </w:r>
      <w:bookmarkStart w:id="4246" w:name="_Toc305331432"/>
      <w:bookmarkStart w:id="4247" w:name="_Toc492"/>
      <w:bookmarkStart w:id="4248" w:name="_Toc20320"/>
      <w:bookmarkStart w:id="4249" w:name="_Toc21002"/>
      <w:bookmarkStart w:id="4250" w:name="_Toc11060"/>
      <w:bookmarkStart w:id="4251" w:name="_Toc16348"/>
      <w:bookmarkStart w:id="4252" w:name="_Toc35656515"/>
      <w:bookmarkStart w:id="4253" w:name="_Toc302635939"/>
      <w:bookmarkStart w:id="4254" w:name="_Toc201735521"/>
      <w:bookmarkStart w:id="4255" w:name="_Toc1416367509"/>
      <w:bookmarkStart w:id="4256" w:name="_Toc208587746"/>
      <w:bookmarkStart w:id="4257" w:name="_Toc12709"/>
      <w:bookmarkStart w:id="4258" w:name="_Toc21915"/>
      <w:bookmarkStart w:id="4259" w:name="_Toc18015"/>
      <w:bookmarkStart w:id="4260" w:name="_Toc21112"/>
      <w:bookmarkStart w:id="4261" w:name="_Toc20594"/>
      <w:r>
        <w:rPr>
          <w:rFonts w:hint="eastAsia" w:ascii="宋体" w:hAnsi="宋体" w:eastAsia="宋体" w:cs="Times New Roman"/>
          <w:b/>
          <w:bCs/>
          <w:snapToGrid w:val="0"/>
          <w:kern w:val="0"/>
          <w:sz w:val="32"/>
          <w:szCs w:val="44"/>
          <w:lang w:val="en-US" w:eastAsia="zh-CN" w:bidi="ar-SA"/>
        </w:rPr>
        <w:t>第三部分 专用条款</w:t>
      </w:r>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p>
    <w:p w14:paraId="36B4F3B6">
      <w:pPr>
        <w:keepNext w:val="0"/>
        <w:keepLines w:val="0"/>
        <w:widowControl/>
        <w:numPr>
          <w:ilvl w:val="0"/>
          <w:numId w:val="0"/>
        </w:numPr>
        <w:tabs>
          <w:tab w:val="left" w:pos="1620"/>
          <w:tab w:val="left" w:pos="2340"/>
        </w:tabs>
        <w:spacing w:before="120" w:after="120"/>
        <w:jc w:val="left"/>
        <w:outlineLvl w:val="0"/>
        <w:rPr>
          <w:rFonts w:hint="eastAsia" w:ascii="华文细黑" w:hAnsi="宋体" w:eastAsia="宋体" w:cs="Times New Roman"/>
          <w:b/>
          <w:bCs/>
          <w:snapToGrid w:val="0"/>
          <w:kern w:val="0"/>
          <w:sz w:val="28"/>
          <w:szCs w:val="44"/>
          <w:lang w:val="en-US" w:eastAsia="zh-CN" w:bidi="ar-SA"/>
        </w:rPr>
      </w:pPr>
      <w:bookmarkStart w:id="4262" w:name="_Toc12942"/>
      <w:bookmarkStart w:id="4263" w:name="_Toc23763"/>
      <w:bookmarkStart w:id="4264" w:name="_Toc201735522"/>
      <w:bookmarkStart w:id="4265" w:name="_Toc16406"/>
      <w:bookmarkStart w:id="4266" w:name="_Toc208587747"/>
      <w:bookmarkStart w:id="4267" w:name="_Toc28582"/>
      <w:bookmarkStart w:id="4268" w:name="_Toc16738"/>
      <w:bookmarkStart w:id="4269" w:name="_Toc25729"/>
      <w:bookmarkStart w:id="4270" w:name="_Toc19417"/>
      <w:bookmarkStart w:id="4271" w:name="_Toc765"/>
      <w:bookmarkStart w:id="4272" w:name="_Toc302635940"/>
      <w:bookmarkStart w:id="4273" w:name="_Toc2617"/>
      <w:bookmarkStart w:id="4274" w:name="_Toc1809254900"/>
      <w:bookmarkStart w:id="4275" w:name="_Toc21361"/>
      <w:bookmarkStart w:id="4276" w:name="_Toc305331433"/>
      <w:bookmarkStart w:id="4277" w:name="_Toc35656516"/>
      <w:r>
        <w:rPr>
          <w:rFonts w:hint="eastAsia" w:ascii="华文细黑" w:hAnsi="宋体" w:eastAsia="宋体" w:cs="Times New Roman"/>
          <w:b/>
          <w:bCs/>
          <w:snapToGrid w:val="0"/>
          <w:kern w:val="0"/>
          <w:sz w:val="28"/>
          <w:szCs w:val="44"/>
          <w:lang w:val="en-US" w:eastAsia="zh-CN" w:bidi="ar-SA"/>
        </w:rPr>
        <w:t>1</w:t>
      </w:r>
      <w:r>
        <w:rPr>
          <w:rFonts w:ascii="华文细黑" w:hAnsi="宋体" w:eastAsia="宋体" w:cs="Times New Roman"/>
          <w:b/>
          <w:bCs/>
          <w:snapToGrid w:val="0"/>
          <w:kern w:val="0"/>
          <w:sz w:val="28"/>
          <w:szCs w:val="44"/>
          <w:lang w:val="en-US" w:eastAsia="zh-CN" w:bidi="ar-SA"/>
        </w:rPr>
        <w:t xml:space="preserve"> </w:t>
      </w:r>
      <w:r>
        <w:rPr>
          <w:rFonts w:hint="eastAsia" w:ascii="华文细黑" w:hAnsi="宋体" w:eastAsia="宋体" w:cs="Times New Roman"/>
          <w:b/>
          <w:bCs/>
          <w:snapToGrid w:val="0"/>
          <w:kern w:val="0"/>
          <w:sz w:val="28"/>
          <w:szCs w:val="44"/>
          <w:lang w:val="en-US" w:eastAsia="zh-CN" w:bidi="ar-SA"/>
        </w:rPr>
        <w:t>词语定义</w:t>
      </w:r>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p>
    <w:p w14:paraId="53E997D9">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发包人和承包人另行约定的词语定义如下：</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1854207F">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3518909E">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14D52C9C">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7D474276">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52FE5B60">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278" w:name="_Toc302635941"/>
      <w:bookmarkStart w:id="4279" w:name="_Toc21728"/>
      <w:bookmarkStart w:id="4280" w:name="_Toc19741"/>
      <w:bookmarkStart w:id="4281" w:name="_Toc21146"/>
      <w:bookmarkStart w:id="4282" w:name="_Toc208587748"/>
      <w:bookmarkStart w:id="4283" w:name="_Toc1865507753"/>
      <w:bookmarkStart w:id="4284" w:name="_Toc25265"/>
      <w:bookmarkStart w:id="4285" w:name="_Toc201735523"/>
      <w:bookmarkStart w:id="4286" w:name="_Toc31216"/>
      <w:bookmarkStart w:id="4287" w:name="_Toc17503"/>
      <w:bookmarkStart w:id="4288" w:name="_Toc12398"/>
      <w:bookmarkStart w:id="4289" w:name="_Toc5628"/>
      <w:bookmarkStart w:id="4290" w:name="_Toc7427"/>
      <w:bookmarkStart w:id="4291" w:name="_Toc7994"/>
      <w:r>
        <w:rPr>
          <w:rFonts w:hint="eastAsia" w:ascii="宋体" w:hAnsi="宋体" w:eastAsia="宋体" w:cs="Times New Roman"/>
          <w:b/>
          <w:bCs/>
          <w:kern w:val="0"/>
          <w:sz w:val="24"/>
          <w:szCs w:val="32"/>
          <w:lang w:val="en-US" w:eastAsia="zh-CN" w:bidi="ar-SA"/>
        </w:rPr>
        <w:t>1.2 合同文件</w:t>
      </w:r>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p>
    <w:p w14:paraId="1D707AAC">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w:t>
      </w:r>
      <w:r>
        <w:rPr>
          <w:rFonts w:hint="eastAsia" w:ascii="宋体" w:hAnsi="宋体" w:eastAsia="宋体" w:cs="Times New Roman"/>
          <w:sz w:val="24"/>
          <w:szCs w:val="24"/>
          <w:lang w:eastAsia="zh-CN"/>
        </w:rPr>
        <w:t>8</w:t>
      </w:r>
      <w:r>
        <w:rPr>
          <w:rFonts w:hint="eastAsia" w:ascii="宋体" w:hAnsi="宋体" w:eastAsia="宋体" w:cs="Times New Roman"/>
          <w:sz w:val="24"/>
          <w:szCs w:val="24"/>
        </w:rPr>
        <w:t>)其他合同文件包括：</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7D55983C">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6A15164A">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292" w:name="_Toc208587749"/>
      <w:bookmarkStart w:id="4293" w:name="_Toc12073"/>
      <w:bookmarkStart w:id="4294" w:name="_Toc3228"/>
      <w:bookmarkStart w:id="4295" w:name="_Toc8379"/>
      <w:bookmarkStart w:id="4296" w:name="_Toc10622"/>
      <w:bookmarkStart w:id="4297" w:name="_Toc20303"/>
      <w:bookmarkStart w:id="4298" w:name="_Toc12774"/>
      <w:bookmarkStart w:id="4299" w:name="_Toc1071936322"/>
      <w:bookmarkStart w:id="4300" w:name="_Toc302635942"/>
      <w:bookmarkStart w:id="4301" w:name="_Toc6219"/>
      <w:bookmarkStart w:id="4302" w:name="_Toc10914"/>
      <w:bookmarkStart w:id="4303" w:name="_Toc201735524"/>
      <w:bookmarkStart w:id="4304" w:name="_Toc19602"/>
      <w:bookmarkStart w:id="4305" w:name="_Toc19226"/>
      <w:r>
        <w:rPr>
          <w:rFonts w:hint="eastAsia" w:ascii="宋体" w:hAnsi="宋体" w:eastAsia="宋体" w:cs="Times New Roman"/>
          <w:b/>
          <w:bCs/>
          <w:kern w:val="0"/>
          <w:sz w:val="24"/>
          <w:szCs w:val="32"/>
          <w:lang w:val="en-US" w:eastAsia="zh-CN" w:bidi="ar-SA"/>
        </w:rPr>
        <w:t>1.8 书面形式</w:t>
      </w:r>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p>
    <w:p w14:paraId="725F8AA8">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（2)本合同全部或部分采用手写形式进行填写的，发包人和承包人共同指定的填写人的姓名：</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，身份证号码：</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507702D6">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kern w:val="0"/>
          <w:sz w:val="28"/>
          <w:szCs w:val="44"/>
          <w:lang w:val="en-US" w:eastAsia="zh-CN" w:bidi="ar-SA"/>
        </w:rPr>
      </w:pPr>
      <w:bookmarkStart w:id="4306" w:name="_Toc25112"/>
      <w:bookmarkStart w:id="4307" w:name="_Toc18897"/>
      <w:bookmarkStart w:id="4308" w:name="_Toc7804"/>
      <w:bookmarkStart w:id="4309" w:name="_Toc9942"/>
      <w:bookmarkStart w:id="4310" w:name="_Toc302635943"/>
      <w:bookmarkStart w:id="4311" w:name="_Toc201735525"/>
      <w:bookmarkStart w:id="4312" w:name="_Toc24793"/>
      <w:bookmarkStart w:id="4313" w:name="_Toc1226"/>
      <w:bookmarkStart w:id="4314" w:name="_Toc26708"/>
      <w:bookmarkStart w:id="4315" w:name="_Toc2055114142"/>
      <w:bookmarkStart w:id="4316" w:name="_Toc23902"/>
      <w:bookmarkStart w:id="4317" w:name="_Toc208587750"/>
      <w:bookmarkStart w:id="4318" w:name="_Toc23665"/>
      <w:bookmarkStart w:id="4319" w:name="_Toc26081"/>
      <w:r>
        <w:rPr>
          <w:rFonts w:hint="eastAsia" w:ascii="华文细黑" w:hAnsi="宋体" w:eastAsia="宋体" w:cs="Times New Roman"/>
          <w:b/>
          <w:bCs/>
          <w:snapToGrid w:val="0"/>
          <w:kern w:val="0"/>
          <w:sz w:val="28"/>
          <w:szCs w:val="44"/>
          <w:lang w:val="en-US" w:eastAsia="zh-CN" w:bidi="ar-SA"/>
        </w:rPr>
        <w:t>2</w:t>
      </w:r>
      <w:r>
        <w:rPr>
          <w:rFonts w:ascii="华文细黑" w:hAnsi="宋体" w:eastAsia="宋体" w:cs="Times New Roman"/>
          <w:b/>
          <w:bCs/>
          <w:snapToGrid w:val="0"/>
          <w:kern w:val="0"/>
          <w:sz w:val="28"/>
          <w:szCs w:val="44"/>
          <w:lang w:val="en-US" w:eastAsia="zh-CN" w:bidi="ar-SA"/>
        </w:rPr>
        <w:t xml:space="preserve"> </w:t>
      </w:r>
      <w:bookmarkEnd w:id="4276"/>
      <w:bookmarkEnd w:id="4277"/>
      <w:bookmarkEnd w:id="4306"/>
      <w:bookmarkEnd w:id="4307"/>
      <w:bookmarkEnd w:id="4308"/>
      <w:bookmarkEnd w:id="4309"/>
      <w:bookmarkEnd w:id="4310"/>
      <w:bookmarkEnd w:id="4311"/>
      <w:bookmarkEnd w:id="4312"/>
      <w:bookmarkEnd w:id="4313"/>
      <w:r>
        <w:rPr>
          <w:rFonts w:hint="eastAsia" w:ascii="华文细黑" w:hAnsi="宋体" w:eastAsia="宋体" w:cs="Times New Roman"/>
          <w:b/>
          <w:bCs/>
          <w:snapToGrid w:val="0"/>
          <w:kern w:val="0"/>
          <w:sz w:val="28"/>
          <w:szCs w:val="44"/>
          <w:lang w:val="en-US" w:eastAsia="zh-CN" w:bidi="ar-SA"/>
        </w:rPr>
        <w:t>一般约定</w:t>
      </w:r>
      <w:bookmarkEnd w:id="4314"/>
      <w:bookmarkEnd w:id="4315"/>
      <w:bookmarkEnd w:id="4316"/>
      <w:bookmarkEnd w:id="4317"/>
      <w:bookmarkEnd w:id="4318"/>
      <w:bookmarkEnd w:id="4319"/>
    </w:p>
    <w:p w14:paraId="7A40F42F">
      <w:pPr>
        <w:widowControl w:val="0"/>
        <w:numPr>
          <w:ilvl w:val="0"/>
          <w:numId w:val="0"/>
        </w:numPr>
        <w:tabs>
          <w:tab w:val="left" w:pos="540"/>
          <w:tab w:val="left" w:pos="2340"/>
        </w:tabs>
        <w:spacing w:before="120" w:after="156"/>
        <w:ind w:left="180"/>
        <w:jc w:val="left"/>
        <w:outlineLvl w:val="1"/>
        <w:rPr>
          <w:rFonts w:ascii="宋体" w:hAnsi="宋体" w:eastAsia="宋体" w:cs="Times New Roman"/>
          <w:b/>
          <w:bCs/>
          <w:kern w:val="0"/>
          <w:sz w:val="24"/>
          <w:szCs w:val="24"/>
          <w:lang w:val="en-US" w:eastAsia="zh-CN" w:bidi="ar-SA"/>
        </w:rPr>
      </w:pPr>
      <w:bookmarkStart w:id="4320" w:name="_Toc201735526"/>
      <w:bookmarkStart w:id="4321" w:name="_Toc208587751"/>
      <w:bookmarkStart w:id="4322" w:name="_Toc26480"/>
      <w:bookmarkStart w:id="4323" w:name="_Toc9948"/>
      <w:bookmarkStart w:id="4324" w:name="_Toc1652691193"/>
      <w:bookmarkStart w:id="4325" w:name="_Toc20674"/>
      <w:bookmarkStart w:id="4326" w:name="_Toc305331434"/>
      <w:bookmarkStart w:id="4327" w:name="_Toc24429"/>
      <w:bookmarkStart w:id="4328" w:name="_Toc19323"/>
      <w:bookmarkStart w:id="4329" w:name="_Toc6830"/>
      <w:bookmarkStart w:id="4330" w:name="_Toc10391"/>
      <w:bookmarkStart w:id="4331" w:name="_Toc302635944"/>
      <w:bookmarkStart w:id="4332" w:name="_Toc5806"/>
      <w:bookmarkStart w:id="4333" w:name="_Toc8384"/>
      <w:bookmarkStart w:id="4334" w:name="_Toc16202"/>
      <w:r>
        <w:rPr>
          <w:rFonts w:hint="eastAsia" w:ascii="宋体" w:hAnsi="宋体" w:eastAsia="宋体" w:cs="Times New Roman"/>
          <w:b/>
          <w:bCs/>
          <w:kern w:val="0"/>
          <w:sz w:val="24"/>
          <w:szCs w:val="32"/>
          <w:lang w:val="en-US" w:eastAsia="zh-CN" w:bidi="ar-SA"/>
        </w:rPr>
        <w:t xml:space="preserve">2.4 </w:t>
      </w:r>
      <w:r>
        <w:rPr>
          <w:rFonts w:hint="eastAsia" w:ascii="宋体" w:hAnsi="宋体" w:eastAsia="宋体" w:cs="Times New Roman"/>
          <w:b/>
          <w:bCs/>
          <w:kern w:val="0"/>
          <w:sz w:val="24"/>
          <w:szCs w:val="24"/>
          <w:lang w:val="en-US" w:eastAsia="zh-CN" w:bidi="ar-SA"/>
        </w:rPr>
        <w:t>法律、法规和规章</w:t>
      </w:r>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p>
    <w:p w14:paraId="571A4826">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需要明示的法律、法规、规章：</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433B8373">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ascii="宋体" w:hAnsi="宋体" w:eastAsia="宋体" w:cs="Times New Roman"/>
          <w:bCs/>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5E027E18">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4FE86429">
      <w:pPr>
        <w:spacing w:line="360" w:lineRule="auto"/>
        <w:rPr>
          <w:rFonts w:ascii="宋体" w:hAnsi="宋体" w:eastAsia="宋体" w:cs="Times New Roman"/>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4CBEA442">
      <w:pPr>
        <w:widowControl w:val="0"/>
        <w:numPr>
          <w:ilvl w:val="0"/>
          <w:numId w:val="0"/>
        </w:numPr>
        <w:tabs>
          <w:tab w:val="left" w:pos="540"/>
          <w:tab w:val="left" w:pos="2340"/>
          <w:tab w:val="left" w:pos="4032"/>
        </w:tabs>
        <w:spacing w:before="120" w:after="156"/>
        <w:ind w:left="180"/>
        <w:jc w:val="left"/>
        <w:outlineLvl w:val="1"/>
        <w:rPr>
          <w:rFonts w:ascii="宋体" w:hAnsi="宋体" w:eastAsia="宋体" w:cs="Times New Roman"/>
          <w:b/>
          <w:bCs/>
          <w:kern w:val="0"/>
          <w:sz w:val="24"/>
          <w:szCs w:val="32"/>
          <w:lang w:val="en-US" w:eastAsia="zh-CN" w:bidi="ar-SA"/>
        </w:rPr>
      </w:pPr>
      <w:bookmarkStart w:id="4335" w:name="_Toc29165"/>
      <w:bookmarkStart w:id="4336" w:name="_Toc302635945"/>
      <w:bookmarkStart w:id="4337" w:name="_Toc201735527"/>
      <w:bookmarkStart w:id="4338" w:name="_Toc305331435"/>
      <w:bookmarkStart w:id="4339" w:name="_Toc26406"/>
      <w:bookmarkStart w:id="4340" w:name="_Toc31726"/>
      <w:bookmarkStart w:id="4341" w:name="_Toc1094"/>
      <w:bookmarkStart w:id="4342" w:name="_Toc6265"/>
      <w:bookmarkStart w:id="4343" w:name="_Toc27206"/>
      <w:bookmarkStart w:id="4344" w:name="_Toc8754"/>
      <w:bookmarkStart w:id="4345" w:name="_Toc1295749522"/>
      <w:bookmarkStart w:id="4346" w:name="_Toc208587752"/>
      <w:bookmarkStart w:id="4347" w:name="_Toc6797"/>
      <w:bookmarkStart w:id="4348" w:name="_Toc22782"/>
      <w:bookmarkStart w:id="4349" w:name="_Toc26506"/>
      <w:bookmarkStart w:id="4350" w:name="_Toc35656521"/>
      <w:r>
        <w:rPr>
          <w:rFonts w:hint="eastAsia" w:ascii="宋体" w:hAnsi="宋体" w:eastAsia="宋体" w:cs="Times New Roman"/>
          <w:b/>
          <w:bCs/>
          <w:kern w:val="0"/>
          <w:sz w:val="24"/>
          <w:szCs w:val="32"/>
          <w:lang w:val="en-US" w:eastAsia="zh-CN" w:bidi="ar-SA"/>
        </w:rPr>
        <w:t>2.5</w:t>
      </w:r>
      <w:r>
        <w:rPr>
          <w:rFonts w:ascii="宋体" w:hAnsi="宋体" w:eastAsia="宋体" w:cs="Times New Roman"/>
          <w:b/>
          <w:bCs/>
          <w:kern w:val="0"/>
          <w:sz w:val="24"/>
          <w:szCs w:val="32"/>
          <w:lang w:val="en-US" w:eastAsia="zh-CN" w:bidi="ar-SA"/>
        </w:rPr>
        <w:t xml:space="preserve"> </w:t>
      </w:r>
      <w:r>
        <w:rPr>
          <w:rFonts w:hint="eastAsia" w:ascii="宋体" w:hAnsi="宋体" w:eastAsia="宋体" w:cs="Times New Roman"/>
          <w:b/>
          <w:bCs/>
          <w:kern w:val="0"/>
          <w:sz w:val="24"/>
          <w:szCs w:val="32"/>
          <w:lang w:val="en-US" w:eastAsia="zh-CN" w:bidi="ar-SA"/>
        </w:rPr>
        <w:t>标准、规范</w:t>
      </w:r>
      <w:bookmarkEnd w:id="4335"/>
      <w:bookmarkEnd w:id="4336"/>
      <w:bookmarkEnd w:id="4337"/>
      <w:bookmarkEnd w:id="4338"/>
      <w:bookmarkEnd w:id="4339"/>
      <w:bookmarkEnd w:id="4340"/>
      <w:bookmarkEnd w:id="4341"/>
      <w:bookmarkEnd w:id="4342"/>
      <w:bookmarkEnd w:id="4343"/>
      <w:r>
        <w:rPr>
          <w:rFonts w:hint="eastAsia" w:ascii="宋体" w:hAnsi="宋体" w:eastAsia="宋体" w:cs="Times New Roman"/>
          <w:b/>
          <w:bCs/>
          <w:kern w:val="0"/>
          <w:sz w:val="24"/>
          <w:szCs w:val="32"/>
          <w:lang w:val="en-US" w:eastAsia="zh-CN" w:bidi="ar-SA"/>
        </w:rPr>
        <w:t>和技术要求</w:t>
      </w:r>
      <w:bookmarkEnd w:id="4344"/>
      <w:bookmarkEnd w:id="4345"/>
      <w:bookmarkEnd w:id="4346"/>
      <w:bookmarkEnd w:id="4347"/>
      <w:bookmarkEnd w:id="4348"/>
      <w:bookmarkEnd w:id="4349"/>
    </w:p>
    <w:p w14:paraId="6178DE74">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 xml:space="preserve">(2)技术标准、功能要求高于现行国家、行业或地方标准的约定： </w:t>
      </w:r>
      <w:r>
        <w:rPr>
          <w:rFonts w:hint="eastAsia" w:ascii="宋体" w:hAnsi="宋体" w:eastAsia="宋体" w:cs="Times New Roman"/>
          <w:sz w:val="24"/>
          <w:szCs w:val="24"/>
          <w:u w:val="single"/>
        </w:rPr>
        <w:t xml:space="preserve">                               </w:t>
      </w:r>
    </w:p>
    <w:p w14:paraId="389F1ACD">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0238B30A">
      <w:pPr>
        <w:spacing w:line="360" w:lineRule="auto"/>
        <w:ind w:firstLine="480"/>
        <w:rPr>
          <w:rFonts w:ascii="宋体" w:hAnsi="宋体" w:eastAsia="宋体" w:cs="Times New Roman"/>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0104BD46">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(4)用于本工程的标准、规范的提供方式：</w:t>
      </w:r>
    </w:p>
    <w:p w14:paraId="7BEA06FD">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□由发包人在本合同签订后</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天内向承包人提供</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套标准、规范；</w:t>
      </w:r>
    </w:p>
    <w:p w14:paraId="2765341B">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□由承包人自备。</w:t>
      </w:r>
    </w:p>
    <w:p w14:paraId="72148A0B">
      <w:pPr>
        <w:widowControl w:val="0"/>
        <w:numPr>
          <w:ilvl w:val="0"/>
          <w:numId w:val="0"/>
        </w:numPr>
        <w:tabs>
          <w:tab w:val="left" w:pos="540"/>
          <w:tab w:val="left" w:pos="2340"/>
          <w:tab w:val="left" w:pos="4032"/>
        </w:tabs>
        <w:spacing w:before="120" w:after="156"/>
        <w:ind w:left="180"/>
        <w:jc w:val="left"/>
        <w:outlineLvl w:val="1"/>
        <w:rPr>
          <w:rFonts w:ascii="宋体" w:hAnsi="宋体" w:eastAsia="宋体" w:cs="Times New Roman"/>
          <w:b/>
          <w:bCs/>
          <w:kern w:val="0"/>
          <w:sz w:val="24"/>
          <w:szCs w:val="32"/>
          <w:lang w:val="en-US" w:eastAsia="zh-CN" w:bidi="ar-SA"/>
        </w:rPr>
      </w:pPr>
      <w:bookmarkStart w:id="4351" w:name="_Toc13855"/>
      <w:bookmarkStart w:id="4352" w:name="_Toc4892"/>
      <w:bookmarkStart w:id="4353" w:name="_Toc17306"/>
      <w:bookmarkStart w:id="4354" w:name="_Toc22371"/>
      <w:bookmarkStart w:id="4355" w:name="_Toc26202"/>
      <w:bookmarkStart w:id="4356" w:name="_Toc319550934"/>
      <w:bookmarkStart w:id="4357" w:name="_Toc12927"/>
      <w:bookmarkStart w:id="4358" w:name="_Toc208587753"/>
      <w:bookmarkStart w:id="4359" w:name="_Toc9598"/>
      <w:bookmarkStart w:id="4360" w:name="_Toc305331436"/>
      <w:bookmarkStart w:id="4361" w:name="_Toc302635946"/>
      <w:bookmarkStart w:id="4362" w:name="_Toc201735528"/>
      <w:bookmarkStart w:id="4363" w:name="_Toc19973"/>
      <w:bookmarkStart w:id="4364" w:name="_Toc9949"/>
      <w:bookmarkStart w:id="4365" w:name="_Toc18650"/>
      <w:r>
        <w:rPr>
          <w:rFonts w:hint="eastAsia" w:ascii="宋体" w:hAnsi="宋体" w:eastAsia="宋体" w:cs="Times New Roman"/>
          <w:b/>
          <w:bCs/>
          <w:kern w:val="0"/>
          <w:sz w:val="24"/>
          <w:szCs w:val="32"/>
          <w:lang w:val="en-US" w:eastAsia="zh-CN" w:bidi="ar-SA"/>
        </w:rPr>
        <w:t>2.6</w:t>
      </w:r>
      <w:r>
        <w:rPr>
          <w:rFonts w:ascii="宋体" w:hAnsi="宋体" w:eastAsia="宋体" w:cs="Times New Roman"/>
          <w:b/>
          <w:bCs/>
          <w:kern w:val="0"/>
          <w:sz w:val="24"/>
          <w:szCs w:val="32"/>
          <w:lang w:val="en-US" w:eastAsia="zh-CN" w:bidi="ar-SA"/>
        </w:rPr>
        <w:t xml:space="preserve"> </w:t>
      </w:r>
      <w:r>
        <w:rPr>
          <w:rFonts w:hint="eastAsia" w:ascii="宋体" w:hAnsi="宋体" w:eastAsia="宋体" w:cs="Times New Roman"/>
          <w:b/>
          <w:bCs/>
          <w:kern w:val="0"/>
          <w:sz w:val="24"/>
          <w:szCs w:val="32"/>
          <w:lang w:val="en-US" w:eastAsia="zh-CN" w:bidi="ar-SA"/>
        </w:rPr>
        <w:t>图纸和技术资料的提供</w:t>
      </w:r>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p>
    <w:p w14:paraId="482C9EE4">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(1)发包人应在本合同签订后</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天内向承包人提供</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套完整的施工图纸和其他技术资料。</w:t>
      </w:r>
    </w:p>
    <w:p w14:paraId="17265635">
      <w:pPr>
        <w:spacing w:line="360" w:lineRule="auto"/>
        <w:ind w:firstLine="480"/>
        <w:rPr>
          <w:rFonts w:hint="eastAsia" w:ascii="宋体" w:hAnsi="宋体" w:eastAsia="宋体" w:cs="Times New Roman"/>
          <w:sz w:val="24"/>
          <w:szCs w:val="24"/>
        </w:rPr>
      </w:pPr>
      <w:r>
        <w:rPr>
          <w:rFonts w:ascii="宋体" w:hAnsi="宋体" w:eastAsia="宋体" w:cs="Times New Roman"/>
          <w:sz w:val="24"/>
          <w:szCs w:val="24"/>
        </w:rPr>
        <w:t>(</w:t>
      </w:r>
      <w:r>
        <w:rPr>
          <w:rFonts w:hint="eastAsia" w:ascii="宋体" w:hAnsi="宋体" w:eastAsia="宋体" w:cs="Times New Roman"/>
          <w:sz w:val="24"/>
          <w:szCs w:val="24"/>
        </w:rPr>
        <w:t>4</w:t>
      </w:r>
      <w:r>
        <w:rPr>
          <w:rFonts w:ascii="宋体" w:hAnsi="宋体" w:eastAsia="宋体" w:cs="Times New Roman"/>
          <w:sz w:val="24"/>
          <w:szCs w:val="24"/>
        </w:rPr>
        <w:t>)</w:t>
      </w:r>
      <w:r>
        <w:rPr>
          <w:rFonts w:hint="eastAsia" w:ascii="宋体" w:hAnsi="宋体" w:eastAsia="宋体" w:cs="Times New Roman"/>
          <w:sz w:val="24"/>
          <w:szCs w:val="24"/>
        </w:rPr>
        <w:t>承包人发现发包人提供的图纸存在差错、遗漏或缺陷的，应在</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天内通知</w:t>
      </w:r>
      <w:r>
        <w:rPr>
          <w:rFonts w:ascii="宋体" w:hAnsi="宋体" w:eastAsia="宋体" w:cs="Times New Roman"/>
          <w:sz w:val="24"/>
          <w:szCs w:val="24"/>
        </w:rPr>
        <w:t>监理人</w:t>
      </w:r>
      <w:r>
        <w:rPr>
          <w:rFonts w:hint="eastAsia" w:ascii="宋体" w:hAnsi="宋体" w:eastAsia="宋体" w:cs="Times New Roman"/>
          <w:sz w:val="24"/>
          <w:szCs w:val="24"/>
        </w:rPr>
        <w:t>。</w:t>
      </w:r>
      <w:r>
        <w:rPr>
          <w:rFonts w:ascii="宋体" w:hAnsi="宋体" w:eastAsia="宋体" w:cs="Times New Roman"/>
          <w:sz w:val="24"/>
          <w:szCs w:val="24"/>
        </w:rPr>
        <w:t>监理人</w:t>
      </w:r>
      <w:r>
        <w:rPr>
          <w:rFonts w:hint="eastAsia" w:ascii="宋体" w:hAnsi="宋体" w:eastAsia="宋体" w:cs="Times New Roman"/>
          <w:sz w:val="24"/>
          <w:szCs w:val="24"/>
        </w:rPr>
        <w:t>应附具相关意见并在</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天内报送发包人，发包人应在收到</w:t>
      </w:r>
      <w:r>
        <w:rPr>
          <w:rFonts w:ascii="宋体" w:hAnsi="宋体" w:eastAsia="宋体" w:cs="Times New Roman"/>
          <w:sz w:val="24"/>
          <w:szCs w:val="24"/>
        </w:rPr>
        <w:t>监理人</w:t>
      </w:r>
      <w:r>
        <w:rPr>
          <w:rFonts w:hint="eastAsia" w:ascii="宋体" w:hAnsi="宋体" w:eastAsia="宋体" w:cs="Times New Roman"/>
          <w:sz w:val="24"/>
          <w:szCs w:val="24"/>
        </w:rPr>
        <w:t>报送的通知后在</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天内作出决定。</w:t>
      </w:r>
    </w:p>
    <w:p w14:paraId="25E60C1B">
      <w:pPr>
        <w:widowControl w:val="0"/>
        <w:numPr>
          <w:ilvl w:val="0"/>
          <w:numId w:val="0"/>
        </w:numPr>
        <w:tabs>
          <w:tab w:val="left" w:pos="540"/>
          <w:tab w:val="left" w:pos="2340"/>
          <w:tab w:val="left" w:pos="4032"/>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366" w:name="_Toc302635947"/>
      <w:bookmarkStart w:id="4367" w:name="_Toc11224"/>
      <w:bookmarkStart w:id="4368" w:name="_Toc15896"/>
      <w:bookmarkStart w:id="4369" w:name="_Toc1103428543"/>
      <w:bookmarkStart w:id="4370" w:name="_Toc2329"/>
      <w:bookmarkStart w:id="4371" w:name="_Toc208587754"/>
      <w:bookmarkStart w:id="4372" w:name="_Toc19280"/>
      <w:bookmarkStart w:id="4373" w:name="_Toc9087"/>
      <w:bookmarkStart w:id="4374" w:name="_Toc7041"/>
      <w:bookmarkStart w:id="4375" w:name="_Toc2974"/>
      <w:bookmarkStart w:id="4376" w:name="_Toc1330"/>
      <w:bookmarkStart w:id="4377" w:name="_Toc201735529"/>
      <w:bookmarkStart w:id="4378" w:name="_Toc4743"/>
      <w:bookmarkStart w:id="4379" w:name="_Toc3059"/>
      <w:r>
        <w:rPr>
          <w:rFonts w:hint="eastAsia" w:ascii="宋体" w:hAnsi="宋体" w:eastAsia="宋体" w:cs="Times New Roman"/>
          <w:b/>
          <w:bCs/>
          <w:kern w:val="0"/>
          <w:sz w:val="24"/>
          <w:szCs w:val="32"/>
          <w:lang w:val="en-US" w:eastAsia="zh-CN" w:bidi="ar-SA"/>
        </w:rPr>
        <w:t>2.8</w:t>
      </w:r>
      <w:r>
        <w:rPr>
          <w:rFonts w:ascii="宋体" w:hAnsi="宋体" w:eastAsia="宋体" w:cs="Times New Roman"/>
          <w:b/>
          <w:bCs/>
          <w:kern w:val="0"/>
          <w:sz w:val="24"/>
          <w:szCs w:val="32"/>
          <w:lang w:val="en-US" w:eastAsia="zh-CN" w:bidi="ar-SA"/>
        </w:rPr>
        <w:t xml:space="preserve"> </w:t>
      </w:r>
      <w:r>
        <w:rPr>
          <w:rFonts w:hint="eastAsia" w:ascii="宋体" w:hAnsi="宋体" w:eastAsia="宋体" w:cs="Times New Roman"/>
          <w:b/>
          <w:bCs/>
          <w:kern w:val="0"/>
          <w:sz w:val="24"/>
          <w:szCs w:val="32"/>
          <w:lang w:val="en-US" w:eastAsia="zh-CN" w:bidi="ar-SA"/>
        </w:rPr>
        <w:t>补充图纸和资料</w:t>
      </w:r>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p>
    <w:p w14:paraId="196BEE58">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发包人应在工程施工前</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日内向承包人提供</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套该部分工程的补充施工图(含深化设计图纸)和其他技术资料。</w:t>
      </w:r>
    </w:p>
    <w:p w14:paraId="61C7C46A">
      <w:pPr>
        <w:widowControl w:val="0"/>
        <w:numPr>
          <w:ilvl w:val="0"/>
          <w:numId w:val="0"/>
        </w:numPr>
        <w:tabs>
          <w:tab w:val="left" w:pos="540"/>
          <w:tab w:val="left" w:pos="2340"/>
          <w:tab w:val="left" w:pos="4032"/>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380" w:name="_Toc30013"/>
      <w:bookmarkStart w:id="4381" w:name="_Toc201735530"/>
      <w:bookmarkStart w:id="4382" w:name="_Toc205"/>
      <w:bookmarkStart w:id="4383" w:name="_Toc13186"/>
      <w:bookmarkStart w:id="4384" w:name="_Toc17679"/>
      <w:bookmarkStart w:id="4385" w:name="_Toc920"/>
      <w:bookmarkStart w:id="4386" w:name="_Toc1625"/>
      <w:bookmarkStart w:id="4387" w:name="_Toc23943"/>
      <w:bookmarkStart w:id="4388" w:name="_Toc6894"/>
      <w:bookmarkStart w:id="4389" w:name="_Toc321693042"/>
      <w:bookmarkStart w:id="4390" w:name="_Toc8897"/>
      <w:bookmarkStart w:id="4391" w:name="_Toc208587755"/>
      <w:bookmarkStart w:id="4392" w:name="_Toc32575"/>
      <w:r>
        <w:rPr>
          <w:rFonts w:hint="eastAsia" w:ascii="宋体" w:hAnsi="宋体" w:eastAsia="宋体" w:cs="Times New Roman"/>
          <w:b/>
          <w:bCs/>
          <w:kern w:val="0"/>
          <w:sz w:val="24"/>
          <w:szCs w:val="32"/>
          <w:lang w:val="en-US" w:eastAsia="zh-CN" w:bidi="ar-SA"/>
        </w:rPr>
        <w:t>2.10 竣工图</w:t>
      </w:r>
      <w:bookmarkEnd w:id="4380"/>
      <w:bookmarkEnd w:id="4381"/>
      <w:bookmarkEnd w:id="4382"/>
      <w:bookmarkEnd w:id="4383"/>
      <w:bookmarkEnd w:id="4384"/>
      <w:bookmarkEnd w:id="4385"/>
      <w:bookmarkEnd w:id="4386"/>
      <w:bookmarkEnd w:id="4387"/>
      <w:bookmarkEnd w:id="4388"/>
      <w:bookmarkEnd w:id="4389"/>
      <w:bookmarkEnd w:id="4390"/>
      <w:bookmarkEnd w:id="4391"/>
      <w:bookmarkEnd w:id="4392"/>
    </w:p>
    <w:p w14:paraId="77AC6AF2">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(1)关于竣工图编制的约定：</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20EE92A5">
      <w:pPr>
        <w:spacing w:line="360" w:lineRule="auto"/>
        <w:rPr>
          <w:rFonts w:hint="eastAsia" w:ascii="宋体" w:hAnsi="宋体" w:eastAsia="宋体" w:cs="Times New Roman"/>
          <w:sz w:val="24"/>
          <w:szCs w:val="24"/>
        </w:rPr>
      </w:pP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50EA67F6">
      <w:pPr>
        <w:widowControl w:val="0"/>
        <w:numPr>
          <w:ilvl w:val="0"/>
          <w:numId w:val="0"/>
        </w:numPr>
        <w:tabs>
          <w:tab w:val="left" w:pos="540"/>
          <w:tab w:val="left" w:pos="2340"/>
        </w:tabs>
        <w:spacing w:before="120" w:after="156"/>
        <w:ind w:left="180"/>
        <w:jc w:val="left"/>
        <w:outlineLvl w:val="1"/>
        <w:rPr>
          <w:rFonts w:ascii="宋体" w:hAnsi="宋体" w:eastAsia="宋体" w:cs="Times New Roman"/>
          <w:b/>
          <w:bCs/>
          <w:kern w:val="0"/>
          <w:sz w:val="24"/>
          <w:szCs w:val="32"/>
          <w:lang w:val="en-US" w:eastAsia="zh-CN" w:bidi="ar-SA"/>
        </w:rPr>
      </w:pPr>
      <w:bookmarkStart w:id="4393" w:name="_Toc305331437"/>
      <w:bookmarkStart w:id="4394" w:name="_Toc485448762"/>
      <w:bookmarkStart w:id="4395" w:name="_Toc14101"/>
      <w:bookmarkStart w:id="4396" w:name="_Toc208587756"/>
      <w:bookmarkStart w:id="4397" w:name="_Toc25557"/>
      <w:bookmarkStart w:id="4398" w:name="_Toc20461"/>
      <w:bookmarkStart w:id="4399" w:name="_Toc24160"/>
      <w:bookmarkStart w:id="4400" w:name="_Toc201735531"/>
      <w:bookmarkStart w:id="4401" w:name="_Toc19556"/>
      <w:bookmarkStart w:id="4402" w:name="_Toc22812"/>
      <w:bookmarkStart w:id="4403" w:name="_Toc1846"/>
      <w:bookmarkStart w:id="4404" w:name="_Toc15834"/>
      <w:bookmarkStart w:id="4405" w:name="_Toc13736"/>
      <w:bookmarkStart w:id="4406" w:name="_Toc302635948"/>
      <w:bookmarkStart w:id="4407" w:name="_Toc5980"/>
      <w:r>
        <w:rPr>
          <w:rFonts w:hint="eastAsia" w:ascii="宋体" w:hAnsi="宋体" w:eastAsia="宋体" w:cs="Times New Roman"/>
          <w:b/>
          <w:bCs/>
          <w:kern w:val="0"/>
          <w:sz w:val="24"/>
          <w:szCs w:val="32"/>
          <w:lang w:val="en-US" w:eastAsia="zh-CN" w:bidi="ar-SA"/>
        </w:rPr>
        <w:t>2.11 通知</w:t>
      </w:r>
      <w:bookmarkEnd w:id="4350"/>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p>
    <w:p w14:paraId="3321511E">
      <w:pPr>
        <w:spacing w:line="360" w:lineRule="auto"/>
        <w:ind w:firstLine="480"/>
        <w:rPr>
          <w:rFonts w:ascii="宋体" w:hAnsi="宋体" w:eastAsia="宋体" w:cs="Times New Roman"/>
          <w:bCs/>
          <w:i/>
          <w:iCs/>
          <w:sz w:val="24"/>
          <w:szCs w:val="24"/>
          <w:u w:val="single"/>
        </w:rPr>
      </w:pPr>
      <w:r>
        <w:rPr>
          <w:rFonts w:hint="eastAsia" w:ascii="宋体" w:hAnsi="宋体" w:eastAsia="宋体" w:cs="Times New Roman"/>
          <w:sz w:val="24"/>
          <w:szCs w:val="24"/>
        </w:rPr>
        <w:t>(1)承包人的地址：</w:t>
      </w:r>
      <w:r>
        <w:rPr>
          <w:rFonts w:hint="eastAsia" w:ascii="方正书宋简体" w:hAnsi="宋体" w:eastAsia="方正书宋简体" w:cs="宋体"/>
          <w:bCs/>
          <w:sz w:val="24"/>
          <w:szCs w:val="24"/>
          <w:u w:val="single"/>
        </w:rPr>
        <w:t xml:space="preserve">                                   </w:t>
      </w:r>
      <w:r>
        <w:rPr>
          <w:rFonts w:hint="eastAsia" w:ascii="宋体" w:hAnsi="宋体" w:eastAsia="宋体" w:cs="Times New Roman"/>
          <w:bCs/>
          <w:sz w:val="24"/>
          <w:szCs w:val="24"/>
        </w:rPr>
        <w:t>邮编：</w:t>
      </w:r>
      <w:r>
        <w:rPr>
          <w:rFonts w:hint="eastAsia" w:ascii="宋体" w:hAnsi="宋体" w:eastAsia="宋体" w:cs="Times New Roman"/>
          <w:bCs/>
          <w:sz w:val="24"/>
          <w:szCs w:val="24"/>
          <w:u w:val="single"/>
        </w:rPr>
        <w:t xml:space="preserve">              </w:t>
      </w:r>
    </w:p>
    <w:p w14:paraId="6F45AEC7">
      <w:pPr>
        <w:spacing w:line="360" w:lineRule="auto"/>
        <w:ind w:firstLine="480"/>
        <w:rPr>
          <w:rFonts w:hint="eastAsia" w:ascii="宋体" w:hAnsi="宋体" w:eastAsia="宋体" w:cs="Times New Roman"/>
          <w:bCs/>
          <w:sz w:val="24"/>
          <w:szCs w:val="24"/>
          <w:u w:val="single"/>
        </w:rPr>
      </w:pPr>
      <w:r>
        <w:rPr>
          <w:rFonts w:hint="eastAsia" w:ascii="宋体" w:hAnsi="宋体" w:eastAsia="宋体" w:cs="Times New Roman"/>
          <w:sz w:val="24"/>
          <w:szCs w:val="24"/>
        </w:rPr>
        <w:t>(2)发包人的地址：</w:t>
      </w:r>
      <w:r>
        <w:rPr>
          <w:rFonts w:hint="eastAsia" w:ascii="方正书宋简体" w:hAnsi="宋体" w:eastAsia="方正书宋简体" w:cs="宋体"/>
          <w:bCs/>
          <w:sz w:val="24"/>
          <w:szCs w:val="24"/>
          <w:u w:val="single"/>
        </w:rPr>
        <w:t xml:space="preserve">                                   </w:t>
      </w:r>
      <w:r>
        <w:rPr>
          <w:rFonts w:hint="eastAsia" w:ascii="宋体" w:hAnsi="宋体" w:eastAsia="宋体" w:cs="Times New Roman"/>
          <w:bCs/>
          <w:sz w:val="24"/>
          <w:szCs w:val="24"/>
        </w:rPr>
        <w:t>邮编：</w:t>
      </w:r>
      <w:r>
        <w:rPr>
          <w:rFonts w:hint="eastAsia" w:ascii="宋体" w:hAnsi="宋体" w:eastAsia="宋体" w:cs="Times New Roman"/>
          <w:bCs/>
          <w:sz w:val="24"/>
          <w:szCs w:val="24"/>
          <w:u w:val="single"/>
        </w:rPr>
        <w:t xml:space="preserve">              </w:t>
      </w:r>
    </w:p>
    <w:p w14:paraId="28C93CF3">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 xml:space="preserve">   监理人的地址：</w:t>
      </w:r>
      <w:bookmarkStart w:id="4408" w:name="_Toc35656522"/>
      <w:r>
        <w:rPr>
          <w:rFonts w:hint="eastAsia" w:ascii="方正书宋简体" w:hAnsi="宋体" w:eastAsia="方正书宋简体" w:cs="宋体"/>
          <w:bCs/>
          <w:sz w:val="24"/>
          <w:szCs w:val="24"/>
          <w:u w:val="single"/>
        </w:rPr>
        <w:t xml:space="preserve">                                   </w:t>
      </w:r>
      <w:r>
        <w:rPr>
          <w:rFonts w:hint="eastAsia" w:ascii="宋体" w:hAnsi="宋体" w:eastAsia="宋体" w:cs="Times New Roman"/>
          <w:bCs/>
          <w:sz w:val="24"/>
          <w:szCs w:val="24"/>
        </w:rPr>
        <w:t>邮编：</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755C3B99">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409" w:name="_Toc302635949"/>
      <w:bookmarkStart w:id="4410" w:name="_Toc32082"/>
      <w:bookmarkStart w:id="4411" w:name="_Toc22128"/>
      <w:bookmarkStart w:id="4412" w:name="_Toc208587757"/>
      <w:bookmarkStart w:id="4413" w:name="_Toc31024"/>
      <w:bookmarkStart w:id="4414" w:name="_Toc4624"/>
      <w:bookmarkStart w:id="4415" w:name="_Toc408149452"/>
      <w:bookmarkStart w:id="4416" w:name="_Toc29069"/>
      <w:bookmarkStart w:id="4417" w:name="_Toc201735532"/>
      <w:bookmarkStart w:id="4418" w:name="_Toc15645"/>
      <w:bookmarkStart w:id="4419" w:name="_Toc11089"/>
      <w:bookmarkStart w:id="4420" w:name="_Toc8214"/>
      <w:bookmarkStart w:id="4421" w:name="_Toc2421"/>
      <w:bookmarkStart w:id="4422" w:name="_Toc24763"/>
      <w:r>
        <w:rPr>
          <w:rFonts w:hint="eastAsia" w:ascii="宋体" w:hAnsi="宋体" w:eastAsia="宋体" w:cs="Times New Roman"/>
          <w:b/>
          <w:bCs/>
          <w:kern w:val="0"/>
          <w:sz w:val="24"/>
          <w:szCs w:val="32"/>
          <w:lang w:val="en-US" w:eastAsia="zh-CN" w:bidi="ar-SA"/>
        </w:rPr>
        <w:t>2.13 交通运输</w:t>
      </w:r>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r>
        <w:rPr>
          <w:rFonts w:hint="eastAsia" w:ascii="宋体" w:hAnsi="宋体" w:eastAsia="宋体" w:cs="Times New Roman"/>
          <w:b/>
          <w:bCs/>
          <w:kern w:val="0"/>
          <w:sz w:val="24"/>
          <w:szCs w:val="32"/>
          <w:lang w:val="en-US" w:eastAsia="zh-CN" w:bidi="ar-SA"/>
        </w:rPr>
        <w:t xml:space="preserve">     </w:t>
      </w:r>
    </w:p>
    <w:p w14:paraId="4F492C36">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(1)出入现场的权利</w:t>
      </w:r>
    </w:p>
    <w:p w14:paraId="1C13D318">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关于出入现场的权利的约定：</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57360B54">
      <w:pPr>
        <w:spacing w:line="360" w:lineRule="auto"/>
        <w:rPr>
          <w:rFonts w:hint="eastAsia" w:ascii="宋体" w:hAnsi="宋体" w:eastAsia="宋体" w:cs="Times New Roman"/>
          <w:sz w:val="24"/>
          <w:szCs w:val="24"/>
        </w:rPr>
      </w:pP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5ACE7884">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(3)场内交通</w:t>
      </w:r>
    </w:p>
    <w:p w14:paraId="1525E599">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关于场外交通和场内交通的边界的约定：</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795A0B70">
      <w:pPr>
        <w:spacing w:line="360" w:lineRule="auto"/>
        <w:rPr>
          <w:rFonts w:hint="eastAsia" w:ascii="宋体" w:hAnsi="宋体" w:eastAsia="宋体" w:cs="Times New Roman"/>
          <w:sz w:val="24"/>
          <w:szCs w:val="24"/>
        </w:rPr>
      </w:pP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79219C22">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关于发包人向承包人免费提供满足工程施工需要的场内道路和交通设施的约定：</w:t>
      </w:r>
      <w:r>
        <w:rPr>
          <w:rFonts w:hint="eastAsia" w:ascii="宋体" w:hAnsi="宋体" w:eastAsia="宋体" w:cs="Times New Roman"/>
          <w:sz w:val="24"/>
          <w:szCs w:val="24"/>
          <w:u w:val="single"/>
        </w:rPr>
        <w:t xml:space="preserve">                                                                   </w:t>
      </w:r>
    </w:p>
    <w:p w14:paraId="53B5E458">
      <w:pPr>
        <w:spacing w:line="360" w:lineRule="auto"/>
        <w:rPr>
          <w:rFonts w:hint="eastAsia" w:ascii="宋体" w:hAnsi="宋体" w:eastAsia="宋体" w:cs="Times New Roman"/>
          <w:sz w:val="24"/>
          <w:szCs w:val="24"/>
        </w:rPr>
      </w:pP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73A83654">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（4)超大件和超重件的运输</w:t>
      </w:r>
    </w:p>
    <w:p w14:paraId="7D20F8B1">
      <w:pPr>
        <w:spacing w:line="360" w:lineRule="auto"/>
        <w:ind w:firstLine="480"/>
        <w:jc w:val="left"/>
        <w:rPr>
          <w:rFonts w:hint="eastAsia" w:ascii="宋体" w:hAnsi="宋体" w:eastAsia="宋体" w:cs="Times New Roman"/>
          <w:sz w:val="24"/>
          <w:szCs w:val="24"/>
        </w:rPr>
      </w:pPr>
      <w:r>
        <w:rPr>
          <w:rFonts w:hint="eastAsia" w:ascii="宋体" w:hAnsi="宋体" w:eastAsia="宋体" w:cs="Times New Roman"/>
          <w:sz w:val="24"/>
          <w:szCs w:val="24"/>
        </w:rPr>
        <w:t>运输超大件或超重件所需道路和桥梁临时加固费用和其他费用由</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 xml:space="preserve">                                 承担。</w:t>
      </w:r>
    </w:p>
    <w:p w14:paraId="3976197C">
      <w:pPr>
        <w:spacing w:line="360" w:lineRule="auto"/>
        <w:ind w:firstLine="480"/>
        <w:jc w:val="left"/>
        <w:outlineLvl w:val="1"/>
        <w:rPr>
          <w:rFonts w:hint="eastAsia" w:ascii="宋体" w:hAnsi="宋体" w:eastAsia="宋体" w:cs="Times New Roman"/>
          <w:b/>
          <w:bCs/>
          <w:kern w:val="0"/>
          <w:sz w:val="24"/>
          <w:szCs w:val="32"/>
        </w:rPr>
      </w:pPr>
      <w:bookmarkStart w:id="4423" w:name="_Toc27721"/>
      <w:bookmarkStart w:id="4424" w:name="_Toc30451"/>
      <w:bookmarkStart w:id="4425" w:name="_Toc208587758"/>
      <w:bookmarkStart w:id="4426" w:name="_Toc21309"/>
      <w:bookmarkStart w:id="4427" w:name="_Toc21067"/>
      <w:bookmarkStart w:id="4428" w:name="_Toc25280"/>
      <w:bookmarkStart w:id="4429" w:name="_Toc7468"/>
      <w:bookmarkStart w:id="4430" w:name="_Toc30503"/>
      <w:bookmarkStart w:id="4431" w:name="_Toc7880"/>
      <w:bookmarkStart w:id="4432" w:name="_Toc2387"/>
      <w:bookmarkStart w:id="4433" w:name="_Toc201735533"/>
      <w:bookmarkStart w:id="4434" w:name="_Toc1960452917"/>
      <w:bookmarkStart w:id="4435" w:name="_Toc22000"/>
      <w:r>
        <w:rPr>
          <w:rFonts w:hint="eastAsia" w:ascii="宋体" w:hAnsi="宋体" w:eastAsia="宋体" w:cs="Times New Roman"/>
          <w:b/>
          <w:bCs/>
          <w:kern w:val="0"/>
          <w:sz w:val="24"/>
          <w:szCs w:val="32"/>
        </w:rPr>
        <w:t xml:space="preserve">2.15 </w:t>
      </w:r>
      <w:r>
        <w:rPr>
          <w:rFonts w:hint="eastAsia" w:ascii="宋体" w:hAnsi="宋体" w:eastAsia="宋体" w:cs="Times New Roman"/>
          <w:b/>
          <w:bCs/>
          <w:kern w:val="0"/>
          <w:sz w:val="24"/>
          <w:szCs w:val="32"/>
          <w:lang w:eastAsia="zh-CN"/>
        </w:rPr>
        <w:t>建筑信息模型（</w:t>
      </w:r>
      <w:r>
        <w:rPr>
          <w:rFonts w:hint="eastAsia" w:ascii="宋体" w:hAnsi="宋体" w:eastAsia="宋体" w:cs="Times New Roman"/>
          <w:b/>
          <w:bCs/>
          <w:kern w:val="0"/>
          <w:sz w:val="24"/>
          <w:szCs w:val="32"/>
        </w:rPr>
        <w:t>BIM</w:t>
      </w:r>
      <w:r>
        <w:rPr>
          <w:rFonts w:hint="eastAsia" w:ascii="宋体" w:hAnsi="宋体" w:eastAsia="宋体" w:cs="Times New Roman"/>
          <w:b/>
          <w:bCs/>
          <w:kern w:val="0"/>
          <w:sz w:val="24"/>
          <w:szCs w:val="32"/>
          <w:lang w:eastAsia="zh-CN"/>
        </w:rPr>
        <w:t>）技术</w:t>
      </w:r>
      <w:r>
        <w:rPr>
          <w:rFonts w:hint="eastAsia" w:ascii="宋体" w:hAnsi="宋体" w:eastAsia="宋体" w:cs="Times New Roman"/>
          <w:b/>
          <w:bCs/>
          <w:kern w:val="0"/>
          <w:sz w:val="24"/>
          <w:szCs w:val="32"/>
        </w:rPr>
        <w:t>实施应用</w:t>
      </w:r>
      <w:bookmarkEnd w:id="4423"/>
      <w:bookmarkEnd w:id="4424"/>
      <w:bookmarkEnd w:id="4425"/>
      <w:bookmarkEnd w:id="4426"/>
      <w:bookmarkEnd w:id="4427"/>
      <w:bookmarkEnd w:id="4428"/>
      <w:bookmarkEnd w:id="4429"/>
      <w:bookmarkEnd w:id="4430"/>
      <w:bookmarkEnd w:id="4431"/>
      <w:bookmarkEnd w:id="4432"/>
      <w:bookmarkEnd w:id="4433"/>
      <w:bookmarkEnd w:id="4434"/>
      <w:bookmarkEnd w:id="4435"/>
    </w:p>
    <w:p w14:paraId="55560CDD">
      <w:pPr>
        <w:spacing w:line="360" w:lineRule="auto"/>
        <w:ind w:firstLine="480"/>
        <w:jc w:val="left"/>
        <w:rPr>
          <w:rFonts w:hint="eastAsia" w:ascii="宋体" w:hAnsi="宋体" w:eastAsia="宋体" w:cs="Times New Roman"/>
          <w:sz w:val="24"/>
          <w:szCs w:val="24"/>
        </w:rPr>
      </w:pPr>
      <w:r>
        <w:rPr>
          <w:rFonts w:hint="eastAsia" w:ascii="宋体" w:hAnsi="宋体" w:eastAsia="宋体" w:cs="Times New Roman"/>
          <w:sz w:val="24"/>
          <w:szCs w:val="24"/>
        </w:rPr>
        <w:t>(1)BIM实施范围</w:t>
      </w:r>
    </w:p>
    <w:p w14:paraId="485E91CE">
      <w:pPr>
        <w:spacing w:line="360" w:lineRule="auto"/>
        <w:ind w:firstLine="480"/>
        <w:jc w:val="left"/>
        <w:rPr>
          <w:rFonts w:hint="eastAsia" w:ascii="宋体" w:hAnsi="宋体" w:eastAsia="宋体" w:cs="Times New Roman"/>
          <w:sz w:val="24"/>
          <w:szCs w:val="24"/>
        </w:rPr>
      </w:pPr>
      <w:r>
        <w:rPr>
          <w:rFonts w:hint="eastAsia" w:ascii="宋体" w:hAnsi="宋体" w:eastAsia="宋体" w:cs="Times New Roman"/>
          <w:sz w:val="24"/>
          <w:szCs w:val="24"/>
        </w:rPr>
        <w:t>关于BIM实施内容的约定：</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7BEA40E9">
      <w:pPr>
        <w:spacing w:line="360" w:lineRule="auto"/>
        <w:ind w:firstLine="480"/>
        <w:jc w:val="left"/>
        <w:rPr>
          <w:rFonts w:hint="eastAsia" w:ascii="宋体" w:hAnsi="宋体" w:eastAsia="宋体" w:cs="Times New Roman"/>
          <w:sz w:val="24"/>
          <w:szCs w:val="24"/>
        </w:rPr>
      </w:pPr>
      <w:r>
        <w:rPr>
          <w:rFonts w:hint="eastAsia" w:ascii="宋体" w:hAnsi="宋体" w:eastAsia="宋体" w:cs="Times New Roman"/>
          <w:sz w:val="24"/>
          <w:szCs w:val="24"/>
        </w:rPr>
        <w:t>(2)BIM实施内容和要求</w:t>
      </w:r>
    </w:p>
    <w:p w14:paraId="53D49358">
      <w:pPr>
        <w:spacing w:line="360" w:lineRule="auto"/>
        <w:ind w:firstLine="480"/>
        <w:jc w:val="left"/>
        <w:rPr>
          <w:rFonts w:hint="eastAsia" w:ascii="宋体" w:hAnsi="宋体" w:eastAsia="宋体" w:cs="Times New Roman"/>
          <w:sz w:val="24"/>
          <w:szCs w:val="24"/>
        </w:rPr>
      </w:pPr>
      <w:r>
        <w:rPr>
          <w:rFonts w:hint="eastAsia" w:ascii="宋体" w:hAnsi="宋体" w:eastAsia="宋体" w:cs="Times New Roman"/>
          <w:sz w:val="24"/>
          <w:szCs w:val="24"/>
        </w:rPr>
        <w:t>关于深化设计、施工过程和竣工验收阶段BIM技术和管理应用要求的约定：</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667CC1EB">
      <w:pPr>
        <w:spacing w:line="360" w:lineRule="auto"/>
        <w:ind w:firstLine="480"/>
        <w:jc w:val="left"/>
        <w:rPr>
          <w:rFonts w:hint="eastAsia" w:ascii="宋体" w:hAnsi="宋体" w:eastAsia="宋体" w:cs="Times New Roman"/>
          <w:sz w:val="24"/>
          <w:szCs w:val="24"/>
        </w:rPr>
      </w:pPr>
      <w:r>
        <w:rPr>
          <w:rFonts w:hint="eastAsia" w:ascii="宋体" w:hAnsi="宋体" w:eastAsia="宋体" w:cs="Times New Roman"/>
          <w:sz w:val="24"/>
          <w:szCs w:val="24"/>
        </w:rPr>
        <w:t>BIM模型精细度的标准要求：</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 xml:space="preserve">。     </w:t>
      </w:r>
    </w:p>
    <w:p w14:paraId="1A50767F">
      <w:pPr>
        <w:spacing w:line="360" w:lineRule="auto"/>
        <w:ind w:firstLine="480"/>
        <w:jc w:val="left"/>
        <w:rPr>
          <w:rFonts w:hint="eastAsia" w:ascii="宋体" w:hAnsi="宋体" w:eastAsia="宋体" w:cs="Times New Roman"/>
          <w:sz w:val="24"/>
          <w:szCs w:val="24"/>
        </w:rPr>
      </w:pPr>
      <w:r>
        <w:rPr>
          <w:rFonts w:hint="eastAsia" w:ascii="宋体" w:hAnsi="宋体" w:eastAsia="宋体" w:cs="Times New Roman"/>
          <w:sz w:val="24"/>
          <w:szCs w:val="24"/>
        </w:rPr>
        <w:t>(3)BIM成果的归档和移交</w:t>
      </w:r>
    </w:p>
    <w:p w14:paraId="68BAA5C4">
      <w:pPr>
        <w:spacing w:line="360" w:lineRule="auto"/>
        <w:ind w:firstLine="480"/>
        <w:jc w:val="left"/>
        <w:rPr>
          <w:rFonts w:hint="eastAsia" w:ascii="宋体" w:hAnsi="宋体" w:eastAsia="宋体" w:cs="Times New Roman"/>
          <w:sz w:val="24"/>
          <w:szCs w:val="24"/>
        </w:rPr>
      </w:pPr>
      <w:r>
        <w:rPr>
          <w:rFonts w:hint="eastAsia" w:ascii="宋体" w:hAnsi="宋体" w:eastAsia="宋体" w:cs="Times New Roman"/>
          <w:sz w:val="24"/>
          <w:szCs w:val="24"/>
        </w:rPr>
        <w:t>关于BIM成果交付标准的约定：</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514B80BB">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436" w:name="_Toc17318"/>
      <w:bookmarkStart w:id="4437" w:name="_Toc208587759"/>
      <w:bookmarkStart w:id="4438" w:name="_Toc691247537"/>
      <w:bookmarkStart w:id="4439" w:name="_Toc25110"/>
      <w:bookmarkStart w:id="4440" w:name="_Toc21414"/>
      <w:bookmarkStart w:id="4441" w:name="_Toc302635950"/>
      <w:bookmarkStart w:id="4442" w:name="_Toc29639"/>
      <w:bookmarkStart w:id="4443" w:name="_Toc28397"/>
      <w:bookmarkStart w:id="4444" w:name="_Toc31814"/>
      <w:bookmarkStart w:id="4445" w:name="_Toc28644"/>
      <w:bookmarkStart w:id="4446" w:name="_Toc3052"/>
      <w:bookmarkStart w:id="4447" w:name="_Toc27294"/>
      <w:bookmarkStart w:id="4448" w:name="_Toc12752"/>
      <w:bookmarkStart w:id="4449" w:name="_Toc201735534"/>
      <w:r>
        <w:rPr>
          <w:rFonts w:hint="eastAsia" w:ascii="宋体" w:hAnsi="宋体" w:eastAsia="宋体" w:cs="Times New Roman"/>
          <w:b/>
          <w:bCs/>
          <w:kern w:val="0"/>
          <w:sz w:val="24"/>
          <w:szCs w:val="32"/>
          <w:lang w:val="en-US" w:eastAsia="zh-CN" w:bidi="ar-SA"/>
        </w:rPr>
        <w:t>2.16 知识产权</w:t>
      </w:r>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p>
    <w:p w14:paraId="41E7FF85">
      <w:pPr>
        <w:spacing w:line="360" w:lineRule="auto"/>
        <w:ind w:firstLine="480" w:firstLineChars="200"/>
        <w:rPr>
          <w:rFonts w:hint="eastAsia" w:ascii="Times New Roman" w:hAnsi="Times New Roman" w:eastAsia="仿宋_GB2312" w:cs="Times New Roman"/>
          <w:sz w:val="30"/>
          <w:szCs w:val="32"/>
          <w:u w:val="single"/>
        </w:rPr>
      </w:pPr>
      <w:r>
        <w:rPr>
          <w:rFonts w:hint="eastAsia" w:ascii="宋体" w:hAnsi="宋体" w:eastAsia="宋体" w:cs="Times New Roman"/>
          <w:sz w:val="24"/>
          <w:szCs w:val="24"/>
        </w:rPr>
        <w:t>(1)</w:t>
      </w:r>
      <w:r>
        <w:rPr>
          <w:rFonts w:ascii="宋体" w:hAnsi="宋体" w:eastAsia="宋体" w:cs="Times New Roman"/>
          <w:sz w:val="24"/>
          <w:szCs w:val="24"/>
        </w:rPr>
        <w:t>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p>
    <w:p w14:paraId="49DBC792">
      <w:pPr>
        <w:spacing w:line="360" w:lineRule="auto"/>
        <w:rPr>
          <w:rFonts w:hint="eastAsia" w:ascii="Times New Roman" w:hAnsi="Times New Roman" w:eastAsia="仿宋_GB2312" w:cs="Times New Roman"/>
          <w:sz w:val="30"/>
          <w:szCs w:val="32"/>
        </w:rPr>
      </w:pP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rPr>
        <w:t>。</w:t>
      </w:r>
    </w:p>
    <w:p w14:paraId="4E272E5B">
      <w:pPr>
        <w:spacing w:line="360" w:lineRule="auto"/>
        <w:ind w:firstLine="480"/>
        <w:jc w:val="left"/>
        <w:rPr>
          <w:rFonts w:hint="eastAsia" w:ascii="Times New Roman" w:hAnsi="Times New Roman" w:eastAsia="仿宋_GB2312" w:cs="Times New Roman"/>
          <w:sz w:val="30"/>
          <w:szCs w:val="32"/>
        </w:rPr>
      </w:pPr>
      <w:r>
        <w:rPr>
          <w:rFonts w:ascii="宋体" w:hAnsi="宋体" w:eastAsia="宋体" w:cs="Times New Roman"/>
          <w:sz w:val="24"/>
          <w:szCs w:val="24"/>
        </w:rPr>
        <w:t>关于发包人提供的上述文件的使用限制的要求：</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p>
    <w:p w14:paraId="6CCAE586">
      <w:pPr>
        <w:spacing w:line="360" w:lineRule="auto"/>
        <w:rPr>
          <w:rFonts w:ascii="Times New Roman" w:hAnsi="Times New Roman" w:eastAsia="仿宋_GB2312" w:cs="Times New Roman"/>
          <w:sz w:val="30"/>
          <w:szCs w:val="32"/>
        </w:rPr>
      </w:pP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rPr>
        <w:t>。</w:t>
      </w:r>
    </w:p>
    <w:p w14:paraId="56617C17">
      <w:pPr>
        <w:spacing w:line="360" w:lineRule="auto"/>
        <w:ind w:firstLine="480"/>
        <w:jc w:val="left"/>
        <w:rPr>
          <w:rFonts w:hint="eastAsia" w:ascii="Times New Roman" w:hAnsi="Times New Roman" w:eastAsia="仿宋_GB2312" w:cs="Times New Roman"/>
          <w:sz w:val="30"/>
          <w:szCs w:val="32"/>
        </w:rPr>
      </w:pPr>
      <w:r>
        <w:rPr>
          <w:rFonts w:hint="eastAsia" w:ascii="宋体" w:hAnsi="宋体" w:eastAsia="宋体" w:cs="Times New Roman"/>
          <w:sz w:val="24"/>
          <w:szCs w:val="24"/>
        </w:rPr>
        <w:t>(2)</w:t>
      </w:r>
      <w:r>
        <w:rPr>
          <w:rFonts w:ascii="宋体" w:hAnsi="宋体" w:eastAsia="宋体" w:cs="Times New Roman"/>
          <w:sz w:val="24"/>
          <w:szCs w:val="24"/>
        </w:rPr>
        <w:t>关于承包人为实施工程所编制文件的著作权的归属：</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p>
    <w:p w14:paraId="00832813">
      <w:pPr>
        <w:spacing w:line="360" w:lineRule="auto"/>
        <w:rPr>
          <w:rFonts w:ascii="Times New Roman" w:hAnsi="Times New Roman" w:eastAsia="仿宋_GB2312" w:cs="Times New Roman"/>
          <w:sz w:val="30"/>
          <w:szCs w:val="32"/>
        </w:rPr>
      </w:pP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rPr>
        <w:t>。</w:t>
      </w:r>
    </w:p>
    <w:p w14:paraId="6538FCD4">
      <w:pPr>
        <w:spacing w:line="360" w:lineRule="auto"/>
        <w:ind w:firstLine="480" w:firstLineChars="200"/>
        <w:rPr>
          <w:rFonts w:hint="eastAsia" w:ascii="Times New Roman" w:hAnsi="Times New Roman" w:eastAsia="仿宋_GB2312" w:cs="Times New Roman"/>
          <w:sz w:val="30"/>
          <w:szCs w:val="32"/>
          <w:u w:val="single"/>
        </w:rPr>
      </w:pPr>
      <w:r>
        <w:rPr>
          <w:rFonts w:ascii="宋体" w:hAnsi="宋体" w:eastAsia="宋体" w:cs="Times New Roman"/>
          <w:sz w:val="24"/>
          <w:szCs w:val="24"/>
        </w:rPr>
        <w:t>关于承包人提供的上述文件的使用限制的要求：</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p>
    <w:p w14:paraId="388D8515">
      <w:pPr>
        <w:spacing w:line="360" w:lineRule="auto"/>
        <w:rPr>
          <w:rFonts w:ascii="Times New Roman" w:hAnsi="Times New Roman" w:eastAsia="仿宋_GB2312" w:cs="Times New Roman"/>
          <w:sz w:val="30"/>
          <w:szCs w:val="32"/>
        </w:rPr>
      </w:pP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rPr>
        <w:t>。</w:t>
      </w:r>
    </w:p>
    <w:p w14:paraId="5341F22A">
      <w:pPr>
        <w:spacing w:line="360" w:lineRule="auto"/>
        <w:ind w:firstLine="480" w:firstLineChars="200"/>
        <w:rPr>
          <w:rFonts w:ascii="Times New Roman" w:hAnsi="Times New Roman" w:eastAsia="仿宋_GB2312" w:cs="Times New Roman"/>
          <w:kern w:val="0"/>
          <w:sz w:val="30"/>
          <w:szCs w:val="32"/>
        </w:rPr>
      </w:pPr>
      <w:r>
        <w:rPr>
          <w:rFonts w:hint="eastAsia" w:ascii="宋体" w:hAnsi="宋体" w:eastAsia="宋体" w:cs="Times New Roman"/>
          <w:sz w:val="24"/>
          <w:szCs w:val="24"/>
        </w:rPr>
        <w:t>(4)</w:t>
      </w:r>
      <w:r>
        <w:rPr>
          <w:rFonts w:ascii="宋体" w:hAnsi="宋体" w:eastAsia="宋体" w:cs="Times New Roman"/>
          <w:sz w:val="24"/>
          <w:szCs w:val="24"/>
        </w:rPr>
        <w:t>承包人在施工过程中所采用的专利、专有技术、技术秘密的使用费的承担方式：</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ascii="Times New Roman" w:hAnsi="Times New Roman" w:eastAsia="仿宋_GB2312" w:cs="Times New Roman"/>
          <w:kern w:val="0"/>
          <w:sz w:val="30"/>
          <w:szCs w:val="32"/>
        </w:rPr>
        <w:t>。</w:t>
      </w:r>
    </w:p>
    <w:p w14:paraId="501EF0DB">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450" w:name="_Toc9502"/>
      <w:bookmarkStart w:id="4451" w:name="_Toc46434119"/>
      <w:bookmarkStart w:id="4452" w:name="_Toc17139"/>
      <w:bookmarkStart w:id="4453" w:name="_Toc3255"/>
      <w:bookmarkStart w:id="4454" w:name="_Toc24970"/>
      <w:bookmarkStart w:id="4455" w:name="_Toc208587760"/>
      <w:bookmarkStart w:id="4456" w:name="_Toc201735535"/>
      <w:r>
        <w:rPr>
          <w:rFonts w:hint="eastAsia" w:ascii="宋体" w:hAnsi="宋体" w:eastAsia="宋体" w:cs="Times New Roman"/>
          <w:b/>
          <w:bCs/>
          <w:kern w:val="0"/>
          <w:sz w:val="24"/>
          <w:szCs w:val="32"/>
          <w:lang w:val="en-US" w:eastAsia="zh-CN" w:bidi="ar-SA"/>
        </w:rPr>
        <w:t>2.19</w:t>
      </w:r>
      <w:r>
        <w:rPr>
          <w:rFonts w:ascii="宋体" w:hAnsi="宋体" w:eastAsia="宋体" w:cs="Times New Roman"/>
          <w:b/>
          <w:bCs/>
          <w:kern w:val="0"/>
          <w:sz w:val="24"/>
          <w:szCs w:val="32"/>
          <w:lang w:val="en-US" w:eastAsia="zh-CN" w:bidi="ar-SA"/>
        </w:rPr>
        <w:t xml:space="preserve"> </w:t>
      </w:r>
      <w:r>
        <w:rPr>
          <w:rFonts w:hint="eastAsia" w:ascii="宋体" w:hAnsi="宋体" w:eastAsia="宋体" w:cs="Times New Roman"/>
          <w:b/>
          <w:bCs/>
          <w:kern w:val="0"/>
          <w:sz w:val="24"/>
          <w:szCs w:val="32"/>
          <w:lang w:val="en-US" w:eastAsia="zh-CN" w:bidi="ar-SA"/>
        </w:rPr>
        <w:t>绿色建筑</w:t>
      </w:r>
      <w:bookmarkEnd w:id="4450"/>
      <w:bookmarkEnd w:id="4451"/>
      <w:bookmarkEnd w:id="4452"/>
      <w:bookmarkEnd w:id="4453"/>
      <w:bookmarkEnd w:id="4454"/>
      <w:bookmarkEnd w:id="4455"/>
      <w:bookmarkEnd w:id="4456"/>
    </w:p>
    <w:p w14:paraId="2D5C00BE">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绿色建筑等级及标准要求：</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5D700598">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未达到合同约定的绿色建筑标准及要求的责任：</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74FE1C3F">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457" w:name="_Toc201735536"/>
      <w:bookmarkStart w:id="4458" w:name="_Toc26027"/>
      <w:bookmarkStart w:id="4459" w:name="_Toc23656"/>
      <w:bookmarkStart w:id="4460" w:name="_Toc7998"/>
      <w:bookmarkStart w:id="4461" w:name="_Toc208587761"/>
      <w:bookmarkStart w:id="4462" w:name="_Toc1601415388"/>
      <w:bookmarkStart w:id="4463" w:name="_Toc31458"/>
      <w:r>
        <w:rPr>
          <w:rFonts w:hint="eastAsia" w:ascii="宋体" w:hAnsi="宋体" w:eastAsia="宋体" w:cs="Times New Roman"/>
          <w:b/>
          <w:bCs/>
          <w:kern w:val="0"/>
          <w:sz w:val="24"/>
          <w:szCs w:val="32"/>
          <w:lang w:val="en-US" w:eastAsia="zh-CN" w:bidi="ar-SA"/>
        </w:rPr>
        <w:t>2.</w:t>
      </w:r>
      <w:r>
        <w:rPr>
          <w:rFonts w:ascii="宋体" w:hAnsi="宋体" w:eastAsia="宋体" w:cs="Times New Roman"/>
          <w:b/>
          <w:bCs/>
          <w:kern w:val="0"/>
          <w:sz w:val="24"/>
          <w:szCs w:val="32"/>
          <w:lang w:val="en-US" w:eastAsia="zh-CN" w:bidi="ar-SA"/>
        </w:rPr>
        <w:t>20</w:t>
      </w:r>
      <w:r>
        <w:rPr>
          <w:rFonts w:hint="eastAsia" w:ascii="宋体" w:hAnsi="宋体" w:eastAsia="宋体" w:cs="Times New Roman"/>
          <w:b/>
          <w:bCs/>
          <w:kern w:val="0"/>
          <w:sz w:val="24"/>
          <w:szCs w:val="32"/>
          <w:lang w:val="en-US" w:eastAsia="zh-CN" w:bidi="ar-SA"/>
        </w:rPr>
        <w:t xml:space="preserve"> 拆除工程</w:t>
      </w:r>
      <w:bookmarkEnd w:id="4457"/>
      <w:bookmarkEnd w:id="4458"/>
      <w:bookmarkEnd w:id="4459"/>
      <w:bookmarkEnd w:id="4460"/>
      <w:bookmarkEnd w:id="4461"/>
      <w:bookmarkEnd w:id="4462"/>
      <w:bookmarkEnd w:id="4463"/>
    </w:p>
    <w:p w14:paraId="0E0DE7DF">
      <w:pPr>
        <w:spacing w:line="360" w:lineRule="auto"/>
        <w:ind w:firstLine="480"/>
        <w:rPr>
          <w:rFonts w:hint="eastAsia" w:ascii="宋体" w:hAnsi="宋体" w:eastAsia="宋体" w:cs="Times New Roman"/>
          <w:bCs/>
          <w:sz w:val="24"/>
          <w:szCs w:val="24"/>
          <w:u w:val="single"/>
        </w:rPr>
      </w:pPr>
      <w:r>
        <w:rPr>
          <w:rFonts w:hint="eastAsia" w:ascii="宋体" w:hAnsi="宋体" w:eastAsia="宋体" w:cs="Times New Roman"/>
          <w:sz w:val="24"/>
          <w:szCs w:val="24"/>
          <w:lang w:eastAsia="zh-CN"/>
        </w:rPr>
        <w:t>发包人</w:t>
      </w:r>
      <w:r>
        <w:rPr>
          <w:rFonts w:hint="eastAsia" w:ascii="宋体" w:hAnsi="宋体" w:eastAsia="宋体" w:cs="Times New Roman"/>
          <w:kern w:val="0"/>
          <w:sz w:val="24"/>
          <w:szCs w:val="24"/>
        </w:rPr>
        <w:t>对拆除工程中可回收材料种类及残值</w:t>
      </w:r>
      <w:r>
        <w:rPr>
          <w:rFonts w:hint="eastAsia" w:ascii="宋体" w:hAnsi="宋体" w:eastAsia="宋体" w:cs="Times New Roman"/>
          <w:kern w:val="0"/>
          <w:sz w:val="24"/>
          <w:szCs w:val="24"/>
          <w:lang w:eastAsia="zh-CN"/>
        </w:rPr>
        <w:t>的评估方法和流程为：</w:t>
      </w:r>
      <w:r>
        <w:rPr>
          <w:rFonts w:hint="eastAsia" w:ascii="宋体" w:hAnsi="宋体" w:eastAsia="宋体" w:cs="Times New Roman"/>
          <w:bCs/>
          <w:sz w:val="24"/>
          <w:szCs w:val="24"/>
          <w:u w:val="single"/>
        </w:rPr>
        <w:t xml:space="preserve">                       </w:t>
      </w:r>
    </w:p>
    <w:p w14:paraId="0C236C2F">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61394EE2">
      <w:pPr>
        <w:spacing w:line="360" w:lineRule="auto"/>
        <w:ind w:firstLine="480"/>
        <w:rPr>
          <w:rFonts w:hint="eastAsia" w:ascii="宋体" w:hAnsi="宋体" w:eastAsia="宋体" w:cs="Times New Roman"/>
          <w:bCs/>
          <w:sz w:val="24"/>
          <w:szCs w:val="24"/>
          <w:u w:val="single"/>
        </w:rPr>
      </w:pPr>
      <w:r>
        <w:rPr>
          <w:rFonts w:hint="eastAsia" w:ascii="宋体" w:hAnsi="宋体" w:eastAsia="宋体" w:cs="Times New Roman"/>
          <w:kern w:val="0"/>
          <w:sz w:val="24"/>
          <w:szCs w:val="24"/>
        </w:rPr>
        <w:t>拆除工程可回收材料的种类、残值计算方法及处置方式</w:t>
      </w:r>
      <w:r>
        <w:rPr>
          <w:rFonts w:hint="eastAsia" w:ascii="宋体" w:hAnsi="宋体" w:eastAsia="宋体" w:cs="Times New Roman"/>
          <w:sz w:val="24"/>
          <w:szCs w:val="24"/>
          <w:lang w:eastAsia="zh-CN"/>
        </w:rPr>
        <w:t>为</w:t>
      </w:r>
      <w:r>
        <w:rPr>
          <w:rFonts w:hint="eastAsia" w:ascii="宋体" w:hAnsi="宋体" w:eastAsia="宋体" w:cs="Times New Roman"/>
          <w:sz w:val="24"/>
          <w:szCs w:val="24"/>
        </w:rPr>
        <w:t>：</w:t>
      </w:r>
      <w:r>
        <w:rPr>
          <w:rFonts w:hint="eastAsia" w:ascii="宋体" w:hAnsi="宋体" w:eastAsia="宋体" w:cs="Times New Roman"/>
          <w:bCs/>
          <w:sz w:val="24"/>
          <w:szCs w:val="24"/>
          <w:u w:val="single"/>
        </w:rPr>
        <w:t xml:space="preserve">                       </w:t>
      </w:r>
    </w:p>
    <w:p w14:paraId="11B0F5B5">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bookmarkEnd w:id="4408"/>
    <w:p w14:paraId="3ADB7BAB">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kern w:val="0"/>
          <w:sz w:val="28"/>
          <w:szCs w:val="44"/>
          <w:lang w:val="en-US" w:eastAsia="zh-CN" w:bidi="ar-SA"/>
        </w:rPr>
      </w:pPr>
      <w:bookmarkStart w:id="4464" w:name="_Toc21850"/>
      <w:bookmarkStart w:id="4465" w:name="_Toc201735537"/>
      <w:bookmarkStart w:id="4466" w:name="_Toc1683"/>
      <w:bookmarkStart w:id="4467" w:name="_Toc22080"/>
      <w:bookmarkStart w:id="4468" w:name="_Toc305331438"/>
      <w:bookmarkStart w:id="4469" w:name="_Toc24572"/>
      <w:bookmarkStart w:id="4470" w:name="_Toc14090"/>
      <w:bookmarkStart w:id="4471" w:name="_Toc170445204"/>
      <w:bookmarkStart w:id="4472" w:name="_Toc16256"/>
      <w:bookmarkStart w:id="4473" w:name="_Toc2291"/>
      <w:bookmarkStart w:id="4474" w:name="_Toc6288"/>
      <w:bookmarkStart w:id="4475" w:name="_Toc208587762"/>
      <w:bookmarkStart w:id="4476" w:name="_Toc302635952"/>
      <w:bookmarkStart w:id="4477" w:name="_Toc35656523"/>
      <w:bookmarkStart w:id="4478" w:name="_Toc8763"/>
      <w:bookmarkStart w:id="4479" w:name="_Toc8726"/>
      <w:r>
        <w:rPr>
          <w:rFonts w:hint="eastAsia" w:ascii="华文细黑" w:hAnsi="宋体" w:eastAsia="宋体" w:cs="Times New Roman"/>
          <w:b/>
          <w:bCs/>
          <w:snapToGrid w:val="0"/>
          <w:kern w:val="0"/>
          <w:sz w:val="28"/>
          <w:szCs w:val="44"/>
          <w:lang w:val="en-US" w:eastAsia="zh-CN" w:bidi="ar-SA"/>
        </w:rPr>
        <w:t>3 发包人</w:t>
      </w:r>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p>
    <w:p w14:paraId="0A5CBBF5">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480" w:name="_Toc5733"/>
      <w:bookmarkStart w:id="4481" w:name="_Toc2014"/>
      <w:bookmarkStart w:id="4482" w:name="_Toc305331439"/>
      <w:bookmarkStart w:id="4483" w:name="_Toc21394"/>
      <w:bookmarkStart w:id="4484" w:name="_Toc29881"/>
      <w:bookmarkStart w:id="4485" w:name="_Toc24754"/>
      <w:bookmarkStart w:id="4486" w:name="_Toc10852"/>
      <w:bookmarkStart w:id="4487" w:name="_Toc1805789551"/>
      <w:bookmarkStart w:id="4488" w:name="_Toc6227"/>
      <w:bookmarkStart w:id="4489" w:name="_Toc208587763"/>
      <w:bookmarkStart w:id="4490" w:name="_Toc16465"/>
      <w:bookmarkStart w:id="4491" w:name="_Toc302635953"/>
      <w:bookmarkStart w:id="4492" w:name="_Toc28355"/>
      <w:bookmarkStart w:id="4493" w:name="_Toc201735538"/>
      <w:bookmarkStart w:id="4494" w:name="_Toc23659"/>
      <w:r>
        <w:rPr>
          <w:rFonts w:hint="eastAsia" w:ascii="宋体" w:hAnsi="宋体" w:eastAsia="宋体" w:cs="Times New Roman"/>
          <w:b/>
          <w:bCs/>
          <w:kern w:val="0"/>
          <w:sz w:val="24"/>
          <w:szCs w:val="32"/>
          <w:lang w:val="en-US" w:eastAsia="zh-CN" w:bidi="ar-SA"/>
        </w:rPr>
        <w:t>3.1 发包人代表</w:t>
      </w:r>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p>
    <w:p w14:paraId="63A64A85">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发包人代表的姓名：</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302F9295">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发包人代表的联系方式：</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04328CD0">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发包人代表的授权范围：</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56970BD7">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495" w:name="_Toc29619"/>
      <w:bookmarkStart w:id="4496" w:name="_Toc305331440"/>
      <w:bookmarkStart w:id="4497" w:name="_Toc2066502500"/>
      <w:bookmarkStart w:id="4498" w:name="_Toc29925"/>
      <w:bookmarkStart w:id="4499" w:name="_Toc10108"/>
      <w:bookmarkStart w:id="4500" w:name="_Toc13645"/>
      <w:bookmarkStart w:id="4501" w:name="_Toc13269"/>
      <w:bookmarkStart w:id="4502" w:name="_Toc17714"/>
      <w:bookmarkStart w:id="4503" w:name="_Toc201735539"/>
      <w:bookmarkStart w:id="4504" w:name="_Toc9169"/>
      <w:bookmarkStart w:id="4505" w:name="_Toc302635954"/>
      <w:bookmarkStart w:id="4506" w:name="_Toc9979"/>
      <w:bookmarkStart w:id="4507" w:name="_Toc208587764"/>
      <w:bookmarkStart w:id="4508" w:name="_Toc22486"/>
      <w:bookmarkStart w:id="4509" w:name="_Toc13056"/>
      <w:r>
        <w:rPr>
          <w:rFonts w:hint="eastAsia" w:ascii="宋体" w:hAnsi="宋体" w:eastAsia="宋体" w:cs="Times New Roman"/>
          <w:b/>
          <w:bCs/>
          <w:kern w:val="0"/>
          <w:sz w:val="24"/>
          <w:szCs w:val="32"/>
          <w:lang w:val="en-US" w:eastAsia="zh-CN" w:bidi="ar-SA"/>
        </w:rPr>
        <w:t>3.4 发包人的工作</w:t>
      </w:r>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p>
    <w:p w14:paraId="621843EF">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(1)发包人完成工作的要求：</w:t>
      </w:r>
    </w:p>
    <w:p w14:paraId="11DB28F3">
      <w:pPr>
        <w:spacing w:line="360" w:lineRule="auto"/>
        <w:ind w:firstLine="480"/>
        <w:rPr>
          <w:rFonts w:hint="eastAsia" w:ascii="宋体" w:hAnsi="宋体" w:eastAsia="宋体" w:cs="Times New Roman"/>
          <w:bCs/>
          <w:sz w:val="24"/>
          <w:szCs w:val="24"/>
          <w:u w:val="single"/>
        </w:rPr>
      </w:pPr>
      <w:r>
        <w:rPr>
          <w:rFonts w:hint="eastAsia" w:ascii="宋体" w:hAnsi="宋体" w:eastAsia="宋体" w:cs="Times New Roman"/>
          <w:sz w:val="24"/>
          <w:szCs w:val="24"/>
        </w:rPr>
        <w:t>②施工场地内施工所需用水、用电、通讯的接驳地点：</w:t>
      </w:r>
      <w:r>
        <w:rPr>
          <w:rFonts w:hint="eastAsia" w:ascii="宋体" w:hAnsi="宋体" w:eastAsia="宋体" w:cs="Times New Roman"/>
          <w:bCs/>
          <w:sz w:val="24"/>
          <w:szCs w:val="24"/>
          <w:u w:val="single"/>
        </w:rPr>
        <w:t xml:space="preserve">                       </w:t>
      </w:r>
    </w:p>
    <w:p w14:paraId="422342CA">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79562546">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236CB968">
      <w:pPr>
        <w:spacing w:line="360" w:lineRule="auto"/>
        <w:rPr>
          <w:rFonts w:ascii="宋体" w:hAnsi="宋体" w:eastAsia="宋体" w:cs="Times New Roman"/>
          <w:sz w:val="24"/>
          <w:szCs w:val="24"/>
          <w:u w:val="single"/>
        </w:rPr>
      </w:pPr>
      <w:r>
        <w:rPr>
          <w:rFonts w:hint="eastAsia" w:ascii="宋体" w:hAnsi="宋体" w:eastAsia="宋体" w:cs="Times New Roman"/>
          <w:bCs/>
          <w:sz w:val="24"/>
          <w:szCs w:val="24"/>
          <w:u w:val="single"/>
        </w:rPr>
        <w:t xml:space="preserve">                                                                           </w:t>
      </w:r>
    </w:p>
    <w:p w14:paraId="6563718A">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⑦发包人组织图纸会审和设计交底的时间：</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0F5855B3">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⑨发包人应做的其他工作和要求：</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7E2789BF">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2A44AFD1">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0C7D598B">
      <w:pPr>
        <w:spacing w:line="360" w:lineRule="auto"/>
        <w:rPr>
          <w:rFonts w:ascii="宋体" w:hAnsi="宋体" w:eastAsia="宋体" w:cs="Times New Roman"/>
          <w:sz w:val="24"/>
          <w:szCs w:val="24"/>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50FAD2B9">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510" w:name="_Toc30959"/>
      <w:bookmarkStart w:id="4511" w:name="_Toc6612"/>
      <w:bookmarkStart w:id="4512" w:name="_Toc23268"/>
      <w:bookmarkStart w:id="4513" w:name="_Toc9319"/>
      <w:bookmarkStart w:id="4514" w:name="_Toc20319"/>
      <w:bookmarkStart w:id="4515" w:name="_Toc201735540"/>
      <w:bookmarkStart w:id="4516" w:name="_Toc305331441"/>
      <w:bookmarkStart w:id="4517" w:name="_Toc30793"/>
      <w:bookmarkStart w:id="4518" w:name="_Toc208587765"/>
      <w:bookmarkStart w:id="4519" w:name="_Toc14267"/>
      <w:bookmarkStart w:id="4520" w:name="_Toc302635955"/>
      <w:bookmarkStart w:id="4521" w:name="_Toc11865"/>
      <w:bookmarkStart w:id="4522" w:name="_Toc9389"/>
      <w:bookmarkStart w:id="4523" w:name="_Toc1699575229"/>
      <w:bookmarkStart w:id="4524" w:name="_Toc5936"/>
      <w:r>
        <w:rPr>
          <w:rFonts w:hint="eastAsia" w:ascii="宋体" w:hAnsi="宋体" w:eastAsia="宋体" w:cs="Times New Roman"/>
          <w:b/>
          <w:bCs/>
          <w:kern w:val="0"/>
          <w:sz w:val="24"/>
          <w:szCs w:val="32"/>
          <w:lang w:val="en-US" w:eastAsia="zh-CN" w:bidi="ar-SA"/>
        </w:rPr>
        <w:t>3.5 发包人委托</w:t>
      </w:r>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p>
    <w:p w14:paraId="2347DF82">
      <w:pPr>
        <w:spacing w:line="360" w:lineRule="auto"/>
        <w:ind w:firstLine="480"/>
        <w:rPr>
          <w:rFonts w:hint="eastAsia" w:ascii="宋体" w:hAnsi="宋体" w:eastAsia="宋体" w:cs="Times New Roman"/>
          <w:bCs/>
          <w:sz w:val="24"/>
          <w:szCs w:val="24"/>
          <w:u w:val="single"/>
        </w:rPr>
      </w:pPr>
      <w:r>
        <w:rPr>
          <w:rFonts w:hint="eastAsia" w:ascii="宋体" w:hAnsi="宋体" w:eastAsia="宋体" w:cs="Times New Roman"/>
          <w:sz w:val="24"/>
          <w:szCs w:val="24"/>
        </w:rPr>
        <w:t>发包人委托承包人办理的工作：</w:t>
      </w:r>
      <w:bookmarkStart w:id="4525" w:name="_Toc35656524"/>
      <w:r>
        <w:rPr>
          <w:rFonts w:hint="eastAsia" w:ascii="宋体" w:hAnsi="宋体" w:eastAsia="宋体" w:cs="Times New Roman"/>
          <w:bCs/>
          <w:sz w:val="24"/>
          <w:szCs w:val="24"/>
          <w:u w:val="single"/>
        </w:rPr>
        <w:t xml:space="preserve">                                           </w:t>
      </w:r>
    </w:p>
    <w:p w14:paraId="5DCC10A5">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5A38B041">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06DCA2D5">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7959ACCF">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229C73F5">
      <w:pPr>
        <w:spacing w:line="360" w:lineRule="auto"/>
        <w:rPr>
          <w:rFonts w:ascii="宋体" w:hAnsi="宋体" w:eastAsia="宋体" w:cs="Times New Roman"/>
          <w:sz w:val="24"/>
          <w:szCs w:val="24"/>
          <w:u w:val="single"/>
        </w:rPr>
      </w:pPr>
      <w:r>
        <w:rPr>
          <w:rFonts w:hint="eastAsia" w:ascii="宋体" w:hAnsi="宋体" w:eastAsia="宋体" w:cs="Times New Roman"/>
          <w:bCs/>
          <w:sz w:val="24"/>
          <w:szCs w:val="24"/>
          <w:u w:val="single"/>
        </w:rPr>
        <w:t xml:space="preserve">                                                                           </w:t>
      </w:r>
    </w:p>
    <w:p w14:paraId="2CC20E5A">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kern w:val="0"/>
          <w:sz w:val="28"/>
          <w:szCs w:val="44"/>
          <w:lang w:val="en-US" w:eastAsia="zh-CN" w:bidi="ar-SA"/>
        </w:rPr>
      </w:pPr>
      <w:bookmarkStart w:id="4526" w:name="_Toc201735541"/>
      <w:bookmarkStart w:id="4527" w:name="_Toc302635956"/>
      <w:bookmarkStart w:id="4528" w:name="_Toc1816"/>
      <w:bookmarkStart w:id="4529" w:name="_Toc24660"/>
      <w:bookmarkStart w:id="4530" w:name="_Toc208587766"/>
      <w:bookmarkStart w:id="4531" w:name="_Toc30258"/>
      <w:bookmarkStart w:id="4532" w:name="_Toc305331442"/>
      <w:bookmarkStart w:id="4533" w:name="_Toc1905173920"/>
      <w:bookmarkStart w:id="4534" w:name="_Toc9672"/>
      <w:bookmarkStart w:id="4535" w:name="_Toc9807"/>
      <w:bookmarkStart w:id="4536" w:name="_Toc17154"/>
      <w:bookmarkStart w:id="4537" w:name="_Toc18284"/>
      <w:bookmarkStart w:id="4538" w:name="_Toc16857"/>
      <w:bookmarkStart w:id="4539" w:name="_Toc12265"/>
      <w:bookmarkStart w:id="4540" w:name="_Toc29522"/>
      <w:r>
        <w:rPr>
          <w:rFonts w:hint="eastAsia" w:ascii="华文细黑" w:hAnsi="宋体" w:eastAsia="宋体" w:cs="Times New Roman"/>
          <w:b/>
          <w:bCs/>
          <w:snapToGrid w:val="0"/>
          <w:kern w:val="0"/>
          <w:sz w:val="28"/>
          <w:szCs w:val="44"/>
          <w:lang w:val="en-US" w:eastAsia="zh-CN" w:bidi="ar-SA"/>
        </w:rPr>
        <w:t>4 承包人</w:t>
      </w:r>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p>
    <w:p w14:paraId="5E91380D">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541" w:name="_Toc7416"/>
      <w:bookmarkStart w:id="4542" w:name="_Toc15137"/>
      <w:bookmarkStart w:id="4543" w:name="_Toc208587767"/>
      <w:bookmarkStart w:id="4544" w:name="_Toc31470"/>
      <w:bookmarkStart w:id="4545" w:name="_Toc10302"/>
      <w:bookmarkStart w:id="4546" w:name="_Toc302635957"/>
      <w:bookmarkStart w:id="4547" w:name="_Toc305331443"/>
      <w:bookmarkStart w:id="4548" w:name="_Toc10471"/>
      <w:bookmarkStart w:id="4549" w:name="_Toc30525"/>
      <w:bookmarkStart w:id="4550" w:name="_Toc26573"/>
      <w:bookmarkStart w:id="4551" w:name="_Toc718290549"/>
      <w:bookmarkStart w:id="4552" w:name="_Toc201735542"/>
      <w:bookmarkStart w:id="4553" w:name="_Toc24327"/>
      <w:bookmarkStart w:id="4554" w:name="_Toc28927"/>
      <w:bookmarkStart w:id="4555" w:name="_Toc1331"/>
      <w:r>
        <w:rPr>
          <w:rFonts w:hint="eastAsia" w:ascii="宋体" w:hAnsi="宋体" w:eastAsia="宋体" w:cs="Times New Roman"/>
          <w:b/>
          <w:bCs/>
          <w:kern w:val="0"/>
          <w:sz w:val="24"/>
          <w:szCs w:val="32"/>
          <w:lang w:val="en-US" w:eastAsia="zh-CN" w:bidi="ar-SA"/>
        </w:rPr>
        <w:t>4.2 承包人的工作</w:t>
      </w:r>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p>
    <w:p w14:paraId="5F702D3B">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(1)承包人完成工作的要求：</w:t>
      </w:r>
    </w:p>
    <w:p w14:paraId="71A103D8">
      <w:pPr>
        <w:spacing w:line="360" w:lineRule="auto"/>
        <w:ind w:firstLine="480"/>
        <w:rPr>
          <w:rFonts w:hint="eastAsia" w:ascii="宋体" w:hAnsi="宋体" w:eastAsia="宋体" w:cs="Times New Roman"/>
          <w:sz w:val="24"/>
          <w:szCs w:val="24"/>
          <w:u w:val="single"/>
        </w:rPr>
      </w:pPr>
      <w:bookmarkStart w:id="4556" w:name="_Toc35656527"/>
      <w:bookmarkStart w:id="4557" w:name="_Toc35656525"/>
      <w:r>
        <w:rPr>
          <w:rFonts w:hint="eastAsia" w:ascii="宋体" w:hAnsi="宋体" w:eastAsia="宋体" w:cs="Times New Roman"/>
          <w:sz w:val="24"/>
          <w:szCs w:val="24"/>
        </w:rPr>
        <w:t>③承包人向发包人提供施工场地办公和生活的房屋及设施，费用承担方式为：</w:t>
      </w:r>
      <w:r>
        <w:rPr>
          <w:rFonts w:hint="eastAsia" w:ascii="宋体" w:hAnsi="宋体" w:eastAsia="宋体" w:cs="Times New Roman"/>
          <w:sz w:val="24"/>
          <w:szCs w:val="24"/>
          <w:u w:val="single"/>
        </w:rPr>
        <w:t xml:space="preserve">                                                                       </w:t>
      </w:r>
    </w:p>
    <w:p w14:paraId="12F5D641">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7DB6E611">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⑧承包人应在</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前向发包人提交</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套竣工资料；</w:t>
      </w:r>
    </w:p>
    <w:p w14:paraId="66593268">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⑨约定承包人应做的其他工作：</w:t>
      </w:r>
      <w:r>
        <w:rPr>
          <w:rFonts w:hint="eastAsia" w:ascii="宋体" w:hAnsi="宋体" w:eastAsia="宋体" w:cs="Times New Roman"/>
          <w:sz w:val="24"/>
          <w:szCs w:val="24"/>
          <w:u w:val="single"/>
        </w:rPr>
        <w:t xml:space="preserve">                                            </w:t>
      </w:r>
    </w:p>
    <w:p w14:paraId="3F9152E6">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2708C3E0">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147D6972">
      <w:pPr>
        <w:spacing w:line="360" w:lineRule="auto"/>
        <w:rPr>
          <w:rFonts w:hint="eastAsia" w:ascii="宋体" w:hAnsi="宋体" w:eastAsia="宋体" w:cs="Times New Roman"/>
          <w:sz w:val="24"/>
          <w:szCs w:val="24"/>
        </w:rPr>
      </w:pP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 xml:space="preserve">  </w:t>
      </w:r>
    </w:p>
    <w:p w14:paraId="3E43FAC0">
      <w:pPr>
        <w:spacing w:line="360" w:lineRule="auto"/>
        <w:rPr>
          <w:rFonts w:hint="eastAsia" w:ascii="宋体" w:hAnsi="宋体" w:eastAsia="宋体" w:cs="Times New Roman"/>
          <w:sz w:val="24"/>
          <w:szCs w:val="24"/>
        </w:rPr>
      </w:pP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 xml:space="preserve">  </w:t>
      </w:r>
    </w:p>
    <w:p w14:paraId="2B428AFE">
      <w:pPr>
        <w:widowControl w:val="0"/>
        <w:numPr>
          <w:ilvl w:val="0"/>
          <w:numId w:val="0"/>
        </w:numPr>
        <w:tabs>
          <w:tab w:val="left" w:pos="540"/>
          <w:tab w:val="left" w:pos="2340"/>
        </w:tabs>
        <w:spacing w:before="120" w:after="156"/>
        <w:ind w:left="180"/>
        <w:jc w:val="left"/>
        <w:outlineLvl w:val="1"/>
        <w:rPr>
          <w:rFonts w:ascii="宋体" w:hAnsi="宋体" w:eastAsia="宋体" w:cs="Times New Roman"/>
          <w:b/>
          <w:bCs/>
          <w:kern w:val="0"/>
          <w:sz w:val="24"/>
          <w:szCs w:val="32"/>
          <w:lang w:val="en-US" w:eastAsia="zh-CN" w:bidi="ar-SA"/>
        </w:rPr>
      </w:pPr>
      <w:bookmarkStart w:id="4558" w:name="_Toc13209"/>
      <w:bookmarkStart w:id="4559" w:name="_Toc18206"/>
      <w:bookmarkStart w:id="4560" w:name="_Toc13477"/>
      <w:bookmarkStart w:id="4561" w:name="_Toc11245"/>
      <w:bookmarkStart w:id="4562" w:name="_Toc20209"/>
      <w:bookmarkStart w:id="4563" w:name="_Toc201735543"/>
      <w:bookmarkStart w:id="4564" w:name="_Toc305331444"/>
      <w:bookmarkStart w:id="4565" w:name="_Toc4341"/>
      <w:bookmarkStart w:id="4566" w:name="_Toc1475272601"/>
      <w:bookmarkStart w:id="4567" w:name="_Toc16080"/>
      <w:bookmarkStart w:id="4568" w:name="_Toc30107"/>
      <w:bookmarkStart w:id="4569" w:name="_Toc8361"/>
      <w:bookmarkStart w:id="4570" w:name="_Toc7244"/>
      <w:bookmarkStart w:id="4571" w:name="_Toc302635958"/>
      <w:bookmarkStart w:id="4572" w:name="_Toc208587768"/>
      <w:r>
        <w:rPr>
          <w:rFonts w:hint="eastAsia" w:ascii="宋体" w:hAnsi="宋体" w:eastAsia="宋体" w:cs="Times New Roman"/>
          <w:b/>
          <w:bCs/>
          <w:kern w:val="0"/>
          <w:sz w:val="24"/>
          <w:szCs w:val="32"/>
          <w:lang w:val="en-US" w:eastAsia="zh-CN" w:bidi="ar-SA"/>
        </w:rPr>
        <w:t>4.3</w:t>
      </w:r>
      <w:bookmarkEnd w:id="4556"/>
      <w:r>
        <w:rPr>
          <w:rFonts w:ascii="宋体" w:hAnsi="宋体" w:eastAsia="宋体" w:cs="Times New Roman"/>
          <w:b/>
          <w:bCs/>
          <w:kern w:val="0"/>
          <w:sz w:val="24"/>
          <w:szCs w:val="32"/>
          <w:lang w:val="en-US" w:eastAsia="zh-CN" w:bidi="ar-SA"/>
        </w:rPr>
        <w:t xml:space="preserve"> </w:t>
      </w:r>
      <w:r>
        <w:rPr>
          <w:rFonts w:hint="eastAsia" w:ascii="宋体" w:hAnsi="宋体" w:eastAsia="宋体" w:cs="Times New Roman"/>
          <w:b/>
          <w:bCs/>
          <w:kern w:val="0"/>
          <w:sz w:val="24"/>
          <w:szCs w:val="32"/>
          <w:lang w:val="en-US" w:eastAsia="zh-CN" w:bidi="ar-SA"/>
        </w:rPr>
        <w:t>项目经理的任命</w:t>
      </w:r>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p>
    <w:p w14:paraId="56187800">
      <w:pPr>
        <w:spacing w:line="360" w:lineRule="auto"/>
        <w:ind w:left="2" w:firstLine="480"/>
        <w:rPr>
          <w:rFonts w:hint="eastAsia" w:ascii="宋体" w:hAnsi="宋体" w:eastAsia="宋体" w:cs="Times New Roman"/>
          <w:sz w:val="24"/>
          <w:szCs w:val="24"/>
          <w:u w:val="single"/>
        </w:rPr>
      </w:pPr>
      <w:r>
        <w:rPr>
          <w:rFonts w:hint="eastAsia" w:ascii="宋体" w:hAnsi="宋体" w:eastAsia="宋体" w:cs="Times New Roman"/>
          <w:sz w:val="24"/>
          <w:szCs w:val="24"/>
        </w:rPr>
        <w:t>(2)承包人任命的项目经理姓名：</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，资格证书号：</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，联系方式：</w:t>
      </w:r>
      <w:r>
        <w:rPr>
          <w:rFonts w:hint="eastAsia" w:ascii="宋体" w:hAnsi="宋体" w:eastAsia="宋体" w:cs="Times New Roman"/>
          <w:sz w:val="24"/>
          <w:szCs w:val="24"/>
          <w:u w:val="single"/>
        </w:rPr>
        <w:t xml:space="preserve">                   </w:t>
      </w:r>
    </w:p>
    <w:p w14:paraId="297DA591">
      <w:pPr>
        <w:spacing w:line="360" w:lineRule="auto"/>
        <w:ind w:left="2" w:firstLine="480"/>
        <w:rPr>
          <w:rFonts w:hint="eastAsia" w:ascii="宋体" w:hAnsi="宋体" w:eastAsia="宋体" w:cs="Times New Roman"/>
          <w:sz w:val="24"/>
          <w:szCs w:val="24"/>
        </w:rPr>
      </w:pPr>
      <w:r>
        <w:rPr>
          <w:rFonts w:hint="eastAsia" w:ascii="宋体" w:hAnsi="宋体" w:eastAsia="宋体" w:cs="Times New Roman"/>
          <w:sz w:val="24"/>
          <w:szCs w:val="24"/>
        </w:rPr>
        <w:t>(3)承包人的项目经理与投标文件的承诺不一致，或项目经理未及时到位、未常驻现场、每月在施工现场时间少于</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rPr>
        <w:t>天，或同时兼任承包人</w:t>
      </w:r>
      <w:r>
        <w:rPr>
          <w:rFonts w:ascii="宋体" w:hAnsi="宋体" w:eastAsia="宋体" w:cs="Times New Roman"/>
          <w:sz w:val="24"/>
          <w:szCs w:val="24"/>
        </w:rPr>
        <w:t>其他</w:t>
      </w:r>
      <w:r>
        <w:rPr>
          <w:rFonts w:hint="eastAsia" w:ascii="宋体" w:hAnsi="宋体" w:eastAsia="宋体" w:cs="Times New Roman"/>
          <w:sz w:val="24"/>
          <w:szCs w:val="24"/>
        </w:rPr>
        <w:t>工程</w:t>
      </w:r>
      <w:r>
        <w:rPr>
          <w:rFonts w:ascii="宋体" w:hAnsi="宋体" w:eastAsia="宋体" w:cs="Times New Roman"/>
          <w:sz w:val="24"/>
          <w:szCs w:val="24"/>
        </w:rPr>
        <w:t>的</w:t>
      </w:r>
      <w:r>
        <w:rPr>
          <w:rFonts w:hint="eastAsia" w:ascii="宋体" w:hAnsi="宋体" w:eastAsia="宋体" w:cs="Times New Roman"/>
          <w:sz w:val="24"/>
          <w:szCs w:val="24"/>
        </w:rPr>
        <w:t>项目经理的，承包人应向发包人支付违约金每次</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7E642F83">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573" w:name="_Toc3940"/>
      <w:bookmarkStart w:id="4574" w:name="_Toc201735544"/>
      <w:bookmarkStart w:id="4575" w:name="_Toc305331445"/>
      <w:bookmarkStart w:id="4576" w:name="_Toc19"/>
      <w:bookmarkStart w:id="4577" w:name="_Toc302635959"/>
      <w:bookmarkStart w:id="4578" w:name="_Toc17287"/>
      <w:bookmarkStart w:id="4579" w:name="_Toc27786"/>
      <w:bookmarkStart w:id="4580" w:name="_Toc208587769"/>
      <w:bookmarkStart w:id="4581" w:name="_Toc19082"/>
      <w:bookmarkStart w:id="4582" w:name="_Toc23011"/>
      <w:bookmarkStart w:id="4583" w:name="_Toc766877393"/>
      <w:bookmarkStart w:id="4584" w:name="_Toc9436"/>
      <w:bookmarkStart w:id="4585" w:name="_Toc17469"/>
      <w:bookmarkStart w:id="4586" w:name="_Toc1950"/>
      <w:bookmarkStart w:id="4587" w:name="_Toc14516"/>
      <w:r>
        <w:rPr>
          <w:rFonts w:hint="eastAsia" w:ascii="宋体" w:hAnsi="宋体" w:eastAsia="宋体" w:cs="Times New Roman"/>
          <w:b/>
          <w:bCs/>
          <w:kern w:val="0"/>
          <w:sz w:val="24"/>
          <w:szCs w:val="32"/>
          <w:lang w:val="en-US" w:eastAsia="zh-CN" w:bidi="ar-SA"/>
        </w:rPr>
        <w:t>4.4 项目经理的更换</w:t>
      </w:r>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p>
    <w:p w14:paraId="67F4A10C">
      <w:pPr>
        <w:spacing w:line="360" w:lineRule="auto"/>
        <w:ind w:left="2" w:firstLine="480"/>
        <w:rPr>
          <w:rFonts w:hint="eastAsia" w:ascii="宋体" w:hAnsi="宋体" w:eastAsia="宋体" w:cs="Times New Roman"/>
          <w:sz w:val="24"/>
          <w:szCs w:val="24"/>
        </w:rPr>
      </w:pPr>
      <w:r>
        <w:rPr>
          <w:rFonts w:hint="eastAsia" w:ascii="宋体" w:hAnsi="宋体" w:eastAsia="宋体" w:cs="Times New Roman"/>
          <w:sz w:val="24"/>
          <w:szCs w:val="24"/>
        </w:rPr>
        <w:t>(2)承包人未经监理工程师及发包人同意更换项目经理的，承包人应向发包人支付违约金</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元／次。</w:t>
      </w:r>
    </w:p>
    <w:p w14:paraId="468764E4">
      <w:pPr>
        <w:spacing w:line="360" w:lineRule="auto"/>
        <w:ind w:left="2" w:firstLine="480"/>
        <w:rPr>
          <w:rFonts w:hint="eastAsia" w:ascii="宋体" w:hAnsi="宋体" w:eastAsia="宋体" w:cs="Times New Roman"/>
          <w:sz w:val="24"/>
          <w:szCs w:val="24"/>
          <w:u w:val="single"/>
        </w:rPr>
      </w:pPr>
      <w:r>
        <w:rPr>
          <w:rFonts w:ascii="宋体" w:hAnsi="宋体" w:eastAsia="宋体" w:cs="Times New Roman"/>
          <w:sz w:val="24"/>
          <w:szCs w:val="24"/>
        </w:rPr>
        <w:t>(3)</w:t>
      </w:r>
      <w:r>
        <w:rPr>
          <w:rFonts w:hint="eastAsia" w:ascii="宋体" w:hAnsi="宋体" w:eastAsia="宋体" w:cs="Times New Roman"/>
          <w:sz w:val="24"/>
          <w:szCs w:val="24"/>
        </w:rPr>
        <w:t>承包人无正当理由拒绝更换项目经理的违约责任：</w:t>
      </w:r>
      <w:r>
        <w:rPr>
          <w:rFonts w:hint="eastAsia" w:ascii="宋体" w:hAnsi="宋体" w:eastAsia="宋体" w:cs="Times New Roman"/>
          <w:sz w:val="24"/>
          <w:szCs w:val="24"/>
          <w:u w:val="single"/>
        </w:rPr>
        <w:t xml:space="preserve">                         </w:t>
      </w:r>
    </w:p>
    <w:p w14:paraId="35C454D2">
      <w:pPr>
        <w:widowControl w:val="0"/>
        <w:numPr>
          <w:ilvl w:val="0"/>
          <w:numId w:val="0"/>
        </w:numPr>
        <w:tabs>
          <w:tab w:val="left" w:pos="540"/>
          <w:tab w:val="left" w:pos="2340"/>
        </w:tabs>
        <w:spacing w:before="120" w:after="156"/>
        <w:jc w:val="left"/>
        <w:outlineLvl w:val="1"/>
        <w:rPr>
          <w:rFonts w:hint="eastAsia" w:ascii="宋体" w:hAnsi="宋体" w:eastAsia="宋体" w:cs="Times New Roman"/>
          <w:b/>
          <w:bCs/>
          <w:kern w:val="0"/>
          <w:sz w:val="24"/>
          <w:szCs w:val="32"/>
          <w:lang w:val="en-US" w:eastAsia="zh-CN" w:bidi="ar-SA"/>
        </w:rPr>
      </w:pPr>
      <w:bookmarkStart w:id="4588" w:name="_Toc305331446"/>
      <w:r>
        <w:rPr>
          <w:rFonts w:hint="eastAsia" w:ascii="宋体" w:hAnsi="宋体" w:eastAsia="宋体" w:cs="Times New Roman"/>
          <w:b/>
          <w:bCs/>
          <w:kern w:val="0"/>
          <w:sz w:val="24"/>
          <w:szCs w:val="32"/>
          <w:u w:val="single"/>
          <w:lang w:val="en-US" w:eastAsia="zh-CN" w:bidi="ar-SA"/>
        </w:rPr>
        <w:t xml:space="preserve">                                                                            </w:t>
      </w:r>
      <w:r>
        <w:rPr>
          <w:rFonts w:hint="eastAsia" w:ascii="宋体" w:hAnsi="宋体" w:eastAsia="宋体" w:cs="Times New Roman"/>
          <w:b/>
          <w:bCs/>
          <w:kern w:val="0"/>
          <w:sz w:val="24"/>
          <w:szCs w:val="32"/>
          <w:lang w:val="en-US" w:eastAsia="zh-CN" w:bidi="ar-SA"/>
        </w:rPr>
        <w:t xml:space="preserve">  </w:t>
      </w:r>
      <w:bookmarkStart w:id="4589" w:name="_Toc2996"/>
      <w:bookmarkStart w:id="4590" w:name="_Toc201735545"/>
      <w:bookmarkStart w:id="4591" w:name="_Toc3999"/>
      <w:bookmarkStart w:id="4592" w:name="_Toc302635960"/>
      <w:bookmarkStart w:id="4593" w:name="_Toc4547"/>
      <w:bookmarkStart w:id="4594" w:name="_Toc15095"/>
      <w:bookmarkStart w:id="4595" w:name="_Toc9675"/>
      <w:bookmarkStart w:id="4596" w:name="_Toc11924"/>
      <w:bookmarkStart w:id="4597" w:name="_Toc28326"/>
      <w:bookmarkStart w:id="4598" w:name="_Toc413"/>
      <w:bookmarkStart w:id="4599" w:name="_Toc208587770"/>
      <w:bookmarkStart w:id="4600" w:name="_Toc564142688"/>
      <w:bookmarkStart w:id="4601" w:name="_Toc22307"/>
      <w:bookmarkStart w:id="4602" w:name="_Toc1540"/>
      <w:r>
        <w:rPr>
          <w:rFonts w:hint="eastAsia" w:ascii="宋体" w:hAnsi="宋体" w:eastAsia="宋体" w:cs="Times New Roman"/>
          <w:b/>
          <w:bCs/>
          <w:kern w:val="0"/>
          <w:sz w:val="24"/>
          <w:szCs w:val="32"/>
          <w:lang w:val="en-US" w:eastAsia="zh-CN" w:bidi="ar-SA"/>
        </w:rPr>
        <w:t>4.6 施工管理人员</w:t>
      </w:r>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p>
    <w:p w14:paraId="3F3A51B3">
      <w:pPr>
        <w:spacing w:line="360" w:lineRule="auto"/>
        <w:ind w:left="2" w:firstLine="480"/>
        <w:rPr>
          <w:rFonts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2</w:t>
      </w:r>
      <w:r>
        <w:rPr>
          <w:rFonts w:hint="eastAsia" w:ascii="宋体" w:hAnsi="宋体" w:eastAsia="宋体" w:cs="Times New Roman"/>
          <w:sz w:val="24"/>
          <w:szCs w:val="24"/>
        </w:rPr>
        <w:t>)属于承包人主要施工管理人员的其他人员包括</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ascii="宋体" w:hAnsi="宋体" w:eastAsia="宋体" w:cs="Times New Roman"/>
          <w:b/>
          <w:sz w:val="24"/>
          <w:szCs w:val="24"/>
          <w:u w:val="single"/>
        </w:rPr>
        <w:t xml:space="preserve">  </w:t>
      </w:r>
      <w:r>
        <w:rPr>
          <w:rFonts w:hint="eastAsia" w:ascii="宋体" w:hAnsi="宋体" w:eastAsia="宋体" w:cs="Times New Roman"/>
          <w:b/>
          <w:sz w:val="24"/>
          <w:szCs w:val="24"/>
          <w:u w:val="single"/>
        </w:rPr>
        <w:t xml:space="preserve">   </w:t>
      </w:r>
      <w:r>
        <w:rPr>
          <w:rFonts w:hint="eastAsia" w:ascii="宋体" w:hAnsi="宋体" w:eastAsia="宋体" w:cs="Times New Roman"/>
          <w:sz w:val="24"/>
          <w:szCs w:val="24"/>
        </w:rPr>
        <w:t>。</w:t>
      </w:r>
    </w:p>
    <w:p w14:paraId="7BC3F9E7">
      <w:pPr>
        <w:spacing w:line="360" w:lineRule="auto"/>
        <w:ind w:firstLine="480" w:firstLineChars="200"/>
        <w:rPr>
          <w:rFonts w:hint="eastAsia" w:ascii="宋体" w:hAnsi="宋体" w:eastAsia="宋体" w:cs="Times New Roman"/>
          <w:sz w:val="24"/>
          <w:szCs w:val="24"/>
          <w:u w:val="single"/>
        </w:rPr>
      </w:pPr>
      <w:r>
        <w:rPr>
          <w:rFonts w:hint="eastAsia" w:ascii="宋体" w:hAnsi="宋体" w:eastAsia="宋体" w:cs="Times New Roman"/>
          <w:sz w:val="24"/>
          <w:szCs w:val="24"/>
        </w:rPr>
        <w:t>(3)承包人主要施工管理人员离开施工现场的批准要求：</w:t>
      </w:r>
      <w:r>
        <w:rPr>
          <w:rFonts w:hint="eastAsia" w:ascii="宋体" w:hAnsi="宋体" w:eastAsia="宋体" w:cs="Times New Roman"/>
          <w:sz w:val="24"/>
          <w:szCs w:val="24"/>
          <w:u w:val="single"/>
        </w:rPr>
        <w:t xml:space="preserve">                        </w:t>
      </w:r>
    </w:p>
    <w:p w14:paraId="40ECBE68">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2AEF58A2">
      <w:pPr>
        <w:spacing w:line="360" w:lineRule="auto"/>
        <w:ind w:left="2" w:firstLine="480"/>
        <w:rPr>
          <w:rFonts w:hint="eastAsia" w:ascii="宋体" w:hAnsi="宋体" w:eastAsia="宋体" w:cs="Times New Roman"/>
          <w:sz w:val="24"/>
          <w:szCs w:val="24"/>
        </w:rPr>
      </w:pPr>
      <w:r>
        <w:rPr>
          <w:rFonts w:hint="eastAsia" w:ascii="宋体" w:hAnsi="宋体" w:eastAsia="宋体" w:cs="Times New Roman"/>
          <w:sz w:val="24"/>
          <w:szCs w:val="24"/>
        </w:rPr>
        <w:t>(5)</w:t>
      </w:r>
      <w:r>
        <w:rPr>
          <w:rFonts w:ascii="宋体" w:hAnsi="宋体" w:eastAsia="宋体" w:cs="Times New Roman"/>
          <w:sz w:val="24"/>
          <w:szCs w:val="24"/>
        </w:rPr>
        <w:t>承包人的</w:t>
      </w:r>
      <w:r>
        <w:rPr>
          <w:rFonts w:hint="eastAsia" w:ascii="宋体" w:hAnsi="宋体" w:eastAsia="宋体" w:cs="Times New Roman"/>
          <w:sz w:val="24"/>
          <w:szCs w:val="24"/>
        </w:rPr>
        <w:t>管理人员</w:t>
      </w:r>
      <w:r>
        <w:rPr>
          <w:rFonts w:ascii="宋体" w:hAnsi="宋体" w:eastAsia="宋体" w:cs="Times New Roman"/>
          <w:sz w:val="24"/>
          <w:szCs w:val="24"/>
        </w:rPr>
        <w:t>在</w:t>
      </w:r>
      <w:r>
        <w:rPr>
          <w:rFonts w:hint="eastAsia" w:ascii="宋体" w:hAnsi="宋体" w:eastAsia="宋体" w:cs="Times New Roman"/>
          <w:sz w:val="24"/>
          <w:szCs w:val="24"/>
        </w:rPr>
        <w:t>施工</w:t>
      </w:r>
      <w:r>
        <w:rPr>
          <w:rFonts w:ascii="宋体" w:hAnsi="宋体" w:eastAsia="宋体" w:cs="Times New Roman"/>
          <w:sz w:val="24"/>
          <w:szCs w:val="24"/>
        </w:rPr>
        <w:t>期间出现以下情况</w:t>
      </w:r>
      <w:r>
        <w:rPr>
          <w:rFonts w:hint="eastAsia" w:ascii="宋体" w:hAnsi="宋体" w:eastAsia="宋体" w:cs="Times New Roman"/>
          <w:sz w:val="24"/>
          <w:szCs w:val="24"/>
        </w:rPr>
        <w:t>，应承担的违约责任</w:t>
      </w:r>
      <w:r>
        <w:rPr>
          <w:rFonts w:ascii="宋体" w:hAnsi="宋体" w:eastAsia="宋体" w:cs="Times New Roman"/>
          <w:sz w:val="24"/>
          <w:szCs w:val="24"/>
        </w:rPr>
        <w:t>：</w:t>
      </w:r>
    </w:p>
    <w:p w14:paraId="50718B37">
      <w:pPr>
        <w:spacing w:line="360" w:lineRule="auto"/>
        <w:ind w:left="2" w:firstLine="480"/>
        <w:rPr>
          <w:rFonts w:ascii="宋体" w:hAnsi="宋体" w:eastAsia="宋体" w:cs="Times New Roman"/>
          <w:sz w:val="24"/>
          <w:szCs w:val="24"/>
        </w:rPr>
      </w:pPr>
      <w:r>
        <w:rPr>
          <w:rFonts w:hint="eastAsia" w:ascii="宋体" w:hAnsi="宋体" w:eastAsia="宋体" w:cs="Times New Roman"/>
          <w:sz w:val="24"/>
          <w:szCs w:val="24"/>
        </w:rPr>
        <w:t>①</w:t>
      </w:r>
      <w:r>
        <w:rPr>
          <w:rFonts w:ascii="宋体" w:hAnsi="宋体" w:eastAsia="宋体" w:cs="Times New Roman"/>
          <w:sz w:val="24"/>
          <w:szCs w:val="24"/>
        </w:rPr>
        <w:t>承包人的项目</w:t>
      </w:r>
      <w:r>
        <w:rPr>
          <w:rFonts w:hint="eastAsia" w:ascii="宋体" w:hAnsi="宋体" w:eastAsia="宋体" w:cs="Times New Roman"/>
          <w:sz w:val="24"/>
          <w:szCs w:val="24"/>
        </w:rPr>
        <w:t>管理</w:t>
      </w:r>
      <w:r>
        <w:rPr>
          <w:rFonts w:ascii="宋体" w:hAnsi="宋体" w:eastAsia="宋体" w:cs="Times New Roman"/>
          <w:sz w:val="24"/>
          <w:szCs w:val="24"/>
        </w:rPr>
        <w:t>机构设置与</w:t>
      </w:r>
      <w:r>
        <w:rPr>
          <w:rFonts w:hint="eastAsia" w:ascii="宋体" w:hAnsi="宋体" w:eastAsia="宋体" w:cs="Times New Roman"/>
          <w:sz w:val="24"/>
          <w:szCs w:val="24"/>
        </w:rPr>
        <w:t>投标文件</w:t>
      </w:r>
      <w:r>
        <w:rPr>
          <w:rFonts w:ascii="宋体" w:hAnsi="宋体" w:eastAsia="宋体" w:cs="Times New Roman"/>
          <w:sz w:val="24"/>
          <w:szCs w:val="24"/>
        </w:rPr>
        <w:t>的承诺不一致</w:t>
      </w:r>
      <w:r>
        <w:rPr>
          <w:rFonts w:hint="eastAsia" w:ascii="宋体" w:hAnsi="宋体" w:eastAsia="宋体" w:cs="Times New Roman"/>
          <w:sz w:val="24"/>
          <w:szCs w:val="24"/>
        </w:rPr>
        <w:t>的，承包人应向发包人支付违约金</w:t>
      </w:r>
      <w:r>
        <w:rPr>
          <w:rFonts w:hint="eastAsia" w:ascii="宋体" w:hAnsi="宋体" w:eastAsia="宋体" w:cs="Times New Roman"/>
          <w:b/>
          <w:sz w:val="24"/>
          <w:szCs w:val="24"/>
          <w:u w:val="single"/>
        </w:rPr>
        <w:t xml:space="preserve">          </w:t>
      </w:r>
      <w:r>
        <w:rPr>
          <w:rFonts w:ascii="宋体" w:hAnsi="宋体" w:eastAsia="宋体" w:cs="Times New Roman"/>
          <w:sz w:val="24"/>
          <w:szCs w:val="24"/>
        </w:rPr>
        <w:t xml:space="preserve">； </w:t>
      </w:r>
    </w:p>
    <w:p w14:paraId="1D9E3251">
      <w:pPr>
        <w:spacing w:line="360" w:lineRule="auto"/>
        <w:ind w:left="2" w:firstLine="480"/>
        <w:jc w:val="left"/>
        <w:rPr>
          <w:rFonts w:ascii="宋体" w:hAnsi="宋体" w:eastAsia="宋体" w:cs="Times New Roman"/>
          <w:sz w:val="24"/>
          <w:szCs w:val="24"/>
        </w:rPr>
      </w:pPr>
      <w:r>
        <w:rPr>
          <w:rFonts w:hint="eastAsia" w:ascii="宋体" w:hAnsi="宋体" w:eastAsia="宋体" w:cs="Times New Roman"/>
          <w:sz w:val="24"/>
          <w:szCs w:val="24"/>
        </w:rPr>
        <w:t>②承包人的</w:t>
      </w:r>
      <w:r>
        <w:rPr>
          <w:rFonts w:ascii="宋体" w:hAnsi="宋体" w:eastAsia="宋体" w:cs="Times New Roman"/>
          <w:sz w:val="24"/>
          <w:szCs w:val="24"/>
        </w:rPr>
        <w:t>主要</w:t>
      </w:r>
      <w:r>
        <w:rPr>
          <w:rFonts w:hint="eastAsia" w:ascii="宋体" w:hAnsi="宋体" w:eastAsia="宋体" w:cs="Times New Roman"/>
          <w:sz w:val="24"/>
          <w:szCs w:val="24"/>
        </w:rPr>
        <w:t>施工管理</w:t>
      </w:r>
      <w:r>
        <w:rPr>
          <w:rFonts w:ascii="宋体" w:hAnsi="宋体" w:eastAsia="宋体" w:cs="Times New Roman"/>
          <w:sz w:val="24"/>
          <w:szCs w:val="24"/>
        </w:rPr>
        <w:t>人员不到位</w:t>
      </w:r>
      <w:r>
        <w:rPr>
          <w:rFonts w:hint="eastAsia" w:ascii="宋体" w:hAnsi="宋体" w:eastAsia="宋体" w:cs="Times New Roman"/>
          <w:sz w:val="24"/>
          <w:szCs w:val="24"/>
        </w:rPr>
        <w:t>的，承包人应向发包人支付违约金</w:t>
      </w:r>
      <w:r>
        <w:rPr>
          <w:rFonts w:hint="eastAsia" w:ascii="宋体" w:hAnsi="宋体" w:eastAsia="宋体" w:cs="Times New Roman"/>
          <w:b/>
          <w:sz w:val="24"/>
          <w:szCs w:val="24"/>
          <w:u w:val="single"/>
        </w:rPr>
        <w:t xml:space="preserve">          </w:t>
      </w:r>
      <w:r>
        <w:rPr>
          <w:rFonts w:hint="eastAsia" w:ascii="宋体" w:hAnsi="宋体" w:eastAsia="宋体" w:cs="Times New Roman"/>
          <w:sz w:val="24"/>
          <w:szCs w:val="24"/>
        </w:rPr>
        <w:t>元／人次</w:t>
      </w:r>
      <w:r>
        <w:rPr>
          <w:rFonts w:ascii="宋体" w:hAnsi="宋体" w:eastAsia="宋体" w:cs="Times New Roman"/>
          <w:sz w:val="24"/>
          <w:szCs w:val="24"/>
        </w:rPr>
        <w:t xml:space="preserve">； </w:t>
      </w:r>
    </w:p>
    <w:p w14:paraId="02F904BA">
      <w:pPr>
        <w:spacing w:line="360" w:lineRule="auto"/>
        <w:ind w:left="2" w:firstLine="480"/>
        <w:rPr>
          <w:rFonts w:ascii="宋体" w:hAnsi="宋体" w:eastAsia="宋体" w:cs="Times New Roman"/>
          <w:sz w:val="24"/>
          <w:szCs w:val="24"/>
        </w:rPr>
      </w:pPr>
      <w:r>
        <w:rPr>
          <w:rFonts w:hint="eastAsia" w:ascii="宋体" w:hAnsi="宋体" w:eastAsia="宋体" w:cs="Times New Roman"/>
          <w:sz w:val="24"/>
          <w:szCs w:val="24"/>
        </w:rPr>
        <w:t>③</w:t>
      </w:r>
      <w:r>
        <w:rPr>
          <w:rFonts w:ascii="宋体" w:hAnsi="宋体" w:eastAsia="宋体" w:cs="Times New Roman"/>
          <w:sz w:val="24"/>
          <w:szCs w:val="24"/>
        </w:rPr>
        <w:t>未经发包人</w:t>
      </w:r>
      <w:r>
        <w:rPr>
          <w:rFonts w:hint="eastAsia" w:ascii="宋体" w:hAnsi="宋体" w:eastAsia="宋体" w:cs="Times New Roman"/>
          <w:sz w:val="24"/>
          <w:szCs w:val="24"/>
        </w:rPr>
        <w:t>同意</w:t>
      </w:r>
      <w:r>
        <w:rPr>
          <w:rFonts w:ascii="宋体" w:hAnsi="宋体" w:eastAsia="宋体" w:cs="Times New Roman"/>
          <w:sz w:val="24"/>
          <w:szCs w:val="24"/>
        </w:rPr>
        <w:t>，承包人擅自更换主要</w:t>
      </w:r>
      <w:r>
        <w:rPr>
          <w:rFonts w:hint="eastAsia" w:ascii="宋体" w:hAnsi="宋体" w:eastAsia="宋体" w:cs="Times New Roman"/>
          <w:sz w:val="24"/>
          <w:szCs w:val="24"/>
        </w:rPr>
        <w:t>施工</w:t>
      </w:r>
      <w:r>
        <w:rPr>
          <w:rFonts w:ascii="宋体" w:hAnsi="宋体" w:eastAsia="宋体" w:cs="Times New Roman"/>
          <w:sz w:val="24"/>
          <w:szCs w:val="24"/>
        </w:rPr>
        <w:t>管理人员</w:t>
      </w:r>
      <w:r>
        <w:rPr>
          <w:rFonts w:hint="eastAsia" w:ascii="宋体" w:hAnsi="宋体" w:eastAsia="宋体" w:cs="Times New Roman"/>
          <w:sz w:val="24"/>
          <w:szCs w:val="24"/>
        </w:rPr>
        <w:t>的，承包人应向发包人支付违约金</w:t>
      </w:r>
      <w:r>
        <w:rPr>
          <w:rFonts w:hint="eastAsia" w:ascii="宋体" w:hAnsi="宋体" w:eastAsia="宋体" w:cs="Times New Roman"/>
          <w:b/>
          <w:sz w:val="24"/>
          <w:szCs w:val="24"/>
          <w:u w:val="single"/>
        </w:rPr>
        <w:t xml:space="preserve">          </w:t>
      </w:r>
      <w:r>
        <w:rPr>
          <w:rFonts w:hint="eastAsia" w:ascii="宋体" w:hAnsi="宋体" w:eastAsia="宋体" w:cs="Times New Roman"/>
          <w:sz w:val="24"/>
          <w:szCs w:val="24"/>
        </w:rPr>
        <w:t>元／人次；</w:t>
      </w:r>
    </w:p>
    <w:p w14:paraId="30E6184A">
      <w:pPr>
        <w:spacing w:line="360" w:lineRule="auto"/>
        <w:ind w:left="2" w:firstLine="480"/>
        <w:rPr>
          <w:rFonts w:hint="eastAsia" w:ascii="宋体" w:hAnsi="宋体" w:eastAsia="宋体" w:cs="Times New Roman"/>
          <w:sz w:val="24"/>
          <w:szCs w:val="24"/>
        </w:rPr>
      </w:pPr>
      <w:r>
        <w:rPr>
          <w:rFonts w:hint="eastAsia" w:ascii="宋体" w:hAnsi="宋体" w:eastAsia="宋体" w:cs="Times New Roman"/>
          <w:sz w:val="24"/>
          <w:szCs w:val="24"/>
        </w:rPr>
        <w:t>④承包人的主要施工管理人员未经监理人或发包人同意擅自离开施工现场的，承包人应向发包人支付违约金</w:t>
      </w:r>
      <w:r>
        <w:rPr>
          <w:rFonts w:hint="eastAsia" w:ascii="宋体" w:hAnsi="宋体" w:eastAsia="宋体" w:cs="Times New Roman"/>
          <w:b/>
          <w:sz w:val="24"/>
          <w:szCs w:val="24"/>
          <w:u w:val="single"/>
        </w:rPr>
        <w:t xml:space="preserve">          </w:t>
      </w:r>
      <w:r>
        <w:rPr>
          <w:rFonts w:hint="eastAsia" w:ascii="宋体" w:hAnsi="宋体" w:eastAsia="宋体" w:cs="Times New Roman"/>
          <w:sz w:val="24"/>
          <w:szCs w:val="24"/>
        </w:rPr>
        <w:t>元／人次；</w:t>
      </w:r>
    </w:p>
    <w:p w14:paraId="244444EF">
      <w:pPr>
        <w:spacing w:line="360" w:lineRule="auto"/>
        <w:ind w:left="2" w:firstLine="480"/>
        <w:rPr>
          <w:rFonts w:hint="eastAsia" w:ascii="宋体" w:hAnsi="宋体" w:eastAsia="宋体" w:cs="Times New Roman"/>
          <w:sz w:val="24"/>
          <w:szCs w:val="24"/>
        </w:rPr>
      </w:pPr>
      <w:r>
        <w:rPr>
          <w:rFonts w:hint="eastAsia" w:ascii="宋体" w:hAnsi="宋体" w:eastAsia="宋体" w:cs="Times New Roman"/>
          <w:sz w:val="24"/>
          <w:szCs w:val="24"/>
        </w:rPr>
        <w:t>⑤</w:t>
      </w:r>
      <w:r>
        <w:rPr>
          <w:rFonts w:ascii="宋体" w:hAnsi="宋体" w:eastAsia="宋体" w:cs="Times New Roman"/>
          <w:sz w:val="24"/>
          <w:szCs w:val="24"/>
        </w:rPr>
        <w:t>承包人的主要</w:t>
      </w:r>
      <w:r>
        <w:rPr>
          <w:rFonts w:hint="eastAsia" w:ascii="宋体" w:hAnsi="宋体" w:eastAsia="宋体" w:cs="Times New Roman"/>
          <w:sz w:val="24"/>
          <w:szCs w:val="24"/>
        </w:rPr>
        <w:t>施工管理</w:t>
      </w:r>
      <w:r>
        <w:rPr>
          <w:rFonts w:ascii="宋体" w:hAnsi="宋体" w:eastAsia="宋体" w:cs="Times New Roman"/>
          <w:sz w:val="24"/>
          <w:szCs w:val="24"/>
        </w:rPr>
        <w:t>人员</w:t>
      </w:r>
      <w:r>
        <w:rPr>
          <w:rFonts w:hint="eastAsia" w:ascii="宋体" w:hAnsi="宋体" w:eastAsia="宋体" w:cs="Times New Roman"/>
          <w:sz w:val="24"/>
          <w:szCs w:val="24"/>
        </w:rPr>
        <w:t>同时</w:t>
      </w:r>
      <w:r>
        <w:rPr>
          <w:rFonts w:ascii="宋体" w:hAnsi="宋体" w:eastAsia="宋体" w:cs="Times New Roman"/>
          <w:sz w:val="24"/>
          <w:szCs w:val="24"/>
        </w:rPr>
        <w:t>兼任其他</w:t>
      </w:r>
      <w:r>
        <w:rPr>
          <w:rFonts w:hint="eastAsia" w:ascii="宋体" w:hAnsi="宋体" w:eastAsia="宋体" w:cs="Times New Roman"/>
          <w:sz w:val="24"/>
          <w:szCs w:val="24"/>
        </w:rPr>
        <w:t>工程</w:t>
      </w:r>
      <w:r>
        <w:rPr>
          <w:rFonts w:ascii="宋体" w:hAnsi="宋体" w:eastAsia="宋体" w:cs="Times New Roman"/>
          <w:sz w:val="24"/>
          <w:szCs w:val="24"/>
        </w:rPr>
        <w:t>的任何职务</w:t>
      </w:r>
      <w:r>
        <w:rPr>
          <w:rFonts w:hint="eastAsia" w:ascii="宋体" w:hAnsi="宋体" w:eastAsia="宋体" w:cs="Times New Roman"/>
          <w:sz w:val="24"/>
          <w:szCs w:val="24"/>
        </w:rPr>
        <w:t>的，承包人应向发包人支付违约金</w:t>
      </w:r>
      <w:r>
        <w:rPr>
          <w:rFonts w:hint="eastAsia" w:ascii="宋体" w:hAnsi="宋体" w:eastAsia="宋体" w:cs="Times New Roman"/>
          <w:b/>
          <w:sz w:val="24"/>
          <w:szCs w:val="24"/>
          <w:u w:val="single"/>
        </w:rPr>
        <w:t xml:space="preserve">          </w:t>
      </w:r>
      <w:r>
        <w:rPr>
          <w:rFonts w:hint="eastAsia" w:ascii="宋体" w:hAnsi="宋体" w:eastAsia="宋体" w:cs="Times New Roman"/>
          <w:sz w:val="24"/>
          <w:szCs w:val="24"/>
        </w:rPr>
        <w:t>元／人次；</w:t>
      </w:r>
    </w:p>
    <w:p w14:paraId="09FBFE50">
      <w:pPr>
        <w:spacing w:line="360" w:lineRule="auto"/>
        <w:ind w:left="2" w:firstLine="480"/>
        <w:rPr>
          <w:rFonts w:hint="eastAsia" w:ascii="宋体" w:hAnsi="宋体" w:eastAsia="宋体" w:cs="Times New Roman"/>
          <w:sz w:val="24"/>
          <w:szCs w:val="24"/>
        </w:rPr>
      </w:pPr>
      <w:r>
        <w:rPr>
          <w:rFonts w:hint="eastAsia" w:ascii="宋体" w:hAnsi="宋体" w:eastAsia="宋体" w:cs="Times New Roman"/>
          <w:sz w:val="24"/>
          <w:szCs w:val="24"/>
        </w:rPr>
        <w:t>(6)承包人无正当理由拒绝撤换的，</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bookmarkEnd w:id="4557"/>
    <w:p w14:paraId="4C7AB264">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kern w:val="0"/>
          <w:sz w:val="28"/>
          <w:szCs w:val="44"/>
          <w:lang w:val="en-US" w:eastAsia="zh-CN" w:bidi="ar-SA"/>
        </w:rPr>
      </w:pPr>
      <w:bookmarkStart w:id="4603" w:name="_Toc35656526"/>
      <w:bookmarkStart w:id="4604" w:name="_Toc305331447"/>
      <w:bookmarkStart w:id="4605" w:name="_Toc302635961"/>
      <w:bookmarkStart w:id="4606" w:name="_Toc1672137184"/>
      <w:bookmarkStart w:id="4607" w:name="_Toc201735546"/>
      <w:bookmarkStart w:id="4608" w:name="_Toc31499"/>
      <w:bookmarkStart w:id="4609" w:name="_Toc21410"/>
      <w:bookmarkStart w:id="4610" w:name="_Toc208587771"/>
      <w:bookmarkStart w:id="4611" w:name="_Toc30071"/>
      <w:bookmarkStart w:id="4612" w:name="_Toc14688"/>
      <w:bookmarkStart w:id="4613" w:name="_Toc20509"/>
      <w:bookmarkStart w:id="4614" w:name="_Toc26302"/>
      <w:bookmarkStart w:id="4615" w:name="_Toc6519"/>
      <w:bookmarkStart w:id="4616" w:name="_Toc29184"/>
      <w:bookmarkStart w:id="4617" w:name="_Toc25939"/>
      <w:bookmarkStart w:id="4618" w:name="_Toc11664"/>
      <w:r>
        <w:rPr>
          <w:rFonts w:hint="eastAsia" w:ascii="华文细黑" w:hAnsi="宋体" w:eastAsia="宋体" w:cs="Times New Roman"/>
          <w:b/>
          <w:bCs/>
          <w:snapToGrid w:val="0"/>
          <w:kern w:val="0"/>
          <w:sz w:val="28"/>
          <w:szCs w:val="44"/>
          <w:lang w:val="en-US" w:eastAsia="zh-CN" w:bidi="ar-SA"/>
        </w:rPr>
        <w:t>5 监理</w:t>
      </w:r>
      <w:bookmarkEnd w:id="4603"/>
      <w:bookmarkEnd w:id="4604"/>
      <w:bookmarkEnd w:id="4605"/>
      <w:r>
        <w:rPr>
          <w:rFonts w:hint="eastAsia" w:ascii="华文细黑" w:hAnsi="宋体" w:eastAsia="宋体" w:cs="Times New Roman"/>
          <w:b/>
          <w:bCs/>
          <w:snapToGrid w:val="0"/>
          <w:kern w:val="0"/>
          <w:sz w:val="28"/>
          <w:szCs w:val="44"/>
          <w:lang w:val="en-US" w:eastAsia="zh-CN" w:bidi="ar-SA"/>
        </w:rPr>
        <w:t>人</w:t>
      </w:r>
      <w:bookmarkEnd w:id="4606"/>
      <w:bookmarkEnd w:id="4607"/>
      <w:bookmarkEnd w:id="4608"/>
      <w:bookmarkEnd w:id="4609"/>
      <w:bookmarkEnd w:id="4610"/>
      <w:bookmarkEnd w:id="4611"/>
      <w:bookmarkEnd w:id="4612"/>
      <w:bookmarkEnd w:id="4613"/>
      <w:bookmarkEnd w:id="4614"/>
      <w:bookmarkEnd w:id="4615"/>
      <w:bookmarkEnd w:id="4616"/>
      <w:bookmarkEnd w:id="4617"/>
      <w:bookmarkEnd w:id="4618"/>
    </w:p>
    <w:p w14:paraId="5C491F6C">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619" w:name="_Toc302635962"/>
      <w:bookmarkStart w:id="4620" w:name="_Toc305331448"/>
      <w:bookmarkStart w:id="4621" w:name="_Toc30308"/>
      <w:bookmarkStart w:id="4622" w:name="_Toc208587772"/>
      <w:bookmarkStart w:id="4623" w:name="_Toc4681"/>
      <w:bookmarkStart w:id="4624" w:name="_Toc9211"/>
      <w:bookmarkStart w:id="4625" w:name="_Toc10917"/>
      <w:bookmarkStart w:id="4626" w:name="_Toc201735547"/>
      <w:bookmarkStart w:id="4627" w:name="_Toc11138"/>
      <w:bookmarkStart w:id="4628" w:name="_Toc24329"/>
      <w:bookmarkStart w:id="4629" w:name="_Toc29201"/>
      <w:bookmarkStart w:id="4630" w:name="_Toc19138"/>
      <w:bookmarkStart w:id="4631" w:name="_Toc2032020674"/>
      <w:bookmarkStart w:id="4632" w:name="_Toc2873"/>
      <w:bookmarkStart w:id="4633" w:name="_Toc29206"/>
      <w:r>
        <w:rPr>
          <w:rFonts w:hint="eastAsia" w:ascii="宋体" w:hAnsi="宋体" w:eastAsia="宋体" w:cs="Times New Roman"/>
          <w:b/>
          <w:bCs/>
          <w:kern w:val="0"/>
          <w:sz w:val="24"/>
          <w:szCs w:val="32"/>
          <w:lang w:val="en-US" w:eastAsia="zh-CN" w:bidi="ar-SA"/>
        </w:rPr>
        <w:t>5.1 监理人的</w:t>
      </w:r>
      <w:bookmarkEnd w:id="4619"/>
      <w:bookmarkEnd w:id="4620"/>
      <w:r>
        <w:rPr>
          <w:rFonts w:hint="eastAsia" w:ascii="宋体" w:hAnsi="宋体" w:eastAsia="宋体" w:cs="Times New Roman"/>
          <w:b/>
          <w:bCs/>
          <w:kern w:val="0"/>
          <w:sz w:val="24"/>
          <w:szCs w:val="32"/>
          <w:lang w:val="en-US" w:eastAsia="zh-CN" w:bidi="ar-SA"/>
        </w:rPr>
        <w:t>通知</w:t>
      </w:r>
      <w:bookmarkEnd w:id="4621"/>
      <w:bookmarkEnd w:id="4622"/>
      <w:bookmarkEnd w:id="4623"/>
      <w:bookmarkEnd w:id="4624"/>
      <w:bookmarkEnd w:id="4625"/>
      <w:bookmarkEnd w:id="4626"/>
      <w:bookmarkEnd w:id="4627"/>
      <w:bookmarkEnd w:id="4628"/>
      <w:bookmarkEnd w:id="4629"/>
      <w:bookmarkEnd w:id="4630"/>
      <w:bookmarkEnd w:id="4631"/>
      <w:bookmarkEnd w:id="4632"/>
      <w:bookmarkEnd w:id="4633"/>
    </w:p>
    <w:p w14:paraId="52444AB3">
      <w:pPr>
        <w:spacing w:line="360" w:lineRule="auto"/>
        <w:ind w:firstLine="720"/>
        <w:rPr>
          <w:rFonts w:hint="eastAsia" w:ascii="宋体" w:hAnsi="宋体" w:eastAsia="宋体" w:cs="Times New Roman"/>
          <w:sz w:val="24"/>
          <w:szCs w:val="24"/>
        </w:rPr>
      </w:pPr>
      <w:r>
        <w:rPr>
          <w:rFonts w:hint="eastAsia" w:ascii="宋体" w:hAnsi="宋体" w:eastAsia="宋体" w:cs="Times New Roman"/>
          <w:sz w:val="24"/>
          <w:szCs w:val="24"/>
        </w:rPr>
        <w:t>监理人名称：</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63A48BA3">
      <w:pPr>
        <w:spacing w:line="360" w:lineRule="auto"/>
        <w:ind w:firstLine="720"/>
        <w:rPr>
          <w:rFonts w:ascii="宋体" w:hAnsi="宋体" w:eastAsia="宋体" w:cs="Times New Roman"/>
          <w:sz w:val="24"/>
          <w:szCs w:val="24"/>
        </w:rPr>
      </w:pPr>
      <w:r>
        <w:rPr>
          <w:rFonts w:hint="eastAsia" w:ascii="宋体" w:hAnsi="宋体" w:eastAsia="宋体" w:cs="Times New Roman"/>
          <w:sz w:val="24"/>
          <w:szCs w:val="24"/>
        </w:rPr>
        <w:t>总监理工程师姓名：</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，资格证书号：</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29E7DE02">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634" w:name="_Toc25004"/>
      <w:bookmarkStart w:id="4635" w:name="_Toc32763"/>
      <w:bookmarkStart w:id="4636" w:name="_Toc302635963"/>
      <w:bookmarkStart w:id="4637" w:name="_Toc305331449"/>
      <w:bookmarkStart w:id="4638" w:name="_Toc31567"/>
      <w:bookmarkStart w:id="4639" w:name="_Toc8941"/>
      <w:bookmarkStart w:id="4640" w:name="_Toc10956"/>
      <w:bookmarkStart w:id="4641" w:name="_Toc201735548"/>
      <w:bookmarkStart w:id="4642" w:name="_Toc23584"/>
      <w:bookmarkStart w:id="4643" w:name="_Toc27746"/>
      <w:bookmarkStart w:id="4644" w:name="_Toc806001190"/>
      <w:bookmarkStart w:id="4645" w:name="_Toc5493"/>
      <w:bookmarkStart w:id="4646" w:name="_Toc208587773"/>
      <w:bookmarkStart w:id="4647" w:name="_Toc8138"/>
      <w:bookmarkStart w:id="4648" w:name="_Toc12230"/>
      <w:r>
        <w:rPr>
          <w:rFonts w:hint="eastAsia" w:ascii="宋体" w:hAnsi="宋体" w:eastAsia="宋体" w:cs="Times New Roman"/>
          <w:b/>
          <w:bCs/>
          <w:kern w:val="0"/>
          <w:sz w:val="24"/>
          <w:szCs w:val="32"/>
          <w:lang w:val="en-US" w:eastAsia="zh-CN" w:bidi="ar-SA"/>
        </w:rPr>
        <w:t>5.3</w:t>
      </w:r>
      <w:r>
        <w:rPr>
          <w:rFonts w:ascii="宋体" w:hAnsi="宋体" w:eastAsia="宋体" w:cs="Times New Roman"/>
          <w:b/>
          <w:bCs/>
          <w:kern w:val="0"/>
          <w:sz w:val="24"/>
          <w:szCs w:val="32"/>
          <w:lang w:val="en-US" w:eastAsia="zh-CN" w:bidi="ar-SA"/>
        </w:rPr>
        <w:t xml:space="preserve"> </w:t>
      </w:r>
      <w:r>
        <w:rPr>
          <w:rFonts w:hint="eastAsia" w:ascii="宋体" w:hAnsi="宋体" w:eastAsia="宋体" w:cs="Times New Roman"/>
          <w:b/>
          <w:bCs/>
          <w:kern w:val="0"/>
          <w:sz w:val="24"/>
          <w:szCs w:val="32"/>
          <w:lang w:val="en-US" w:eastAsia="zh-CN" w:bidi="ar-SA"/>
        </w:rPr>
        <w:t>监理人权力的限制</w:t>
      </w:r>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p>
    <w:p w14:paraId="6AF2CDDB">
      <w:pPr>
        <w:spacing w:line="360" w:lineRule="auto"/>
        <w:ind w:firstLine="720"/>
        <w:rPr>
          <w:rFonts w:hint="eastAsia" w:ascii="宋体" w:hAnsi="宋体" w:eastAsia="宋体" w:cs="Times New Roman"/>
          <w:sz w:val="24"/>
          <w:szCs w:val="24"/>
          <w:u w:val="single"/>
        </w:rPr>
      </w:pPr>
      <w:r>
        <w:rPr>
          <w:rFonts w:hint="eastAsia" w:ascii="宋体" w:hAnsi="宋体" w:eastAsia="宋体" w:cs="Times New Roman"/>
          <w:sz w:val="24"/>
          <w:szCs w:val="24"/>
        </w:rPr>
        <w:t>(1)⑧监理人行使的其他需要取得发包人批准的权力：</w:t>
      </w:r>
      <w:bookmarkStart w:id="4649" w:name="_Toc35656528"/>
      <w:r>
        <w:rPr>
          <w:rFonts w:hint="eastAsia" w:ascii="宋体" w:hAnsi="宋体" w:eastAsia="宋体" w:cs="Times New Roman"/>
          <w:sz w:val="24"/>
          <w:szCs w:val="24"/>
          <w:u w:val="single"/>
        </w:rPr>
        <w:t xml:space="preserve">                        </w:t>
      </w:r>
    </w:p>
    <w:p w14:paraId="335BE652">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1446DA07">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03CDDFE0">
      <w:pPr>
        <w:spacing w:line="360" w:lineRule="auto"/>
        <w:rPr>
          <w:rFonts w:hint="eastAsia" w:ascii="宋体" w:hAnsi="宋体" w:eastAsia="宋体" w:cs="Times New Roman"/>
          <w:sz w:val="24"/>
          <w:szCs w:val="24"/>
        </w:rPr>
      </w:pPr>
      <w:r>
        <w:rPr>
          <w:rFonts w:hint="eastAsia" w:ascii="宋体" w:hAnsi="宋体" w:eastAsia="宋体" w:cs="Times New Roman"/>
          <w:sz w:val="24"/>
          <w:szCs w:val="24"/>
          <w:u w:val="single"/>
        </w:rPr>
        <w:t xml:space="preserve">                                                                            </w:t>
      </w:r>
    </w:p>
    <w:p w14:paraId="3B90FB98">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kern w:val="0"/>
          <w:sz w:val="28"/>
          <w:szCs w:val="44"/>
          <w:lang w:val="en-US" w:eastAsia="zh-CN" w:bidi="ar-SA"/>
        </w:rPr>
      </w:pPr>
      <w:bookmarkStart w:id="4650" w:name="_Toc1174804661"/>
      <w:bookmarkStart w:id="4651" w:name="_Toc208587774"/>
      <w:bookmarkStart w:id="4652" w:name="_Toc18130"/>
      <w:bookmarkStart w:id="4653" w:name="_Toc11157"/>
      <w:bookmarkStart w:id="4654" w:name="_Toc27551"/>
      <w:bookmarkStart w:id="4655" w:name="_Toc11204"/>
      <w:bookmarkStart w:id="4656" w:name="_Toc302635964"/>
      <w:bookmarkStart w:id="4657" w:name="_Toc305331450"/>
      <w:bookmarkStart w:id="4658" w:name="_Toc5578"/>
      <w:bookmarkStart w:id="4659" w:name="_Toc30072"/>
      <w:bookmarkStart w:id="4660" w:name="_Toc2843"/>
      <w:bookmarkStart w:id="4661" w:name="_Toc63"/>
      <w:bookmarkStart w:id="4662" w:name="_Toc30299"/>
      <w:bookmarkStart w:id="4663" w:name="_Toc201735549"/>
      <w:bookmarkStart w:id="4664" w:name="_Toc15847"/>
      <w:r>
        <w:rPr>
          <w:rFonts w:hint="eastAsia" w:ascii="华文细黑" w:hAnsi="宋体" w:eastAsia="宋体" w:cs="Times New Roman"/>
          <w:b/>
          <w:bCs/>
          <w:snapToGrid w:val="0"/>
          <w:kern w:val="0"/>
          <w:sz w:val="28"/>
          <w:szCs w:val="44"/>
          <w:lang w:val="en-US" w:eastAsia="zh-CN" w:bidi="ar-SA"/>
        </w:rPr>
        <w:t>6 转包、分包</w:t>
      </w:r>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p>
    <w:p w14:paraId="04F49142">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665" w:name="_Toc940817686"/>
      <w:bookmarkStart w:id="4666" w:name="_Toc15924"/>
      <w:bookmarkStart w:id="4667" w:name="_Toc2533"/>
      <w:bookmarkStart w:id="4668" w:name="_Toc22138"/>
      <w:bookmarkStart w:id="4669" w:name="_Toc302635965"/>
      <w:bookmarkStart w:id="4670" w:name="_Toc4888"/>
      <w:bookmarkStart w:id="4671" w:name="_Toc208587775"/>
      <w:bookmarkStart w:id="4672" w:name="_Toc18478"/>
      <w:bookmarkStart w:id="4673" w:name="_Toc305331451"/>
      <w:bookmarkStart w:id="4674" w:name="_Toc2246"/>
      <w:bookmarkStart w:id="4675" w:name="_Toc201735550"/>
      <w:bookmarkStart w:id="4676" w:name="_Toc23868"/>
      <w:bookmarkStart w:id="4677" w:name="_Toc8201"/>
      <w:bookmarkStart w:id="4678" w:name="_Toc8510"/>
      <w:bookmarkStart w:id="4679" w:name="_Toc14504"/>
      <w:bookmarkStart w:id="4680" w:name="_Toc35656529"/>
      <w:r>
        <w:rPr>
          <w:rFonts w:hint="eastAsia" w:ascii="宋体" w:hAnsi="宋体" w:eastAsia="宋体" w:cs="Times New Roman"/>
          <w:b/>
          <w:bCs/>
          <w:kern w:val="0"/>
          <w:sz w:val="24"/>
          <w:szCs w:val="32"/>
          <w:lang w:val="en-US" w:eastAsia="zh-CN" w:bidi="ar-SA"/>
        </w:rPr>
        <w:t>6.1 转包</w:t>
      </w:r>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p>
    <w:p w14:paraId="0BE277A4">
      <w:pPr>
        <w:spacing w:line="360" w:lineRule="auto"/>
        <w:ind w:firstLine="600"/>
        <w:rPr>
          <w:rFonts w:ascii="宋体" w:hAnsi="宋体" w:eastAsia="宋体" w:cs="Times New Roman"/>
          <w:sz w:val="24"/>
          <w:szCs w:val="24"/>
        </w:rPr>
      </w:pPr>
      <w:r>
        <w:rPr>
          <w:rFonts w:hint="eastAsia" w:ascii="宋体" w:hAnsi="宋体" w:eastAsia="宋体" w:cs="Times New Roman"/>
          <w:sz w:val="24"/>
          <w:szCs w:val="24"/>
        </w:rPr>
        <w:t>如承包人有转包行为，应向发包人支付违约金</w:t>
      </w:r>
      <w:r>
        <w:rPr>
          <w:rFonts w:hint="eastAsia" w:ascii="宋体" w:hAnsi="宋体" w:eastAsia="宋体" w:cs="Times New Roman"/>
          <w:sz w:val="24"/>
          <w:szCs w:val="24"/>
          <w:u w:val="single"/>
        </w:rPr>
        <w:t xml:space="preserve">          </w:t>
      </w:r>
      <w:r>
        <w:rPr>
          <w:rFonts w:ascii="宋体" w:hAnsi="宋体" w:eastAsia="宋体" w:cs="Times New Roman"/>
          <w:sz w:val="24"/>
          <w:szCs w:val="24"/>
        </w:rPr>
        <w:t>元/次。</w:t>
      </w:r>
    </w:p>
    <w:p w14:paraId="4565A414">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681" w:name="_Toc201735551"/>
      <w:bookmarkStart w:id="4682" w:name="_Toc706"/>
      <w:bookmarkStart w:id="4683" w:name="_Toc1291991538"/>
      <w:bookmarkStart w:id="4684" w:name="_Toc305331452"/>
      <w:bookmarkStart w:id="4685" w:name="_Toc20138"/>
      <w:bookmarkStart w:id="4686" w:name="_Toc12814"/>
      <w:bookmarkStart w:id="4687" w:name="_Toc302635966"/>
      <w:bookmarkStart w:id="4688" w:name="_Toc24296"/>
      <w:bookmarkStart w:id="4689" w:name="_Toc804"/>
      <w:bookmarkStart w:id="4690" w:name="_Toc31683"/>
      <w:bookmarkStart w:id="4691" w:name="_Toc208587776"/>
      <w:bookmarkStart w:id="4692" w:name="_Toc25515"/>
      <w:bookmarkStart w:id="4693" w:name="_Toc12131"/>
      <w:bookmarkStart w:id="4694" w:name="_Toc2074"/>
      <w:bookmarkStart w:id="4695" w:name="_Toc4835"/>
      <w:r>
        <w:rPr>
          <w:rFonts w:hint="eastAsia" w:ascii="宋体" w:hAnsi="宋体" w:eastAsia="宋体" w:cs="Times New Roman"/>
          <w:b/>
          <w:bCs/>
          <w:kern w:val="0"/>
          <w:sz w:val="24"/>
          <w:szCs w:val="32"/>
          <w:lang w:val="en-US" w:eastAsia="zh-CN" w:bidi="ar-SA"/>
        </w:rPr>
        <w:t>6.2 分包</w:t>
      </w:r>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p>
    <w:p w14:paraId="3ADB54BF">
      <w:pPr>
        <w:spacing w:line="360" w:lineRule="auto"/>
        <w:ind w:left="2" w:firstLine="480"/>
        <w:rPr>
          <w:rFonts w:ascii="宋体" w:hAnsi="宋体" w:eastAsia="宋体" w:cs="Times New Roman"/>
          <w:sz w:val="24"/>
          <w:szCs w:val="24"/>
        </w:rPr>
      </w:pPr>
      <w:r>
        <w:rPr>
          <w:rFonts w:ascii="宋体" w:hAnsi="宋体" w:eastAsia="宋体" w:cs="Times New Roman"/>
          <w:sz w:val="24"/>
          <w:szCs w:val="24"/>
        </w:rPr>
        <w:t>(1)</w:t>
      </w:r>
      <w:r>
        <w:rPr>
          <w:rFonts w:hint="eastAsia" w:ascii="宋体" w:hAnsi="宋体" w:eastAsia="宋体" w:cs="Times New Roman"/>
          <w:sz w:val="24"/>
          <w:szCs w:val="24"/>
        </w:rPr>
        <w:t>承包人禁止分包的专业工程包括：</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0B22B28D">
      <w:pPr>
        <w:spacing w:line="360" w:lineRule="auto"/>
        <w:ind w:left="2" w:firstLine="480"/>
        <w:rPr>
          <w:rFonts w:hint="eastAsia" w:ascii="宋体" w:hAnsi="宋体" w:eastAsia="宋体" w:cs="Times New Roman"/>
          <w:sz w:val="24"/>
          <w:szCs w:val="24"/>
          <w:u w:val="single"/>
        </w:rPr>
      </w:pPr>
      <w:r>
        <w:rPr>
          <w:rFonts w:hint="eastAsia" w:ascii="宋体" w:hAnsi="宋体" w:eastAsia="宋体" w:cs="Times New Roman"/>
          <w:sz w:val="24"/>
          <w:szCs w:val="24"/>
        </w:rPr>
        <w:t>承包人不得分包的主体结构、关键性工作范围包括：</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p>
    <w:p w14:paraId="4FFD82A2">
      <w:pPr>
        <w:spacing w:line="360" w:lineRule="auto"/>
        <w:ind w:left="2" w:hanging="2"/>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r>
        <w:rPr>
          <w:rFonts w:ascii="宋体" w:hAnsi="宋体" w:eastAsia="宋体" w:cs="Times New Roman"/>
          <w:sz w:val="24"/>
          <w:szCs w:val="24"/>
        </w:rPr>
        <w:t>。</w:t>
      </w:r>
    </w:p>
    <w:p w14:paraId="4B9FDD02">
      <w:pPr>
        <w:spacing w:line="360" w:lineRule="auto"/>
        <w:ind w:firstLine="480"/>
        <w:jc w:val="left"/>
        <w:rPr>
          <w:rFonts w:hint="eastAsia"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2</w:t>
      </w:r>
      <w:r>
        <w:rPr>
          <w:rFonts w:hint="eastAsia" w:ascii="宋体" w:hAnsi="宋体" w:eastAsia="宋体" w:cs="Times New Roman"/>
          <w:sz w:val="24"/>
          <w:szCs w:val="24"/>
        </w:rPr>
        <w:t>)如出现承包人未经监理人审查和发包人批准的分包行为，承包人应向发包人支付违约金</w:t>
      </w:r>
      <w:r>
        <w:rPr>
          <w:rFonts w:hint="eastAsia" w:ascii="宋体" w:hAnsi="宋体" w:eastAsia="宋体" w:cs="Times New Roman"/>
          <w:sz w:val="24"/>
          <w:szCs w:val="24"/>
          <w:u w:val="single"/>
        </w:rPr>
        <w:t xml:space="preserve">        </w:t>
      </w:r>
      <w:r>
        <w:rPr>
          <w:rFonts w:ascii="宋体" w:hAnsi="宋体" w:eastAsia="宋体" w:cs="Times New Roman"/>
          <w:sz w:val="24"/>
          <w:szCs w:val="24"/>
        </w:rPr>
        <w:t>元/次。</w:t>
      </w:r>
    </w:p>
    <w:p w14:paraId="07BD86EE">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3</w:t>
      </w:r>
      <w:r>
        <w:rPr>
          <w:rFonts w:hint="eastAsia" w:ascii="宋体" w:hAnsi="宋体" w:eastAsia="宋体" w:cs="Times New Roman"/>
          <w:sz w:val="24"/>
          <w:szCs w:val="24"/>
        </w:rPr>
        <w:t>)如出现分包人将分包工程的任何部分再分包的行为，承包人应向发包人支付违约金</w:t>
      </w:r>
      <w:r>
        <w:rPr>
          <w:rFonts w:hint="eastAsia" w:ascii="宋体" w:hAnsi="宋体" w:eastAsia="宋体" w:cs="Times New Roman"/>
          <w:sz w:val="24"/>
          <w:szCs w:val="24"/>
          <w:u w:val="single"/>
        </w:rPr>
        <w:t xml:space="preserve">       </w:t>
      </w:r>
      <w:r>
        <w:rPr>
          <w:rFonts w:ascii="宋体" w:hAnsi="宋体" w:eastAsia="宋体" w:cs="Times New Roman"/>
          <w:sz w:val="24"/>
          <w:szCs w:val="24"/>
        </w:rPr>
        <w:t>元/次。</w:t>
      </w:r>
    </w:p>
    <w:p w14:paraId="5E0E26B7">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4</w:t>
      </w:r>
      <w:r>
        <w:rPr>
          <w:rFonts w:hint="eastAsia" w:ascii="宋体" w:hAnsi="宋体" w:eastAsia="宋体" w:cs="Times New Roman"/>
          <w:sz w:val="24"/>
          <w:szCs w:val="24"/>
        </w:rPr>
        <w:t>)如承包人有将其承包范围内全部工程支解分包的行为，应向发包人支付违约金</w:t>
      </w:r>
      <w:r>
        <w:rPr>
          <w:rFonts w:hint="eastAsia" w:ascii="宋体" w:hAnsi="宋体" w:eastAsia="宋体" w:cs="Times New Roman"/>
          <w:sz w:val="24"/>
          <w:szCs w:val="24"/>
          <w:u w:val="single"/>
        </w:rPr>
        <w:t xml:space="preserve">   </w:t>
      </w:r>
      <w:r>
        <w:rPr>
          <w:rFonts w:ascii="宋体" w:hAnsi="宋体" w:eastAsia="宋体" w:cs="Times New Roman"/>
          <w:sz w:val="24"/>
          <w:szCs w:val="24"/>
        </w:rPr>
        <w:t>元/次。</w:t>
      </w:r>
    </w:p>
    <w:p w14:paraId="2DC29F34">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696" w:name="_Toc302635967"/>
      <w:bookmarkStart w:id="4697" w:name="_Toc28834"/>
      <w:bookmarkStart w:id="4698" w:name="_Toc208587777"/>
      <w:bookmarkStart w:id="4699" w:name="_Toc443688523"/>
      <w:bookmarkStart w:id="4700" w:name="_Toc23328"/>
      <w:bookmarkStart w:id="4701" w:name="_Toc11816"/>
      <w:bookmarkStart w:id="4702" w:name="_Toc305331453"/>
      <w:bookmarkStart w:id="4703" w:name="_Toc5695"/>
      <w:bookmarkStart w:id="4704" w:name="_Toc5328"/>
      <w:bookmarkStart w:id="4705" w:name="_Toc15933"/>
      <w:bookmarkStart w:id="4706" w:name="_Toc30784"/>
      <w:bookmarkStart w:id="4707" w:name="_Toc201735552"/>
      <w:bookmarkStart w:id="4708" w:name="_Toc22468"/>
      <w:bookmarkStart w:id="4709" w:name="_Toc19283"/>
      <w:bookmarkStart w:id="4710" w:name="_Toc812"/>
      <w:r>
        <w:rPr>
          <w:rFonts w:hint="eastAsia" w:ascii="宋体" w:hAnsi="宋体" w:eastAsia="宋体" w:cs="Times New Roman"/>
          <w:b/>
          <w:bCs/>
          <w:kern w:val="0"/>
          <w:sz w:val="24"/>
          <w:szCs w:val="32"/>
          <w:lang w:val="en-US" w:eastAsia="zh-CN" w:bidi="ar-SA"/>
        </w:rPr>
        <w:t>6.3 分包人的确定</w:t>
      </w:r>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p>
    <w:p w14:paraId="6C9E5340">
      <w:pPr>
        <w:spacing w:line="360" w:lineRule="auto"/>
        <w:ind w:left="2" w:firstLine="480"/>
        <w:rPr>
          <w:rFonts w:hint="eastAsia" w:ascii="宋体" w:hAnsi="宋体" w:eastAsia="宋体" w:cs="Times New Roman"/>
          <w:sz w:val="24"/>
          <w:szCs w:val="24"/>
          <w:u w:val="single"/>
        </w:rPr>
      </w:pPr>
      <w:r>
        <w:rPr>
          <w:rFonts w:hint="eastAsia" w:ascii="宋体" w:hAnsi="宋体" w:eastAsia="宋体" w:cs="Times New Roman"/>
          <w:sz w:val="24"/>
          <w:szCs w:val="24"/>
        </w:rPr>
        <w:t>(1)分包人应符合的条件：</w:t>
      </w:r>
      <w:r>
        <w:rPr>
          <w:rFonts w:hint="eastAsia" w:ascii="宋体" w:hAnsi="宋体" w:eastAsia="宋体" w:cs="Times New Roman"/>
          <w:sz w:val="24"/>
          <w:szCs w:val="24"/>
          <w:u w:val="single"/>
        </w:rPr>
        <w:t xml:space="preserve">                                                 </w:t>
      </w:r>
    </w:p>
    <w:p w14:paraId="745B832E">
      <w:pPr>
        <w:spacing w:line="360" w:lineRule="auto"/>
        <w:ind w:left="2" w:hanging="2"/>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160F0FE9">
      <w:pPr>
        <w:spacing w:line="360" w:lineRule="auto"/>
        <w:ind w:left="2" w:hanging="2"/>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0DF070D9">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kern w:val="0"/>
          <w:sz w:val="28"/>
          <w:szCs w:val="44"/>
          <w:lang w:val="en-US" w:eastAsia="zh-CN" w:bidi="ar-SA"/>
        </w:rPr>
      </w:pPr>
      <w:bookmarkStart w:id="4711" w:name="_Toc302635968"/>
      <w:bookmarkStart w:id="4712" w:name="_Toc21392"/>
      <w:bookmarkStart w:id="4713" w:name="_Toc21865"/>
      <w:bookmarkStart w:id="4714" w:name="_Toc25839"/>
      <w:bookmarkStart w:id="4715" w:name="_Toc23556"/>
      <w:bookmarkStart w:id="4716" w:name="_Toc11631"/>
      <w:bookmarkStart w:id="4717" w:name="_Toc19471"/>
      <w:bookmarkStart w:id="4718" w:name="_Toc16805"/>
      <w:bookmarkStart w:id="4719" w:name="_Toc305331454"/>
      <w:bookmarkStart w:id="4720" w:name="_Toc201735553"/>
      <w:bookmarkStart w:id="4721" w:name="_Toc602588938"/>
      <w:bookmarkStart w:id="4722" w:name="_Toc30716"/>
      <w:bookmarkStart w:id="4723" w:name="_Toc12531"/>
      <w:bookmarkStart w:id="4724" w:name="_Toc208587778"/>
      <w:bookmarkStart w:id="4725" w:name="_Toc19994"/>
      <w:r>
        <w:rPr>
          <w:rFonts w:hint="eastAsia" w:ascii="华文细黑" w:hAnsi="宋体" w:eastAsia="宋体" w:cs="Times New Roman"/>
          <w:b/>
          <w:bCs/>
          <w:snapToGrid w:val="0"/>
          <w:kern w:val="0"/>
          <w:sz w:val="28"/>
          <w:szCs w:val="44"/>
          <w:lang w:val="en-US" w:eastAsia="zh-CN" w:bidi="ar-SA"/>
        </w:rPr>
        <w:t>7 专业工程发包</w:t>
      </w:r>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p>
    <w:p w14:paraId="64DC067B">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726" w:name="_Toc2013"/>
      <w:bookmarkStart w:id="4727" w:name="_Toc305331455"/>
      <w:bookmarkStart w:id="4728" w:name="_Toc208587779"/>
      <w:bookmarkStart w:id="4729" w:name="_Toc536"/>
      <w:bookmarkStart w:id="4730" w:name="_Toc449"/>
      <w:bookmarkStart w:id="4731" w:name="_Toc30250"/>
      <w:bookmarkStart w:id="4732" w:name="_Toc18327"/>
      <w:bookmarkStart w:id="4733" w:name="_Toc1010015643"/>
      <w:bookmarkStart w:id="4734" w:name="_Toc9623"/>
      <w:bookmarkStart w:id="4735" w:name="_Toc7405"/>
      <w:bookmarkStart w:id="4736" w:name="_Toc201735554"/>
      <w:bookmarkStart w:id="4737" w:name="_Toc32046"/>
      <w:bookmarkStart w:id="4738" w:name="_Toc23324"/>
      <w:bookmarkStart w:id="4739" w:name="_Toc10688"/>
      <w:bookmarkStart w:id="4740" w:name="_Toc302635969"/>
      <w:r>
        <w:rPr>
          <w:rFonts w:hint="eastAsia" w:ascii="宋体" w:hAnsi="宋体" w:eastAsia="宋体" w:cs="Times New Roman"/>
          <w:b/>
          <w:bCs/>
          <w:kern w:val="0"/>
          <w:sz w:val="24"/>
          <w:szCs w:val="32"/>
          <w:lang w:val="en-US" w:eastAsia="zh-CN" w:bidi="ar-SA"/>
        </w:rPr>
        <w:t>7.1 专业工程承包人</w:t>
      </w:r>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r>
        <w:rPr>
          <w:rFonts w:ascii="宋体" w:hAnsi="宋体" w:eastAsia="宋体" w:cs="Times New Roman"/>
          <w:b/>
          <w:bCs/>
          <w:kern w:val="0"/>
          <w:sz w:val="24"/>
          <w:szCs w:val="32"/>
          <w:lang w:val="en-US" w:eastAsia="zh-CN" w:bidi="ar-SA"/>
        </w:rPr>
        <w:tab/>
      </w:r>
    </w:p>
    <w:p w14:paraId="6DCAC78E">
      <w:pPr>
        <w:ind w:firstLine="480" w:firstLineChars="200"/>
        <w:rPr>
          <w:rFonts w:ascii="宋体" w:hAnsi="宋体" w:eastAsia="宋体" w:cs="Times New Roman"/>
          <w:sz w:val="24"/>
          <w:szCs w:val="24"/>
        </w:rPr>
      </w:pPr>
      <w:bookmarkStart w:id="4741" w:name="_Toc453616565"/>
      <w:bookmarkStart w:id="4742" w:name="_Toc448494238"/>
      <w:bookmarkStart w:id="4743" w:name="_Toc448841233"/>
      <w:r>
        <w:rPr>
          <w:rFonts w:hint="eastAsia" w:ascii="宋体" w:hAnsi="宋体" w:eastAsia="宋体" w:cs="Times New Roman"/>
          <w:bCs/>
          <w:sz w:val="24"/>
          <w:szCs w:val="24"/>
        </w:rPr>
        <w:t>(</w:t>
      </w:r>
      <w:r>
        <w:rPr>
          <w:rFonts w:hint="eastAsia" w:ascii="宋体" w:hAnsi="宋体" w:eastAsia="宋体" w:cs="Times New Roman"/>
          <w:sz w:val="24"/>
          <w:szCs w:val="24"/>
        </w:rPr>
        <w:t>1)发包的专业工程以及专业工程承包人</w:t>
      </w:r>
    </w:p>
    <w:p w14:paraId="717C441A">
      <w:pPr>
        <w:rPr>
          <w:rFonts w:ascii="宋体" w:hAnsi="宋体" w:eastAsia="宋体" w:cs="Times New Roman"/>
          <w:b/>
          <w:bCs/>
          <w:sz w:val="24"/>
          <w:szCs w:val="24"/>
        </w:rPr>
      </w:pPr>
      <w:r>
        <w:rPr>
          <w:rFonts w:ascii="宋体" w:hAnsi="宋体" w:eastAsia="宋体" w:cs="Times New Roman"/>
          <w:b/>
          <w:bCs/>
          <w:sz w:val="24"/>
          <w:szCs w:val="24"/>
        </w:rPr>
        <w:t xml:space="preserve"> </w:t>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4806"/>
        <w:gridCol w:w="3096"/>
      </w:tblGrid>
      <w:tr w14:paraId="1CD14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center"/>
          </w:tcPr>
          <w:p w14:paraId="5537A589">
            <w:pPr>
              <w:jc w:val="center"/>
              <w:rPr>
                <w:rFonts w:ascii="宋体" w:hAnsi="宋体" w:eastAsia="宋体" w:cs="Times New Roman"/>
                <w:b/>
                <w:bCs/>
                <w:sz w:val="24"/>
                <w:szCs w:val="24"/>
              </w:rPr>
            </w:pPr>
            <w:r>
              <w:rPr>
                <w:rFonts w:hint="eastAsia" w:ascii="宋体" w:hAnsi="宋体" w:eastAsia="宋体" w:cs="Times New Roman"/>
                <w:sz w:val="24"/>
                <w:szCs w:val="24"/>
              </w:rPr>
              <w:t>序号</w:t>
            </w:r>
          </w:p>
        </w:tc>
        <w:tc>
          <w:tcPr>
            <w:tcW w:w="4806" w:type="dxa"/>
            <w:noWrap w:val="0"/>
            <w:vAlign w:val="center"/>
          </w:tcPr>
          <w:p w14:paraId="63218FB3">
            <w:pPr>
              <w:jc w:val="center"/>
              <w:rPr>
                <w:rFonts w:ascii="宋体" w:hAnsi="宋体" w:eastAsia="宋体" w:cs="Times New Roman"/>
                <w:b/>
                <w:bCs/>
                <w:sz w:val="24"/>
                <w:szCs w:val="24"/>
              </w:rPr>
            </w:pPr>
            <w:r>
              <w:rPr>
                <w:rFonts w:hint="eastAsia" w:ascii="宋体" w:hAnsi="宋体" w:eastAsia="宋体" w:cs="Times New Roman"/>
                <w:sz w:val="24"/>
                <w:szCs w:val="24"/>
              </w:rPr>
              <w:t>专业工程名称</w:t>
            </w:r>
          </w:p>
        </w:tc>
        <w:tc>
          <w:tcPr>
            <w:tcW w:w="3096" w:type="dxa"/>
            <w:noWrap w:val="0"/>
            <w:vAlign w:val="center"/>
          </w:tcPr>
          <w:p w14:paraId="5F6D3EA6">
            <w:pPr>
              <w:jc w:val="center"/>
              <w:rPr>
                <w:rFonts w:ascii="宋体" w:hAnsi="宋体" w:eastAsia="宋体" w:cs="Times New Roman"/>
                <w:b/>
                <w:bCs/>
                <w:sz w:val="24"/>
                <w:szCs w:val="24"/>
              </w:rPr>
            </w:pPr>
            <w:r>
              <w:rPr>
                <w:rFonts w:hint="eastAsia" w:ascii="宋体" w:hAnsi="宋体" w:eastAsia="宋体" w:cs="Times New Roman"/>
                <w:sz w:val="24"/>
                <w:szCs w:val="24"/>
              </w:rPr>
              <w:t>专业工程承包人</w:t>
            </w:r>
          </w:p>
        </w:tc>
      </w:tr>
      <w:tr w14:paraId="2DCE4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top"/>
          </w:tcPr>
          <w:p w14:paraId="0A628DB2">
            <w:pPr>
              <w:rPr>
                <w:rFonts w:ascii="宋体" w:hAnsi="宋体" w:eastAsia="宋体" w:cs="Times New Roman"/>
                <w:b/>
                <w:bCs/>
                <w:sz w:val="24"/>
                <w:szCs w:val="24"/>
              </w:rPr>
            </w:pPr>
          </w:p>
        </w:tc>
        <w:tc>
          <w:tcPr>
            <w:tcW w:w="4806" w:type="dxa"/>
            <w:noWrap w:val="0"/>
            <w:vAlign w:val="top"/>
          </w:tcPr>
          <w:p w14:paraId="752EA559">
            <w:pPr>
              <w:rPr>
                <w:rFonts w:ascii="宋体" w:hAnsi="宋体" w:eastAsia="宋体" w:cs="Times New Roman"/>
                <w:b/>
                <w:bCs/>
                <w:sz w:val="24"/>
                <w:szCs w:val="24"/>
              </w:rPr>
            </w:pPr>
          </w:p>
        </w:tc>
        <w:tc>
          <w:tcPr>
            <w:tcW w:w="3096" w:type="dxa"/>
            <w:noWrap w:val="0"/>
            <w:vAlign w:val="top"/>
          </w:tcPr>
          <w:p w14:paraId="36A2DE3E">
            <w:pPr>
              <w:rPr>
                <w:rFonts w:ascii="宋体" w:hAnsi="宋体" w:eastAsia="宋体" w:cs="Times New Roman"/>
                <w:b/>
                <w:bCs/>
                <w:sz w:val="24"/>
                <w:szCs w:val="24"/>
              </w:rPr>
            </w:pPr>
          </w:p>
        </w:tc>
      </w:tr>
      <w:tr w14:paraId="43A68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noWrap w:val="0"/>
            <w:vAlign w:val="top"/>
          </w:tcPr>
          <w:p w14:paraId="4711FAA1">
            <w:pPr>
              <w:rPr>
                <w:rFonts w:ascii="宋体" w:hAnsi="宋体" w:eastAsia="宋体" w:cs="Times New Roman"/>
                <w:b/>
                <w:bCs/>
                <w:sz w:val="24"/>
                <w:szCs w:val="24"/>
              </w:rPr>
            </w:pPr>
          </w:p>
        </w:tc>
        <w:tc>
          <w:tcPr>
            <w:tcW w:w="4806" w:type="dxa"/>
            <w:noWrap w:val="0"/>
            <w:vAlign w:val="top"/>
          </w:tcPr>
          <w:p w14:paraId="7E61CC55">
            <w:pPr>
              <w:rPr>
                <w:rFonts w:ascii="宋体" w:hAnsi="宋体" w:eastAsia="宋体" w:cs="Times New Roman"/>
                <w:b/>
                <w:bCs/>
                <w:sz w:val="24"/>
                <w:szCs w:val="24"/>
              </w:rPr>
            </w:pPr>
          </w:p>
        </w:tc>
        <w:tc>
          <w:tcPr>
            <w:tcW w:w="3096" w:type="dxa"/>
            <w:noWrap w:val="0"/>
            <w:vAlign w:val="top"/>
          </w:tcPr>
          <w:p w14:paraId="491F3983">
            <w:pPr>
              <w:rPr>
                <w:rFonts w:ascii="宋体" w:hAnsi="宋体" w:eastAsia="宋体" w:cs="Times New Roman"/>
                <w:b/>
                <w:bCs/>
                <w:sz w:val="24"/>
                <w:szCs w:val="24"/>
              </w:rPr>
            </w:pPr>
          </w:p>
        </w:tc>
      </w:tr>
    </w:tbl>
    <w:p w14:paraId="7C4E13FF">
      <w:pPr>
        <w:rPr>
          <w:rFonts w:hint="eastAsia" w:ascii="宋体" w:hAnsi="宋体" w:eastAsia="宋体" w:cs="Times New Roman"/>
          <w:b/>
          <w:bCs/>
          <w:sz w:val="24"/>
          <w:szCs w:val="24"/>
        </w:rPr>
      </w:pPr>
    </w:p>
    <w:bookmarkEnd w:id="4741"/>
    <w:bookmarkEnd w:id="4742"/>
    <w:bookmarkEnd w:id="4743"/>
    <w:p w14:paraId="3D101339">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744" w:name="_Toc4766"/>
      <w:bookmarkStart w:id="4745" w:name="_Toc2676"/>
      <w:bookmarkStart w:id="4746" w:name="_Toc20109"/>
      <w:bookmarkStart w:id="4747" w:name="_Toc9383"/>
      <w:bookmarkStart w:id="4748" w:name="_Toc208587780"/>
      <w:bookmarkStart w:id="4749" w:name="_Toc400"/>
      <w:bookmarkStart w:id="4750" w:name="_Toc1376"/>
      <w:bookmarkStart w:id="4751" w:name="_Toc6297"/>
      <w:bookmarkStart w:id="4752" w:name="_Toc201735555"/>
      <w:bookmarkStart w:id="4753" w:name="_Toc5121"/>
      <w:bookmarkStart w:id="4754" w:name="_Toc11849"/>
      <w:bookmarkStart w:id="4755" w:name="_Toc464"/>
      <w:bookmarkStart w:id="4756" w:name="_Toc1515624845"/>
      <w:r>
        <w:rPr>
          <w:rFonts w:hint="eastAsia" w:ascii="宋体" w:hAnsi="宋体" w:eastAsia="宋体" w:cs="Times New Roman"/>
          <w:b/>
          <w:bCs/>
          <w:kern w:val="0"/>
          <w:sz w:val="24"/>
          <w:szCs w:val="32"/>
          <w:lang w:val="en-US" w:eastAsia="zh-CN" w:bidi="ar-SA"/>
        </w:rPr>
        <w:t>7.2 总承包服务费</w:t>
      </w:r>
      <w:bookmarkEnd w:id="4744"/>
      <w:bookmarkEnd w:id="4745"/>
      <w:bookmarkEnd w:id="4746"/>
      <w:bookmarkEnd w:id="4747"/>
      <w:bookmarkEnd w:id="4748"/>
      <w:bookmarkEnd w:id="4749"/>
      <w:bookmarkEnd w:id="4750"/>
      <w:bookmarkEnd w:id="4751"/>
      <w:bookmarkEnd w:id="4752"/>
      <w:bookmarkEnd w:id="4753"/>
      <w:bookmarkEnd w:id="4754"/>
      <w:bookmarkEnd w:id="4755"/>
      <w:bookmarkEnd w:id="4756"/>
    </w:p>
    <w:bookmarkEnd w:id="4680"/>
    <w:p w14:paraId="1AE96CEB">
      <w:pPr>
        <w:spacing w:line="360" w:lineRule="auto"/>
        <w:ind w:firstLine="480"/>
        <w:rPr>
          <w:rFonts w:hint="eastAsia" w:ascii="宋体" w:hAnsi="宋体" w:eastAsia="宋体" w:cs="Times New Roman"/>
          <w:sz w:val="24"/>
          <w:szCs w:val="24"/>
          <w:u w:val="single"/>
        </w:rPr>
      </w:pPr>
      <w:bookmarkStart w:id="4757" w:name="_Toc305331458"/>
      <w:bookmarkStart w:id="4758" w:name="_Toc35656531"/>
      <w:r>
        <w:rPr>
          <w:rFonts w:hint="eastAsia" w:ascii="宋体" w:hAnsi="宋体" w:eastAsia="宋体" w:cs="Times New Roman"/>
          <w:sz w:val="24"/>
          <w:szCs w:val="24"/>
        </w:rPr>
        <w:t>(1)总承包服务费对应的工作内容、费用计算及调整原则约定如下：</w:t>
      </w:r>
      <w:r>
        <w:rPr>
          <w:rFonts w:hint="eastAsia" w:ascii="宋体" w:hAnsi="宋体" w:eastAsia="宋体" w:cs="Times New Roman"/>
          <w:sz w:val="24"/>
          <w:szCs w:val="24"/>
          <w:u w:val="single"/>
        </w:rPr>
        <w:t xml:space="preserve">                                                                      </w:t>
      </w:r>
    </w:p>
    <w:p w14:paraId="62BD5D41">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67F134C2">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6822167A">
      <w:pPr>
        <w:spacing w:line="360" w:lineRule="auto"/>
        <w:rPr>
          <w:rFonts w:hint="eastAsia" w:ascii="宋体" w:hAnsi="宋体" w:eastAsia="宋体" w:cs="Times New Roman"/>
          <w:sz w:val="24"/>
          <w:szCs w:val="24"/>
        </w:rPr>
      </w:pP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 xml:space="preserve"> </w:t>
      </w:r>
    </w:p>
    <w:p w14:paraId="28CA11AA">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759" w:name="_Toc19508"/>
      <w:bookmarkStart w:id="4760" w:name="_Toc22545"/>
      <w:bookmarkStart w:id="4761" w:name="_Toc302635972"/>
      <w:bookmarkStart w:id="4762" w:name="_Toc208587781"/>
      <w:bookmarkStart w:id="4763" w:name="_Toc510219432"/>
      <w:bookmarkStart w:id="4764" w:name="_Toc26414"/>
      <w:bookmarkStart w:id="4765" w:name="_Toc27109"/>
      <w:bookmarkStart w:id="4766" w:name="_Toc13902"/>
      <w:bookmarkStart w:id="4767" w:name="_Toc3056"/>
      <w:bookmarkStart w:id="4768" w:name="_Toc132"/>
      <w:bookmarkStart w:id="4769" w:name="_Toc19632"/>
      <w:bookmarkStart w:id="4770" w:name="_Toc11218"/>
      <w:bookmarkStart w:id="4771" w:name="_Toc13404"/>
      <w:bookmarkStart w:id="4772" w:name="_Toc201735556"/>
      <w:r>
        <w:rPr>
          <w:rFonts w:hint="eastAsia" w:ascii="宋体" w:hAnsi="宋体" w:eastAsia="宋体" w:cs="Times New Roman"/>
          <w:b/>
          <w:bCs/>
          <w:kern w:val="0"/>
          <w:sz w:val="24"/>
          <w:szCs w:val="32"/>
          <w:lang w:val="en-US" w:eastAsia="zh-CN" w:bidi="ar-SA"/>
        </w:rPr>
        <w:t>7.3 工作界面协调</w:t>
      </w:r>
      <w:bookmarkEnd w:id="4757"/>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p>
    <w:p w14:paraId="114CA8C0">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(4)</w:t>
      </w:r>
      <w:r>
        <w:rPr>
          <w:rFonts w:hint="eastAsia" w:ascii="宋体" w:hAnsi="宋体" w:eastAsia="宋体" w:cs="Times New Roman"/>
          <w:kern w:val="0"/>
          <w:sz w:val="24"/>
          <w:szCs w:val="24"/>
        </w:rPr>
        <w:t>由</w:t>
      </w:r>
      <w:r>
        <w:rPr>
          <w:rFonts w:ascii="宋体" w:hAnsi="宋体" w:eastAsia="宋体" w:cs="Times New Roman"/>
          <w:kern w:val="0"/>
          <w:sz w:val="24"/>
          <w:szCs w:val="24"/>
        </w:rPr>
        <w:t>于承包人未能及时对工程接口问题进行协调或未及时实施</w:t>
      </w:r>
      <w:r>
        <w:rPr>
          <w:rFonts w:hint="eastAsia" w:ascii="宋体" w:hAnsi="宋体" w:eastAsia="宋体" w:cs="Times New Roman"/>
          <w:kern w:val="0"/>
          <w:sz w:val="24"/>
          <w:szCs w:val="24"/>
        </w:rPr>
        <w:t>监理人</w:t>
      </w:r>
      <w:r>
        <w:rPr>
          <w:rFonts w:ascii="宋体" w:hAnsi="宋体" w:eastAsia="宋体" w:cs="Times New Roman"/>
          <w:kern w:val="0"/>
          <w:sz w:val="24"/>
          <w:szCs w:val="24"/>
        </w:rPr>
        <w:t>接口指令而造成损失</w:t>
      </w:r>
      <w:r>
        <w:rPr>
          <w:rFonts w:hint="eastAsia" w:ascii="宋体" w:hAnsi="宋体" w:eastAsia="宋体" w:cs="Times New Roman"/>
          <w:kern w:val="0"/>
          <w:sz w:val="24"/>
          <w:szCs w:val="24"/>
        </w:rPr>
        <w:t>的</w:t>
      </w:r>
      <w:r>
        <w:rPr>
          <w:rFonts w:ascii="宋体" w:hAnsi="宋体" w:eastAsia="宋体" w:cs="Times New Roman"/>
          <w:kern w:val="0"/>
          <w:sz w:val="24"/>
          <w:szCs w:val="24"/>
        </w:rPr>
        <w:t>，</w:t>
      </w:r>
      <w:r>
        <w:rPr>
          <w:rFonts w:hint="eastAsia" w:ascii="宋体" w:hAnsi="宋体" w:eastAsia="宋体" w:cs="Times New Roman"/>
          <w:kern w:val="0"/>
          <w:sz w:val="24"/>
          <w:szCs w:val="24"/>
        </w:rPr>
        <w:t>承包人应</w:t>
      </w:r>
      <w:r>
        <w:rPr>
          <w:rFonts w:hint="eastAsia" w:ascii="宋体" w:hAnsi="宋体" w:eastAsia="宋体" w:cs="Times New Roman"/>
          <w:sz w:val="24"/>
          <w:szCs w:val="24"/>
        </w:rPr>
        <w:t>向发包人支付上述损失的</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的违约金。</w:t>
      </w:r>
    </w:p>
    <w:p w14:paraId="74458BC5">
      <w:pPr>
        <w:keepNext w:val="0"/>
        <w:keepLines w:val="0"/>
        <w:widowControl/>
        <w:numPr>
          <w:ilvl w:val="0"/>
          <w:numId w:val="0"/>
        </w:numPr>
        <w:tabs>
          <w:tab w:val="left" w:pos="1620"/>
          <w:tab w:val="left" w:pos="2340"/>
        </w:tabs>
        <w:spacing w:before="120" w:after="120"/>
        <w:jc w:val="left"/>
        <w:outlineLvl w:val="0"/>
        <w:rPr>
          <w:rFonts w:hint="eastAsia" w:ascii="华文细黑" w:hAnsi="宋体" w:eastAsia="宋体" w:cs="Times New Roman"/>
          <w:b/>
          <w:bCs/>
          <w:snapToGrid w:val="0"/>
          <w:kern w:val="0"/>
          <w:sz w:val="28"/>
          <w:szCs w:val="44"/>
          <w:lang w:val="en-US" w:eastAsia="zh-CN" w:bidi="ar-SA"/>
        </w:rPr>
      </w:pPr>
      <w:bookmarkStart w:id="4773" w:name="_Toc10182"/>
      <w:bookmarkStart w:id="4774" w:name="_Toc2162"/>
      <w:bookmarkStart w:id="4775" w:name="_Toc7026"/>
      <w:bookmarkStart w:id="4776" w:name="_Toc201735557"/>
      <w:bookmarkStart w:id="4777" w:name="_Toc515223188"/>
      <w:bookmarkStart w:id="4778" w:name="_Toc305331459"/>
      <w:bookmarkStart w:id="4779" w:name="_Toc15393"/>
      <w:bookmarkStart w:id="4780" w:name="_Toc208587782"/>
      <w:bookmarkStart w:id="4781" w:name="_Toc29998"/>
      <w:bookmarkStart w:id="4782" w:name="_Toc19815"/>
      <w:bookmarkStart w:id="4783" w:name="_Toc302635973"/>
      <w:bookmarkStart w:id="4784" w:name="_Toc27267"/>
      <w:bookmarkStart w:id="4785" w:name="_Toc979"/>
      <w:bookmarkStart w:id="4786" w:name="_Toc981"/>
      <w:r>
        <w:rPr>
          <w:rFonts w:hint="eastAsia" w:ascii="华文细黑" w:hAnsi="宋体" w:eastAsia="宋体" w:cs="Times New Roman"/>
          <w:b/>
          <w:bCs/>
          <w:snapToGrid w:val="0"/>
          <w:kern w:val="0"/>
          <w:sz w:val="28"/>
          <w:szCs w:val="44"/>
          <w:lang w:val="en-US" w:eastAsia="zh-CN" w:bidi="ar-SA"/>
        </w:rPr>
        <w:t>8 用工和劳务</w:t>
      </w:r>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p>
    <w:p w14:paraId="1728D6D3">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787" w:name="_Toc17944"/>
      <w:bookmarkStart w:id="4788" w:name="_Toc16674"/>
      <w:bookmarkStart w:id="4789" w:name="_Toc16487"/>
      <w:bookmarkStart w:id="4790" w:name="_Toc1948"/>
      <w:bookmarkStart w:id="4791" w:name="_Toc208587783"/>
      <w:bookmarkStart w:id="4792" w:name="_Toc302635974"/>
      <w:bookmarkStart w:id="4793" w:name="_Toc12317"/>
      <w:bookmarkStart w:id="4794" w:name="_Toc7309"/>
      <w:bookmarkStart w:id="4795" w:name="_Toc28583"/>
      <w:bookmarkStart w:id="4796" w:name="_Toc31423"/>
      <w:bookmarkStart w:id="4797" w:name="_Toc663890719"/>
      <w:bookmarkStart w:id="4798" w:name="_Toc30461"/>
      <w:bookmarkStart w:id="4799" w:name="_Toc8081"/>
      <w:bookmarkStart w:id="4800" w:name="_Toc201735558"/>
      <w:bookmarkStart w:id="4801" w:name="_Toc305331460"/>
      <w:r>
        <w:rPr>
          <w:rFonts w:hint="eastAsia" w:ascii="宋体" w:hAnsi="宋体" w:eastAsia="宋体" w:cs="Times New Roman"/>
          <w:b/>
          <w:bCs/>
          <w:kern w:val="0"/>
          <w:sz w:val="24"/>
          <w:szCs w:val="32"/>
          <w:lang w:val="en-US" w:eastAsia="zh-CN" w:bidi="ar-SA"/>
        </w:rPr>
        <w:t>8.1 劳动合同</w:t>
      </w:r>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p>
    <w:p w14:paraId="5F5D7E13">
      <w:pPr>
        <w:spacing w:line="360" w:lineRule="auto"/>
        <w:ind w:left="2" w:firstLine="480"/>
        <w:rPr>
          <w:rFonts w:hint="eastAsia" w:ascii="宋体" w:hAnsi="宋体" w:eastAsia="宋体" w:cs="Times New Roman"/>
          <w:sz w:val="24"/>
          <w:szCs w:val="24"/>
          <w:u w:val="single"/>
        </w:rPr>
      </w:pPr>
      <w:r>
        <w:rPr>
          <w:rFonts w:hint="eastAsia" w:ascii="宋体" w:hAnsi="宋体" w:eastAsia="宋体" w:cs="Times New Roman"/>
          <w:sz w:val="24"/>
          <w:szCs w:val="24"/>
        </w:rPr>
        <w:t>(3)若发包人或监理人发现有未签订劳动合同的工人在现场施工，承包人应向发包人支付违约金</w:t>
      </w:r>
      <w:r>
        <w:rPr>
          <w:rFonts w:hint="eastAsia" w:ascii="宋体" w:hAnsi="宋体" w:eastAsia="宋体" w:cs="Times New Roman"/>
          <w:sz w:val="24"/>
          <w:szCs w:val="24"/>
          <w:u w:val="single"/>
        </w:rPr>
        <w:t xml:space="preserve">      </w:t>
      </w:r>
      <w:r>
        <w:rPr>
          <w:rFonts w:ascii="宋体" w:hAnsi="宋体" w:eastAsia="宋体" w:cs="Times New Roman"/>
          <w:sz w:val="24"/>
          <w:szCs w:val="24"/>
        </w:rPr>
        <w:t>元/</w:t>
      </w:r>
      <w:r>
        <w:rPr>
          <w:rFonts w:hint="eastAsia" w:ascii="宋体" w:hAnsi="宋体" w:eastAsia="宋体" w:cs="Times New Roman"/>
          <w:sz w:val="24"/>
          <w:szCs w:val="24"/>
        </w:rPr>
        <w:t>人</w:t>
      </w:r>
      <w:r>
        <w:rPr>
          <w:rFonts w:ascii="宋体" w:hAnsi="宋体" w:eastAsia="宋体" w:cs="Times New Roman"/>
          <w:sz w:val="24"/>
          <w:szCs w:val="24"/>
        </w:rPr>
        <w:t>次。</w:t>
      </w:r>
    </w:p>
    <w:p w14:paraId="03D2863B">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802" w:name="_Toc201735559"/>
      <w:bookmarkStart w:id="4803" w:name="_Toc208587784"/>
      <w:bookmarkStart w:id="4804" w:name="_Toc2522"/>
      <w:bookmarkStart w:id="4805" w:name="_Toc1402"/>
      <w:bookmarkStart w:id="4806" w:name="_Toc32713"/>
      <w:bookmarkStart w:id="4807" w:name="_Toc10743"/>
      <w:bookmarkStart w:id="4808" w:name="_Toc302635975"/>
      <w:bookmarkStart w:id="4809" w:name="_Toc7090"/>
      <w:bookmarkStart w:id="4810" w:name="_Toc31710"/>
      <w:bookmarkStart w:id="4811" w:name="_Toc29310"/>
      <w:bookmarkStart w:id="4812" w:name="_Toc23645"/>
      <w:bookmarkStart w:id="4813" w:name="_Toc7631"/>
      <w:bookmarkStart w:id="4814" w:name="_Toc829770366"/>
      <w:bookmarkStart w:id="4815" w:name="_Toc30200"/>
      <w:r>
        <w:rPr>
          <w:rFonts w:hint="eastAsia" w:ascii="宋体" w:hAnsi="宋体" w:eastAsia="宋体" w:cs="Times New Roman"/>
          <w:b/>
          <w:bCs/>
          <w:kern w:val="0"/>
          <w:sz w:val="24"/>
          <w:szCs w:val="32"/>
          <w:lang w:val="en-US" w:eastAsia="zh-CN" w:bidi="ar-SA"/>
        </w:rPr>
        <w:t>8.2 劳务分包</w:t>
      </w:r>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p>
    <w:p w14:paraId="79E1C1E7">
      <w:pPr>
        <w:spacing w:line="360" w:lineRule="auto"/>
        <w:ind w:firstLine="480"/>
        <w:rPr>
          <w:rFonts w:hint="eastAsia" w:ascii="宋体" w:hAnsi="宋体" w:eastAsia="宋体" w:cs="Times New Roman"/>
          <w:sz w:val="24"/>
          <w:szCs w:val="24"/>
        </w:rPr>
      </w:pPr>
      <w:r>
        <w:rPr>
          <w:rFonts w:ascii="宋体" w:hAnsi="宋体" w:eastAsia="宋体" w:cs="Times New Roman"/>
          <w:sz w:val="24"/>
          <w:szCs w:val="24"/>
        </w:rPr>
        <w:t>(2)</w:t>
      </w:r>
      <w:r>
        <w:rPr>
          <w:rFonts w:hint="eastAsia" w:ascii="宋体" w:hAnsi="宋体" w:eastAsia="宋体" w:cs="Times New Roman"/>
          <w:sz w:val="24"/>
          <w:szCs w:val="24"/>
        </w:rPr>
        <w:t>劳务分包企业对所有派遣工人购买意外伤害险和工伤保险的保险金额不得低于：</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0B0CAC6C">
      <w:pPr>
        <w:widowControl w:val="0"/>
        <w:numPr>
          <w:ilvl w:val="0"/>
          <w:numId w:val="0"/>
        </w:numPr>
        <w:tabs>
          <w:tab w:val="left" w:pos="540"/>
          <w:tab w:val="left" w:pos="2340"/>
        </w:tabs>
        <w:spacing w:before="120" w:after="156"/>
        <w:ind w:left="180"/>
        <w:jc w:val="left"/>
        <w:outlineLvl w:val="1"/>
        <w:rPr>
          <w:rFonts w:hint="eastAsia" w:ascii="宋体" w:hAnsi="宋体" w:eastAsia="宋体" w:cs="Times New Roman"/>
          <w:b/>
          <w:bCs/>
          <w:kern w:val="0"/>
          <w:sz w:val="24"/>
          <w:szCs w:val="32"/>
          <w:lang w:val="en-US" w:eastAsia="zh-CN" w:bidi="ar-SA"/>
        </w:rPr>
      </w:pPr>
      <w:bookmarkStart w:id="4816" w:name="_Toc8279"/>
      <w:bookmarkStart w:id="4817" w:name="_Toc1632"/>
      <w:bookmarkStart w:id="4818" w:name="_Toc305331461"/>
      <w:bookmarkStart w:id="4819" w:name="_Toc302635976"/>
      <w:bookmarkStart w:id="4820" w:name="_Toc11691"/>
      <w:bookmarkStart w:id="4821" w:name="_Toc3774"/>
      <w:bookmarkStart w:id="4822" w:name="_Toc29822"/>
      <w:bookmarkStart w:id="4823" w:name="_Toc30699"/>
      <w:bookmarkStart w:id="4824" w:name="_Toc12686"/>
      <w:bookmarkStart w:id="4825" w:name="_Toc28333"/>
      <w:bookmarkStart w:id="4826" w:name="_Toc1618651731"/>
      <w:bookmarkStart w:id="4827" w:name="_Toc208587785"/>
      <w:bookmarkStart w:id="4828" w:name="_Toc23042"/>
      <w:bookmarkStart w:id="4829" w:name="_Toc28711"/>
      <w:bookmarkStart w:id="4830" w:name="_Toc201735560"/>
      <w:r>
        <w:rPr>
          <w:rFonts w:hint="eastAsia" w:ascii="宋体" w:hAnsi="宋体" w:eastAsia="宋体" w:cs="Times New Roman"/>
          <w:b/>
          <w:bCs/>
          <w:kern w:val="0"/>
          <w:sz w:val="24"/>
          <w:szCs w:val="32"/>
          <w:lang w:val="en-US" w:eastAsia="zh-CN" w:bidi="ar-SA"/>
        </w:rPr>
        <w:t>8.3 劳务分包合同</w:t>
      </w:r>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p>
    <w:p w14:paraId="17187081">
      <w:pPr>
        <w:spacing w:line="360" w:lineRule="auto"/>
        <w:ind w:left="2" w:hanging="2"/>
        <w:rPr>
          <w:rFonts w:hint="eastAsia" w:ascii="宋体" w:hAnsi="宋体" w:eastAsia="宋体" w:cs="Times New Roman"/>
          <w:sz w:val="24"/>
          <w:szCs w:val="24"/>
        </w:rPr>
      </w:pPr>
      <w:r>
        <w:rPr>
          <w:rFonts w:hint="eastAsia" w:ascii="宋体" w:hAnsi="宋体" w:eastAsia="宋体" w:cs="Times New Roman"/>
          <w:sz w:val="24"/>
          <w:szCs w:val="24"/>
        </w:rPr>
        <w:t xml:space="preserve">    (3)若发包人或监理人发现工地上有未签订劳务分包合同的劳务企业人员在现场施工，承包人应向发包人支付违约金</w:t>
      </w:r>
      <w:r>
        <w:rPr>
          <w:rFonts w:hint="eastAsia" w:ascii="宋体" w:hAnsi="宋体" w:eastAsia="宋体" w:cs="Times New Roman"/>
          <w:sz w:val="24"/>
          <w:szCs w:val="24"/>
          <w:u w:val="single"/>
        </w:rPr>
        <w:t xml:space="preserve">        </w:t>
      </w:r>
      <w:r>
        <w:rPr>
          <w:rFonts w:ascii="宋体" w:hAnsi="宋体" w:eastAsia="宋体" w:cs="Times New Roman"/>
          <w:sz w:val="24"/>
          <w:szCs w:val="24"/>
        </w:rPr>
        <w:t>元/</w:t>
      </w:r>
      <w:r>
        <w:rPr>
          <w:rFonts w:hint="eastAsia" w:ascii="宋体" w:hAnsi="宋体" w:eastAsia="宋体" w:cs="Times New Roman"/>
          <w:sz w:val="24"/>
          <w:szCs w:val="24"/>
        </w:rPr>
        <w:t>人</w:t>
      </w:r>
      <w:r>
        <w:rPr>
          <w:rFonts w:ascii="宋体" w:hAnsi="宋体" w:eastAsia="宋体" w:cs="Times New Roman"/>
          <w:sz w:val="24"/>
          <w:szCs w:val="24"/>
        </w:rPr>
        <w:t>次。</w:t>
      </w:r>
    </w:p>
    <w:p w14:paraId="671F0783">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kern w:val="0"/>
          <w:sz w:val="28"/>
          <w:szCs w:val="44"/>
          <w:lang w:val="en-US" w:eastAsia="zh-CN" w:bidi="ar-SA"/>
        </w:rPr>
      </w:pPr>
      <w:bookmarkStart w:id="4831" w:name="_Toc19031"/>
      <w:bookmarkStart w:id="4832" w:name="_Toc15878"/>
      <w:bookmarkStart w:id="4833" w:name="_Toc12312"/>
      <w:bookmarkStart w:id="4834" w:name="_Toc302635977"/>
      <w:bookmarkStart w:id="4835" w:name="_Toc305331462"/>
      <w:bookmarkStart w:id="4836" w:name="_Toc4650"/>
      <w:bookmarkStart w:id="4837" w:name="_Toc14834"/>
      <w:bookmarkStart w:id="4838" w:name="_Toc985583761"/>
      <w:bookmarkStart w:id="4839" w:name="_Toc201735561"/>
      <w:bookmarkStart w:id="4840" w:name="_Toc1772"/>
      <w:bookmarkStart w:id="4841" w:name="_Toc18658"/>
      <w:bookmarkStart w:id="4842" w:name="_Toc11285"/>
      <w:bookmarkStart w:id="4843" w:name="_Toc16171"/>
      <w:bookmarkStart w:id="4844" w:name="_Toc30301"/>
      <w:bookmarkStart w:id="4845" w:name="_Toc208587786"/>
      <w:r>
        <w:rPr>
          <w:rFonts w:hint="eastAsia" w:ascii="华文细黑" w:hAnsi="宋体" w:eastAsia="宋体" w:cs="Times New Roman"/>
          <w:b/>
          <w:bCs/>
          <w:snapToGrid w:val="0"/>
          <w:kern w:val="0"/>
          <w:sz w:val="28"/>
          <w:szCs w:val="44"/>
          <w:lang w:val="en-US" w:eastAsia="zh-CN" w:bidi="ar-SA"/>
        </w:rPr>
        <w:t>9 施工组织设计和进度计划</w:t>
      </w:r>
      <w:bookmarkEnd w:id="4758"/>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p>
    <w:p w14:paraId="36A41C33">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kern w:val="0"/>
          <w:sz w:val="24"/>
          <w:szCs w:val="32"/>
          <w:lang w:val="en-US" w:eastAsia="zh-CN" w:bidi="ar-SA"/>
        </w:rPr>
      </w:pPr>
      <w:bookmarkStart w:id="4846" w:name="_Toc23302"/>
      <w:bookmarkStart w:id="4847" w:name="_Toc302635978"/>
      <w:bookmarkStart w:id="4848" w:name="_Toc1746"/>
      <w:bookmarkStart w:id="4849" w:name="_Toc25921"/>
      <w:bookmarkStart w:id="4850" w:name="_Toc305331463"/>
      <w:bookmarkStart w:id="4851" w:name="_Toc1315219129"/>
      <w:bookmarkStart w:id="4852" w:name="_Toc201735562"/>
      <w:bookmarkStart w:id="4853" w:name="_Toc19171"/>
      <w:bookmarkStart w:id="4854" w:name="_Toc19318"/>
      <w:bookmarkStart w:id="4855" w:name="_Toc30634"/>
      <w:bookmarkStart w:id="4856" w:name="_Toc21898"/>
      <w:bookmarkStart w:id="4857" w:name="_Toc208587787"/>
      <w:bookmarkStart w:id="4858" w:name="_Toc11486"/>
      <w:bookmarkStart w:id="4859" w:name="_Toc22395"/>
      <w:bookmarkStart w:id="4860" w:name="_Toc18970"/>
      <w:r>
        <w:rPr>
          <w:rFonts w:hint="eastAsia" w:ascii="宋体" w:hAnsi="宋体" w:eastAsia="宋体" w:cs="Times New Roman"/>
          <w:b/>
          <w:bCs/>
          <w:kern w:val="0"/>
          <w:sz w:val="24"/>
          <w:szCs w:val="32"/>
          <w:lang w:val="en-US" w:eastAsia="zh-CN" w:bidi="ar-SA"/>
        </w:rPr>
        <w:t>9.1 施工组织设计和进度计划的编制与提交</w:t>
      </w:r>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p>
    <w:p w14:paraId="75C78D03">
      <w:pPr>
        <w:spacing w:line="360" w:lineRule="auto"/>
        <w:ind w:left="-57" w:right="-105" w:firstLine="480"/>
        <w:rPr>
          <w:rFonts w:ascii="宋体" w:hAnsi="宋体" w:eastAsia="宋体" w:cs="Times New Roman"/>
          <w:sz w:val="24"/>
          <w:szCs w:val="24"/>
        </w:rPr>
      </w:pPr>
      <w:r>
        <w:rPr>
          <w:rFonts w:hint="eastAsia" w:ascii="宋体" w:hAnsi="宋体" w:eastAsia="宋体" w:cs="Times New Roman"/>
          <w:sz w:val="24"/>
          <w:szCs w:val="24"/>
        </w:rPr>
        <w:t>(1)承包人应提供施工组织设计和工程进度计划的单位工程名称：</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3DECF39A">
      <w:pPr>
        <w:spacing w:line="360" w:lineRule="auto"/>
        <w:ind w:left="2" w:hanging="2"/>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7E4E0FFD">
      <w:pPr>
        <w:spacing w:line="360" w:lineRule="auto"/>
        <w:ind w:left="2" w:hanging="2"/>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421D0654">
      <w:pPr>
        <w:spacing w:line="360" w:lineRule="auto"/>
        <w:ind w:firstLine="360"/>
        <w:rPr>
          <w:rFonts w:hint="eastAsia" w:ascii="宋体" w:hAnsi="宋体" w:eastAsia="宋体" w:cs="Times New Roman"/>
          <w:bCs/>
          <w:sz w:val="24"/>
          <w:szCs w:val="24"/>
          <w:u w:val="single"/>
        </w:rPr>
      </w:pPr>
      <w:r>
        <w:rPr>
          <w:rFonts w:hint="eastAsia" w:ascii="宋体" w:hAnsi="宋体" w:eastAsia="宋体" w:cs="Times New Roman"/>
          <w:sz w:val="24"/>
          <w:szCs w:val="24"/>
        </w:rPr>
        <w:t xml:space="preserve"> (2)承包人提供施工组织设计和工程进度计划的时间和要求：</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26BE0C41">
      <w:pPr>
        <w:spacing w:line="360" w:lineRule="auto"/>
        <w:ind w:left="2" w:hanging="2"/>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5DBBEB9C">
      <w:pPr>
        <w:spacing w:line="360" w:lineRule="auto"/>
        <w:ind w:left="2" w:hanging="2"/>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37374656">
      <w:pPr>
        <w:spacing w:line="360" w:lineRule="auto"/>
        <w:ind w:firstLine="480"/>
        <w:rPr>
          <w:rFonts w:ascii="宋体" w:hAnsi="宋体" w:eastAsia="宋体" w:cs="Times New Roman"/>
          <w:sz w:val="24"/>
          <w:szCs w:val="24"/>
          <w:u w:val="single"/>
        </w:rPr>
      </w:pPr>
      <w:r>
        <w:rPr>
          <w:rFonts w:hint="eastAsia" w:ascii="宋体" w:hAnsi="宋体" w:eastAsia="宋体" w:cs="Times New Roman"/>
          <w:sz w:val="24"/>
          <w:szCs w:val="24"/>
        </w:rPr>
        <w:t>监理人确认的时间：</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7B39B99C">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6B0B4161">
      <w:pPr>
        <w:spacing w:line="360" w:lineRule="auto"/>
        <w:ind w:firstLine="480"/>
        <w:rPr>
          <w:rFonts w:hint="eastAsia" w:ascii="宋体" w:hAnsi="宋体" w:eastAsia="宋体" w:cs="Times New Roman"/>
          <w:bCs/>
          <w:sz w:val="24"/>
          <w:szCs w:val="24"/>
          <w:u w:val="single"/>
        </w:rPr>
      </w:pPr>
      <w:r>
        <w:rPr>
          <w:rFonts w:hint="eastAsia" w:ascii="宋体" w:hAnsi="宋体" w:eastAsia="宋体" w:cs="Times New Roman"/>
          <w:sz w:val="24"/>
          <w:szCs w:val="24"/>
        </w:rPr>
        <w:t>承包人根据监理人的合理意见提交修改后的施工组织设计和工程进度计划的时间和要求：</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3177B20C">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03FA15CF">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4861" w:name="_Toc208587788"/>
      <w:bookmarkStart w:id="4862" w:name="_Toc23537"/>
      <w:bookmarkStart w:id="4863" w:name="_Toc12438"/>
      <w:bookmarkStart w:id="4864" w:name="_Toc21214"/>
      <w:bookmarkStart w:id="4865" w:name="_Toc2026801183"/>
      <w:bookmarkStart w:id="4866" w:name="_Toc302635979"/>
      <w:bookmarkStart w:id="4867" w:name="_Toc44"/>
      <w:bookmarkStart w:id="4868" w:name="_Toc25178"/>
      <w:bookmarkStart w:id="4869" w:name="_Toc21567"/>
      <w:bookmarkStart w:id="4870" w:name="_Toc12083"/>
      <w:bookmarkStart w:id="4871" w:name="_Toc305331464"/>
      <w:bookmarkStart w:id="4872" w:name="_Toc25556"/>
      <w:bookmarkStart w:id="4873" w:name="_Toc16490"/>
      <w:bookmarkStart w:id="4874" w:name="_Toc201735563"/>
      <w:bookmarkStart w:id="4875" w:name="_Toc30413"/>
      <w:r>
        <w:rPr>
          <w:rFonts w:hint="eastAsia" w:ascii="宋体" w:hAnsi="宋体" w:eastAsia="宋体" w:cs="Times New Roman"/>
          <w:b/>
          <w:bCs/>
          <w:kern w:val="0"/>
          <w:sz w:val="24"/>
          <w:szCs w:val="32"/>
          <w:lang w:val="en-US" w:eastAsia="zh-CN" w:bidi="ar-SA"/>
        </w:rPr>
        <w:t>9.4 工程用款计划</w:t>
      </w:r>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p>
    <w:p w14:paraId="0B4E900F">
      <w:pPr>
        <w:spacing w:line="360" w:lineRule="auto"/>
        <w:ind w:firstLine="440"/>
        <w:rPr>
          <w:rFonts w:ascii="宋体" w:hAnsi="宋体" w:eastAsia="宋体" w:cs="Times New Roman"/>
          <w:sz w:val="24"/>
          <w:szCs w:val="24"/>
          <w:u w:val="single"/>
        </w:rPr>
      </w:pPr>
      <w:r>
        <w:rPr>
          <w:rFonts w:hint="eastAsia" w:ascii="宋体" w:hAnsi="宋体" w:eastAsia="宋体" w:cs="Times New Roman"/>
          <w:bCs/>
          <w:spacing w:val="-10"/>
          <w:sz w:val="24"/>
          <w:szCs w:val="24"/>
        </w:rPr>
        <w:t>承包人提交工程用款计划的要求：</w:t>
      </w:r>
      <w:r>
        <w:rPr>
          <w:rFonts w:hint="eastAsia" w:ascii="宋体" w:hAnsi="宋体" w:eastAsia="宋体" w:cs="Times New Roman"/>
          <w:bCs/>
          <w:spacing w:val="-10"/>
          <w:sz w:val="24"/>
          <w:szCs w:val="24"/>
          <w:u w:val="single"/>
        </w:rPr>
        <w:t xml:space="preserve">                                                </w:t>
      </w:r>
      <w:r>
        <w:rPr>
          <w:rFonts w:hint="eastAsia" w:ascii="宋体" w:hAnsi="宋体" w:eastAsia="宋体" w:cs="Times New Roman"/>
          <w:sz w:val="24"/>
          <w:szCs w:val="24"/>
          <w:u w:val="single"/>
        </w:rPr>
        <w:t xml:space="preserve">     </w:t>
      </w:r>
    </w:p>
    <w:p w14:paraId="3450DC3A">
      <w:pPr>
        <w:spacing w:line="360" w:lineRule="auto"/>
        <w:rPr>
          <w:rFonts w:hint="eastAsia" w:ascii="宋体" w:hAnsi="宋体" w:eastAsia="宋体" w:cs="Times New Roman"/>
          <w:bCs/>
          <w:sz w:val="24"/>
          <w:szCs w:val="24"/>
          <w:u w:val="single"/>
        </w:rPr>
      </w:pPr>
      <w:bookmarkStart w:id="4876" w:name="_Toc35656532"/>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24A712B4">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25FD34A4">
      <w:pPr>
        <w:keepNext w:val="0"/>
        <w:keepLines w:val="0"/>
        <w:widowControl/>
        <w:numPr>
          <w:ilvl w:val="0"/>
          <w:numId w:val="0"/>
        </w:numPr>
        <w:tabs>
          <w:tab w:val="left" w:pos="1620"/>
          <w:tab w:val="left" w:pos="2340"/>
        </w:tabs>
        <w:spacing w:before="120" w:after="120"/>
        <w:jc w:val="left"/>
        <w:outlineLvl w:val="0"/>
        <w:rPr>
          <w:rFonts w:ascii="华文细黑" w:hAnsi="宋体" w:eastAsia="宋体" w:cs="Times New Roman"/>
          <w:b/>
          <w:bCs/>
          <w:snapToGrid w:val="0"/>
          <w:kern w:val="0"/>
          <w:sz w:val="28"/>
          <w:szCs w:val="44"/>
          <w:lang w:val="en-US" w:eastAsia="zh-CN" w:bidi="ar-SA"/>
        </w:rPr>
      </w:pPr>
      <w:bookmarkStart w:id="4877" w:name="_Toc305331465"/>
      <w:bookmarkStart w:id="4878" w:name="_Toc29900"/>
      <w:bookmarkStart w:id="4879" w:name="_Toc327"/>
      <w:bookmarkStart w:id="4880" w:name="_Toc24761"/>
      <w:bookmarkStart w:id="4881" w:name="_Toc208587789"/>
      <w:bookmarkStart w:id="4882" w:name="_Toc28768"/>
      <w:bookmarkStart w:id="4883" w:name="_Toc30599"/>
      <w:bookmarkStart w:id="4884" w:name="_Toc6805"/>
      <w:bookmarkStart w:id="4885" w:name="_Toc201735564"/>
      <w:bookmarkStart w:id="4886" w:name="_Toc798553030"/>
      <w:bookmarkStart w:id="4887" w:name="_Toc13063"/>
      <w:bookmarkStart w:id="4888" w:name="_Toc302635980"/>
      <w:bookmarkStart w:id="4889" w:name="_Toc17392"/>
      <w:bookmarkStart w:id="4890" w:name="_Toc23230"/>
      <w:bookmarkStart w:id="4891" w:name="_Toc21486"/>
      <w:r>
        <w:rPr>
          <w:rFonts w:hint="eastAsia" w:ascii="华文细黑" w:hAnsi="宋体" w:eastAsia="宋体" w:cs="Times New Roman"/>
          <w:b/>
          <w:bCs/>
          <w:snapToGrid w:val="0"/>
          <w:kern w:val="0"/>
          <w:sz w:val="28"/>
          <w:szCs w:val="44"/>
          <w:lang w:val="en-US" w:eastAsia="zh-CN" w:bidi="ar-SA"/>
        </w:rPr>
        <w:t>10 施工准备</w:t>
      </w:r>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p>
    <w:p w14:paraId="39FF68AC">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4892" w:name="_Toc6896"/>
      <w:bookmarkStart w:id="4893" w:name="_Toc305331466"/>
      <w:bookmarkStart w:id="4894" w:name="_Toc208587790"/>
      <w:bookmarkStart w:id="4895" w:name="_Toc2006466666"/>
      <w:bookmarkStart w:id="4896" w:name="_Toc22518"/>
      <w:bookmarkStart w:id="4897" w:name="_Toc7228"/>
      <w:bookmarkStart w:id="4898" w:name="_Toc30321"/>
      <w:bookmarkStart w:id="4899" w:name="_Toc201735565"/>
      <w:bookmarkStart w:id="4900" w:name="_Toc24268"/>
      <w:bookmarkStart w:id="4901" w:name="_Toc302635981"/>
      <w:bookmarkStart w:id="4902" w:name="_Toc19615"/>
      <w:bookmarkStart w:id="4903" w:name="_Toc22581"/>
      <w:bookmarkStart w:id="4904" w:name="_Toc31192"/>
      <w:bookmarkStart w:id="4905" w:name="_Toc7398"/>
      <w:bookmarkStart w:id="4906" w:name="_Toc19123"/>
      <w:r>
        <w:rPr>
          <w:rFonts w:hint="eastAsia" w:ascii="宋体" w:hAnsi="宋体" w:eastAsia="宋体" w:cs="Times New Roman"/>
          <w:b/>
          <w:bCs/>
          <w:kern w:val="0"/>
          <w:sz w:val="24"/>
          <w:szCs w:val="32"/>
          <w:lang w:val="en-US" w:eastAsia="zh-CN" w:bidi="ar-SA"/>
        </w:rPr>
        <w:t>10.2 施工场地提供</w:t>
      </w:r>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p>
    <w:p w14:paraId="50EA547E">
      <w:pPr>
        <w:spacing w:line="360" w:lineRule="auto"/>
        <w:ind w:firstLine="480"/>
        <w:rPr>
          <w:rFonts w:ascii="黑体" w:hAnsi="黑体" w:eastAsia="黑体" w:cs="Times New Roman"/>
          <w:b/>
          <w:sz w:val="24"/>
          <w:szCs w:val="24"/>
          <w:u w:val="single"/>
        </w:rPr>
      </w:pPr>
      <w:r>
        <w:rPr>
          <w:rFonts w:hint="eastAsia" w:ascii="宋体" w:hAnsi="宋体" w:eastAsia="宋体" w:cs="Times New Roman"/>
          <w:sz w:val="24"/>
          <w:szCs w:val="24"/>
        </w:rPr>
        <w:t>(1)发包人提供给承包人的工地范围、时间及次序约定：</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1641A130">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21FC1820">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7BE3F693">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(3)红线外临时占地租用费用承担约定：</w:t>
      </w:r>
      <w:r>
        <w:rPr>
          <w:rFonts w:hint="eastAsia" w:ascii="宋体" w:hAnsi="宋体" w:eastAsia="宋体" w:cs="Times New Roman"/>
          <w:sz w:val="24"/>
          <w:szCs w:val="24"/>
          <w:u w:val="single"/>
        </w:rPr>
        <w:t xml:space="preserve">                                    </w:t>
      </w:r>
    </w:p>
    <w:p w14:paraId="290B38B4">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6692AF54">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1B27B62B">
      <w:pPr>
        <w:keepNext w:val="0"/>
        <w:keepLines w:val="0"/>
        <w:widowControl/>
        <w:numPr>
          <w:ilvl w:val="0"/>
          <w:numId w:val="0"/>
        </w:numPr>
        <w:tabs>
          <w:tab w:val="left" w:pos="54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bookmarkStart w:id="4907" w:name="_Toc201735566"/>
      <w:bookmarkStart w:id="4908" w:name="_Toc14827"/>
      <w:bookmarkStart w:id="4909" w:name="_Toc7526"/>
      <w:bookmarkStart w:id="4910" w:name="_Toc4847"/>
      <w:bookmarkStart w:id="4911" w:name="_Toc208587791"/>
      <w:bookmarkStart w:id="4912" w:name="_Toc2073235303"/>
      <w:bookmarkStart w:id="4913" w:name="_Toc25684"/>
      <w:bookmarkStart w:id="4914" w:name="_Toc4338"/>
      <w:bookmarkStart w:id="4915" w:name="_Toc29645"/>
      <w:bookmarkStart w:id="4916" w:name="_Toc7040"/>
      <w:bookmarkStart w:id="4917" w:name="_Toc28085"/>
      <w:bookmarkStart w:id="4918" w:name="_Toc201735568"/>
      <w:bookmarkStart w:id="4919" w:name="_Toc28215"/>
      <w:bookmarkStart w:id="4920" w:name="_Toc27437"/>
      <w:bookmarkStart w:id="4921" w:name="_Toc302635983"/>
      <w:bookmarkStart w:id="4922" w:name="_Toc305331468"/>
      <w:r>
        <w:rPr>
          <w:rFonts w:hint="eastAsia" w:ascii="华文细黑" w:hAnsi="宋体" w:eastAsia="宋体" w:cs="Times New Roman"/>
          <w:b/>
          <w:bCs/>
          <w:snapToGrid w:val="0"/>
          <w:kern w:val="0"/>
          <w:sz w:val="28"/>
          <w:szCs w:val="44"/>
          <w:lang w:val="en-US" w:eastAsia="zh-CN" w:bidi="ar-SA"/>
        </w:rPr>
        <w:t>1</w:t>
      </w:r>
      <w:r>
        <w:rPr>
          <w:rFonts w:ascii="华文细黑" w:hAnsi="宋体" w:eastAsia="宋体" w:cs="Times New Roman"/>
          <w:b/>
          <w:bCs/>
          <w:snapToGrid w:val="0"/>
          <w:kern w:val="0"/>
          <w:sz w:val="28"/>
          <w:szCs w:val="44"/>
          <w:lang w:val="en-US" w:eastAsia="zh-CN" w:bidi="ar-SA"/>
        </w:rPr>
        <w:t xml:space="preserve">1 </w:t>
      </w:r>
      <w:r>
        <w:rPr>
          <w:rFonts w:hint="eastAsia" w:ascii="华文细黑" w:hAnsi="宋体" w:eastAsia="宋体" w:cs="Times New Roman"/>
          <w:b/>
          <w:bCs/>
          <w:snapToGrid w:val="0"/>
          <w:kern w:val="0"/>
          <w:sz w:val="28"/>
          <w:szCs w:val="44"/>
          <w:lang w:val="en-US" w:eastAsia="zh-CN" w:bidi="ar-SA"/>
        </w:rPr>
        <w:t>开工及延期</w:t>
      </w:r>
      <w:bookmarkEnd w:id="4907"/>
      <w:bookmarkEnd w:id="4908"/>
      <w:bookmarkEnd w:id="4909"/>
      <w:bookmarkEnd w:id="4910"/>
      <w:bookmarkEnd w:id="4911"/>
      <w:bookmarkEnd w:id="4912"/>
      <w:bookmarkEnd w:id="4913"/>
    </w:p>
    <w:p w14:paraId="1AE07BDE">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kern w:val="0"/>
          <w:sz w:val="24"/>
          <w:szCs w:val="32"/>
          <w:lang w:val="en-US" w:eastAsia="zh-CN" w:bidi="ar-SA"/>
        </w:rPr>
      </w:pPr>
      <w:bookmarkStart w:id="4923" w:name="_Toc252484770"/>
      <w:bookmarkStart w:id="4924" w:name="_Toc9671"/>
      <w:bookmarkStart w:id="4925" w:name="_Toc11177"/>
      <w:bookmarkStart w:id="4926" w:name="_Toc201735567"/>
      <w:bookmarkStart w:id="4927" w:name="_Toc10763"/>
      <w:bookmarkStart w:id="4928" w:name="_Toc30684"/>
      <w:bookmarkStart w:id="4929" w:name="_Toc208587792"/>
      <w:r>
        <w:rPr>
          <w:rFonts w:ascii="宋体" w:hAnsi="宋体" w:eastAsia="宋体" w:cs="Times New Roman"/>
          <w:b/>
          <w:bCs/>
          <w:kern w:val="0"/>
          <w:sz w:val="24"/>
          <w:szCs w:val="32"/>
          <w:lang w:val="en-US" w:eastAsia="zh-CN" w:bidi="ar-SA"/>
        </w:rPr>
        <w:t>11.2 开工</w:t>
      </w:r>
      <w:r>
        <w:rPr>
          <w:rFonts w:hint="eastAsia" w:ascii="宋体" w:hAnsi="宋体" w:eastAsia="宋体" w:cs="Times New Roman"/>
          <w:b/>
          <w:bCs/>
          <w:kern w:val="0"/>
          <w:sz w:val="24"/>
          <w:szCs w:val="32"/>
          <w:lang w:val="en-US" w:eastAsia="zh-CN" w:bidi="ar-SA"/>
        </w:rPr>
        <w:t>延期</w:t>
      </w:r>
      <w:bookmarkEnd w:id="4923"/>
      <w:bookmarkEnd w:id="4924"/>
      <w:bookmarkEnd w:id="4925"/>
      <w:bookmarkEnd w:id="4926"/>
      <w:bookmarkEnd w:id="4927"/>
      <w:bookmarkEnd w:id="4928"/>
      <w:bookmarkEnd w:id="4929"/>
    </w:p>
    <w:p w14:paraId="568470F4">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4)因发包人原因造成监理人未能在计划开工日期之日起</w:t>
      </w:r>
      <w:r>
        <w:rPr>
          <w:rFonts w:ascii="宋体" w:hAnsi="宋体" w:eastAsia="宋体" w:cs="Times New Roman"/>
          <w:sz w:val="24"/>
          <w:szCs w:val="24"/>
          <w:u w:val="single"/>
        </w:rPr>
        <w:t xml:space="preserve">     </w:t>
      </w:r>
      <w:r>
        <w:rPr>
          <w:rFonts w:ascii="宋体" w:hAnsi="宋体" w:eastAsia="宋体" w:cs="Times New Roman"/>
          <w:sz w:val="24"/>
          <w:szCs w:val="24"/>
        </w:rPr>
        <w:t>天内发出开工通知的，承包人有权解除合同。</w:t>
      </w:r>
    </w:p>
    <w:p w14:paraId="7FC9C5A6">
      <w:pPr>
        <w:keepNext w:val="0"/>
        <w:keepLines w:val="0"/>
        <w:widowControl/>
        <w:numPr>
          <w:ilvl w:val="0"/>
          <w:numId w:val="0"/>
        </w:numPr>
        <w:tabs>
          <w:tab w:val="left" w:pos="54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bookmarkStart w:id="4930" w:name="_Toc11001"/>
      <w:bookmarkStart w:id="4931" w:name="_Toc3705"/>
      <w:bookmarkStart w:id="4932" w:name="_Toc29428222"/>
      <w:bookmarkStart w:id="4933" w:name="_Toc10833"/>
      <w:bookmarkStart w:id="4934" w:name="_Toc29872"/>
      <w:bookmarkStart w:id="4935" w:name="_Toc208587793"/>
      <w:r>
        <w:rPr>
          <w:rFonts w:hint="eastAsia" w:ascii="华文细黑" w:hAnsi="宋体" w:eastAsia="宋体" w:cs="Times New Roman"/>
          <w:b/>
          <w:bCs/>
          <w:snapToGrid w:val="0"/>
          <w:kern w:val="0"/>
          <w:sz w:val="28"/>
          <w:szCs w:val="44"/>
          <w:lang w:val="en-US" w:eastAsia="zh-CN" w:bidi="ar-SA"/>
        </w:rPr>
        <w:t>12 暂停施工和恢复施工</w:t>
      </w:r>
      <w:bookmarkEnd w:id="4914"/>
      <w:bookmarkEnd w:id="4915"/>
      <w:bookmarkEnd w:id="4916"/>
      <w:bookmarkEnd w:id="4917"/>
      <w:bookmarkEnd w:id="4918"/>
      <w:bookmarkEnd w:id="4919"/>
      <w:bookmarkEnd w:id="4920"/>
      <w:bookmarkEnd w:id="4930"/>
      <w:bookmarkEnd w:id="4931"/>
      <w:bookmarkEnd w:id="4932"/>
      <w:bookmarkEnd w:id="4933"/>
      <w:bookmarkEnd w:id="4934"/>
      <w:bookmarkEnd w:id="4935"/>
    </w:p>
    <w:p w14:paraId="3907959C">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4936" w:name="_Toc19876"/>
      <w:bookmarkStart w:id="4937" w:name="_Toc27382"/>
      <w:bookmarkStart w:id="4938" w:name="_Toc201735569"/>
      <w:bookmarkStart w:id="4939" w:name="_Toc2573"/>
      <w:bookmarkStart w:id="4940" w:name="_Toc7622"/>
      <w:bookmarkStart w:id="4941" w:name="_Toc11856"/>
      <w:bookmarkStart w:id="4942" w:name="_Toc26008"/>
      <w:bookmarkStart w:id="4943" w:name="_Toc1731541206"/>
      <w:bookmarkStart w:id="4944" w:name="_Toc15998"/>
      <w:bookmarkStart w:id="4945" w:name="_Toc13026"/>
      <w:bookmarkStart w:id="4946" w:name="_Toc208587794"/>
      <w:bookmarkStart w:id="4947" w:name="_Toc3058"/>
      <w:bookmarkStart w:id="4948" w:name="_Toc13119"/>
      <w:r>
        <w:rPr>
          <w:rFonts w:hint="eastAsia" w:ascii="宋体" w:hAnsi="宋体" w:eastAsia="宋体" w:cs="Times New Roman"/>
          <w:b/>
          <w:bCs/>
          <w:kern w:val="0"/>
          <w:sz w:val="24"/>
          <w:szCs w:val="32"/>
          <w:lang w:val="en-US" w:eastAsia="zh-CN" w:bidi="ar-SA"/>
        </w:rPr>
        <w:t>12.2 承包人原因引起的暂停施工</w:t>
      </w:r>
      <w:bookmarkEnd w:id="4936"/>
      <w:bookmarkEnd w:id="4937"/>
      <w:bookmarkEnd w:id="4938"/>
      <w:bookmarkEnd w:id="4939"/>
      <w:bookmarkEnd w:id="4940"/>
      <w:bookmarkEnd w:id="4941"/>
      <w:bookmarkEnd w:id="4942"/>
      <w:bookmarkEnd w:id="4943"/>
      <w:bookmarkEnd w:id="4944"/>
      <w:bookmarkEnd w:id="4945"/>
      <w:bookmarkEnd w:id="4946"/>
      <w:bookmarkEnd w:id="4947"/>
      <w:bookmarkEnd w:id="4948"/>
    </w:p>
    <w:p w14:paraId="6D3F2CE6">
      <w:pPr>
        <w:spacing w:line="360" w:lineRule="auto"/>
        <w:ind w:firstLine="480"/>
        <w:rPr>
          <w:rFonts w:hint="eastAsia" w:ascii="宋体" w:hAnsi="宋体" w:eastAsia="宋体" w:cs="Times New Roman"/>
          <w:sz w:val="24"/>
          <w:szCs w:val="24"/>
          <w:u w:val="single"/>
        </w:rPr>
      </w:pPr>
      <w:r>
        <w:rPr>
          <w:rFonts w:ascii="宋体" w:hAnsi="宋体" w:eastAsia="宋体" w:cs="Times New Roman"/>
          <w:sz w:val="24"/>
          <w:szCs w:val="24"/>
        </w:rPr>
        <w:t>因承包人原因引起的暂停施工，承包人在收到监理人复工指示后复工的</w:t>
      </w:r>
      <w:r>
        <w:rPr>
          <w:rFonts w:hint="eastAsia" w:ascii="宋体" w:hAnsi="宋体" w:eastAsia="宋体" w:cs="Times New Roman"/>
          <w:sz w:val="24"/>
          <w:szCs w:val="24"/>
        </w:rPr>
        <w:t>期限为：</w:t>
      </w:r>
      <w:r>
        <w:rPr>
          <w:rFonts w:hint="eastAsia" w:ascii="宋体" w:hAnsi="宋体" w:eastAsia="宋体" w:cs="Times New Roman"/>
          <w:sz w:val="24"/>
          <w:szCs w:val="24"/>
          <w:u w:val="single"/>
        </w:rPr>
        <w:t xml:space="preserve">  </w:t>
      </w:r>
    </w:p>
    <w:p w14:paraId="0CECBF2A">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638214B2">
      <w:pPr>
        <w:keepNext w:val="0"/>
        <w:keepLines w:val="0"/>
        <w:widowControl/>
        <w:numPr>
          <w:ilvl w:val="0"/>
          <w:numId w:val="0"/>
        </w:numPr>
        <w:tabs>
          <w:tab w:val="left" w:pos="54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bookmarkStart w:id="4949" w:name="_Toc17227"/>
      <w:bookmarkStart w:id="4950" w:name="_Toc171503622"/>
      <w:bookmarkStart w:id="4951" w:name="_Toc208587795"/>
      <w:bookmarkStart w:id="4952" w:name="_Toc201735570"/>
      <w:bookmarkStart w:id="4953" w:name="_Toc28294"/>
      <w:bookmarkStart w:id="4954" w:name="_Toc5684"/>
      <w:bookmarkStart w:id="4955" w:name="_Toc7337"/>
      <w:bookmarkStart w:id="4956" w:name="_Toc2318"/>
      <w:bookmarkStart w:id="4957" w:name="_Toc19203"/>
      <w:bookmarkStart w:id="4958" w:name="_Toc13547"/>
      <w:bookmarkStart w:id="4959" w:name="_Toc26099"/>
      <w:bookmarkStart w:id="4960" w:name="_Toc9236"/>
      <w:bookmarkStart w:id="4961" w:name="_Toc32716"/>
      <w:r>
        <w:rPr>
          <w:rFonts w:hint="eastAsia" w:ascii="华文细黑" w:hAnsi="宋体" w:eastAsia="宋体" w:cs="Times New Roman"/>
          <w:b/>
          <w:bCs/>
          <w:snapToGrid w:val="0"/>
          <w:kern w:val="0"/>
          <w:sz w:val="28"/>
          <w:szCs w:val="44"/>
          <w:lang w:val="en-US" w:eastAsia="zh-CN" w:bidi="ar-SA"/>
        </w:rPr>
        <w:t>13 工期及延误</w:t>
      </w:r>
      <w:bookmarkEnd w:id="4921"/>
      <w:bookmarkEnd w:id="4922"/>
      <w:bookmarkEnd w:id="4949"/>
      <w:bookmarkEnd w:id="4950"/>
      <w:bookmarkEnd w:id="4951"/>
      <w:bookmarkEnd w:id="4952"/>
      <w:bookmarkEnd w:id="4953"/>
      <w:bookmarkEnd w:id="4954"/>
      <w:bookmarkEnd w:id="4955"/>
      <w:bookmarkEnd w:id="4956"/>
      <w:bookmarkEnd w:id="4957"/>
      <w:bookmarkEnd w:id="4958"/>
      <w:bookmarkEnd w:id="4959"/>
      <w:bookmarkEnd w:id="4960"/>
      <w:bookmarkEnd w:id="4961"/>
    </w:p>
    <w:p w14:paraId="37966F68">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4962" w:name="_Toc13216"/>
      <w:bookmarkStart w:id="4963" w:name="_Toc25022"/>
      <w:bookmarkStart w:id="4964" w:name="_Toc305331469"/>
      <w:bookmarkStart w:id="4965" w:name="_Toc28370"/>
      <w:bookmarkStart w:id="4966" w:name="_Toc302635984"/>
      <w:bookmarkStart w:id="4967" w:name="_Toc208587796"/>
      <w:bookmarkStart w:id="4968" w:name="_Toc29159"/>
      <w:bookmarkStart w:id="4969" w:name="_Toc16722"/>
      <w:bookmarkStart w:id="4970" w:name="_Toc1729003451"/>
      <w:bookmarkStart w:id="4971" w:name="_Toc13300"/>
      <w:bookmarkStart w:id="4972" w:name="_Toc15323"/>
      <w:bookmarkStart w:id="4973" w:name="_Toc201735571"/>
      <w:bookmarkStart w:id="4974" w:name="_Toc12800"/>
      <w:bookmarkStart w:id="4975" w:name="_Toc24613"/>
      <w:bookmarkStart w:id="4976" w:name="_Toc16994"/>
      <w:r>
        <w:rPr>
          <w:rFonts w:hint="eastAsia" w:ascii="宋体" w:hAnsi="宋体" w:eastAsia="宋体" w:cs="Times New Roman"/>
          <w:b/>
          <w:bCs/>
          <w:kern w:val="0"/>
          <w:sz w:val="24"/>
          <w:szCs w:val="32"/>
          <w:lang w:val="en-US" w:eastAsia="zh-CN" w:bidi="ar-SA"/>
        </w:rPr>
        <w:t>13.1 工期</w:t>
      </w:r>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p>
    <w:p w14:paraId="2134BE4C">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本工程单位工程的工期约定：</w:t>
      </w:r>
    </w:p>
    <w:tbl>
      <w:tblPr>
        <w:tblStyle w:val="41"/>
        <w:tblW w:w="841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984"/>
        <w:gridCol w:w="2297"/>
        <w:gridCol w:w="2239"/>
        <w:gridCol w:w="1181"/>
      </w:tblGrid>
      <w:tr w14:paraId="402E2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9" w:type="dxa"/>
            <w:noWrap w:val="0"/>
            <w:vAlign w:val="center"/>
          </w:tcPr>
          <w:p w14:paraId="73F2016E">
            <w:pPr>
              <w:ind w:left="-57" w:right="-105"/>
              <w:jc w:val="center"/>
              <w:rPr>
                <w:rFonts w:hint="eastAsia" w:ascii="宋体" w:hAnsi="宋体" w:eastAsia="宋体" w:cs="Times New Roman"/>
                <w:sz w:val="24"/>
                <w:szCs w:val="24"/>
              </w:rPr>
            </w:pPr>
            <w:r>
              <w:rPr>
                <w:rFonts w:hint="eastAsia" w:ascii="宋体" w:hAnsi="宋体" w:eastAsia="宋体" w:cs="Times New Roman"/>
                <w:sz w:val="24"/>
                <w:szCs w:val="24"/>
              </w:rPr>
              <w:t>序号</w:t>
            </w:r>
          </w:p>
        </w:tc>
        <w:tc>
          <w:tcPr>
            <w:tcW w:w="1984" w:type="dxa"/>
            <w:noWrap w:val="0"/>
            <w:vAlign w:val="center"/>
          </w:tcPr>
          <w:p w14:paraId="62C6104C">
            <w:pPr>
              <w:ind w:left="-57" w:right="-105"/>
              <w:jc w:val="center"/>
              <w:rPr>
                <w:rFonts w:ascii="宋体" w:hAnsi="宋体" w:eastAsia="宋体" w:cs="Times New Roman"/>
                <w:sz w:val="24"/>
                <w:szCs w:val="24"/>
              </w:rPr>
            </w:pPr>
            <w:r>
              <w:rPr>
                <w:rFonts w:hint="eastAsia" w:ascii="宋体" w:hAnsi="宋体" w:eastAsia="宋体" w:cs="Times New Roman"/>
                <w:sz w:val="24"/>
                <w:szCs w:val="24"/>
              </w:rPr>
              <w:t>单位工程名称</w:t>
            </w:r>
          </w:p>
        </w:tc>
        <w:tc>
          <w:tcPr>
            <w:tcW w:w="2297" w:type="dxa"/>
            <w:noWrap w:val="0"/>
            <w:vAlign w:val="center"/>
          </w:tcPr>
          <w:p w14:paraId="343EDDC9">
            <w:pPr>
              <w:ind w:left="-57" w:right="-105"/>
              <w:jc w:val="center"/>
              <w:rPr>
                <w:rFonts w:ascii="宋体" w:hAnsi="宋体" w:eastAsia="宋体" w:cs="Times New Roman"/>
                <w:sz w:val="24"/>
                <w:szCs w:val="24"/>
              </w:rPr>
            </w:pPr>
            <w:r>
              <w:rPr>
                <w:rFonts w:hint="eastAsia" w:ascii="宋体" w:hAnsi="宋体" w:eastAsia="宋体" w:cs="Times New Roman"/>
                <w:sz w:val="24"/>
                <w:szCs w:val="24"/>
              </w:rPr>
              <w:t>计划开工日期</w:t>
            </w:r>
          </w:p>
        </w:tc>
        <w:tc>
          <w:tcPr>
            <w:tcW w:w="2239" w:type="dxa"/>
            <w:noWrap w:val="0"/>
            <w:vAlign w:val="center"/>
          </w:tcPr>
          <w:p w14:paraId="52A9F234">
            <w:pPr>
              <w:ind w:left="-108" w:right="-105"/>
              <w:jc w:val="center"/>
              <w:rPr>
                <w:rFonts w:ascii="宋体" w:hAnsi="宋体" w:eastAsia="宋体" w:cs="Times New Roman"/>
                <w:sz w:val="24"/>
                <w:szCs w:val="24"/>
              </w:rPr>
            </w:pPr>
            <w:r>
              <w:rPr>
                <w:rFonts w:hint="eastAsia" w:ascii="宋体" w:hAnsi="宋体" w:eastAsia="宋体" w:cs="Times New Roman"/>
                <w:sz w:val="24"/>
                <w:szCs w:val="24"/>
              </w:rPr>
              <w:t>计划竣工日期</w:t>
            </w:r>
          </w:p>
        </w:tc>
        <w:tc>
          <w:tcPr>
            <w:tcW w:w="1181" w:type="dxa"/>
            <w:noWrap w:val="0"/>
            <w:vAlign w:val="center"/>
          </w:tcPr>
          <w:p w14:paraId="0BF36DD3">
            <w:pPr>
              <w:ind w:left="-108" w:right="-105"/>
              <w:jc w:val="center"/>
              <w:rPr>
                <w:rFonts w:hint="eastAsia" w:ascii="宋体" w:hAnsi="宋体" w:eastAsia="宋体" w:cs="Times New Roman"/>
                <w:sz w:val="24"/>
                <w:szCs w:val="24"/>
              </w:rPr>
            </w:pPr>
            <w:r>
              <w:rPr>
                <w:rFonts w:hint="eastAsia" w:ascii="宋体" w:hAnsi="宋体" w:eastAsia="宋体" w:cs="Times New Roman"/>
                <w:sz w:val="24"/>
                <w:szCs w:val="24"/>
              </w:rPr>
              <w:t>工期</w:t>
            </w:r>
          </w:p>
          <w:p w14:paraId="41434EB5">
            <w:pPr>
              <w:ind w:left="-108" w:right="-105"/>
              <w:jc w:val="center"/>
              <w:rPr>
                <w:rFonts w:ascii="宋体" w:hAnsi="宋体" w:eastAsia="宋体" w:cs="Times New Roman"/>
                <w:sz w:val="24"/>
                <w:szCs w:val="24"/>
              </w:rPr>
            </w:pPr>
            <w:r>
              <w:rPr>
                <w:rFonts w:hint="eastAsia" w:ascii="宋体" w:hAnsi="宋体" w:eastAsia="宋体" w:cs="Times New Roman"/>
                <w:sz w:val="24"/>
                <w:szCs w:val="24"/>
              </w:rPr>
              <w:t>(日历天)</w:t>
            </w:r>
          </w:p>
        </w:tc>
      </w:tr>
      <w:tr w14:paraId="0AD15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9" w:type="dxa"/>
            <w:noWrap w:val="0"/>
            <w:vAlign w:val="center"/>
          </w:tcPr>
          <w:p w14:paraId="32A512FD">
            <w:pPr>
              <w:spacing w:line="360" w:lineRule="auto"/>
              <w:ind w:left="-57" w:right="-105"/>
              <w:jc w:val="center"/>
              <w:rPr>
                <w:rFonts w:hint="eastAsia" w:ascii="宋体" w:hAnsi="宋体" w:eastAsia="宋体" w:cs="Times New Roman"/>
                <w:sz w:val="24"/>
                <w:szCs w:val="24"/>
              </w:rPr>
            </w:pPr>
            <w:r>
              <w:rPr>
                <w:rFonts w:hint="eastAsia" w:ascii="宋体" w:hAnsi="宋体" w:eastAsia="宋体" w:cs="Times New Roman"/>
                <w:sz w:val="24"/>
                <w:szCs w:val="24"/>
              </w:rPr>
              <w:t>1</w:t>
            </w:r>
          </w:p>
        </w:tc>
        <w:tc>
          <w:tcPr>
            <w:tcW w:w="1984" w:type="dxa"/>
            <w:noWrap w:val="0"/>
            <w:vAlign w:val="bottom"/>
          </w:tcPr>
          <w:p w14:paraId="3C0049AD">
            <w:pPr>
              <w:spacing w:line="360" w:lineRule="auto"/>
              <w:ind w:left="-57" w:right="-105"/>
              <w:rPr>
                <w:rFonts w:ascii="宋体" w:hAnsi="宋体" w:eastAsia="宋体" w:cs="Times New Roman"/>
                <w:sz w:val="24"/>
                <w:szCs w:val="24"/>
              </w:rPr>
            </w:pPr>
          </w:p>
        </w:tc>
        <w:tc>
          <w:tcPr>
            <w:tcW w:w="2297" w:type="dxa"/>
            <w:noWrap w:val="0"/>
            <w:vAlign w:val="bottom"/>
          </w:tcPr>
          <w:p w14:paraId="08940EEE">
            <w:pPr>
              <w:spacing w:line="360" w:lineRule="auto"/>
              <w:ind w:left="-57" w:right="-105"/>
              <w:rPr>
                <w:rFonts w:hint="eastAsia" w:ascii="宋体" w:hAnsi="宋体" w:eastAsia="宋体" w:cs="Times New Roman"/>
                <w:sz w:val="24"/>
                <w:szCs w:val="24"/>
              </w:rPr>
            </w:pPr>
          </w:p>
        </w:tc>
        <w:tc>
          <w:tcPr>
            <w:tcW w:w="2239" w:type="dxa"/>
            <w:noWrap w:val="0"/>
            <w:vAlign w:val="bottom"/>
          </w:tcPr>
          <w:p w14:paraId="6BF862C8">
            <w:pPr>
              <w:spacing w:line="360" w:lineRule="auto"/>
              <w:ind w:left="-57" w:right="-105"/>
              <w:rPr>
                <w:rFonts w:hint="eastAsia" w:ascii="宋体" w:hAnsi="宋体" w:eastAsia="宋体" w:cs="Times New Roman"/>
                <w:sz w:val="24"/>
                <w:szCs w:val="24"/>
              </w:rPr>
            </w:pPr>
          </w:p>
        </w:tc>
        <w:tc>
          <w:tcPr>
            <w:tcW w:w="1181" w:type="dxa"/>
            <w:noWrap w:val="0"/>
            <w:vAlign w:val="bottom"/>
          </w:tcPr>
          <w:p w14:paraId="1FBDD5B9">
            <w:pPr>
              <w:spacing w:line="360" w:lineRule="auto"/>
              <w:ind w:left="-57" w:right="-105"/>
              <w:rPr>
                <w:rFonts w:ascii="宋体" w:hAnsi="宋体" w:eastAsia="宋体" w:cs="Times New Roman"/>
                <w:sz w:val="24"/>
                <w:szCs w:val="24"/>
                <w:u w:val="single"/>
              </w:rPr>
            </w:pPr>
          </w:p>
        </w:tc>
      </w:tr>
      <w:tr w14:paraId="7E6E1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9" w:type="dxa"/>
            <w:noWrap w:val="0"/>
            <w:vAlign w:val="center"/>
          </w:tcPr>
          <w:p w14:paraId="2E97C8EF">
            <w:pPr>
              <w:spacing w:line="360" w:lineRule="auto"/>
              <w:ind w:left="-57" w:right="-105"/>
              <w:jc w:val="center"/>
              <w:rPr>
                <w:rFonts w:hint="eastAsia" w:ascii="宋体" w:hAnsi="宋体" w:eastAsia="宋体" w:cs="Times New Roman"/>
                <w:sz w:val="24"/>
                <w:szCs w:val="24"/>
              </w:rPr>
            </w:pPr>
            <w:r>
              <w:rPr>
                <w:rFonts w:hint="eastAsia" w:ascii="宋体" w:hAnsi="宋体" w:eastAsia="宋体" w:cs="Times New Roman"/>
                <w:sz w:val="24"/>
                <w:szCs w:val="24"/>
              </w:rPr>
              <w:t>2</w:t>
            </w:r>
          </w:p>
        </w:tc>
        <w:tc>
          <w:tcPr>
            <w:tcW w:w="1984" w:type="dxa"/>
            <w:noWrap w:val="0"/>
            <w:vAlign w:val="bottom"/>
          </w:tcPr>
          <w:p w14:paraId="6B8A494E">
            <w:pPr>
              <w:spacing w:line="360" w:lineRule="auto"/>
              <w:ind w:left="-57" w:right="-105"/>
              <w:rPr>
                <w:rFonts w:ascii="宋体" w:hAnsi="宋体" w:eastAsia="宋体" w:cs="Times New Roman"/>
                <w:sz w:val="24"/>
                <w:szCs w:val="24"/>
              </w:rPr>
            </w:pPr>
          </w:p>
        </w:tc>
        <w:tc>
          <w:tcPr>
            <w:tcW w:w="2297" w:type="dxa"/>
            <w:noWrap w:val="0"/>
            <w:vAlign w:val="bottom"/>
          </w:tcPr>
          <w:p w14:paraId="75BD5681">
            <w:pPr>
              <w:spacing w:line="360" w:lineRule="auto"/>
              <w:ind w:left="-57" w:right="-105"/>
              <w:rPr>
                <w:rFonts w:hint="eastAsia" w:ascii="宋体" w:hAnsi="宋体" w:eastAsia="宋体" w:cs="Times New Roman"/>
                <w:sz w:val="24"/>
                <w:szCs w:val="24"/>
              </w:rPr>
            </w:pPr>
          </w:p>
        </w:tc>
        <w:tc>
          <w:tcPr>
            <w:tcW w:w="2239" w:type="dxa"/>
            <w:noWrap w:val="0"/>
            <w:vAlign w:val="bottom"/>
          </w:tcPr>
          <w:p w14:paraId="6B1DAEF4">
            <w:pPr>
              <w:spacing w:line="360" w:lineRule="auto"/>
              <w:ind w:left="-57" w:right="-105"/>
              <w:rPr>
                <w:rFonts w:hint="eastAsia" w:ascii="宋体" w:hAnsi="宋体" w:eastAsia="宋体" w:cs="Times New Roman"/>
                <w:sz w:val="24"/>
                <w:szCs w:val="24"/>
              </w:rPr>
            </w:pPr>
          </w:p>
        </w:tc>
        <w:tc>
          <w:tcPr>
            <w:tcW w:w="1181" w:type="dxa"/>
            <w:noWrap w:val="0"/>
            <w:vAlign w:val="bottom"/>
          </w:tcPr>
          <w:p w14:paraId="578EECE0">
            <w:pPr>
              <w:spacing w:line="360" w:lineRule="auto"/>
              <w:ind w:left="-57" w:right="-105"/>
              <w:rPr>
                <w:rFonts w:ascii="宋体" w:hAnsi="宋体" w:eastAsia="宋体" w:cs="Times New Roman"/>
                <w:sz w:val="24"/>
                <w:szCs w:val="24"/>
                <w:u w:val="single"/>
              </w:rPr>
            </w:pPr>
          </w:p>
        </w:tc>
      </w:tr>
      <w:tr w14:paraId="7DDC2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9" w:type="dxa"/>
            <w:noWrap w:val="0"/>
            <w:vAlign w:val="center"/>
          </w:tcPr>
          <w:p w14:paraId="2ABDC713">
            <w:pPr>
              <w:spacing w:line="360" w:lineRule="auto"/>
              <w:ind w:left="-57" w:right="-105"/>
              <w:jc w:val="center"/>
              <w:rPr>
                <w:rFonts w:hint="eastAsia" w:ascii="宋体" w:hAnsi="宋体" w:eastAsia="宋体" w:cs="Times New Roman"/>
                <w:sz w:val="24"/>
                <w:szCs w:val="24"/>
              </w:rPr>
            </w:pPr>
            <w:r>
              <w:rPr>
                <w:rFonts w:hint="eastAsia" w:ascii="宋体" w:hAnsi="宋体" w:eastAsia="宋体" w:cs="Times New Roman"/>
                <w:sz w:val="24"/>
                <w:szCs w:val="24"/>
              </w:rPr>
              <w:t>3</w:t>
            </w:r>
          </w:p>
        </w:tc>
        <w:tc>
          <w:tcPr>
            <w:tcW w:w="1984" w:type="dxa"/>
            <w:noWrap w:val="0"/>
            <w:vAlign w:val="bottom"/>
          </w:tcPr>
          <w:p w14:paraId="6FB743DE">
            <w:pPr>
              <w:spacing w:line="360" w:lineRule="auto"/>
              <w:ind w:left="-57" w:right="-105"/>
              <w:rPr>
                <w:rFonts w:ascii="宋体" w:hAnsi="宋体" w:eastAsia="宋体" w:cs="Times New Roman"/>
                <w:sz w:val="24"/>
                <w:szCs w:val="24"/>
              </w:rPr>
            </w:pPr>
          </w:p>
        </w:tc>
        <w:tc>
          <w:tcPr>
            <w:tcW w:w="2297" w:type="dxa"/>
            <w:noWrap w:val="0"/>
            <w:vAlign w:val="bottom"/>
          </w:tcPr>
          <w:p w14:paraId="0725D0F0">
            <w:pPr>
              <w:spacing w:line="360" w:lineRule="auto"/>
              <w:ind w:left="-57" w:right="-105"/>
              <w:rPr>
                <w:rFonts w:hint="eastAsia" w:ascii="宋体" w:hAnsi="宋体" w:eastAsia="宋体" w:cs="Times New Roman"/>
                <w:sz w:val="24"/>
                <w:szCs w:val="24"/>
              </w:rPr>
            </w:pPr>
          </w:p>
        </w:tc>
        <w:tc>
          <w:tcPr>
            <w:tcW w:w="2239" w:type="dxa"/>
            <w:noWrap w:val="0"/>
            <w:vAlign w:val="bottom"/>
          </w:tcPr>
          <w:p w14:paraId="5A9D6045">
            <w:pPr>
              <w:spacing w:line="360" w:lineRule="auto"/>
              <w:ind w:left="-57" w:right="-105"/>
              <w:rPr>
                <w:rFonts w:hint="eastAsia" w:ascii="宋体" w:hAnsi="宋体" w:eastAsia="宋体" w:cs="Times New Roman"/>
                <w:sz w:val="24"/>
                <w:szCs w:val="24"/>
              </w:rPr>
            </w:pPr>
          </w:p>
        </w:tc>
        <w:tc>
          <w:tcPr>
            <w:tcW w:w="1181" w:type="dxa"/>
            <w:noWrap w:val="0"/>
            <w:vAlign w:val="bottom"/>
          </w:tcPr>
          <w:p w14:paraId="04CEEBAE">
            <w:pPr>
              <w:spacing w:line="360" w:lineRule="auto"/>
              <w:ind w:left="-57" w:right="-105"/>
              <w:rPr>
                <w:rFonts w:ascii="宋体" w:hAnsi="宋体" w:eastAsia="宋体" w:cs="Times New Roman"/>
                <w:sz w:val="24"/>
                <w:szCs w:val="24"/>
                <w:u w:val="single"/>
              </w:rPr>
            </w:pPr>
          </w:p>
        </w:tc>
      </w:tr>
      <w:tr w14:paraId="06BAB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9" w:type="dxa"/>
            <w:noWrap w:val="0"/>
            <w:vAlign w:val="center"/>
          </w:tcPr>
          <w:p w14:paraId="0D689A43">
            <w:pPr>
              <w:spacing w:line="360" w:lineRule="auto"/>
              <w:ind w:left="-57" w:right="-105"/>
              <w:jc w:val="center"/>
              <w:rPr>
                <w:rFonts w:hint="eastAsia" w:ascii="宋体" w:hAnsi="宋体" w:eastAsia="宋体" w:cs="Times New Roman"/>
                <w:sz w:val="24"/>
                <w:szCs w:val="24"/>
              </w:rPr>
            </w:pPr>
            <w:r>
              <w:rPr>
                <w:rFonts w:hint="eastAsia" w:ascii="宋体" w:hAnsi="宋体" w:eastAsia="宋体" w:cs="Times New Roman"/>
                <w:sz w:val="24"/>
                <w:szCs w:val="24"/>
              </w:rPr>
              <w:t>4</w:t>
            </w:r>
          </w:p>
        </w:tc>
        <w:tc>
          <w:tcPr>
            <w:tcW w:w="1984" w:type="dxa"/>
            <w:noWrap w:val="0"/>
            <w:vAlign w:val="bottom"/>
          </w:tcPr>
          <w:p w14:paraId="70D3BC88">
            <w:pPr>
              <w:spacing w:line="360" w:lineRule="auto"/>
              <w:ind w:left="-57" w:right="-105"/>
              <w:rPr>
                <w:rFonts w:ascii="宋体" w:hAnsi="宋体" w:eastAsia="宋体" w:cs="Times New Roman"/>
                <w:sz w:val="24"/>
                <w:szCs w:val="24"/>
              </w:rPr>
            </w:pPr>
          </w:p>
        </w:tc>
        <w:tc>
          <w:tcPr>
            <w:tcW w:w="2297" w:type="dxa"/>
            <w:noWrap w:val="0"/>
            <w:vAlign w:val="bottom"/>
          </w:tcPr>
          <w:p w14:paraId="3072ACD8">
            <w:pPr>
              <w:spacing w:line="360" w:lineRule="auto"/>
              <w:ind w:left="-57" w:right="-105"/>
              <w:rPr>
                <w:rFonts w:hint="eastAsia" w:ascii="宋体" w:hAnsi="宋体" w:eastAsia="宋体" w:cs="Times New Roman"/>
                <w:sz w:val="24"/>
                <w:szCs w:val="24"/>
              </w:rPr>
            </w:pPr>
          </w:p>
        </w:tc>
        <w:tc>
          <w:tcPr>
            <w:tcW w:w="2239" w:type="dxa"/>
            <w:noWrap w:val="0"/>
            <w:vAlign w:val="bottom"/>
          </w:tcPr>
          <w:p w14:paraId="15913B4D">
            <w:pPr>
              <w:spacing w:line="360" w:lineRule="auto"/>
              <w:ind w:left="-57" w:right="-105"/>
              <w:rPr>
                <w:rFonts w:hint="eastAsia" w:ascii="宋体" w:hAnsi="宋体" w:eastAsia="宋体" w:cs="Times New Roman"/>
                <w:sz w:val="24"/>
                <w:szCs w:val="24"/>
              </w:rPr>
            </w:pPr>
          </w:p>
        </w:tc>
        <w:tc>
          <w:tcPr>
            <w:tcW w:w="1181" w:type="dxa"/>
            <w:noWrap w:val="0"/>
            <w:vAlign w:val="bottom"/>
          </w:tcPr>
          <w:p w14:paraId="384AA8F5">
            <w:pPr>
              <w:spacing w:line="360" w:lineRule="auto"/>
              <w:ind w:left="-57" w:right="-105"/>
              <w:rPr>
                <w:rFonts w:ascii="宋体" w:hAnsi="宋体" w:eastAsia="宋体" w:cs="Times New Roman"/>
                <w:sz w:val="24"/>
                <w:szCs w:val="24"/>
                <w:u w:val="single"/>
              </w:rPr>
            </w:pPr>
          </w:p>
        </w:tc>
      </w:tr>
      <w:tr w14:paraId="5114C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09" w:type="dxa"/>
            <w:noWrap w:val="0"/>
            <w:vAlign w:val="center"/>
          </w:tcPr>
          <w:p w14:paraId="7CA7615E">
            <w:pPr>
              <w:spacing w:line="360" w:lineRule="auto"/>
              <w:ind w:left="-57" w:right="-105"/>
              <w:jc w:val="center"/>
              <w:rPr>
                <w:rFonts w:hint="eastAsia" w:ascii="宋体" w:hAnsi="宋体" w:eastAsia="宋体" w:cs="Times New Roman"/>
                <w:sz w:val="24"/>
                <w:szCs w:val="24"/>
              </w:rPr>
            </w:pPr>
            <w:r>
              <w:rPr>
                <w:rFonts w:hint="eastAsia" w:ascii="宋体" w:hAnsi="宋体" w:eastAsia="宋体" w:cs="Times New Roman"/>
                <w:sz w:val="24"/>
                <w:szCs w:val="24"/>
              </w:rPr>
              <w:t>…</w:t>
            </w:r>
          </w:p>
        </w:tc>
        <w:tc>
          <w:tcPr>
            <w:tcW w:w="1984" w:type="dxa"/>
            <w:noWrap w:val="0"/>
            <w:vAlign w:val="bottom"/>
          </w:tcPr>
          <w:p w14:paraId="5B766FF2">
            <w:pPr>
              <w:spacing w:line="360" w:lineRule="auto"/>
              <w:ind w:left="-57" w:right="-105"/>
              <w:rPr>
                <w:rFonts w:ascii="宋体" w:hAnsi="宋体" w:eastAsia="宋体" w:cs="Times New Roman"/>
                <w:sz w:val="24"/>
                <w:szCs w:val="24"/>
              </w:rPr>
            </w:pPr>
          </w:p>
        </w:tc>
        <w:tc>
          <w:tcPr>
            <w:tcW w:w="2297" w:type="dxa"/>
            <w:noWrap w:val="0"/>
            <w:vAlign w:val="bottom"/>
          </w:tcPr>
          <w:p w14:paraId="1F1B00C0">
            <w:pPr>
              <w:spacing w:line="360" w:lineRule="auto"/>
              <w:ind w:left="-57" w:right="-105"/>
              <w:rPr>
                <w:rFonts w:ascii="宋体" w:hAnsi="宋体" w:eastAsia="宋体" w:cs="Times New Roman"/>
                <w:sz w:val="24"/>
                <w:szCs w:val="24"/>
              </w:rPr>
            </w:pPr>
          </w:p>
        </w:tc>
        <w:tc>
          <w:tcPr>
            <w:tcW w:w="2239" w:type="dxa"/>
            <w:noWrap w:val="0"/>
            <w:vAlign w:val="center"/>
          </w:tcPr>
          <w:p w14:paraId="53EE0713">
            <w:pPr>
              <w:spacing w:line="360" w:lineRule="auto"/>
              <w:ind w:left="-57" w:right="-105"/>
              <w:jc w:val="center"/>
              <w:rPr>
                <w:rFonts w:ascii="宋体" w:hAnsi="宋体" w:eastAsia="宋体" w:cs="Times New Roman"/>
                <w:sz w:val="24"/>
                <w:szCs w:val="24"/>
                <w:u w:val="single"/>
              </w:rPr>
            </w:pPr>
          </w:p>
        </w:tc>
        <w:tc>
          <w:tcPr>
            <w:tcW w:w="1181" w:type="dxa"/>
            <w:noWrap w:val="0"/>
            <w:vAlign w:val="center"/>
          </w:tcPr>
          <w:p w14:paraId="7E05CC38">
            <w:pPr>
              <w:spacing w:line="360" w:lineRule="auto"/>
              <w:ind w:left="-57" w:right="-105"/>
              <w:jc w:val="center"/>
              <w:rPr>
                <w:rFonts w:ascii="宋体" w:hAnsi="宋体" w:eastAsia="宋体" w:cs="Times New Roman"/>
                <w:sz w:val="24"/>
                <w:szCs w:val="24"/>
                <w:u w:val="single"/>
              </w:rPr>
            </w:pPr>
          </w:p>
        </w:tc>
      </w:tr>
    </w:tbl>
    <w:p w14:paraId="4D67EFE4">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4977" w:name="_Toc18160"/>
      <w:bookmarkStart w:id="4978" w:name="_Toc1489231478"/>
      <w:bookmarkStart w:id="4979" w:name="_Toc16231"/>
      <w:bookmarkStart w:id="4980" w:name="_Toc31402"/>
      <w:bookmarkStart w:id="4981" w:name="_Toc5693"/>
      <w:bookmarkStart w:id="4982" w:name="_Toc302635985"/>
      <w:bookmarkStart w:id="4983" w:name="_Toc27520"/>
      <w:bookmarkStart w:id="4984" w:name="_Toc11614"/>
      <w:bookmarkStart w:id="4985" w:name="_Toc31167"/>
      <w:bookmarkStart w:id="4986" w:name="_Toc17839"/>
      <w:bookmarkStart w:id="4987" w:name="_Toc4050"/>
      <w:bookmarkStart w:id="4988" w:name="_Toc3877"/>
      <w:bookmarkStart w:id="4989" w:name="_Toc201735572"/>
      <w:bookmarkStart w:id="4990" w:name="_Toc208587797"/>
      <w:bookmarkStart w:id="4991" w:name="_Toc305331470"/>
      <w:r>
        <w:rPr>
          <w:rFonts w:hint="eastAsia" w:ascii="宋体" w:hAnsi="宋体" w:eastAsia="宋体" w:cs="Times New Roman"/>
          <w:b/>
          <w:bCs/>
          <w:kern w:val="0"/>
          <w:sz w:val="24"/>
          <w:szCs w:val="32"/>
          <w:lang w:val="en-US" w:eastAsia="zh-CN" w:bidi="ar-SA"/>
        </w:rPr>
        <w:t>13.2 因发包人原因导致工期延误</w:t>
      </w:r>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p>
    <w:p w14:paraId="4CFAE903">
      <w:pPr>
        <w:spacing w:line="360" w:lineRule="auto"/>
        <w:ind w:firstLine="480"/>
        <w:rPr>
          <w:rFonts w:hint="eastAsia" w:ascii="宋体" w:hAnsi="宋体" w:eastAsia="宋体" w:cs="Times New Roman"/>
          <w:sz w:val="24"/>
          <w:szCs w:val="24"/>
          <w:u w:val="single"/>
        </w:rPr>
      </w:pPr>
      <w:r>
        <w:rPr>
          <w:rFonts w:ascii="宋体" w:hAnsi="宋体" w:eastAsia="宋体" w:cs="Times New Roman"/>
          <w:sz w:val="24"/>
          <w:szCs w:val="24"/>
        </w:rPr>
        <w:t>(7)</w:t>
      </w:r>
      <w:r>
        <w:rPr>
          <w:rFonts w:hint="eastAsia" w:ascii="宋体" w:hAnsi="宋体" w:eastAsia="宋体" w:cs="Times New Roman"/>
          <w:sz w:val="24"/>
          <w:szCs w:val="24"/>
        </w:rPr>
        <w:t>因发包人原因导致工期延误的其他情形：</w:t>
      </w:r>
      <w:r>
        <w:rPr>
          <w:rFonts w:hint="eastAsia" w:ascii="宋体" w:hAnsi="宋体" w:eastAsia="宋体" w:cs="Times New Roman"/>
          <w:sz w:val="24"/>
          <w:szCs w:val="24"/>
          <w:u w:val="single"/>
        </w:rPr>
        <w:t xml:space="preserve">                                 </w:t>
      </w:r>
    </w:p>
    <w:p w14:paraId="038FEFE5">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7B49B8ED">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22FEE999">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4992" w:name="_Toc9732"/>
      <w:bookmarkStart w:id="4993" w:name="_Toc25593"/>
      <w:bookmarkStart w:id="4994" w:name="_Toc889794172"/>
      <w:bookmarkStart w:id="4995" w:name="_Toc6554"/>
      <w:bookmarkStart w:id="4996" w:name="_Toc1305"/>
      <w:bookmarkStart w:id="4997" w:name="_Toc31019"/>
      <w:bookmarkStart w:id="4998" w:name="_Toc208587798"/>
      <w:bookmarkStart w:id="4999" w:name="_Toc1019"/>
      <w:bookmarkStart w:id="5000" w:name="_Toc175"/>
      <w:bookmarkStart w:id="5001" w:name="_Toc30883"/>
      <w:bookmarkStart w:id="5002" w:name="_Toc2700"/>
      <w:bookmarkStart w:id="5003" w:name="_Toc201735573"/>
      <w:bookmarkStart w:id="5004" w:name="_Toc3095"/>
      <w:r>
        <w:rPr>
          <w:rFonts w:hint="eastAsia" w:ascii="宋体" w:hAnsi="宋体" w:eastAsia="宋体" w:cs="Times New Roman"/>
          <w:b/>
          <w:bCs/>
          <w:kern w:val="0"/>
          <w:sz w:val="24"/>
          <w:szCs w:val="32"/>
          <w:lang w:val="en-US" w:eastAsia="zh-CN" w:bidi="ar-SA"/>
        </w:rPr>
        <w:t>13.3 因承包人原因导致工期延误</w:t>
      </w:r>
      <w:bookmarkEnd w:id="4992"/>
      <w:bookmarkEnd w:id="4993"/>
      <w:bookmarkEnd w:id="4994"/>
      <w:bookmarkEnd w:id="4995"/>
      <w:bookmarkEnd w:id="4996"/>
      <w:bookmarkEnd w:id="4997"/>
      <w:bookmarkEnd w:id="4998"/>
      <w:bookmarkEnd w:id="4999"/>
      <w:bookmarkEnd w:id="5000"/>
      <w:bookmarkEnd w:id="5001"/>
      <w:bookmarkEnd w:id="5002"/>
      <w:bookmarkEnd w:id="5003"/>
      <w:bookmarkEnd w:id="5004"/>
    </w:p>
    <w:p w14:paraId="7C79046E">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w:t>
      </w:r>
      <w:r>
        <w:rPr>
          <w:rFonts w:ascii="宋体" w:hAnsi="宋体" w:eastAsia="宋体" w:cs="Times New Roman"/>
          <w:sz w:val="24"/>
          <w:szCs w:val="24"/>
        </w:rPr>
        <w:t>1)</w:t>
      </w:r>
      <w:r>
        <w:rPr>
          <w:rFonts w:hint="eastAsia" w:ascii="宋体" w:hAnsi="宋体" w:eastAsia="宋体" w:cs="Times New Roman"/>
          <w:sz w:val="24"/>
          <w:szCs w:val="24"/>
        </w:rPr>
        <w:t>逾期竣工违约金计算方法：</w:t>
      </w:r>
      <w:r>
        <w:rPr>
          <w:rFonts w:hint="eastAsia" w:ascii="宋体" w:hAnsi="宋体" w:eastAsia="宋体" w:cs="Times New Roman"/>
          <w:sz w:val="24"/>
          <w:szCs w:val="24"/>
          <w:u w:val="single"/>
        </w:rPr>
        <w:t xml:space="preserve">                                                </w:t>
      </w:r>
    </w:p>
    <w:p w14:paraId="72B556C4">
      <w:pPr>
        <w:spacing w:line="360" w:lineRule="auto"/>
        <w:ind w:firstLine="480"/>
        <w:rPr>
          <w:rFonts w:ascii="宋体" w:hAnsi="宋体" w:eastAsia="宋体" w:cs="Times New Roman"/>
          <w:sz w:val="24"/>
          <w:szCs w:val="24"/>
          <w:u w:val="single"/>
        </w:rPr>
      </w:pPr>
      <w:bookmarkStart w:id="5005" w:name="_Toc302635986"/>
      <w:r>
        <w:rPr>
          <w:rFonts w:hint="eastAsia" w:ascii="宋体" w:hAnsi="宋体" w:eastAsia="宋体" w:cs="Times New Roman"/>
          <w:sz w:val="24"/>
          <w:szCs w:val="24"/>
        </w:rPr>
        <w:t>逾期竣工违约金的上限：</w:t>
      </w:r>
      <w:r>
        <w:rPr>
          <w:rFonts w:hint="eastAsia" w:ascii="宋体" w:hAnsi="宋体" w:eastAsia="宋体" w:cs="Times New Roman"/>
          <w:sz w:val="24"/>
          <w:szCs w:val="24"/>
          <w:u w:val="single"/>
        </w:rPr>
        <w:t xml:space="preserve">                                                  </w:t>
      </w:r>
    </w:p>
    <w:p w14:paraId="3940B2FD">
      <w:pPr>
        <w:spacing w:line="360" w:lineRule="auto"/>
        <w:ind w:firstLine="480"/>
        <w:rPr>
          <w:rFonts w:ascii="宋体" w:hAnsi="宋体" w:eastAsia="宋体" w:cs="Times New Roman"/>
          <w:sz w:val="24"/>
          <w:szCs w:val="24"/>
          <w:u w:val="single"/>
        </w:rPr>
      </w:pPr>
      <w:r>
        <w:rPr>
          <w:rFonts w:hint="eastAsia" w:ascii="宋体" w:hAnsi="宋体" w:eastAsia="宋体" w:cs="Times New Roman"/>
          <w:sz w:val="24"/>
          <w:szCs w:val="24"/>
        </w:rPr>
        <w:t>(</w:t>
      </w:r>
      <w:r>
        <w:rPr>
          <w:rFonts w:ascii="宋体" w:hAnsi="宋体" w:eastAsia="宋体" w:cs="Times New Roman"/>
          <w:sz w:val="24"/>
          <w:szCs w:val="24"/>
        </w:rPr>
        <w:t>2)</w:t>
      </w:r>
      <w:r>
        <w:rPr>
          <w:rFonts w:hint="eastAsia" w:ascii="宋体" w:hAnsi="宋体" w:eastAsia="宋体" w:cs="Times New Roman"/>
          <w:sz w:val="24"/>
          <w:szCs w:val="24"/>
        </w:rPr>
        <w:t>逾期竣工时间计算方法：</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37C53515">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006" w:name="_Toc208587799"/>
      <w:bookmarkStart w:id="5007" w:name="_Toc20854"/>
      <w:bookmarkStart w:id="5008" w:name="_Toc31453"/>
      <w:bookmarkStart w:id="5009" w:name="_Toc1056792405"/>
      <w:bookmarkStart w:id="5010" w:name="_Toc17285"/>
      <w:bookmarkStart w:id="5011" w:name="_Toc5334"/>
      <w:bookmarkStart w:id="5012" w:name="_Toc29318"/>
      <w:bookmarkStart w:id="5013" w:name="_Toc28951"/>
      <w:bookmarkStart w:id="5014" w:name="_Toc11826"/>
      <w:bookmarkStart w:id="5015" w:name="_Toc30774"/>
      <w:bookmarkStart w:id="5016" w:name="_Toc27311"/>
      <w:bookmarkStart w:id="5017" w:name="_Toc201735574"/>
      <w:bookmarkStart w:id="5018" w:name="_Toc3012"/>
      <w:r>
        <w:rPr>
          <w:rFonts w:hint="eastAsia" w:ascii="宋体" w:hAnsi="宋体" w:eastAsia="宋体" w:cs="Times New Roman"/>
          <w:b/>
          <w:bCs/>
          <w:kern w:val="0"/>
          <w:sz w:val="24"/>
          <w:szCs w:val="32"/>
          <w:lang w:val="en-US" w:eastAsia="zh-CN" w:bidi="ar-SA"/>
        </w:rPr>
        <w:t>13.4 提前竣工</w:t>
      </w:r>
      <w:bookmarkEnd w:id="4991"/>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p>
    <w:p w14:paraId="3B58A6B7">
      <w:pPr>
        <w:spacing w:line="360" w:lineRule="auto"/>
        <w:ind w:firstLine="480"/>
        <w:jc w:val="left"/>
        <w:rPr>
          <w:rFonts w:ascii="宋体" w:hAnsi="宋体" w:eastAsia="宋体" w:cs="Times New Roman"/>
          <w:sz w:val="24"/>
          <w:szCs w:val="24"/>
          <w:u w:val="single"/>
        </w:rPr>
      </w:pPr>
      <w:r>
        <w:rPr>
          <w:rFonts w:hint="eastAsia" w:ascii="宋体" w:hAnsi="宋体" w:eastAsia="宋体" w:cs="Times New Roman"/>
          <w:sz w:val="24"/>
          <w:szCs w:val="24"/>
        </w:rPr>
        <w:t>(</w:t>
      </w:r>
      <w:r>
        <w:rPr>
          <w:rFonts w:ascii="宋体" w:hAnsi="宋体" w:eastAsia="宋体" w:cs="Times New Roman"/>
          <w:sz w:val="24"/>
          <w:szCs w:val="24"/>
        </w:rPr>
        <w:t>1</w:t>
      </w:r>
      <w:r>
        <w:rPr>
          <w:rFonts w:hint="eastAsia" w:ascii="宋体" w:hAnsi="宋体" w:eastAsia="宋体" w:cs="Times New Roman"/>
          <w:sz w:val="24"/>
          <w:szCs w:val="24"/>
        </w:rPr>
        <w:t>)发包人要求承包人提前竣工（赶工）的，提前竣工（赶工补偿）费用的计算方法及上限为：</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p>
    <w:p w14:paraId="4C35118F">
      <w:pPr>
        <w:spacing w:line="360" w:lineRule="auto"/>
        <w:ind w:firstLine="480"/>
        <w:jc w:val="left"/>
        <w:rPr>
          <w:rFonts w:ascii="宋体" w:hAnsi="宋体" w:eastAsia="宋体" w:cs="Times New Roman"/>
          <w:sz w:val="24"/>
          <w:szCs w:val="24"/>
          <w:u w:val="single"/>
        </w:rPr>
      </w:pPr>
      <w:r>
        <w:rPr>
          <w:rFonts w:hint="eastAsia" w:ascii="宋体" w:hAnsi="宋体" w:eastAsia="宋体" w:cs="Times New Roman"/>
          <w:sz w:val="24"/>
          <w:szCs w:val="24"/>
        </w:rPr>
        <w:t>(</w:t>
      </w:r>
      <w:r>
        <w:rPr>
          <w:rFonts w:ascii="宋体" w:hAnsi="宋体" w:eastAsia="宋体" w:cs="Times New Roman"/>
          <w:sz w:val="24"/>
          <w:szCs w:val="24"/>
        </w:rPr>
        <w:t>2</w:t>
      </w:r>
      <w:r>
        <w:rPr>
          <w:rFonts w:hint="eastAsia" w:ascii="宋体" w:hAnsi="宋体" w:eastAsia="宋体" w:cs="Times New Roman"/>
          <w:sz w:val="24"/>
          <w:szCs w:val="24"/>
        </w:rPr>
        <w:t>)承包人提出提前竣工（赶工）的，提前竣工（赶工补偿）费用的计算方法及上限为：</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rPr>
        <w:t>(</w:t>
      </w:r>
      <w:r>
        <w:rPr>
          <w:rFonts w:ascii="宋体" w:hAnsi="宋体" w:eastAsia="宋体" w:cs="Times New Roman"/>
          <w:sz w:val="24"/>
          <w:szCs w:val="24"/>
        </w:rPr>
        <w:t>3</w:t>
      </w:r>
      <w:r>
        <w:rPr>
          <w:rFonts w:hint="eastAsia" w:ascii="宋体" w:hAnsi="宋体" w:eastAsia="宋体" w:cs="Times New Roman"/>
          <w:sz w:val="24"/>
          <w:szCs w:val="24"/>
        </w:rPr>
        <w:t>)提前竣工时间的计算方法为：</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p>
    <w:p w14:paraId="7945917A">
      <w:pPr>
        <w:keepNext w:val="0"/>
        <w:keepLines w:val="0"/>
        <w:widowControl/>
        <w:numPr>
          <w:ilvl w:val="0"/>
          <w:numId w:val="0"/>
        </w:numPr>
        <w:tabs>
          <w:tab w:val="left" w:pos="540"/>
          <w:tab w:val="left" w:pos="1620"/>
          <w:tab w:val="left" w:pos="2340"/>
        </w:tabs>
        <w:spacing w:before="120" w:after="120"/>
        <w:ind w:left="178"/>
        <w:jc w:val="left"/>
        <w:outlineLvl w:val="0"/>
        <w:rPr>
          <w:rFonts w:hint="eastAsia" w:ascii="华文细黑" w:hAnsi="宋体" w:eastAsia="宋体" w:cs="Times New Roman"/>
          <w:b/>
          <w:bCs/>
          <w:snapToGrid w:val="0"/>
          <w:kern w:val="0"/>
          <w:sz w:val="28"/>
          <w:szCs w:val="44"/>
          <w:lang w:val="en-US" w:eastAsia="zh-CN" w:bidi="ar-SA"/>
        </w:rPr>
      </w:pPr>
      <w:r>
        <w:rPr>
          <w:rFonts w:hint="eastAsia" w:ascii="宋体" w:hAnsi="宋体" w:eastAsia="宋体" w:cs="Times New Roman"/>
          <w:b/>
          <w:bCs/>
          <w:snapToGrid w:val="0"/>
          <w:kern w:val="0"/>
          <w:sz w:val="24"/>
          <w:szCs w:val="44"/>
          <w:lang w:val="en-US" w:eastAsia="zh-CN" w:bidi="ar-SA"/>
        </w:rPr>
        <w:t xml:space="preserve"> </w:t>
      </w:r>
      <w:bookmarkStart w:id="5019" w:name="_Toc8482"/>
      <w:bookmarkStart w:id="5020" w:name="_Toc27431"/>
      <w:bookmarkStart w:id="5021" w:name="_Toc29856"/>
      <w:bookmarkStart w:id="5022" w:name="_Toc201735575"/>
      <w:bookmarkStart w:id="5023" w:name="_Toc32482"/>
      <w:bookmarkStart w:id="5024" w:name="_Toc13356"/>
      <w:bookmarkStart w:id="5025" w:name="_Toc2988"/>
      <w:bookmarkStart w:id="5026" w:name="_Toc302635989"/>
      <w:bookmarkStart w:id="5027" w:name="_Toc305331472"/>
      <w:bookmarkStart w:id="5028" w:name="_Toc23218"/>
      <w:bookmarkStart w:id="5029" w:name="_Toc208587800"/>
      <w:bookmarkStart w:id="5030" w:name="_Toc11035"/>
      <w:bookmarkStart w:id="5031" w:name="_Toc108625224"/>
      <w:bookmarkStart w:id="5032" w:name="_Toc31468"/>
      <w:bookmarkStart w:id="5033" w:name="_Toc15475"/>
      <w:r>
        <w:rPr>
          <w:rFonts w:hint="eastAsia" w:ascii="华文细黑" w:hAnsi="宋体" w:eastAsia="宋体" w:cs="Times New Roman"/>
          <w:b/>
          <w:bCs/>
          <w:snapToGrid w:val="0"/>
          <w:kern w:val="0"/>
          <w:sz w:val="28"/>
          <w:szCs w:val="44"/>
          <w:lang w:val="en-US" w:eastAsia="zh-CN" w:bidi="ar-SA"/>
        </w:rPr>
        <w:t>14 材料与工程设备的供应和检测</w:t>
      </w:r>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p>
    <w:p w14:paraId="22C533C9">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kern w:val="0"/>
          <w:sz w:val="24"/>
          <w:szCs w:val="32"/>
          <w:lang w:val="en-US" w:eastAsia="zh-CN" w:bidi="ar-SA"/>
        </w:rPr>
      </w:pPr>
      <w:bookmarkStart w:id="5034" w:name="_Toc208587801"/>
      <w:bookmarkStart w:id="5035" w:name="_Toc201735576"/>
      <w:bookmarkStart w:id="5036" w:name="_Toc430"/>
      <w:bookmarkStart w:id="5037" w:name="_Toc305331473"/>
      <w:bookmarkStart w:id="5038" w:name="_Toc4606"/>
      <w:bookmarkStart w:id="5039" w:name="_Toc17957"/>
      <w:bookmarkStart w:id="5040" w:name="_Toc22315"/>
      <w:bookmarkStart w:id="5041" w:name="_Toc302635990"/>
      <w:bookmarkStart w:id="5042" w:name="_Toc27946"/>
      <w:bookmarkStart w:id="5043" w:name="_Toc1453936860"/>
      <w:bookmarkStart w:id="5044" w:name="_Toc21776"/>
      <w:bookmarkStart w:id="5045" w:name="_Toc11112"/>
      <w:bookmarkStart w:id="5046" w:name="_Toc17872"/>
      <w:bookmarkStart w:id="5047" w:name="_Toc5120"/>
      <w:bookmarkStart w:id="5048" w:name="_Toc3077"/>
      <w:r>
        <w:rPr>
          <w:rFonts w:hint="eastAsia" w:ascii="宋体" w:hAnsi="宋体" w:eastAsia="宋体" w:cs="Times New Roman"/>
          <w:b/>
          <w:bCs/>
          <w:kern w:val="0"/>
          <w:sz w:val="24"/>
          <w:szCs w:val="32"/>
          <w:lang w:val="en-US" w:eastAsia="zh-CN" w:bidi="ar-SA"/>
        </w:rPr>
        <w:t>14.1 发包人供应材料与工程设备</w:t>
      </w:r>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p>
    <w:p w14:paraId="029B42D4">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(1)发包人供应材料与工程设备清单：</w:t>
      </w:r>
    </w:p>
    <w:p w14:paraId="78A75404">
      <w:pPr>
        <w:spacing w:line="360" w:lineRule="auto"/>
        <w:jc w:val="center"/>
        <w:rPr>
          <w:rFonts w:hint="eastAsia" w:ascii="宋体" w:hAnsi="宋体" w:eastAsia="宋体" w:cs="Times New Roman"/>
          <w:b/>
          <w:bCs/>
          <w:sz w:val="24"/>
          <w:szCs w:val="24"/>
        </w:rPr>
      </w:pPr>
      <w:r>
        <w:rPr>
          <w:rFonts w:hint="eastAsia" w:ascii="宋体" w:hAnsi="宋体" w:eastAsia="宋体" w:cs="Times New Roman"/>
          <w:b/>
          <w:sz w:val="24"/>
          <w:szCs w:val="24"/>
        </w:rPr>
        <w:t>发包人供应材料与工程设备清单</w:t>
      </w:r>
    </w:p>
    <w:tbl>
      <w:tblPr>
        <w:tblStyle w:val="41"/>
        <w:tblW w:w="9229" w:type="dxa"/>
        <w:tblInd w:w="93"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10"/>
        <w:gridCol w:w="1206"/>
        <w:gridCol w:w="939"/>
        <w:gridCol w:w="939"/>
        <w:gridCol w:w="939"/>
        <w:gridCol w:w="939"/>
        <w:gridCol w:w="939"/>
        <w:gridCol w:w="939"/>
        <w:gridCol w:w="939"/>
        <w:gridCol w:w="940"/>
      </w:tblGrid>
      <w:tr w14:paraId="3535A7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510" w:type="dxa"/>
            <w:noWrap/>
            <w:vAlign w:val="center"/>
          </w:tcPr>
          <w:p w14:paraId="399EC86E">
            <w:pPr>
              <w:widowControl/>
              <w:ind w:left="-105" w:right="-105"/>
              <w:jc w:val="center"/>
              <w:rPr>
                <w:rFonts w:ascii="宋体" w:hAnsi="宋体" w:eastAsia="宋体" w:cs="宋体"/>
                <w:kern w:val="0"/>
                <w:sz w:val="24"/>
                <w:szCs w:val="24"/>
              </w:rPr>
            </w:pPr>
            <w:r>
              <w:rPr>
                <w:rFonts w:hint="eastAsia" w:ascii="宋体" w:hAnsi="宋体" w:eastAsia="宋体" w:cs="宋体"/>
                <w:kern w:val="0"/>
                <w:sz w:val="24"/>
                <w:szCs w:val="24"/>
              </w:rPr>
              <w:t>序</w:t>
            </w:r>
          </w:p>
          <w:p w14:paraId="79548C0B">
            <w:pPr>
              <w:widowControl/>
              <w:ind w:left="-105" w:right="-105"/>
              <w:jc w:val="center"/>
              <w:rPr>
                <w:rFonts w:ascii="宋体" w:hAnsi="宋体" w:eastAsia="宋体" w:cs="宋体"/>
                <w:kern w:val="0"/>
                <w:sz w:val="24"/>
                <w:szCs w:val="24"/>
              </w:rPr>
            </w:pPr>
            <w:r>
              <w:rPr>
                <w:rFonts w:hint="eastAsia" w:ascii="宋体" w:hAnsi="宋体" w:eastAsia="宋体" w:cs="宋体"/>
                <w:kern w:val="0"/>
                <w:sz w:val="24"/>
                <w:szCs w:val="24"/>
              </w:rPr>
              <w:t>号</w:t>
            </w:r>
          </w:p>
        </w:tc>
        <w:tc>
          <w:tcPr>
            <w:tcW w:w="1206" w:type="dxa"/>
            <w:noWrap/>
            <w:vAlign w:val="center"/>
          </w:tcPr>
          <w:p w14:paraId="074067A3">
            <w:pPr>
              <w:widowControl/>
              <w:ind w:right="-105"/>
              <w:rPr>
                <w:rFonts w:ascii="宋体" w:hAnsi="宋体" w:eastAsia="宋体" w:cs="宋体"/>
                <w:kern w:val="0"/>
                <w:sz w:val="24"/>
                <w:szCs w:val="24"/>
              </w:rPr>
            </w:pPr>
            <w:r>
              <w:rPr>
                <w:rFonts w:hint="eastAsia" w:ascii="宋体" w:hAnsi="宋体" w:eastAsia="宋体" w:cs="宋体"/>
                <w:kern w:val="0"/>
                <w:sz w:val="24"/>
                <w:szCs w:val="24"/>
              </w:rPr>
              <w:t>材料与工程设备名称</w:t>
            </w:r>
          </w:p>
        </w:tc>
        <w:tc>
          <w:tcPr>
            <w:tcW w:w="939" w:type="dxa"/>
            <w:noWrap/>
            <w:vAlign w:val="center"/>
          </w:tcPr>
          <w:p w14:paraId="53853263">
            <w:pPr>
              <w:widowControl/>
              <w:ind w:left="-105" w:right="-105"/>
              <w:jc w:val="center"/>
              <w:rPr>
                <w:rFonts w:ascii="宋体" w:hAnsi="宋体" w:eastAsia="宋体" w:cs="宋体"/>
                <w:kern w:val="0"/>
                <w:sz w:val="24"/>
                <w:szCs w:val="24"/>
              </w:rPr>
            </w:pPr>
            <w:r>
              <w:rPr>
                <w:rFonts w:hint="eastAsia" w:ascii="宋体" w:hAnsi="宋体" w:eastAsia="宋体" w:cs="宋体"/>
                <w:kern w:val="0"/>
                <w:sz w:val="24"/>
                <w:szCs w:val="24"/>
              </w:rPr>
              <w:t>规格</w:t>
            </w:r>
          </w:p>
          <w:p w14:paraId="1C94B898">
            <w:pPr>
              <w:widowControl/>
              <w:ind w:left="-105" w:right="-105"/>
              <w:jc w:val="center"/>
              <w:rPr>
                <w:rFonts w:ascii="宋体" w:hAnsi="宋体" w:eastAsia="宋体" w:cs="宋体"/>
                <w:kern w:val="0"/>
                <w:sz w:val="24"/>
                <w:szCs w:val="24"/>
              </w:rPr>
            </w:pPr>
            <w:r>
              <w:rPr>
                <w:rFonts w:hint="eastAsia" w:ascii="宋体" w:hAnsi="宋体" w:eastAsia="宋体" w:cs="宋体"/>
                <w:kern w:val="0"/>
                <w:sz w:val="24"/>
                <w:szCs w:val="24"/>
              </w:rPr>
              <w:t>型号</w:t>
            </w:r>
          </w:p>
        </w:tc>
        <w:tc>
          <w:tcPr>
            <w:tcW w:w="939" w:type="dxa"/>
            <w:noWrap/>
            <w:vAlign w:val="center"/>
          </w:tcPr>
          <w:p w14:paraId="23C26EF0">
            <w:pPr>
              <w:widowControl/>
              <w:ind w:left="-105" w:right="-105"/>
              <w:jc w:val="center"/>
              <w:rPr>
                <w:rFonts w:ascii="宋体" w:hAnsi="宋体" w:eastAsia="宋体" w:cs="宋体"/>
                <w:kern w:val="0"/>
                <w:sz w:val="24"/>
                <w:szCs w:val="24"/>
              </w:rPr>
            </w:pPr>
            <w:r>
              <w:rPr>
                <w:rFonts w:hint="eastAsia" w:ascii="宋体" w:hAnsi="宋体" w:eastAsia="宋体" w:cs="宋体"/>
                <w:kern w:val="0"/>
                <w:sz w:val="24"/>
                <w:szCs w:val="24"/>
              </w:rPr>
              <w:t>生产厂家</w:t>
            </w:r>
          </w:p>
        </w:tc>
        <w:tc>
          <w:tcPr>
            <w:tcW w:w="939" w:type="dxa"/>
            <w:noWrap/>
            <w:vAlign w:val="center"/>
          </w:tcPr>
          <w:p w14:paraId="2C48DA49">
            <w:pPr>
              <w:widowControl/>
              <w:ind w:left="-105" w:right="-105"/>
              <w:jc w:val="center"/>
              <w:rPr>
                <w:rFonts w:ascii="宋体" w:hAnsi="宋体" w:eastAsia="宋体" w:cs="宋体"/>
                <w:kern w:val="0"/>
                <w:sz w:val="24"/>
                <w:szCs w:val="24"/>
              </w:rPr>
            </w:pPr>
            <w:r>
              <w:rPr>
                <w:rFonts w:hint="eastAsia" w:ascii="宋体" w:hAnsi="宋体" w:eastAsia="宋体" w:cs="宋体"/>
                <w:kern w:val="0"/>
                <w:sz w:val="24"/>
                <w:szCs w:val="24"/>
              </w:rPr>
              <w:t>单位</w:t>
            </w:r>
          </w:p>
        </w:tc>
        <w:tc>
          <w:tcPr>
            <w:tcW w:w="939" w:type="dxa"/>
            <w:noWrap/>
            <w:vAlign w:val="center"/>
          </w:tcPr>
          <w:p w14:paraId="7903D9D6">
            <w:pPr>
              <w:widowControl/>
              <w:ind w:left="-105" w:right="-105"/>
              <w:jc w:val="center"/>
              <w:rPr>
                <w:rFonts w:ascii="宋体" w:hAnsi="宋体" w:eastAsia="宋体" w:cs="宋体"/>
                <w:kern w:val="0"/>
                <w:sz w:val="24"/>
                <w:szCs w:val="24"/>
              </w:rPr>
            </w:pPr>
            <w:r>
              <w:rPr>
                <w:rFonts w:hint="eastAsia" w:ascii="宋体" w:hAnsi="宋体" w:eastAsia="宋体" w:cs="宋体"/>
                <w:kern w:val="0"/>
                <w:sz w:val="24"/>
                <w:szCs w:val="24"/>
              </w:rPr>
              <w:t>数量</w:t>
            </w:r>
          </w:p>
        </w:tc>
        <w:tc>
          <w:tcPr>
            <w:tcW w:w="939" w:type="dxa"/>
            <w:noWrap/>
            <w:vAlign w:val="center"/>
          </w:tcPr>
          <w:p w14:paraId="5FA40C22">
            <w:pPr>
              <w:widowControl/>
              <w:ind w:left="-105" w:right="-105"/>
              <w:jc w:val="center"/>
              <w:rPr>
                <w:rFonts w:hint="eastAsia" w:ascii="宋体" w:hAnsi="宋体" w:eastAsia="宋体" w:cs="宋体"/>
                <w:kern w:val="0"/>
                <w:sz w:val="24"/>
                <w:szCs w:val="24"/>
              </w:rPr>
            </w:pPr>
            <w:r>
              <w:rPr>
                <w:rFonts w:hint="eastAsia" w:ascii="宋体" w:hAnsi="宋体" w:eastAsia="宋体" w:cs="宋体"/>
                <w:kern w:val="0"/>
                <w:sz w:val="24"/>
                <w:szCs w:val="24"/>
              </w:rPr>
              <w:t>单价</w:t>
            </w:r>
          </w:p>
          <w:p w14:paraId="30C4B074">
            <w:pPr>
              <w:widowControl/>
              <w:ind w:left="-105" w:right="-105"/>
              <w:jc w:val="center"/>
              <w:rPr>
                <w:rFonts w:ascii="宋体" w:hAnsi="宋体" w:eastAsia="宋体" w:cs="宋体"/>
                <w:kern w:val="0"/>
                <w:sz w:val="24"/>
                <w:szCs w:val="24"/>
              </w:rPr>
            </w:pPr>
            <w:r>
              <w:rPr>
                <w:rFonts w:hint="eastAsia" w:ascii="宋体" w:hAnsi="宋体" w:eastAsia="宋体" w:cs="宋体"/>
                <w:kern w:val="0"/>
                <w:sz w:val="24"/>
                <w:szCs w:val="24"/>
              </w:rPr>
              <w:t>(元)</w:t>
            </w:r>
          </w:p>
        </w:tc>
        <w:tc>
          <w:tcPr>
            <w:tcW w:w="939" w:type="dxa"/>
            <w:noWrap/>
            <w:vAlign w:val="center"/>
          </w:tcPr>
          <w:p w14:paraId="6D467513">
            <w:pPr>
              <w:widowControl/>
              <w:ind w:left="-105" w:right="-105"/>
              <w:jc w:val="center"/>
              <w:rPr>
                <w:rFonts w:hint="eastAsia" w:ascii="宋体" w:hAnsi="宋体" w:eastAsia="宋体" w:cs="宋体"/>
                <w:kern w:val="0"/>
                <w:sz w:val="24"/>
                <w:szCs w:val="24"/>
              </w:rPr>
            </w:pPr>
            <w:r>
              <w:rPr>
                <w:rFonts w:hint="eastAsia" w:ascii="宋体" w:hAnsi="宋体" w:eastAsia="宋体" w:cs="宋体"/>
                <w:kern w:val="0"/>
                <w:sz w:val="24"/>
                <w:szCs w:val="24"/>
              </w:rPr>
              <w:t>总价</w:t>
            </w:r>
          </w:p>
          <w:p w14:paraId="7B2D248F">
            <w:pPr>
              <w:widowControl/>
              <w:ind w:left="-105" w:right="-105"/>
              <w:jc w:val="center"/>
              <w:rPr>
                <w:rFonts w:ascii="宋体" w:hAnsi="宋体" w:eastAsia="宋体" w:cs="宋体"/>
                <w:kern w:val="0"/>
                <w:sz w:val="24"/>
                <w:szCs w:val="24"/>
              </w:rPr>
            </w:pPr>
            <w:r>
              <w:rPr>
                <w:rFonts w:hint="eastAsia" w:ascii="宋体" w:hAnsi="宋体" w:eastAsia="宋体" w:cs="宋体"/>
                <w:kern w:val="0"/>
                <w:sz w:val="24"/>
                <w:szCs w:val="24"/>
              </w:rPr>
              <w:t>(元)</w:t>
            </w:r>
          </w:p>
        </w:tc>
        <w:tc>
          <w:tcPr>
            <w:tcW w:w="939" w:type="dxa"/>
            <w:noWrap/>
            <w:vAlign w:val="center"/>
          </w:tcPr>
          <w:p w14:paraId="701EECDA">
            <w:pPr>
              <w:widowControl/>
              <w:ind w:left="-105" w:right="-105"/>
              <w:jc w:val="center"/>
              <w:rPr>
                <w:rFonts w:ascii="宋体" w:hAnsi="宋体" w:eastAsia="宋体" w:cs="宋体"/>
                <w:kern w:val="0"/>
                <w:sz w:val="24"/>
                <w:szCs w:val="24"/>
              </w:rPr>
            </w:pPr>
            <w:r>
              <w:rPr>
                <w:rFonts w:hint="eastAsia" w:ascii="宋体" w:hAnsi="宋体" w:eastAsia="宋体" w:cs="宋体"/>
                <w:kern w:val="0"/>
                <w:sz w:val="24"/>
                <w:szCs w:val="24"/>
              </w:rPr>
              <w:t>质量</w:t>
            </w:r>
          </w:p>
          <w:p w14:paraId="1E56B099">
            <w:pPr>
              <w:widowControl/>
              <w:ind w:left="-105" w:right="-105"/>
              <w:jc w:val="center"/>
              <w:rPr>
                <w:rFonts w:ascii="宋体" w:hAnsi="宋体" w:eastAsia="宋体" w:cs="宋体"/>
                <w:kern w:val="0"/>
                <w:sz w:val="24"/>
                <w:szCs w:val="24"/>
              </w:rPr>
            </w:pPr>
            <w:r>
              <w:rPr>
                <w:rFonts w:hint="eastAsia" w:ascii="宋体" w:hAnsi="宋体" w:eastAsia="宋体" w:cs="宋体"/>
                <w:kern w:val="0"/>
                <w:sz w:val="24"/>
                <w:szCs w:val="24"/>
              </w:rPr>
              <w:t>等级</w:t>
            </w:r>
          </w:p>
        </w:tc>
        <w:tc>
          <w:tcPr>
            <w:tcW w:w="940" w:type="dxa"/>
            <w:noWrap/>
            <w:vAlign w:val="center"/>
          </w:tcPr>
          <w:p w14:paraId="623251C3">
            <w:pPr>
              <w:widowControl/>
              <w:ind w:left="-105" w:right="-105"/>
              <w:jc w:val="center"/>
              <w:rPr>
                <w:rFonts w:ascii="宋体" w:hAnsi="宋体" w:eastAsia="宋体" w:cs="宋体"/>
                <w:kern w:val="0"/>
                <w:sz w:val="24"/>
                <w:szCs w:val="24"/>
              </w:rPr>
            </w:pPr>
            <w:r>
              <w:rPr>
                <w:rFonts w:hint="eastAsia" w:ascii="宋体" w:hAnsi="宋体" w:eastAsia="宋体" w:cs="宋体"/>
                <w:kern w:val="0"/>
                <w:sz w:val="24"/>
                <w:szCs w:val="24"/>
              </w:rPr>
              <w:t>时间</w:t>
            </w:r>
          </w:p>
          <w:p w14:paraId="4E6181FA">
            <w:pPr>
              <w:widowControl/>
              <w:ind w:left="-105" w:right="-105"/>
              <w:jc w:val="center"/>
              <w:rPr>
                <w:rFonts w:ascii="宋体" w:hAnsi="宋体" w:eastAsia="宋体" w:cs="宋体"/>
                <w:kern w:val="0"/>
                <w:sz w:val="24"/>
                <w:szCs w:val="24"/>
              </w:rPr>
            </w:pPr>
            <w:r>
              <w:rPr>
                <w:rFonts w:hint="eastAsia" w:ascii="宋体" w:hAnsi="宋体" w:eastAsia="宋体" w:cs="宋体"/>
                <w:kern w:val="0"/>
                <w:sz w:val="24"/>
                <w:szCs w:val="24"/>
              </w:rPr>
              <w:t>地点</w:t>
            </w:r>
          </w:p>
        </w:tc>
      </w:tr>
      <w:tr w14:paraId="2A7FFF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14:paraId="27E03E37">
            <w:pPr>
              <w:widowControl/>
              <w:spacing w:line="360" w:lineRule="auto"/>
              <w:jc w:val="left"/>
              <w:rPr>
                <w:rFonts w:ascii="宋体" w:hAnsi="宋体" w:eastAsia="宋体" w:cs="宋体"/>
                <w:kern w:val="0"/>
                <w:sz w:val="24"/>
                <w:szCs w:val="24"/>
              </w:rPr>
            </w:pPr>
          </w:p>
        </w:tc>
        <w:tc>
          <w:tcPr>
            <w:tcW w:w="1206" w:type="dxa"/>
            <w:noWrap/>
            <w:vAlign w:val="bottom"/>
          </w:tcPr>
          <w:p w14:paraId="0546015C">
            <w:pPr>
              <w:widowControl/>
              <w:spacing w:line="360" w:lineRule="auto"/>
              <w:jc w:val="left"/>
              <w:rPr>
                <w:rFonts w:ascii="宋体" w:hAnsi="宋体" w:eastAsia="宋体" w:cs="宋体"/>
                <w:kern w:val="0"/>
                <w:sz w:val="24"/>
                <w:szCs w:val="24"/>
              </w:rPr>
            </w:pPr>
          </w:p>
        </w:tc>
        <w:tc>
          <w:tcPr>
            <w:tcW w:w="939" w:type="dxa"/>
            <w:noWrap/>
            <w:vAlign w:val="bottom"/>
          </w:tcPr>
          <w:p w14:paraId="7CB92D78">
            <w:pPr>
              <w:widowControl/>
              <w:spacing w:line="360" w:lineRule="auto"/>
              <w:jc w:val="left"/>
              <w:rPr>
                <w:rFonts w:ascii="宋体" w:hAnsi="宋体" w:eastAsia="宋体" w:cs="宋体"/>
                <w:kern w:val="0"/>
                <w:sz w:val="24"/>
                <w:szCs w:val="24"/>
              </w:rPr>
            </w:pPr>
          </w:p>
        </w:tc>
        <w:tc>
          <w:tcPr>
            <w:tcW w:w="939" w:type="dxa"/>
            <w:noWrap/>
            <w:vAlign w:val="bottom"/>
          </w:tcPr>
          <w:p w14:paraId="52F26D0C">
            <w:pPr>
              <w:widowControl/>
              <w:spacing w:line="360" w:lineRule="auto"/>
              <w:jc w:val="left"/>
              <w:rPr>
                <w:rFonts w:ascii="宋体" w:hAnsi="宋体" w:eastAsia="宋体" w:cs="宋体"/>
                <w:kern w:val="0"/>
                <w:sz w:val="24"/>
                <w:szCs w:val="24"/>
              </w:rPr>
            </w:pPr>
          </w:p>
        </w:tc>
        <w:tc>
          <w:tcPr>
            <w:tcW w:w="939" w:type="dxa"/>
            <w:noWrap/>
            <w:vAlign w:val="bottom"/>
          </w:tcPr>
          <w:p w14:paraId="4D246B28">
            <w:pPr>
              <w:widowControl/>
              <w:spacing w:line="360" w:lineRule="auto"/>
              <w:jc w:val="left"/>
              <w:rPr>
                <w:rFonts w:ascii="宋体" w:hAnsi="宋体" w:eastAsia="宋体" w:cs="宋体"/>
                <w:kern w:val="0"/>
                <w:sz w:val="24"/>
                <w:szCs w:val="24"/>
              </w:rPr>
            </w:pPr>
          </w:p>
        </w:tc>
        <w:tc>
          <w:tcPr>
            <w:tcW w:w="939" w:type="dxa"/>
            <w:noWrap/>
            <w:vAlign w:val="bottom"/>
          </w:tcPr>
          <w:p w14:paraId="64FF4703">
            <w:pPr>
              <w:widowControl/>
              <w:spacing w:line="360" w:lineRule="auto"/>
              <w:jc w:val="left"/>
              <w:rPr>
                <w:rFonts w:ascii="宋体" w:hAnsi="宋体" w:eastAsia="宋体" w:cs="宋体"/>
                <w:kern w:val="0"/>
                <w:sz w:val="24"/>
                <w:szCs w:val="24"/>
              </w:rPr>
            </w:pPr>
          </w:p>
        </w:tc>
        <w:tc>
          <w:tcPr>
            <w:tcW w:w="939" w:type="dxa"/>
            <w:noWrap/>
            <w:vAlign w:val="bottom"/>
          </w:tcPr>
          <w:p w14:paraId="7167BB70">
            <w:pPr>
              <w:widowControl/>
              <w:spacing w:line="360" w:lineRule="auto"/>
              <w:jc w:val="left"/>
              <w:rPr>
                <w:rFonts w:ascii="宋体" w:hAnsi="宋体" w:eastAsia="宋体" w:cs="宋体"/>
                <w:kern w:val="0"/>
                <w:sz w:val="24"/>
                <w:szCs w:val="24"/>
              </w:rPr>
            </w:pPr>
          </w:p>
        </w:tc>
        <w:tc>
          <w:tcPr>
            <w:tcW w:w="939" w:type="dxa"/>
            <w:noWrap/>
            <w:vAlign w:val="bottom"/>
          </w:tcPr>
          <w:p w14:paraId="3FB58FC8">
            <w:pPr>
              <w:widowControl/>
              <w:spacing w:line="360" w:lineRule="auto"/>
              <w:jc w:val="left"/>
              <w:rPr>
                <w:rFonts w:ascii="宋体" w:hAnsi="宋体" w:eastAsia="宋体" w:cs="宋体"/>
                <w:kern w:val="0"/>
                <w:sz w:val="24"/>
                <w:szCs w:val="24"/>
              </w:rPr>
            </w:pPr>
          </w:p>
        </w:tc>
        <w:tc>
          <w:tcPr>
            <w:tcW w:w="939" w:type="dxa"/>
            <w:noWrap/>
            <w:vAlign w:val="bottom"/>
          </w:tcPr>
          <w:p w14:paraId="2B7E7101">
            <w:pPr>
              <w:widowControl/>
              <w:spacing w:line="360" w:lineRule="auto"/>
              <w:jc w:val="left"/>
              <w:rPr>
                <w:rFonts w:ascii="宋体" w:hAnsi="宋体" w:eastAsia="宋体" w:cs="宋体"/>
                <w:kern w:val="0"/>
                <w:sz w:val="24"/>
                <w:szCs w:val="24"/>
              </w:rPr>
            </w:pPr>
          </w:p>
        </w:tc>
        <w:tc>
          <w:tcPr>
            <w:tcW w:w="940" w:type="dxa"/>
            <w:noWrap/>
            <w:vAlign w:val="bottom"/>
          </w:tcPr>
          <w:p w14:paraId="2E9BE3D2">
            <w:pPr>
              <w:widowControl/>
              <w:spacing w:line="360" w:lineRule="auto"/>
              <w:jc w:val="left"/>
              <w:rPr>
                <w:rFonts w:ascii="宋体" w:hAnsi="宋体" w:eastAsia="宋体" w:cs="宋体"/>
                <w:kern w:val="0"/>
                <w:sz w:val="24"/>
                <w:szCs w:val="24"/>
              </w:rPr>
            </w:pPr>
          </w:p>
        </w:tc>
      </w:tr>
      <w:tr w14:paraId="78A33C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14:paraId="6ACE4BF7">
            <w:pPr>
              <w:widowControl/>
              <w:spacing w:line="360" w:lineRule="auto"/>
              <w:jc w:val="left"/>
              <w:rPr>
                <w:rFonts w:ascii="宋体" w:hAnsi="宋体" w:eastAsia="宋体" w:cs="宋体"/>
                <w:kern w:val="0"/>
                <w:sz w:val="24"/>
                <w:szCs w:val="24"/>
              </w:rPr>
            </w:pPr>
          </w:p>
        </w:tc>
        <w:tc>
          <w:tcPr>
            <w:tcW w:w="1206" w:type="dxa"/>
            <w:noWrap/>
            <w:vAlign w:val="bottom"/>
          </w:tcPr>
          <w:p w14:paraId="00987B6B">
            <w:pPr>
              <w:widowControl/>
              <w:spacing w:line="360" w:lineRule="auto"/>
              <w:jc w:val="left"/>
              <w:rPr>
                <w:rFonts w:ascii="宋体" w:hAnsi="宋体" w:eastAsia="宋体" w:cs="宋体"/>
                <w:kern w:val="0"/>
                <w:sz w:val="24"/>
                <w:szCs w:val="24"/>
              </w:rPr>
            </w:pPr>
          </w:p>
        </w:tc>
        <w:tc>
          <w:tcPr>
            <w:tcW w:w="939" w:type="dxa"/>
            <w:noWrap/>
            <w:vAlign w:val="bottom"/>
          </w:tcPr>
          <w:p w14:paraId="6B48C12D">
            <w:pPr>
              <w:widowControl/>
              <w:spacing w:line="360" w:lineRule="auto"/>
              <w:jc w:val="left"/>
              <w:rPr>
                <w:rFonts w:ascii="宋体" w:hAnsi="宋体" w:eastAsia="宋体" w:cs="宋体"/>
                <w:kern w:val="0"/>
                <w:sz w:val="24"/>
                <w:szCs w:val="24"/>
              </w:rPr>
            </w:pPr>
          </w:p>
        </w:tc>
        <w:tc>
          <w:tcPr>
            <w:tcW w:w="939" w:type="dxa"/>
            <w:noWrap/>
            <w:vAlign w:val="bottom"/>
          </w:tcPr>
          <w:p w14:paraId="3466B61D">
            <w:pPr>
              <w:widowControl/>
              <w:spacing w:line="360" w:lineRule="auto"/>
              <w:jc w:val="left"/>
              <w:rPr>
                <w:rFonts w:ascii="宋体" w:hAnsi="宋体" w:eastAsia="宋体" w:cs="宋体"/>
                <w:kern w:val="0"/>
                <w:sz w:val="24"/>
                <w:szCs w:val="24"/>
              </w:rPr>
            </w:pPr>
          </w:p>
        </w:tc>
        <w:tc>
          <w:tcPr>
            <w:tcW w:w="939" w:type="dxa"/>
            <w:noWrap/>
            <w:vAlign w:val="bottom"/>
          </w:tcPr>
          <w:p w14:paraId="0BBCF846">
            <w:pPr>
              <w:widowControl/>
              <w:spacing w:line="360" w:lineRule="auto"/>
              <w:jc w:val="left"/>
              <w:rPr>
                <w:rFonts w:ascii="宋体" w:hAnsi="宋体" w:eastAsia="宋体" w:cs="宋体"/>
                <w:kern w:val="0"/>
                <w:sz w:val="24"/>
                <w:szCs w:val="24"/>
              </w:rPr>
            </w:pPr>
          </w:p>
        </w:tc>
        <w:tc>
          <w:tcPr>
            <w:tcW w:w="939" w:type="dxa"/>
            <w:noWrap/>
            <w:vAlign w:val="bottom"/>
          </w:tcPr>
          <w:p w14:paraId="2805F127">
            <w:pPr>
              <w:widowControl/>
              <w:spacing w:line="360" w:lineRule="auto"/>
              <w:jc w:val="left"/>
              <w:rPr>
                <w:rFonts w:ascii="宋体" w:hAnsi="宋体" w:eastAsia="宋体" w:cs="宋体"/>
                <w:kern w:val="0"/>
                <w:sz w:val="24"/>
                <w:szCs w:val="24"/>
              </w:rPr>
            </w:pPr>
          </w:p>
        </w:tc>
        <w:tc>
          <w:tcPr>
            <w:tcW w:w="939" w:type="dxa"/>
            <w:noWrap/>
            <w:vAlign w:val="bottom"/>
          </w:tcPr>
          <w:p w14:paraId="52C37CC9">
            <w:pPr>
              <w:widowControl/>
              <w:spacing w:line="360" w:lineRule="auto"/>
              <w:jc w:val="left"/>
              <w:rPr>
                <w:rFonts w:ascii="宋体" w:hAnsi="宋体" w:eastAsia="宋体" w:cs="宋体"/>
                <w:kern w:val="0"/>
                <w:sz w:val="24"/>
                <w:szCs w:val="24"/>
              </w:rPr>
            </w:pPr>
          </w:p>
        </w:tc>
        <w:tc>
          <w:tcPr>
            <w:tcW w:w="939" w:type="dxa"/>
            <w:noWrap/>
            <w:vAlign w:val="bottom"/>
          </w:tcPr>
          <w:p w14:paraId="0506EC3D">
            <w:pPr>
              <w:widowControl/>
              <w:spacing w:line="360" w:lineRule="auto"/>
              <w:jc w:val="left"/>
              <w:rPr>
                <w:rFonts w:ascii="宋体" w:hAnsi="宋体" w:eastAsia="宋体" w:cs="宋体"/>
                <w:kern w:val="0"/>
                <w:sz w:val="24"/>
                <w:szCs w:val="24"/>
              </w:rPr>
            </w:pPr>
          </w:p>
        </w:tc>
        <w:tc>
          <w:tcPr>
            <w:tcW w:w="939" w:type="dxa"/>
            <w:noWrap/>
            <w:vAlign w:val="bottom"/>
          </w:tcPr>
          <w:p w14:paraId="1AE833A7">
            <w:pPr>
              <w:widowControl/>
              <w:spacing w:line="360" w:lineRule="auto"/>
              <w:jc w:val="left"/>
              <w:rPr>
                <w:rFonts w:ascii="宋体" w:hAnsi="宋体" w:eastAsia="宋体" w:cs="宋体"/>
                <w:kern w:val="0"/>
                <w:sz w:val="24"/>
                <w:szCs w:val="24"/>
              </w:rPr>
            </w:pPr>
          </w:p>
        </w:tc>
        <w:tc>
          <w:tcPr>
            <w:tcW w:w="940" w:type="dxa"/>
            <w:noWrap/>
            <w:vAlign w:val="bottom"/>
          </w:tcPr>
          <w:p w14:paraId="4696A8BB">
            <w:pPr>
              <w:widowControl/>
              <w:spacing w:line="360" w:lineRule="auto"/>
              <w:jc w:val="left"/>
              <w:rPr>
                <w:rFonts w:ascii="宋体" w:hAnsi="宋体" w:eastAsia="宋体" w:cs="宋体"/>
                <w:kern w:val="0"/>
                <w:sz w:val="24"/>
                <w:szCs w:val="24"/>
              </w:rPr>
            </w:pPr>
          </w:p>
        </w:tc>
      </w:tr>
      <w:tr w14:paraId="5A9E42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14:paraId="7648569C">
            <w:pPr>
              <w:widowControl/>
              <w:spacing w:line="360" w:lineRule="auto"/>
              <w:jc w:val="left"/>
              <w:rPr>
                <w:rFonts w:ascii="宋体" w:hAnsi="宋体" w:eastAsia="宋体" w:cs="宋体"/>
                <w:kern w:val="0"/>
                <w:sz w:val="24"/>
                <w:szCs w:val="24"/>
              </w:rPr>
            </w:pPr>
          </w:p>
        </w:tc>
        <w:tc>
          <w:tcPr>
            <w:tcW w:w="1206" w:type="dxa"/>
            <w:noWrap/>
            <w:vAlign w:val="bottom"/>
          </w:tcPr>
          <w:p w14:paraId="4C77B077">
            <w:pPr>
              <w:widowControl/>
              <w:spacing w:line="360" w:lineRule="auto"/>
              <w:jc w:val="left"/>
              <w:rPr>
                <w:rFonts w:ascii="宋体" w:hAnsi="宋体" w:eastAsia="宋体" w:cs="宋体"/>
                <w:kern w:val="0"/>
                <w:sz w:val="24"/>
                <w:szCs w:val="24"/>
              </w:rPr>
            </w:pPr>
          </w:p>
        </w:tc>
        <w:tc>
          <w:tcPr>
            <w:tcW w:w="939" w:type="dxa"/>
            <w:noWrap/>
            <w:vAlign w:val="bottom"/>
          </w:tcPr>
          <w:p w14:paraId="595DDEEC">
            <w:pPr>
              <w:widowControl/>
              <w:spacing w:line="360" w:lineRule="auto"/>
              <w:jc w:val="left"/>
              <w:rPr>
                <w:rFonts w:ascii="宋体" w:hAnsi="宋体" w:eastAsia="宋体" w:cs="宋体"/>
                <w:kern w:val="0"/>
                <w:sz w:val="24"/>
                <w:szCs w:val="24"/>
              </w:rPr>
            </w:pPr>
          </w:p>
        </w:tc>
        <w:tc>
          <w:tcPr>
            <w:tcW w:w="939" w:type="dxa"/>
            <w:noWrap/>
            <w:vAlign w:val="bottom"/>
          </w:tcPr>
          <w:p w14:paraId="305C35E7">
            <w:pPr>
              <w:widowControl/>
              <w:spacing w:line="360" w:lineRule="auto"/>
              <w:jc w:val="left"/>
              <w:rPr>
                <w:rFonts w:ascii="宋体" w:hAnsi="宋体" w:eastAsia="宋体" w:cs="宋体"/>
                <w:kern w:val="0"/>
                <w:sz w:val="24"/>
                <w:szCs w:val="24"/>
              </w:rPr>
            </w:pPr>
          </w:p>
        </w:tc>
        <w:tc>
          <w:tcPr>
            <w:tcW w:w="939" w:type="dxa"/>
            <w:noWrap/>
            <w:vAlign w:val="bottom"/>
          </w:tcPr>
          <w:p w14:paraId="1CE17746">
            <w:pPr>
              <w:widowControl/>
              <w:spacing w:line="360" w:lineRule="auto"/>
              <w:jc w:val="left"/>
              <w:rPr>
                <w:rFonts w:ascii="宋体" w:hAnsi="宋体" w:eastAsia="宋体" w:cs="宋体"/>
                <w:kern w:val="0"/>
                <w:sz w:val="24"/>
                <w:szCs w:val="24"/>
              </w:rPr>
            </w:pPr>
          </w:p>
        </w:tc>
        <w:tc>
          <w:tcPr>
            <w:tcW w:w="939" w:type="dxa"/>
            <w:noWrap/>
            <w:vAlign w:val="bottom"/>
          </w:tcPr>
          <w:p w14:paraId="5DF26D26">
            <w:pPr>
              <w:widowControl/>
              <w:spacing w:line="360" w:lineRule="auto"/>
              <w:jc w:val="left"/>
              <w:rPr>
                <w:rFonts w:ascii="宋体" w:hAnsi="宋体" w:eastAsia="宋体" w:cs="宋体"/>
                <w:kern w:val="0"/>
                <w:sz w:val="24"/>
                <w:szCs w:val="24"/>
              </w:rPr>
            </w:pPr>
          </w:p>
        </w:tc>
        <w:tc>
          <w:tcPr>
            <w:tcW w:w="939" w:type="dxa"/>
            <w:noWrap/>
            <w:vAlign w:val="bottom"/>
          </w:tcPr>
          <w:p w14:paraId="0F79AC1D">
            <w:pPr>
              <w:widowControl/>
              <w:spacing w:line="360" w:lineRule="auto"/>
              <w:jc w:val="left"/>
              <w:rPr>
                <w:rFonts w:ascii="宋体" w:hAnsi="宋体" w:eastAsia="宋体" w:cs="宋体"/>
                <w:kern w:val="0"/>
                <w:sz w:val="24"/>
                <w:szCs w:val="24"/>
              </w:rPr>
            </w:pPr>
          </w:p>
        </w:tc>
        <w:tc>
          <w:tcPr>
            <w:tcW w:w="939" w:type="dxa"/>
            <w:noWrap/>
            <w:vAlign w:val="bottom"/>
          </w:tcPr>
          <w:p w14:paraId="77A6D051">
            <w:pPr>
              <w:widowControl/>
              <w:spacing w:line="360" w:lineRule="auto"/>
              <w:jc w:val="left"/>
              <w:rPr>
                <w:rFonts w:ascii="宋体" w:hAnsi="宋体" w:eastAsia="宋体" w:cs="宋体"/>
                <w:kern w:val="0"/>
                <w:sz w:val="24"/>
                <w:szCs w:val="24"/>
              </w:rPr>
            </w:pPr>
          </w:p>
        </w:tc>
        <w:tc>
          <w:tcPr>
            <w:tcW w:w="939" w:type="dxa"/>
            <w:noWrap/>
            <w:vAlign w:val="bottom"/>
          </w:tcPr>
          <w:p w14:paraId="771720F0">
            <w:pPr>
              <w:widowControl/>
              <w:spacing w:line="360" w:lineRule="auto"/>
              <w:jc w:val="left"/>
              <w:rPr>
                <w:rFonts w:ascii="宋体" w:hAnsi="宋体" w:eastAsia="宋体" w:cs="宋体"/>
                <w:kern w:val="0"/>
                <w:sz w:val="24"/>
                <w:szCs w:val="24"/>
              </w:rPr>
            </w:pPr>
          </w:p>
        </w:tc>
        <w:tc>
          <w:tcPr>
            <w:tcW w:w="940" w:type="dxa"/>
            <w:noWrap/>
            <w:vAlign w:val="bottom"/>
          </w:tcPr>
          <w:p w14:paraId="2962911D">
            <w:pPr>
              <w:widowControl/>
              <w:spacing w:line="360" w:lineRule="auto"/>
              <w:jc w:val="left"/>
              <w:rPr>
                <w:rFonts w:ascii="宋体" w:hAnsi="宋体" w:eastAsia="宋体" w:cs="宋体"/>
                <w:kern w:val="0"/>
                <w:sz w:val="24"/>
                <w:szCs w:val="24"/>
              </w:rPr>
            </w:pPr>
          </w:p>
        </w:tc>
      </w:tr>
      <w:tr w14:paraId="48356A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14:paraId="62155D10">
            <w:pPr>
              <w:widowControl/>
              <w:spacing w:line="360" w:lineRule="auto"/>
              <w:jc w:val="left"/>
              <w:rPr>
                <w:rFonts w:ascii="宋体" w:hAnsi="宋体" w:eastAsia="宋体" w:cs="宋体"/>
                <w:kern w:val="0"/>
                <w:sz w:val="24"/>
                <w:szCs w:val="24"/>
              </w:rPr>
            </w:pPr>
          </w:p>
        </w:tc>
        <w:tc>
          <w:tcPr>
            <w:tcW w:w="1206" w:type="dxa"/>
            <w:noWrap/>
            <w:vAlign w:val="bottom"/>
          </w:tcPr>
          <w:p w14:paraId="59A030A2">
            <w:pPr>
              <w:widowControl/>
              <w:spacing w:line="360" w:lineRule="auto"/>
              <w:jc w:val="left"/>
              <w:rPr>
                <w:rFonts w:ascii="宋体" w:hAnsi="宋体" w:eastAsia="宋体" w:cs="宋体"/>
                <w:kern w:val="0"/>
                <w:sz w:val="24"/>
                <w:szCs w:val="24"/>
              </w:rPr>
            </w:pPr>
          </w:p>
        </w:tc>
        <w:tc>
          <w:tcPr>
            <w:tcW w:w="939" w:type="dxa"/>
            <w:noWrap/>
            <w:vAlign w:val="bottom"/>
          </w:tcPr>
          <w:p w14:paraId="3EA2B1AC">
            <w:pPr>
              <w:widowControl/>
              <w:spacing w:line="360" w:lineRule="auto"/>
              <w:jc w:val="left"/>
              <w:rPr>
                <w:rFonts w:ascii="宋体" w:hAnsi="宋体" w:eastAsia="宋体" w:cs="宋体"/>
                <w:kern w:val="0"/>
                <w:sz w:val="24"/>
                <w:szCs w:val="24"/>
              </w:rPr>
            </w:pPr>
          </w:p>
        </w:tc>
        <w:tc>
          <w:tcPr>
            <w:tcW w:w="939" w:type="dxa"/>
            <w:noWrap/>
            <w:vAlign w:val="bottom"/>
          </w:tcPr>
          <w:p w14:paraId="4CFDCB0B">
            <w:pPr>
              <w:widowControl/>
              <w:spacing w:line="360" w:lineRule="auto"/>
              <w:jc w:val="left"/>
              <w:rPr>
                <w:rFonts w:ascii="宋体" w:hAnsi="宋体" w:eastAsia="宋体" w:cs="宋体"/>
                <w:kern w:val="0"/>
                <w:sz w:val="24"/>
                <w:szCs w:val="24"/>
              </w:rPr>
            </w:pPr>
          </w:p>
        </w:tc>
        <w:tc>
          <w:tcPr>
            <w:tcW w:w="939" w:type="dxa"/>
            <w:noWrap/>
            <w:vAlign w:val="bottom"/>
          </w:tcPr>
          <w:p w14:paraId="527ED373">
            <w:pPr>
              <w:widowControl/>
              <w:spacing w:line="360" w:lineRule="auto"/>
              <w:jc w:val="left"/>
              <w:rPr>
                <w:rFonts w:ascii="宋体" w:hAnsi="宋体" w:eastAsia="宋体" w:cs="宋体"/>
                <w:kern w:val="0"/>
                <w:sz w:val="24"/>
                <w:szCs w:val="24"/>
              </w:rPr>
            </w:pPr>
          </w:p>
        </w:tc>
        <w:tc>
          <w:tcPr>
            <w:tcW w:w="939" w:type="dxa"/>
            <w:noWrap/>
            <w:vAlign w:val="bottom"/>
          </w:tcPr>
          <w:p w14:paraId="2E00E2BF">
            <w:pPr>
              <w:widowControl/>
              <w:spacing w:line="360" w:lineRule="auto"/>
              <w:jc w:val="left"/>
              <w:rPr>
                <w:rFonts w:ascii="宋体" w:hAnsi="宋体" w:eastAsia="宋体" w:cs="宋体"/>
                <w:kern w:val="0"/>
                <w:sz w:val="24"/>
                <w:szCs w:val="24"/>
              </w:rPr>
            </w:pPr>
          </w:p>
        </w:tc>
        <w:tc>
          <w:tcPr>
            <w:tcW w:w="939" w:type="dxa"/>
            <w:noWrap/>
            <w:vAlign w:val="bottom"/>
          </w:tcPr>
          <w:p w14:paraId="0B2430D3">
            <w:pPr>
              <w:widowControl/>
              <w:spacing w:line="360" w:lineRule="auto"/>
              <w:jc w:val="left"/>
              <w:rPr>
                <w:rFonts w:ascii="宋体" w:hAnsi="宋体" w:eastAsia="宋体" w:cs="宋体"/>
                <w:kern w:val="0"/>
                <w:sz w:val="24"/>
                <w:szCs w:val="24"/>
              </w:rPr>
            </w:pPr>
          </w:p>
        </w:tc>
        <w:tc>
          <w:tcPr>
            <w:tcW w:w="939" w:type="dxa"/>
            <w:noWrap/>
            <w:vAlign w:val="bottom"/>
          </w:tcPr>
          <w:p w14:paraId="29003106">
            <w:pPr>
              <w:widowControl/>
              <w:spacing w:line="360" w:lineRule="auto"/>
              <w:jc w:val="left"/>
              <w:rPr>
                <w:rFonts w:ascii="宋体" w:hAnsi="宋体" w:eastAsia="宋体" w:cs="宋体"/>
                <w:kern w:val="0"/>
                <w:sz w:val="24"/>
                <w:szCs w:val="24"/>
              </w:rPr>
            </w:pPr>
          </w:p>
        </w:tc>
        <w:tc>
          <w:tcPr>
            <w:tcW w:w="939" w:type="dxa"/>
            <w:noWrap/>
            <w:vAlign w:val="bottom"/>
          </w:tcPr>
          <w:p w14:paraId="45E95BBF">
            <w:pPr>
              <w:widowControl/>
              <w:spacing w:line="360" w:lineRule="auto"/>
              <w:jc w:val="left"/>
              <w:rPr>
                <w:rFonts w:ascii="宋体" w:hAnsi="宋体" w:eastAsia="宋体" w:cs="宋体"/>
                <w:kern w:val="0"/>
                <w:sz w:val="24"/>
                <w:szCs w:val="24"/>
              </w:rPr>
            </w:pPr>
          </w:p>
        </w:tc>
        <w:tc>
          <w:tcPr>
            <w:tcW w:w="940" w:type="dxa"/>
            <w:noWrap/>
            <w:vAlign w:val="bottom"/>
          </w:tcPr>
          <w:p w14:paraId="074727D4">
            <w:pPr>
              <w:widowControl/>
              <w:spacing w:line="360" w:lineRule="auto"/>
              <w:jc w:val="left"/>
              <w:rPr>
                <w:rFonts w:ascii="宋体" w:hAnsi="宋体" w:eastAsia="宋体" w:cs="宋体"/>
                <w:kern w:val="0"/>
                <w:sz w:val="24"/>
                <w:szCs w:val="24"/>
              </w:rPr>
            </w:pPr>
          </w:p>
        </w:tc>
      </w:tr>
      <w:tr w14:paraId="541AB5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14:paraId="15A46731">
            <w:pPr>
              <w:widowControl/>
              <w:spacing w:line="360" w:lineRule="auto"/>
              <w:jc w:val="left"/>
              <w:rPr>
                <w:rFonts w:ascii="宋体" w:hAnsi="宋体" w:eastAsia="宋体" w:cs="宋体"/>
                <w:kern w:val="0"/>
                <w:sz w:val="24"/>
                <w:szCs w:val="24"/>
              </w:rPr>
            </w:pPr>
          </w:p>
        </w:tc>
        <w:tc>
          <w:tcPr>
            <w:tcW w:w="1206" w:type="dxa"/>
            <w:noWrap/>
            <w:vAlign w:val="bottom"/>
          </w:tcPr>
          <w:p w14:paraId="61F801E5">
            <w:pPr>
              <w:widowControl/>
              <w:spacing w:line="360" w:lineRule="auto"/>
              <w:jc w:val="left"/>
              <w:rPr>
                <w:rFonts w:ascii="宋体" w:hAnsi="宋体" w:eastAsia="宋体" w:cs="宋体"/>
                <w:kern w:val="0"/>
                <w:sz w:val="24"/>
                <w:szCs w:val="24"/>
              </w:rPr>
            </w:pPr>
          </w:p>
        </w:tc>
        <w:tc>
          <w:tcPr>
            <w:tcW w:w="939" w:type="dxa"/>
            <w:noWrap/>
            <w:vAlign w:val="bottom"/>
          </w:tcPr>
          <w:p w14:paraId="3A359D7E">
            <w:pPr>
              <w:widowControl/>
              <w:spacing w:line="360" w:lineRule="auto"/>
              <w:jc w:val="left"/>
              <w:rPr>
                <w:rFonts w:ascii="宋体" w:hAnsi="宋体" w:eastAsia="宋体" w:cs="宋体"/>
                <w:kern w:val="0"/>
                <w:sz w:val="24"/>
                <w:szCs w:val="24"/>
              </w:rPr>
            </w:pPr>
          </w:p>
        </w:tc>
        <w:tc>
          <w:tcPr>
            <w:tcW w:w="939" w:type="dxa"/>
            <w:noWrap/>
            <w:vAlign w:val="bottom"/>
          </w:tcPr>
          <w:p w14:paraId="234A727D">
            <w:pPr>
              <w:widowControl/>
              <w:spacing w:line="360" w:lineRule="auto"/>
              <w:jc w:val="left"/>
              <w:rPr>
                <w:rFonts w:ascii="宋体" w:hAnsi="宋体" w:eastAsia="宋体" w:cs="宋体"/>
                <w:kern w:val="0"/>
                <w:sz w:val="24"/>
                <w:szCs w:val="24"/>
              </w:rPr>
            </w:pPr>
          </w:p>
        </w:tc>
        <w:tc>
          <w:tcPr>
            <w:tcW w:w="939" w:type="dxa"/>
            <w:noWrap/>
            <w:vAlign w:val="bottom"/>
          </w:tcPr>
          <w:p w14:paraId="5B24CAB2">
            <w:pPr>
              <w:widowControl/>
              <w:spacing w:line="360" w:lineRule="auto"/>
              <w:jc w:val="left"/>
              <w:rPr>
                <w:rFonts w:ascii="宋体" w:hAnsi="宋体" w:eastAsia="宋体" w:cs="宋体"/>
                <w:kern w:val="0"/>
                <w:sz w:val="24"/>
                <w:szCs w:val="24"/>
              </w:rPr>
            </w:pPr>
          </w:p>
        </w:tc>
        <w:tc>
          <w:tcPr>
            <w:tcW w:w="939" w:type="dxa"/>
            <w:noWrap/>
            <w:vAlign w:val="bottom"/>
          </w:tcPr>
          <w:p w14:paraId="231687F4">
            <w:pPr>
              <w:widowControl/>
              <w:spacing w:line="360" w:lineRule="auto"/>
              <w:jc w:val="left"/>
              <w:rPr>
                <w:rFonts w:ascii="宋体" w:hAnsi="宋体" w:eastAsia="宋体" w:cs="宋体"/>
                <w:kern w:val="0"/>
                <w:sz w:val="24"/>
                <w:szCs w:val="24"/>
              </w:rPr>
            </w:pPr>
          </w:p>
        </w:tc>
        <w:tc>
          <w:tcPr>
            <w:tcW w:w="939" w:type="dxa"/>
            <w:noWrap/>
            <w:vAlign w:val="bottom"/>
          </w:tcPr>
          <w:p w14:paraId="27996804">
            <w:pPr>
              <w:widowControl/>
              <w:spacing w:line="360" w:lineRule="auto"/>
              <w:jc w:val="left"/>
              <w:rPr>
                <w:rFonts w:ascii="宋体" w:hAnsi="宋体" w:eastAsia="宋体" w:cs="宋体"/>
                <w:kern w:val="0"/>
                <w:sz w:val="24"/>
                <w:szCs w:val="24"/>
              </w:rPr>
            </w:pPr>
          </w:p>
        </w:tc>
        <w:tc>
          <w:tcPr>
            <w:tcW w:w="939" w:type="dxa"/>
            <w:noWrap/>
            <w:vAlign w:val="bottom"/>
          </w:tcPr>
          <w:p w14:paraId="42175B31">
            <w:pPr>
              <w:widowControl/>
              <w:spacing w:line="360" w:lineRule="auto"/>
              <w:jc w:val="left"/>
              <w:rPr>
                <w:rFonts w:ascii="宋体" w:hAnsi="宋体" w:eastAsia="宋体" w:cs="宋体"/>
                <w:kern w:val="0"/>
                <w:sz w:val="24"/>
                <w:szCs w:val="24"/>
              </w:rPr>
            </w:pPr>
          </w:p>
        </w:tc>
        <w:tc>
          <w:tcPr>
            <w:tcW w:w="939" w:type="dxa"/>
            <w:noWrap/>
            <w:vAlign w:val="bottom"/>
          </w:tcPr>
          <w:p w14:paraId="711F0AD3">
            <w:pPr>
              <w:widowControl/>
              <w:spacing w:line="360" w:lineRule="auto"/>
              <w:jc w:val="left"/>
              <w:rPr>
                <w:rFonts w:ascii="宋体" w:hAnsi="宋体" w:eastAsia="宋体" w:cs="宋体"/>
                <w:kern w:val="0"/>
                <w:sz w:val="24"/>
                <w:szCs w:val="24"/>
              </w:rPr>
            </w:pPr>
          </w:p>
        </w:tc>
        <w:tc>
          <w:tcPr>
            <w:tcW w:w="940" w:type="dxa"/>
            <w:noWrap/>
            <w:vAlign w:val="bottom"/>
          </w:tcPr>
          <w:p w14:paraId="6FA634C5">
            <w:pPr>
              <w:widowControl/>
              <w:spacing w:line="360" w:lineRule="auto"/>
              <w:jc w:val="left"/>
              <w:rPr>
                <w:rFonts w:ascii="宋体" w:hAnsi="宋体" w:eastAsia="宋体" w:cs="宋体"/>
                <w:kern w:val="0"/>
                <w:sz w:val="24"/>
                <w:szCs w:val="24"/>
              </w:rPr>
            </w:pPr>
          </w:p>
        </w:tc>
      </w:tr>
      <w:tr w14:paraId="43A6CA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14:paraId="1CAD0582">
            <w:pPr>
              <w:widowControl/>
              <w:spacing w:line="360" w:lineRule="auto"/>
              <w:jc w:val="left"/>
              <w:rPr>
                <w:rFonts w:ascii="宋体" w:hAnsi="宋体" w:eastAsia="宋体" w:cs="宋体"/>
                <w:kern w:val="0"/>
                <w:sz w:val="24"/>
                <w:szCs w:val="24"/>
              </w:rPr>
            </w:pPr>
          </w:p>
        </w:tc>
        <w:tc>
          <w:tcPr>
            <w:tcW w:w="1206" w:type="dxa"/>
            <w:noWrap/>
            <w:vAlign w:val="bottom"/>
          </w:tcPr>
          <w:p w14:paraId="50D24461">
            <w:pPr>
              <w:widowControl/>
              <w:spacing w:line="360" w:lineRule="auto"/>
              <w:jc w:val="left"/>
              <w:rPr>
                <w:rFonts w:ascii="宋体" w:hAnsi="宋体" w:eastAsia="宋体" w:cs="宋体"/>
                <w:kern w:val="0"/>
                <w:sz w:val="24"/>
                <w:szCs w:val="24"/>
              </w:rPr>
            </w:pPr>
          </w:p>
        </w:tc>
        <w:tc>
          <w:tcPr>
            <w:tcW w:w="939" w:type="dxa"/>
            <w:noWrap/>
            <w:vAlign w:val="bottom"/>
          </w:tcPr>
          <w:p w14:paraId="594D470C">
            <w:pPr>
              <w:widowControl/>
              <w:spacing w:line="360" w:lineRule="auto"/>
              <w:jc w:val="left"/>
              <w:rPr>
                <w:rFonts w:ascii="宋体" w:hAnsi="宋体" w:eastAsia="宋体" w:cs="宋体"/>
                <w:kern w:val="0"/>
                <w:sz w:val="24"/>
                <w:szCs w:val="24"/>
              </w:rPr>
            </w:pPr>
          </w:p>
        </w:tc>
        <w:tc>
          <w:tcPr>
            <w:tcW w:w="939" w:type="dxa"/>
            <w:noWrap/>
            <w:vAlign w:val="bottom"/>
          </w:tcPr>
          <w:p w14:paraId="5E45B390">
            <w:pPr>
              <w:widowControl/>
              <w:spacing w:line="360" w:lineRule="auto"/>
              <w:jc w:val="left"/>
              <w:rPr>
                <w:rFonts w:ascii="宋体" w:hAnsi="宋体" w:eastAsia="宋体" w:cs="宋体"/>
                <w:kern w:val="0"/>
                <w:sz w:val="24"/>
                <w:szCs w:val="24"/>
              </w:rPr>
            </w:pPr>
          </w:p>
        </w:tc>
        <w:tc>
          <w:tcPr>
            <w:tcW w:w="939" w:type="dxa"/>
            <w:noWrap/>
            <w:vAlign w:val="bottom"/>
          </w:tcPr>
          <w:p w14:paraId="51416F02">
            <w:pPr>
              <w:widowControl/>
              <w:spacing w:line="360" w:lineRule="auto"/>
              <w:jc w:val="left"/>
              <w:rPr>
                <w:rFonts w:ascii="宋体" w:hAnsi="宋体" w:eastAsia="宋体" w:cs="宋体"/>
                <w:kern w:val="0"/>
                <w:sz w:val="24"/>
                <w:szCs w:val="24"/>
              </w:rPr>
            </w:pPr>
          </w:p>
        </w:tc>
        <w:tc>
          <w:tcPr>
            <w:tcW w:w="939" w:type="dxa"/>
            <w:noWrap/>
            <w:vAlign w:val="bottom"/>
          </w:tcPr>
          <w:p w14:paraId="42D6F5EF">
            <w:pPr>
              <w:widowControl/>
              <w:spacing w:line="360" w:lineRule="auto"/>
              <w:jc w:val="left"/>
              <w:rPr>
                <w:rFonts w:ascii="宋体" w:hAnsi="宋体" w:eastAsia="宋体" w:cs="宋体"/>
                <w:kern w:val="0"/>
                <w:sz w:val="24"/>
                <w:szCs w:val="24"/>
              </w:rPr>
            </w:pPr>
          </w:p>
        </w:tc>
        <w:tc>
          <w:tcPr>
            <w:tcW w:w="939" w:type="dxa"/>
            <w:noWrap/>
            <w:vAlign w:val="bottom"/>
          </w:tcPr>
          <w:p w14:paraId="552EDF48">
            <w:pPr>
              <w:widowControl/>
              <w:spacing w:line="360" w:lineRule="auto"/>
              <w:jc w:val="left"/>
              <w:rPr>
                <w:rFonts w:ascii="宋体" w:hAnsi="宋体" w:eastAsia="宋体" w:cs="宋体"/>
                <w:kern w:val="0"/>
                <w:sz w:val="24"/>
                <w:szCs w:val="24"/>
              </w:rPr>
            </w:pPr>
          </w:p>
        </w:tc>
        <w:tc>
          <w:tcPr>
            <w:tcW w:w="939" w:type="dxa"/>
            <w:noWrap/>
            <w:vAlign w:val="bottom"/>
          </w:tcPr>
          <w:p w14:paraId="119FD49F">
            <w:pPr>
              <w:widowControl/>
              <w:spacing w:line="360" w:lineRule="auto"/>
              <w:jc w:val="left"/>
              <w:rPr>
                <w:rFonts w:ascii="宋体" w:hAnsi="宋体" w:eastAsia="宋体" w:cs="宋体"/>
                <w:kern w:val="0"/>
                <w:sz w:val="24"/>
                <w:szCs w:val="24"/>
              </w:rPr>
            </w:pPr>
          </w:p>
        </w:tc>
        <w:tc>
          <w:tcPr>
            <w:tcW w:w="939" w:type="dxa"/>
            <w:noWrap/>
            <w:vAlign w:val="bottom"/>
          </w:tcPr>
          <w:p w14:paraId="6CC79BB1">
            <w:pPr>
              <w:widowControl/>
              <w:spacing w:line="360" w:lineRule="auto"/>
              <w:jc w:val="left"/>
              <w:rPr>
                <w:rFonts w:ascii="宋体" w:hAnsi="宋体" w:eastAsia="宋体" w:cs="宋体"/>
                <w:kern w:val="0"/>
                <w:sz w:val="24"/>
                <w:szCs w:val="24"/>
              </w:rPr>
            </w:pPr>
          </w:p>
        </w:tc>
        <w:tc>
          <w:tcPr>
            <w:tcW w:w="940" w:type="dxa"/>
            <w:noWrap/>
            <w:vAlign w:val="bottom"/>
          </w:tcPr>
          <w:p w14:paraId="334F08B8">
            <w:pPr>
              <w:widowControl/>
              <w:spacing w:line="360" w:lineRule="auto"/>
              <w:jc w:val="left"/>
              <w:rPr>
                <w:rFonts w:ascii="宋体" w:hAnsi="宋体" w:eastAsia="宋体" w:cs="宋体"/>
                <w:kern w:val="0"/>
                <w:sz w:val="24"/>
                <w:szCs w:val="24"/>
              </w:rPr>
            </w:pPr>
          </w:p>
        </w:tc>
      </w:tr>
      <w:tr w14:paraId="0824ED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510" w:type="dxa"/>
            <w:noWrap/>
            <w:vAlign w:val="bottom"/>
          </w:tcPr>
          <w:p w14:paraId="35DCBCEA">
            <w:pPr>
              <w:widowControl/>
              <w:spacing w:line="360" w:lineRule="auto"/>
              <w:jc w:val="left"/>
              <w:rPr>
                <w:rFonts w:ascii="宋体" w:hAnsi="宋体" w:eastAsia="宋体" w:cs="宋体"/>
                <w:kern w:val="0"/>
                <w:sz w:val="24"/>
                <w:szCs w:val="24"/>
              </w:rPr>
            </w:pPr>
          </w:p>
        </w:tc>
        <w:tc>
          <w:tcPr>
            <w:tcW w:w="1206" w:type="dxa"/>
            <w:noWrap/>
            <w:vAlign w:val="bottom"/>
          </w:tcPr>
          <w:p w14:paraId="0040C372">
            <w:pPr>
              <w:widowControl/>
              <w:spacing w:line="360" w:lineRule="auto"/>
              <w:jc w:val="left"/>
              <w:rPr>
                <w:rFonts w:ascii="宋体" w:hAnsi="宋体" w:eastAsia="宋体" w:cs="宋体"/>
                <w:kern w:val="0"/>
                <w:sz w:val="24"/>
                <w:szCs w:val="24"/>
              </w:rPr>
            </w:pPr>
          </w:p>
        </w:tc>
        <w:tc>
          <w:tcPr>
            <w:tcW w:w="939" w:type="dxa"/>
            <w:noWrap/>
            <w:vAlign w:val="bottom"/>
          </w:tcPr>
          <w:p w14:paraId="6F5F728C">
            <w:pPr>
              <w:widowControl/>
              <w:spacing w:line="360" w:lineRule="auto"/>
              <w:jc w:val="left"/>
              <w:rPr>
                <w:rFonts w:ascii="宋体" w:hAnsi="宋体" w:eastAsia="宋体" w:cs="宋体"/>
                <w:kern w:val="0"/>
                <w:sz w:val="24"/>
                <w:szCs w:val="24"/>
              </w:rPr>
            </w:pPr>
          </w:p>
        </w:tc>
        <w:tc>
          <w:tcPr>
            <w:tcW w:w="939" w:type="dxa"/>
            <w:noWrap/>
            <w:vAlign w:val="bottom"/>
          </w:tcPr>
          <w:p w14:paraId="19A1258B">
            <w:pPr>
              <w:widowControl/>
              <w:spacing w:line="360" w:lineRule="auto"/>
              <w:jc w:val="left"/>
              <w:rPr>
                <w:rFonts w:ascii="宋体" w:hAnsi="宋体" w:eastAsia="宋体" w:cs="宋体"/>
                <w:kern w:val="0"/>
                <w:sz w:val="24"/>
                <w:szCs w:val="24"/>
              </w:rPr>
            </w:pPr>
          </w:p>
        </w:tc>
        <w:tc>
          <w:tcPr>
            <w:tcW w:w="939" w:type="dxa"/>
            <w:noWrap/>
            <w:vAlign w:val="bottom"/>
          </w:tcPr>
          <w:p w14:paraId="6ECA4DE9">
            <w:pPr>
              <w:widowControl/>
              <w:spacing w:line="360" w:lineRule="auto"/>
              <w:jc w:val="left"/>
              <w:rPr>
                <w:rFonts w:ascii="宋体" w:hAnsi="宋体" w:eastAsia="宋体" w:cs="宋体"/>
                <w:kern w:val="0"/>
                <w:sz w:val="24"/>
                <w:szCs w:val="24"/>
              </w:rPr>
            </w:pPr>
          </w:p>
        </w:tc>
        <w:tc>
          <w:tcPr>
            <w:tcW w:w="939" w:type="dxa"/>
            <w:noWrap/>
            <w:vAlign w:val="bottom"/>
          </w:tcPr>
          <w:p w14:paraId="4446C187">
            <w:pPr>
              <w:widowControl/>
              <w:spacing w:line="360" w:lineRule="auto"/>
              <w:jc w:val="left"/>
              <w:rPr>
                <w:rFonts w:ascii="宋体" w:hAnsi="宋体" w:eastAsia="宋体" w:cs="宋体"/>
                <w:kern w:val="0"/>
                <w:sz w:val="24"/>
                <w:szCs w:val="24"/>
              </w:rPr>
            </w:pPr>
          </w:p>
        </w:tc>
        <w:tc>
          <w:tcPr>
            <w:tcW w:w="939" w:type="dxa"/>
            <w:noWrap/>
            <w:vAlign w:val="bottom"/>
          </w:tcPr>
          <w:p w14:paraId="6A8C254F">
            <w:pPr>
              <w:widowControl/>
              <w:spacing w:line="360" w:lineRule="auto"/>
              <w:jc w:val="left"/>
              <w:rPr>
                <w:rFonts w:ascii="宋体" w:hAnsi="宋体" w:eastAsia="宋体" w:cs="宋体"/>
                <w:kern w:val="0"/>
                <w:sz w:val="24"/>
                <w:szCs w:val="24"/>
              </w:rPr>
            </w:pPr>
          </w:p>
        </w:tc>
        <w:tc>
          <w:tcPr>
            <w:tcW w:w="939" w:type="dxa"/>
            <w:noWrap/>
            <w:vAlign w:val="bottom"/>
          </w:tcPr>
          <w:p w14:paraId="2EE0A06F">
            <w:pPr>
              <w:widowControl/>
              <w:spacing w:line="360" w:lineRule="auto"/>
              <w:jc w:val="left"/>
              <w:rPr>
                <w:rFonts w:ascii="宋体" w:hAnsi="宋体" w:eastAsia="宋体" w:cs="宋体"/>
                <w:kern w:val="0"/>
                <w:sz w:val="24"/>
                <w:szCs w:val="24"/>
              </w:rPr>
            </w:pPr>
          </w:p>
        </w:tc>
        <w:tc>
          <w:tcPr>
            <w:tcW w:w="939" w:type="dxa"/>
            <w:noWrap/>
            <w:vAlign w:val="bottom"/>
          </w:tcPr>
          <w:p w14:paraId="69EB7470">
            <w:pPr>
              <w:widowControl/>
              <w:spacing w:line="360" w:lineRule="auto"/>
              <w:jc w:val="left"/>
              <w:rPr>
                <w:rFonts w:ascii="宋体" w:hAnsi="宋体" w:eastAsia="宋体" w:cs="宋体"/>
                <w:kern w:val="0"/>
                <w:sz w:val="24"/>
                <w:szCs w:val="24"/>
              </w:rPr>
            </w:pPr>
          </w:p>
        </w:tc>
        <w:tc>
          <w:tcPr>
            <w:tcW w:w="940" w:type="dxa"/>
            <w:noWrap/>
            <w:vAlign w:val="bottom"/>
          </w:tcPr>
          <w:p w14:paraId="590F4274">
            <w:pPr>
              <w:widowControl/>
              <w:spacing w:line="360" w:lineRule="auto"/>
              <w:jc w:val="left"/>
              <w:rPr>
                <w:rFonts w:ascii="宋体" w:hAnsi="宋体" w:eastAsia="宋体" w:cs="宋体"/>
                <w:kern w:val="0"/>
                <w:sz w:val="24"/>
                <w:szCs w:val="24"/>
              </w:rPr>
            </w:pPr>
          </w:p>
        </w:tc>
      </w:tr>
    </w:tbl>
    <w:p w14:paraId="69DDA627">
      <w:pPr>
        <w:spacing w:line="360" w:lineRule="auto"/>
        <w:rPr>
          <w:rFonts w:hint="eastAsia" w:ascii="宋体" w:hAnsi="宋体" w:eastAsia="宋体" w:cs="Times New Roman"/>
          <w:b/>
          <w:bCs/>
          <w:kern w:val="0"/>
          <w:sz w:val="24"/>
          <w:szCs w:val="32"/>
        </w:rPr>
      </w:pPr>
      <w:r>
        <w:rPr>
          <w:rFonts w:ascii="宋体" w:hAnsi="宋体" w:eastAsia="宋体" w:cs="Times New Roman"/>
          <w:b/>
          <w:bCs/>
          <w:kern w:val="0"/>
          <w:sz w:val="24"/>
          <w:szCs w:val="32"/>
        </w:rPr>
        <w:t xml:space="preserve">  </w:t>
      </w:r>
      <w:r>
        <w:rPr>
          <w:rFonts w:hint="eastAsia" w:ascii="宋体" w:hAnsi="宋体" w:eastAsia="宋体" w:cs="Times New Roman"/>
          <w:b/>
          <w:bCs/>
          <w:kern w:val="0"/>
          <w:sz w:val="24"/>
          <w:szCs w:val="32"/>
        </w:rPr>
        <w:t xml:space="preserve">    </w:t>
      </w:r>
    </w:p>
    <w:p w14:paraId="01214881">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049" w:name="_Toc9387"/>
      <w:bookmarkStart w:id="5050" w:name="_Toc208587802"/>
      <w:bookmarkStart w:id="5051" w:name="_Toc302635991"/>
      <w:bookmarkStart w:id="5052" w:name="_Toc305331474"/>
      <w:bookmarkStart w:id="5053" w:name="_Toc3269"/>
      <w:bookmarkStart w:id="5054" w:name="_Toc18629"/>
      <w:bookmarkStart w:id="5055" w:name="_Toc2885"/>
      <w:bookmarkStart w:id="5056" w:name="_Toc3395"/>
      <w:bookmarkStart w:id="5057" w:name="_Toc358"/>
      <w:bookmarkStart w:id="5058" w:name="_Toc15473"/>
      <w:bookmarkStart w:id="5059" w:name="_Toc201735577"/>
      <w:bookmarkStart w:id="5060" w:name="_Toc581445941"/>
      <w:bookmarkStart w:id="5061" w:name="_Toc16692"/>
      <w:bookmarkStart w:id="5062" w:name="_Toc13071"/>
      <w:bookmarkStart w:id="5063" w:name="_Toc3545"/>
      <w:r>
        <w:rPr>
          <w:rFonts w:hint="eastAsia" w:ascii="宋体" w:hAnsi="宋体" w:eastAsia="宋体" w:cs="Times New Roman"/>
          <w:b/>
          <w:bCs/>
          <w:kern w:val="0"/>
          <w:sz w:val="24"/>
          <w:szCs w:val="32"/>
          <w:lang w:val="en-US" w:eastAsia="zh-CN" w:bidi="ar-SA"/>
        </w:rPr>
        <w:t>14.2 发包人供应材料与工程设备的结算</w:t>
      </w:r>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p>
    <w:p w14:paraId="29086858">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发包人供应材料与工程设备的结算</w:t>
      </w:r>
      <w:r>
        <w:rPr>
          <w:rFonts w:hint="eastAsia" w:ascii="宋体" w:hAnsi="宋体" w:eastAsia="宋体" w:cs="Times New Roman"/>
          <w:bCs/>
          <w:sz w:val="24"/>
          <w:szCs w:val="24"/>
        </w:rPr>
        <w:t>方式</w:t>
      </w:r>
      <w:r>
        <w:rPr>
          <w:rFonts w:hint="eastAsia" w:ascii="宋体" w:hAnsi="宋体" w:eastAsia="宋体" w:cs="Times New Roman"/>
          <w:sz w:val="24"/>
          <w:szCs w:val="24"/>
        </w:rPr>
        <w:t>：</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 xml:space="preserve">  </w:t>
      </w:r>
    </w:p>
    <w:p w14:paraId="660F3CDB">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4C6F47F6">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60EB9E3C">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1</w:t>
      </w:r>
      <w:r>
        <w:rPr>
          <w:rFonts w:hint="eastAsia" w:ascii="宋体" w:hAnsi="宋体" w:eastAsia="宋体" w:cs="Times New Roman"/>
          <w:sz w:val="24"/>
          <w:szCs w:val="24"/>
        </w:rPr>
        <w:t xml:space="preserve">)发包人供应材料有效损耗率为（注：只能选择一种方式，在选定的方式前的“□”内打“√”）：                               </w:t>
      </w:r>
    </w:p>
    <w:p w14:paraId="47C5617B">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□下表约定损耗率</w:t>
      </w:r>
    </w:p>
    <w:tbl>
      <w:tblPr>
        <w:tblStyle w:val="41"/>
        <w:tblW w:w="0" w:type="auto"/>
        <w:tblInd w:w="6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9"/>
        <w:gridCol w:w="3711"/>
        <w:gridCol w:w="2700"/>
      </w:tblGrid>
      <w:tr w14:paraId="0FC1C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noWrap w:val="0"/>
            <w:vAlign w:val="top"/>
          </w:tcPr>
          <w:p w14:paraId="7CD6D52B">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序号</w:t>
            </w:r>
          </w:p>
        </w:tc>
        <w:tc>
          <w:tcPr>
            <w:tcW w:w="3711" w:type="dxa"/>
            <w:noWrap w:val="0"/>
            <w:vAlign w:val="top"/>
          </w:tcPr>
          <w:p w14:paraId="2FF7634B">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材料种类</w:t>
            </w:r>
          </w:p>
        </w:tc>
        <w:tc>
          <w:tcPr>
            <w:tcW w:w="2700" w:type="dxa"/>
            <w:noWrap w:val="0"/>
            <w:vAlign w:val="top"/>
          </w:tcPr>
          <w:p w14:paraId="3A3A55F3">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有效损耗率</w:t>
            </w:r>
          </w:p>
        </w:tc>
      </w:tr>
      <w:tr w14:paraId="77873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noWrap w:val="0"/>
            <w:vAlign w:val="top"/>
          </w:tcPr>
          <w:p w14:paraId="34040505">
            <w:pPr>
              <w:spacing w:line="360" w:lineRule="auto"/>
              <w:rPr>
                <w:rFonts w:hint="eastAsia" w:ascii="宋体" w:hAnsi="宋体" w:eastAsia="宋体" w:cs="Times New Roman"/>
                <w:sz w:val="24"/>
                <w:szCs w:val="24"/>
              </w:rPr>
            </w:pPr>
          </w:p>
        </w:tc>
        <w:tc>
          <w:tcPr>
            <w:tcW w:w="3711" w:type="dxa"/>
            <w:noWrap w:val="0"/>
            <w:vAlign w:val="top"/>
          </w:tcPr>
          <w:p w14:paraId="32D999E1">
            <w:pPr>
              <w:spacing w:line="360" w:lineRule="auto"/>
              <w:rPr>
                <w:rFonts w:hint="eastAsia" w:ascii="宋体" w:hAnsi="宋体" w:eastAsia="宋体" w:cs="Times New Roman"/>
                <w:sz w:val="24"/>
                <w:szCs w:val="24"/>
              </w:rPr>
            </w:pPr>
          </w:p>
        </w:tc>
        <w:tc>
          <w:tcPr>
            <w:tcW w:w="2700" w:type="dxa"/>
            <w:noWrap w:val="0"/>
            <w:vAlign w:val="top"/>
          </w:tcPr>
          <w:p w14:paraId="4A965E58">
            <w:pPr>
              <w:spacing w:line="360" w:lineRule="auto"/>
              <w:rPr>
                <w:rFonts w:hint="eastAsia" w:ascii="宋体" w:hAnsi="宋体" w:eastAsia="宋体" w:cs="Times New Roman"/>
                <w:sz w:val="24"/>
                <w:szCs w:val="24"/>
              </w:rPr>
            </w:pPr>
          </w:p>
        </w:tc>
      </w:tr>
      <w:tr w14:paraId="5F42D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noWrap w:val="0"/>
            <w:vAlign w:val="top"/>
          </w:tcPr>
          <w:p w14:paraId="3C3B46DB">
            <w:pPr>
              <w:spacing w:line="360" w:lineRule="auto"/>
              <w:rPr>
                <w:rFonts w:hint="eastAsia" w:ascii="宋体" w:hAnsi="宋体" w:eastAsia="宋体" w:cs="Times New Roman"/>
                <w:sz w:val="24"/>
                <w:szCs w:val="24"/>
              </w:rPr>
            </w:pPr>
          </w:p>
        </w:tc>
        <w:tc>
          <w:tcPr>
            <w:tcW w:w="3711" w:type="dxa"/>
            <w:noWrap w:val="0"/>
            <w:vAlign w:val="top"/>
          </w:tcPr>
          <w:p w14:paraId="4E67EADB">
            <w:pPr>
              <w:spacing w:line="360" w:lineRule="auto"/>
              <w:rPr>
                <w:rFonts w:hint="eastAsia" w:ascii="宋体" w:hAnsi="宋体" w:eastAsia="宋体" w:cs="Times New Roman"/>
                <w:sz w:val="24"/>
                <w:szCs w:val="24"/>
              </w:rPr>
            </w:pPr>
          </w:p>
        </w:tc>
        <w:tc>
          <w:tcPr>
            <w:tcW w:w="2700" w:type="dxa"/>
            <w:noWrap w:val="0"/>
            <w:vAlign w:val="top"/>
          </w:tcPr>
          <w:p w14:paraId="1C4B04D6">
            <w:pPr>
              <w:spacing w:line="360" w:lineRule="auto"/>
              <w:rPr>
                <w:rFonts w:hint="eastAsia" w:ascii="宋体" w:hAnsi="宋体" w:eastAsia="宋体" w:cs="Times New Roman"/>
                <w:sz w:val="24"/>
                <w:szCs w:val="24"/>
              </w:rPr>
            </w:pPr>
          </w:p>
        </w:tc>
      </w:tr>
      <w:tr w14:paraId="6A188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dxa"/>
            <w:noWrap w:val="0"/>
            <w:vAlign w:val="top"/>
          </w:tcPr>
          <w:p w14:paraId="101FC959">
            <w:pPr>
              <w:spacing w:line="360" w:lineRule="auto"/>
              <w:rPr>
                <w:rFonts w:hint="eastAsia" w:ascii="宋体" w:hAnsi="宋体" w:eastAsia="宋体" w:cs="Times New Roman"/>
                <w:sz w:val="24"/>
                <w:szCs w:val="24"/>
              </w:rPr>
            </w:pPr>
          </w:p>
        </w:tc>
        <w:tc>
          <w:tcPr>
            <w:tcW w:w="3711" w:type="dxa"/>
            <w:noWrap w:val="0"/>
            <w:vAlign w:val="top"/>
          </w:tcPr>
          <w:p w14:paraId="23A23F3F">
            <w:pPr>
              <w:spacing w:line="360" w:lineRule="auto"/>
              <w:rPr>
                <w:rFonts w:hint="eastAsia" w:ascii="宋体" w:hAnsi="宋体" w:eastAsia="宋体" w:cs="Times New Roman"/>
                <w:sz w:val="24"/>
                <w:szCs w:val="24"/>
              </w:rPr>
            </w:pPr>
          </w:p>
        </w:tc>
        <w:tc>
          <w:tcPr>
            <w:tcW w:w="2700" w:type="dxa"/>
            <w:noWrap w:val="0"/>
            <w:vAlign w:val="top"/>
          </w:tcPr>
          <w:p w14:paraId="31BA9C1C">
            <w:pPr>
              <w:spacing w:line="360" w:lineRule="auto"/>
              <w:rPr>
                <w:rFonts w:hint="eastAsia" w:ascii="宋体" w:hAnsi="宋体" w:eastAsia="宋体" w:cs="Times New Roman"/>
                <w:sz w:val="24"/>
                <w:szCs w:val="24"/>
              </w:rPr>
            </w:pPr>
          </w:p>
        </w:tc>
      </w:tr>
    </w:tbl>
    <w:p w14:paraId="0B6F7919">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□深圳市消耗量标准</w:t>
      </w:r>
    </w:p>
    <w:p w14:paraId="37F0E3B8">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(3)承包人实际使用量小于合理数量时节约的费用分配方式：</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2F6CC200">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793A593B">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481FA74D">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kern w:val="0"/>
          <w:sz w:val="24"/>
          <w:szCs w:val="32"/>
          <w:lang w:val="en-US" w:eastAsia="zh-CN" w:bidi="ar-SA"/>
        </w:rPr>
      </w:pPr>
      <w:bookmarkStart w:id="5064" w:name="_Toc8821"/>
      <w:bookmarkStart w:id="5065" w:name="_Toc305331475"/>
      <w:bookmarkStart w:id="5066" w:name="_Toc2931"/>
      <w:bookmarkStart w:id="5067" w:name="_Toc9876"/>
      <w:bookmarkStart w:id="5068" w:name="_Toc14128"/>
      <w:bookmarkStart w:id="5069" w:name="_Toc4821"/>
      <w:bookmarkStart w:id="5070" w:name="_Toc302635992"/>
      <w:bookmarkStart w:id="5071" w:name="_Toc2830"/>
      <w:bookmarkStart w:id="5072" w:name="_Toc27079"/>
      <w:bookmarkStart w:id="5073" w:name="_Toc201735578"/>
      <w:bookmarkStart w:id="5074" w:name="_Toc2140645898"/>
      <w:bookmarkStart w:id="5075" w:name="_Toc208587803"/>
      <w:bookmarkStart w:id="5076" w:name="_Toc17779"/>
      <w:bookmarkStart w:id="5077" w:name="_Toc29316"/>
      <w:bookmarkStart w:id="5078" w:name="_Toc11627"/>
      <w:r>
        <w:rPr>
          <w:rFonts w:hint="eastAsia" w:ascii="宋体" w:hAnsi="宋体" w:eastAsia="宋体" w:cs="Times New Roman"/>
          <w:b/>
          <w:bCs/>
          <w:kern w:val="0"/>
          <w:sz w:val="24"/>
          <w:szCs w:val="32"/>
          <w:lang w:val="en-US" w:eastAsia="zh-CN" w:bidi="ar-SA"/>
        </w:rPr>
        <w:t>14.4 承包人采购材料与工程设备</w:t>
      </w:r>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p>
    <w:p w14:paraId="28B1ACF4">
      <w:pPr>
        <w:spacing w:line="360" w:lineRule="auto"/>
        <w:ind w:firstLine="480"/>
        <w:rPr>
          <w:rFonts w:ascii="宋体" w:hAnsi="宋体" w:eastAsia="宋体" w:cs="Times New Roman"/>
          <w:sz w:val="24"/>
          <w:szCs w:val="24"/>
          <w:u w:val="single"/>
        </w:rPr>
      </w:pPr>
      <w:r>
        <w:rPr>
          <w:rFonts w:hint="eastAsia" w:ascii="宋体" w:hAnsi="宋体" w:eastAsia="宋体" w:cs="Times New Roman"/>
          <w:sz w:val="24"/>
          <w:szCs w:val="24"/>
        </w:rPr>
        <w:t>承包人采购材料与工程设备的约定：</w:t>
      </w:r>
      <w:r>
        <w:rPr>
          <w:rFonts w:hint="eastAsia" w:ascii="宋体" w:hAnsi="宋体" w:eastAsia="宋体" w:cs="Times New Roman"/>
          <w:sz w:val="24"/>
          <w:szCs w:val="24"/>
          <w:u w:val="single"/>
        </w:rPr>
        <w:t xml:space="preserve">                                              </w:t>
      </w:r>
    </w:p>
    <w:p w14:paraId="195A69B7">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0C9211FA">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0757D41D">
      <w:pPr>
        <w:spacing w:line="360" w:lineRule="auto"/>
        <w:jc w:val="center"/>
        <w:rPr>
          <w:rFonts w:hint="eastAsia" w:ascii="宋体" w:hAnsi="宋体" w:eastAsia="宋体" w:cs="Times New Roman"/>
          <w:b/>
          <w:bCs/>
          <w:sz w:val="24"/>
          <w:szCs w:val="24"/>
        </w:rPr>
      </w:pPr>
      <w:r>
        <w:rPr>
          <w:rFonts w:hint="eastAsia" w:ascii="宋体" w:hAnsi="宋体" w:eastAsia="宋体" w:cs="Times New Roman"/>
          <w:b/>
          <w:sz w:val="24"/>
          <w:szCs w:val="24"/>
        </w:rPr>
        <w:t>主要材料与工程</w:t>
      </w:r>
      <w:r>
        <w:rPr>
          <w:rFonts w:hint="eastAsia" w:ascii="宋体" w:hAnsi="宋体" w:eastAsia="宋体" w:cs="Times New Roman"/>
          <w:b/>
          <w:bCs/>
          <w:sz w:val="24"/>
          <w:szCs w:val="24"/>
        </w:rPr>
        <w:t>设备限定品牌范围表</w:t>
      </w:r>
    </w:p>
    <w:tbl>
      <w:tblPr>
        <w:tblStyle w:val="41"/>
        <w:tblW w:w="0" w:type="auto"/>
        <w:tblInd w:w="-7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20"/>
        <w:gridCol w:w="3288"/>
        <w:gridCol w:w="5244"/>
      </w:tblGrid>
      <w:tr w14:paraId="75FE5C0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14:paraId="2DF69D67">
            <w:pPr>
              <w:spacing w:line="360" w:lineRule="auto"/>
              <w:jc w:val="center"/>
              <w:rPr>
                <w:rFonts w:ascii="宋体" w:hAnsi="宋体" w:eastAsia="宋体" w:cs="Times New Roman"/>
                <w:sz w:val="24"/>
                <w:szCs w:val="24"/>
              </w:rPr>
            </w:pPr>
            <w:r>
              <w:rPr>
                <w:rFonts w:hint="eastAsia" w:ascii="宋体" w:hAnsi="宋体" w:eastAsia="宋体" w:cs="Times New Roman"/>
                <w:sz w:val="24"/>
                <w:szCs w:val="24"/>
              </w:rPr>
              <w:t>序号</w:t>
            </w:r>
          </w:p>
        </w:tc>
        <w:tc>
          <w:tcPr>
            <w:tcW w:w="3288" w:type="dxa"/>
            <w:tcBorders>
              <w:top w:val="single" w:color="auto" w:sz="4" w:space="0"/>
              <w:left w:val="single" w:color="auto" w:sz="4" w:space="0"/>
              <w:bottom w:val="single" w:color="auto" w:sz="4" w:space="0"/>
              <w:right w:val="single" w:color="auto" w:sz="4" w:space="0"/>
            </w:tcBorders>
            <w:noWrap w:val="0"/>
            <w:vAlign w:val="center"/>
          </w:tcPr>
          <w:p w14:paraId="6D13B166">
            <w:pPr>
              <w:spacing w:line="360" w:lineRule="auto"/>
              <w:jc w:val="center"/>
              <w:rPr>
                <w:rFonts w:ascii="宋体" w:hAnsi="宋体" w:eastAsia="宋体" w:cs="Times New Roman"/>
                <w:sz w:val="24"/>
                <w:szCs w:val="24"/>
              </w:rPr>
            </w:pPr>
            <w:r>
              <w:rPr>
                <w:rFonts w:hint="eastAsia" w:ascii="宋体" w:hAnsi="宋体" w:eastAsia="宋体" w:cs="Times New Roman"/>
                <w:sz w:val="24"/>
                <w:szCs w:val="24"/>
              </w:rPr>
              <w:t>主要材料与工程设备名称</w:t>
            </w:r>
          </w:p>
        </w:tc>
        <w:tc>
          <w:tcPr>
            <w:tcW w:w="5244" w:type="dxa"/>
            <w:tcBorders>
              <w:top w:val="single" w:color="auto" w:sz="4" w:space="0"/>
              <w:left w:val="single" w:color="auto" w:sz="4" w:space="0"/>
              <w:bottom w:val="single" w:color="auto" w:sz="4" w:space="0"/>
              <w:right w:val="single" w:color="auto" w:sz="4" w:space="0"/>
            </w:tcBorders>
            <w:noWrap w:val="0"/>
            <w:vAlign w:val="center"/>
          </w:tcPr>
          <w:p w14:paraId="4DAB2DBE">
            <w:pPr>
              <w:spacing w:line="360" w:lineRule="auto"/>
              <w:jc w:val="center"/>
              <w:rPr>
                <w:rFonts w:ascii="宋体" w:hAnsi="宋体" w:eastAsia="宋体" w:cs="Times New Roman"/>
                <w:sz w:val="24"/>
                <w:szCs w:val="24"/>
              </w:rPr>
            </w:pPr>
            <w:r>
              <w:rPr>
                <w:rFonts w:hint="eastAsia" w:ascii="宋体" w:hAnsi="宋体" w:eastAsia="宋体" w:cs="Times New Roman"/>
                <w:sz w:val="24"/>
                <w:szCs w:val="24"/>
              </w:rPr>
              <w:t>限定品牌范围(不少于三个)</w:t>
            </w:r>
          </w:p>
        </w:tc>
      </w:tr>
      <w:tr w14:paraId="7B9B7D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14:paraId="1BF6BEF4">
            <w:pPr>
              <w:spacing w:line="360" w:lineRule="auto"/>
              <w:jc w:val="center"/>
              <w:rPr>
                <w:rFonts w:ascii="宋体" w:hAnsi="宋体" w:eastAsia="宋体" w:cs="Times New Roman"/>
                <w:sz w:val="24"/>
                <w:szCs w:val="24"/>
              </w:rPr>
            </w:pPr>
            <w:r>
              <w:rPr>
                <w:rFonts w:ascii="宋体" w:hAnsi="宋体" w:eastAsia="宋体" w:cs="Times New Roman"/>
                <w:sz w:val="24"/>
                <w:szCs w:val="24"/>
              </w:rPr>
              <w:t>1</w:t>
            </w:r>
          </w:p>
        </w:tc>
        <w:tc>
          <w:tcPr>
            <w:tcW w:w="3288" w:type="dxa"/>
            <w:tcBorders>
              <w:top w:val="single" w:color="auto" w:sz="4" w:space="0"/>
              <w:left w:val="single" w:color="auto" w:sz="4" w:space="0"/>
              <w:bottom w:val="single" w:color="auto" w:sz="4" w:space="0"/>
              <w:right w:val="single" w:color="auto" w:sz="4" w:space="0"/>
            </w:tcBorders>
            <w:noWrap w:val="0"/>
            <w:vAlign w:val="bottom"/>
          </w:tcPr>
          <w:p w14:paraId="07B58415">
            <w:pPr>
              <w:spacing w:line="360" w:lineRule="auto"/>
              <w:rPr>
                <w:rFonts w:ascii="宋体" w:hAnsi="宋体" w:eastAsia="宋体" w:cs="Times New Roman"/>
                <w:sz w:val="24"/>
                <w:szCs w:val="24"/>
              </w:rPr>
            </w:pPr>
          </w:p>
        </w:tc>
        <w:tc>
          <w:tcPr>
            <w:tcW w:w="5244" w:type="dxa"/>
            <w:tcBorders>
              <w:top w:val="single" w:color="auto" w:sz="4" w:space="0"/>
              <w:left w:val="single" w:color="auto" w:sz="4" w:space="0"/>
              <w:bottom w:val="single" w:color="auto" w:sz="4" w:space="0"/>
              <w:right w:val="single" w:color="auto" w:sz="4" w:space="0"/>
            </w:tcBorders>
            <w:noWrap w:val="0"/>
            <w:vAlign w:val="bottom"/>
          </w:tcPr>
          <w:p w14:paraId="55EBBF2D">
            <w:pPr>
              <w:spacing w:line="360" w:lineRule="auto"/>
              <w:rPr>
                <w:rFonts w:ascii="宋体" w:hAnsi="宋体" w:eastAsia="宋体" w:cs="Times New Roman"/>
                <w:sz w:val="24"/>
                <w:szCs w:val="24"/>
              </w:rPr>
            </w:pPr>
          </w:p>
        </w:tc>
      </w:tr>
      <w:tr w14:paraId="48648D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14:paraId="1BBE27B4">
            <w:pPr>
              <w:spacing w:line="360" w:lineRule="auto"/>
              <w:jc w:val="center"/>
              <w:rPr>
                <w:rFonts w:ascii="宋体" w:hAnsi="宋体" w:eastAsia="宋体" w:cs="Times New Roman"/>
                <w:sz w:val="24"/>
                <w:szCs w:val="24"/>
              </w:rPr>
            </w:pPr>
            <w:r>
              <w:rPr>
                <w:rFonts w:ascii="宋体" w:hAnsi="宋体" w:eastAsia="宋体" w:cs="Times New Roman"/>
                <w:sz w:val="24"/>
                <w:szCs w:val="24"/>
              </w:rPr>
              <w:t>2</w:t>
            </w:r>
          </w:p>
        </w:tc>
        <w:tc>
          <w:tcPr>
            <w:tcW w:w="3288" w:type="dxa"/>
            <w:tcBorders>
              <w:top w:val="single" w:color="auto" w:sz="4" w:space="0"/>
              <w:left w:val="single" w:color="auto" w:sz="4" w:space="0"/>
              <w:bottom w:val="single" w:color="auto" w:sz="4" w:space="0"/>
              <w:right w:val="single" w:color="auto" w:sz="4" w:space="0"/>
            </w:tcBorders>
            <w:noWrap w:val="0"/>
            <w:vAlign w:val="bottom"/>
          </w:tcPr>
          <w:p w14:paraId="74A122CC">
            <w:pPr>
              <w:spacing w:line="360" w:lineRule="auto"/>
              <w:rPr>
                <w:rFonts w:ascii="宋体" w:hAnsi="宋体" w:eastAsia="宋体" w:cs="Times New Roman"/>
                <w:sz w:val="24"/>
                <w:szCs w:val="24"/>
              </w:rPr>
            </w:pPr>
          </w:p>
        </w:tc>
        <w:tc>
          <w:tcPr>
            <w:tcW w:w="5244" w:type="dxa"/>
            <w:tcBorders>
              <w:top w:val="single" w:color="auto" w:sz="4" w:space="0"/>
              <w:left w:val="single" w:color="auto" w:sz="4" w:space="0"/>
              <w:bottom w:val="single" w:color="auto" w:sz="4" w:space="0"/>
              <w:right w:val="single" w:color="auto" w:sz="4" w:space="0"/>
            </w:tcBorders>
            <w:noWrap w:val="0"/>
            <w:vAlign w:val="bottom"/>
          </w:tcPr>
          <w:p w14:paraId="0F1D5665">
            <w:pPr>
              <w:spacing w:line="360" w:lineRule="auto"/>
              <w:rPr>
                <w:rFonts w:ascii="宋体" w:hAnsi="宋体" w:eastAsia="宋体" w:cs="Times New Roman"/>
                <w:sz w:val="24"/>
                <w:szCs w:val="24"/>
              </w:rPr>
            </w:pPr>
          </w:p>
        </w:tc>
      </w:tr>
      <w:tr w14:paraId="0C359B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14:paraId="2458D022">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3</w:t>
            </w:r>
          </w:p>
        </w:tc>
        <w:tc>
          <w:tcPr>
            <w:tcW w:w="3288" w:type="dxa"/>
            <w:tcBorders>
              <w:top w:val="single" w:color="auto" w:sz="4" w:space="0"/>
              <w:left w:val="single" w:color="auto" w:sz="4" w:space="0"/>
              <w:bottom w:val="single" w:color="auto" w:sz="4" w:space="0"/>
              <w:right w:val="single" w:color="auto" w:sz="4" w:space="0"/>
            </w:tcBorders>
            <w:noWrap w:val="0"/>
            <w:vAlign w:val="bottom"/>
          </w:tcPr>
          <w:p w14:paraId="43716140">
            <w:pPr>
              <w:spacing w:line="360" w:lineRule="auto"/>
              <w:rPr>
                <w:rFonts w:ascii="宋体" w:hAnsi="宋体" w:eastAsia="宋体" w:cs="Times New Roman"/>
                <w:sz w:val="24"/>
                <w:szCs w:val="24"/>
              </w:rPr>
            </w:pPr>
          </w:p>
        </w:tc>
        <w:tc>
          <w:tcPr>
            <w:tcW w:w="5244" w:type="dxa"/>
            <w:tcBorders>
              <w:top w:val="single" w:color="auto" w:sz="4" w:space="0"/>
              <w:left w:val="single" w:color="auto" w:sz="4" w:space="0"/>
              <w:bottom w:val="single" w:color="auto" w:sz="4" w:space="0"/>
              <w:right w:val="single" w:color="auto" w:sz="4" w:space="0"/>
            </w:tcBorders>
            <w:noWrap w:val="0"/>
            <w:vAlign w:val="bottom"/>
          </w:tcPr>
          <w:p w14:paraId="79339566">
            <w:pPr>
              <w:spacing w:line="360" w:lineRule="auto"/>
              <w:rPr>
                <w:rFonts w:ascii="宋体" w:hAnsi="宋体" w:eastAsia="宋体" w:cs="Times New Roman"/>
                <w:sz w:val="24"/>
                <w:szCs w:val="24"/>
              </w:rPr>
            </w:pPr>
          </w:p>
        </w:tc>
      </w:tr>
      <w:tr w14:paraId="75411F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14:paraId="3FD30FE2">
            <w:pPr>
              <w:spacing w:line="360" w:lineRule="auto"/>
              <w:jc w:val="center"/>
              <w:rPr>
                <w:rFonts w:hint="eastAsia" w:ascii="宋体" w:hAnsi="宋体" w:eastAsia="宋体" w:cs="Times New Roman"/>
                <w:sz w:val="24"/>
                <w:szCs w:val="24"/>
              </w:rPr>
            </w:pPr>
            <w:r>
              <w:rPr>
                <w:rFonts w:ascii="宋体" w:hAnsi="宋体" w:eastAsia="宋体" w:cs="Times New Roman"/>
                <w:sz w:val="24"/>
                <w:szCs w:val="24"/>
              </w:rPr>
              <w:t>4</w:t>
            </w:r>
          </w:p>
        </w:tc>
        <w:tc>
          <w:tcPr>
            <w:tcW w:w="3288" w:type="dxa"/>
            <w:tcBorders>
              <w:top w:val="single" w:color="auto" w:sz="4" w:space="0"/>
              <w:left w:val="single" w:color="auto" w:sz="4" w:space="0"/>
              <w:bottom w:val="single" w:color="auto" w:sz="4" w:space="0"/>
              <w:right w:val="single" w:color="auto" w:sz="4" w:space="0"/>
            </w:tcBorders>
            <w:noWrap w:val="0"/>
            <w:vAlign w:val="bottom"/>
          </w:tcPr>
          <w:p w14:paraId="5A2067D0">
            <w:pPr>
              <w:spacing w:line="360" w:lineRule="auto"/>
              <w:rPr>
                <w:rFonts w:ascii="宋体" w:hAnsi="宋体" w:eastAsia="宋体" w:cs="Times New Roman"/>
                <w:sz w:val="24"/>
                <w:szCs w:val="24"/>
              </w:rPr>
            </w:pPr>
          </w:p>
        </w:tc>
        <w:tc>
          <w:tcPr>
            <w:tcW w:w="5244" w:type="dxa"/>
            <w:tcBorders>
              <w:top w:val="single" w:color="auto" w:sz="4" w:space="0"/>
              <w:left w:val="single" w:color="auto" w:sz="4" w:space="0"/>
              <w:bottom w:val="single" w:color="auto" w:sz="4" w:space="0"/>
              <w:right w:val="single" w:color="auto" w:sz="4" w:space="0"/>
            </w:tcBorders>
            <w:noWrap w:val="0"/>
            <w:vAlign w:val="bottom"/>
          </w:tcPr>
          <w:p w14:paraId="380EF929">
            <w:pPr>
              <w:spacing w:line="360" w:lineRule="auto"/>
              <w:rPr>
                <w:rFonts w:ascii="宋体" w:hAnsi="宋体" w:eastAsia="宋体" w:cs="Times New Roman"/>
                <w:sz w:val="24"/>
                <w:szCs w:val="24"/>
              </w:rPr>
            </w:pPr>
          </w:p>
        </w:tc>
      </w:tr>
      <w:tr w14:paraId="0AA4EB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14:paraId="2EB3DE0A">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5</w:t>
            </w:r>
          </w:p>
        </w:tc>
        <w:tc>
          <w:tcPr>
            <w:tcW w:w="3288" w:type="dxa"/>
            <w:tcBorders>
              <w:top w:val="single" w:color="auto" w:sz="4" w:space="0"/>
              <w:left w:val="single" w:color="auto" w:sz="4" w:space="0"/>
              <w:bottom w:val="single" w:color="auto" w:sz="4" w:space="0"/>
              <w:right w:val="single" w:color="auto" w:sz="4" w:space="0"/>
            </w:tcBorders>
            <w:noWrap w:val="0"/>
            <w:vAlign w:val="bottom"/>
          </w:tcPr>
          <w:p w14:paraId="3D29B5F0">
            <w:pPr>
              <w:spacing w:line="360" w:lineRule="auto"/>
              <w:rPr>
                <w:rFonts w:ascii="宋体" w:hAnsi="宋体" w:eastAsia="宋体" w:cs="Times New Roman"/>
                <w:sz w:val="24"/>
                <w:szCs w:val="24"/>
              </w:rPr>
            </w:pPr>
          </w:p>
        </w:tc>
        <w:tc>
          <w:tcPr>
            <w:tcW w:w="5244" w:type="dxa"/>
            <w:tcBorders>
              <w:top w:val="single" w:color="auto" w:sz="4" w:space="0"/>
              <w:left w:val="single" w:color="auto" w:sz="4" w:space="0"/>
              <w:bottom w:val="single" w:color="auto" w:sz="4" w:space="0"/>
              <w:right w:val="single" w:color="auto" w:sz="4" w:space="0"/>
            </w:tcBorders>
            <w:noWrap w:val="0"/>
            <w:vAlign w:val="bottom"/>
          </w:tcPr>
          <w:p w14:paraId="77C02A37">
            <w:pPr>
              <w:spacing w:line="360" w:lineRule="auto"/>
              <w:rPr>
                <w:rFonts w:ascii="宋体" w:hAnsi="宋体" w:eastAsia="宋体" w:cs="Times New Roman"/>
                <w:sz w:val="24"/>
                <w:szCs w:val="24"/>
              </w:rPr>
            </w:pPr>
          </w:p>
        </w:tc>
      </w:tr>
      <w:tr w14:paraId="0C34C5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14:paraId="2A8A68FA">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w:t>
            </w:r>
          </w:p>
        </w:tc>
        <w:tc>
          <w:tcPr>
            <w:tcW w:w="3288" w:type="dxa"/>
            <w:tcBorders>
              <w:top w:val="single" w:color="auto" w:sz="4" w:space="0"/>
              <w:left w:val="single" w:color="auto" w:sz="4" w:space="0"/>
              <w:bottom w:val="single" w:color="auto" w:sz="4" w:space="0"/>
              <w:right w:val="single" w:color="auto" w:sz="4" w:space="0"/>
            </w:tcBorders>
            <w:noWrap w:val="0"/>
            <w:vAlign w:val="bottom"/>
          </w:tcPr>
          <w:p w14:paraId="4454D510">
            <w:pPr>
              <w:spacing w:line="360" w:lineRule="auto"/>
              <w:rPr>
                <w:rFonts w:hint="eastAsia" w:ascii="宋体" w:hAnsi="宋体" w:eastAsia="宋体" w:cs="Times New Roman"/>
                <w:sz w:val="24"/>
                <w:szCs w:val="24"/>
              </w:rPr>
            </w:pPr>
          </w:p>
        </w:tc>
        <w:tc>
          <w:tcPr>
            <w:tcW w:w="5244" w:type="dxa"/>
            <w:tcBorders>
              <w:top w:val="single" w:color="auto" w:sz="4" w:space="0"/>
              <w:left w:val="single" w:color="auto" w:sz="4" w:space="0"/>
              <w:bottom w:val="single" w:color="auto" w:sz="4" w:space="0"/>
              <w:right w:val="single" w:color="auto" w:sz="4" w:space="0"/>
            </w:tcBorders>
            <w:noWrap w:val="0"/>
            <w:vAlign w:val="bottom"/>
          </w:tcPr>
          <w:p w14:paraId="6730DFB0">
            <w:pPr>
              <w:spacing w:line="360" w:lineRule="auto"/>
              <w:rPr>
                <w:rFonts w:hint="eastAsia" w:ascii="宋体" w:hAnsi="宋体" w:eastAsia="宋体" w:cs="Times New Roman"/>
                <w:sz w:val="24"/>
                <w:szCs w:val="24"/>
              </w:rPr>
            </w:pPr>
          </w:p>
        </w:tc>
      </w:tr>
    </w:tbl>
    <w:p w14:paraId="4C14754D">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kern w:val="0"/>
          <w:sz w:val="24"/>
          <w:szCs w:val="32"/>
          <w:lang w:val="en-US" w:eastAsia="zh-CN" w:bidi="ar-SA"/>
        </w:rPr>
      </w:pPr>
      <w:bookmarkStart w:id="5079" w:name="_Toc26563"/>
      <w:bookmarkStart w:id="5080" w:name="_Toc9261"/>
      <w:bookmarkStart w:id="5081" w:name="_Toc3067"/>
      <w:bookmarkStart w:id="5082" w:name="_Toc4269"/>
      <w:bookmarkStart w:id="5083" w:name="_Toc32473"/>
      <w:bookmarkStart w:id="5084" w:name="_Toc20216"/>
      <w:bookmarkStart w:id="5085" w:name="_Toc32390"/>
      <w:bookmarkStart w:id="5086" w:name="_Toc12919"/>
      <w:bookmarkStart w:id="5087" w:name="_Toc201735579"/>
      <w:bookmarkStart w:id="5088" w:name="_Toc5961"/>
      <w:bookmarkStart w:id="5089" w:name="_Toc112454403"/>
      <w:bookmarkStart w:id="5090" w:name="_Toc25773"/>
      <w:bookmarkStart w:id="5091" w:name="_Toc208587804"/>
      <w:bookmarkStart w:id="5092" w:name="_Toc302635993"/>
      <w:bookmarkStart w:id="5093" w:name="_Toc305331476"/>
      <w:r>
        <w:rPr>
          <w:rFonts w:hint="eastAsia" w:ascii="宋体" w:hAnsi="宋体" w:eastAsia="宋体" w:cs="Times New Roman"/>
          <w:b/>
          <w:bCs/>
          <w:kern w:val="0"/>
          <w:sz w:val="24"/>
          <w:szCs w:val="32"/>
          <w:lang w:val="en-US" w:eastAsia="zh-CN" w:bidi="ar-SA"/>
        </w:rPr>
        <w:t>14.6 材料和工程设备的替代</w:t>
      </w:r>
      <w:bookmarkEnd w:id="5079"/>
      <w:bookmarkEnd w:id="5080"/>
      <w:bookmarkEnd w:id="5081"/>
      <w:bookmarkEnd w:id="5082"/>
      <w:bookmarkEnd w:id="5083"/>
      <w:bookmarkEnd w:id="5084"/>
      <w:bookmarkEnd w:id="5085"/>
      <w:bookmarkEnd w:id="5086"/>
      <w:bookmarkEnd w:id="5087"/>
      <w:bookmarkEnd w:id="5088"/>
      <w:bookmarkEnd w:id="5089"/>
      <w:bookmarkEnd w:id="5090"/>
      <w:bookmarkEnd w:id="5091"/>
    </w:p>
    <w:p w14:paraId="6D91695C">
      <w:pPr>
        <w:spacing w:line="360" w:lineRule="auto"/>
        <w:ind w:firstLine="480"/>
        <w:jc w:val="left"/>
        <w:rPr>
          <w:rFonts w:hint="eastAsia" w:ascii="宋体" w:hAnsi="宋体" w:eastAsia="宋体" w:cs="Times New Roman"/>
          <w:sz w:val="24"/>
          <w:szCs w:val="24"/>
          <w:u w:val="single"/>
        </w:rPr>
      </w:pPr>
      <w:r>
        <w:rPr>
          <w:rFonts w:hint="eastAsia" w:ascii="宋体" w:hAnsi="宋体" w:eastAsia="宋体" w:cs="Times New Roman"/>
          <w:sz w:val="24"/>
          <w:szCs w:val="24"/>
        </w:rPr>
        <w:t>(2)承包人需使用替代材料和工程设备应向监理人提出申请的时限：</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，监理人应发出书面指示的时限：</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3962DF98">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使用替代材料和工程设备增减合同价格和产生费用的承担方式：</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bookmarkEnd w:id="5092"/>
    <w:bookmarkEnd w:id="5093"/>
    <w:p w14:paraId="1C573FA1">
      <w:pPr>
        <w:keepNext w:val="0"/>
        <w:keepLines w:val="0"/>
        <w:widowControl/>
        <w:numPr>
          <w:ilvl w:val="0"/>
          <w:numId w:val="0"/>
        </w:numPr>
        <w:tabs>
          <w:tab w:val="left" w:pos="54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bookmarkStart w:id="5094" w:name="_Toc208587805"/>
      <w:bookmarkStart w:id="5095" w:name="_Toc17443"/>
      <w:bookmarkStart w:id="5096" w:name="_Toc1756250603"/>
      <w:bookmarkStart w:id="5097" w:name="_Toc6372"/>
      <w:bookmarkStart w:id="5098" w:name="_Toc392"/>
      <w:bookmarkStart w:id="5099" w:name="_Toc305331477"/>
      <w:bookmarkStart w:id="5100" w:name="_Toc28186"/>
      <w:bookmarkStart w:id="5101" w:name="_Toc6221"/>
      <w:bookmarkStart w:id="5102" w:name="_Toc201735581"/>
      <w:bookmarkStart w:id="5103" w:name="_Toc17436"/>
      <w:bookmarkStart w:id="5104" w:name="_Toc20892"/>
      <w:bookmarkStart w:id="5105" w:name="_Toc25987"/>
      <w:bookmarkStart w:id="5106" w:name="_Toc302635994"/>
      <w:bookmarkStart w:id="5107" w:name="_Toc7686"/>
      <w:bookmarkStart w:id="5108" w:name="_Toc3885"/>
      <w:r>
        <w:rPr>
          <w:rFonts w:hint="eastAsia" w:ascii="华文细黑" w:hAnsi="宋体" w:eastAsia="宋体" w:cs="Times New Roman"/>
          <w:b/>
          <w:bCs/>
          <w:snapToGrid w:val="0"/>
          <w:kern w:val="0"/>
          <w:sz w:val="28"/>
          <w:szCs w:val="44"/>
          <w:lang w:val="en-US" w:eastAsia="zh-CN" w:bidi="ar-SA"/>
        </w:rPr>
        <w:t>15 工程质量和检测</w:t>
      </w:r>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p>
    <w:p w14:paraId="5133DB75">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109" w:name="_Toc305331478"/>
      <w:bookmarkStart w:id="5110" w:name="_Toc302635995"/>
      <w:bookmarkStart w:id="5111" w:name="_Toc5112"/>
      <w:bookmarkStart w:id="5112" w:name="_Toc15791"/>
      <w:bookmarkStart w:id="5113" w:name="_Toc933979936"/>
      <w:bookmarkStart w:id="5114" w:name="_Toc201735582"/>
      <w:bookmarkStart w:id="5115" w:name="_Toc1473"/>
      <w:bookmarkStart w:id="5116" w:name="_Toc27517"/>
      <w:bookmarkStart w:id="5117" w:name="_Toc22661"/>
      <w:bookmarkStart w:id="5118" w:name="_Toc22641"/>
      <w:bookmarkStart w:id="5119" w:name="_Toc2634"/>
      <w:bookmarkStart w:id="5120" w:name="_Toc28739"/>
      <w:bookmarkStart w:id="5121" w:name="_Toc208587806"/>
      <w:bookmarkStart w:id="5122" w:name="_Toc485"/>
      <w:bookmarkStart w:id="5123" w:name="_Toc7866"/>
      <w:r>
        <w:rPr>
          <w:rFonts w:hint="eastAsia" w:ascii="宋体" w:hAnsi="宋体" w:eastAsia="宋体" w:cs="Times New Roman"/>
          <w:b/>
          <w:bCs/>
          <w:kern w:val="0"/>
          <w:sz w:val="24"/>
          <w:szCs w:val="32"/>
          <w:lang w:val="en-US" w:eastAsia="zh-CN" w:bidi="ar-SA"/>
        </w:rPr>
        <w:t>15.7 工程质量</w:t>
      </w:r>
      <w:bookmarkEnd w:id="5109"/>
      <w:bookmarkEnd w:id="5110"/>
      <w:r>
        <w:rPr>
          <w:rFonts w:hint="eastAsia" w:ascii="宋体" w:hAnsi="宋体" w:eastAsia="宋体" w:cs="Times New Roman"/>
          <w:b/>
          <w:bCs/>
          <w:kern w:val="0"/>
          <w:sz w:val="24"/>
          <w:szCs w:val="32"/>
          <w:lang w:val="en-US" w:eastAsia="zh-CN" w:bidi="ar-SA"/>
        </w:rPr>
        <w:t>检测费用</w:t>
      </w:r>
      <w:bookmarkEnd w:id="5111"/>
      <w:bookmarkEnd w:id="5112"/>
      <w:bookmarkEnd w:id="5113"/>
      <w:bookmarkEnd w:id="5114"/>
      <w:bookmarkEnd w:id="5115"/>
      <w:bookmarkEnd w:id="5116"/>
      <w:bookmarkEnd w:id="5117"/>
      <w:bookmarkEnd w:id="5118"/>
      <w:bookmarkEnd w:id="5119"/>
      <w:bookmarkEnd w:id="5120"/>
      <w:bookmarkEnd w:id="5121"/>
      <w:bookmarkEnd w:id="5122"/>
      <w:bookmarkEnd w:id="5123"/>
    </w:p>
    <w:p w14:paraId="153AA0ED">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承包人对现场检测的配合工作内容及费用承担为：</w:t>
      </w:r>
      <w:r>
        <w:rPr>
          <w:rFonts w:hint="eastAsia" w:ascii="宋体" w:hAnsi="宋体" w:eastAsia="宋体" w:cs="Times New Roman"/>
          <w:sz w:val="24"/>
          <w:szCs w:val="24"/>
          <w:u w:val="single"/>
        </w:rPr>
        <w:t xml:space="preserve">                                            </w:t>
      </w:r>
    </w:p>
    <w:p w14:paraId="32F8D2BA">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581B3FE5">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273180BE">
      <w:pPr>
        <w:keepNext w:val="0"/>
        <w:keepLines w:val="0"/>
        <w:widowControl/>
        <w:numPr>
          <w:ilvl w:val="0"/>
          <w:numId w:val="0"/>
        </w:numPr>
        <w:tabs>
          <w:tab w:val="left" w:pos="54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bookmarkStart w:id="5124" w:name="_Toc26816"/>
      <w:bookmarkStart w:id="5125" w:name="_Toc26741"/>
      <w:bookmarkStart w:id="5126" w:name="_Toc208587807"/>
      <w:bookmarkStart w:id="5127" w:name="_Toc13061"/>
      <w:bookmarkStart w:id="5128" w:name="_Toc305331479"/>
      <w:bookmarkStart w:id="5129" w:name="_Toc302635996"/>
      <w:bookmarkStart w:id="5130" w:name="_Toc3360"/>
      <w:bookmarkStart w:id="5131" w:name="_Toc11133"/>
      <w:bookmarkStart w:id="5132" w:name="_Toc201735583"/>
      <w:bookmarkStart w:id="5133" w:name="_Toc6138"/>
      <w:bookmarkStart w:id="5134" w:name="_Toc23859"/>
      <w:bookmarkStart w:id="5135" w:name="_Toc31693"/>
      <w:bookmarkStart w:id="5136" w:name="_Toc13078"/>
      <w:bookmarkStart w:id="5137" w:name="_Toc1404445941"/>
      <w:bookmarkStart w:id="5138" w:name="_Toc12910"/>
      <w:r>
        <w:rPr>
          <w:rFonts w:hint="eastAsia" w:ascii="华文细黑" w:hAnsi="宋体" w:eastAsia="宋体" w:cs="Times New Roman"/>
          <w:b/>
          <w:bCs/>
          <w:snapToGrid w:val="0"/>
          <w:kern w:val="0"/>
          <w:sz w:val="28"/>
          <w:szCs w:val="44"/>
          <w:lang w:val="en-US" w:eastAsia="zh-CN" w:bidi="ar-SA"/>
        </w:rPr>
        <w:t>16 工程试运行</w:t>
      </w:r>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p>
    <w:p w14:paraId="2186C2FF">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139" w:name="_Toc22767"/>
      <w:bookmarkStart w:id="5140" w:name="_Toc26591"/>
      <w:bookmarkStart w:id="5141" w:name="_Toc201735584"/>
      <w:bookmarkStart w:id="5142" w:name="_Toc305331480"/>
      <w:bookmarkStart w:id="5143" w:name="_Toc208587808"/>
      <w:bookmarkStart w:id="5144" w:name="_Toc17320"/>
      <w:bookmarkStart w:id="5145" w:name="_Toc9081"/>
      <w:bookmarkStart w:id="5146" w:name="_Toc6747"/>
      <w:bookmarkStart w:id="5147" w:name="_Toc52455478"/>
      <w:bookmarkStart w:id="5148" w:name="_Toc7614"/>
      <w:bookmarkStart w:id="5149" w:name="_Toc302635997"/>
      <w:bookmarkStart w:id="5150" w:name="_Toc18253"/>
      <w:bookmarkStart w:id="5151" w:name="_Toc21873"/>
      <w:bookmarkStart w:id="5152" w:name="_Toc18618"/>
      <w:bookmarkStart w:id="5153" w:name="_Toc17038"/>
      <w:r>
        <w:rPr>
          <w:rFonts w:hint="eastAsia" w:ascii="宋体" w:hAnsi="宋体" w:eastAsia="宋体" w:cs="Times New Roman"/>
          <w:b/>
          <w:bCs/>
          <w:kern w:val="0"/>
          <w:sz w:val="24"/>
          <w:szCs w:val="32"/>
          <w:lang w:val="en-US" w:eastAsia="zh-CN" w:bidi="ar-SA"/>
        </w:rPr>
        <w:t>16.1 工程试运行内容和程序</w:t>
      </w:r>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p>
    <w:p w14:paraId="21AD5793">
      <w:pPr>
        <w:spacing w:line="360" w:lineRule="auto"/>
        <w:ind w:firstLine="480"/>
        <w:rPr>
          <w:rFonts w:ascii="宋体" w:hAnsi="宋体" w:eastAsia="宋体" w:cs="Times New Roman"/>
          <w:sz w:val="24"/>
          <w:szCs w:val="24"/>
          <w:u w:val="single"/>
        </w:rPr>
      </w:pPr>
      <w:r>
        <w:rPr>
          <w:rFonts w:hint="eastAsia" w:ascii="宋体" w:hAnsi="宋体" w:eastAsia="宋体" w:cs="Times New Roman"/>
          <w:sz w:val="24"/>
          <w:szCs w:val="24"/>
        </w:rPr>
        <w:t>(</w:t>
      </w:r>
      <w:r>
        <w:rPr>
          <w:rFonts w:ascii="宋体" w:hAnsi="宋体" w:eastAsia="宋体" w:cs="Times New Roman"/>
          <w:sz w:val="24"/>
          <w:szCs w:val="24"/>
        </w:rPr>
        <w:t>2)</w:t>
      </w:r>
      <w:r>
        <w:rPr>
          <w:rFonts w:hint="eastAsia" w:ascii="宋体" w:hAnsi="宋体" w:eastAsia="宋体" w:cs="Times New Roman"/>
          <w:sz w:val="24"/>
          <w:szCs w:val="24"/>
        </w:rPr>
        <w:t>无负荷联动试运行的内容及其费用承担方式：</w:t>
      </w:r>
      <w:r>
        <w:rPr>
          <w:rFonts w:hint="eastAsia" w:ascii="宋体" w:hAnsi="宋体" w:eastAsia="宋体" w:cs="Times New Roman"/>
          <w:bCs/>
          <w:sz w:val="24"/>
          <w:szCs w:val="24"/>
          <w:u w:val="single"/>
        </w:rPr>
        <w:t xml:space="preserve">                                       </w:t>
      </w:r>
    </w:p>
    <w:p w14:paraId="346D5CCB">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791DED29">
      <w:pPr>
        <w:spacing w:line="360" w:lineRule="auto"/>
        <w:rPr>
          <w:rFonts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03938798">
      <w:pPr>
        <w:spacing w:line="360" w:lineRule="auto"/>
        <w:ind w:firstLine="480"/>
        <w:rPr>
          <w:rFonts w:ascii="宋体" w:hAnsi="宋体" w:eastAsia="宋体" w:cs="Times New Roman"/>
          <w:sz w:val="24"/>
          <w:szCs w:val="24"/>
          <w:u w:val="single"/>
        </w:rPr>
      </w:pPr>
      <w:r>
        <w:rPr>
          <w:rFonts w:hint="eastAsia" w:ascii="宋体" w:hAnsi="宋体" w:eastAsia="宋体" w:cs="Times New Roman"/>
          <w:sz w:val="24"/>
          <w:szCs w:val="24"/>
        </w:rPr>
        <w:t>(</w:t>
      </w:r>
      <w:r>
        <w:rPr>
          <w:rFonts w:ascii="宋体" w:hAnsi="宋体" w:eastAsia="宋体" w:cs="Times New Roman"/>
          <w:sz w:val="24"/>
          <w:szCs w:val="24"/>
        </w:rPr>
        <w:t>3)</w:t>
      </w:r>
      <w:r>
        <w:rPr>
          <w:rFonts w:hint="eastAsia" w:ascii="宋体" w:hAnsi="宋体" w:eastAsia="宋体" w:cs="Times New Roman"/>
          <w:sz w:val="24"/>
          <w:szCs w:val="24"/>
        </w:rPr>
        <w:t>发包人要求在工程竣工验收前进行或需要承包人配合的投料试运行有关事项的约定：</w:t>
      </w:r>
      <w:r>
        <w:rPr>
          <w:rFonts w:hint="eastAsia" w:ascii="宋体" w:hAnsi="宋体" w:eastAsia="宋体" w:cs="Times New Roman"/>
          <w:bCs/>
          <w:sz w:val="24"/>
          <w:szCs w:val="24"/>
          <w:u w:val="single"/>
        </w:rPr>
        <w:t xml:space="preserve">                                    </w:t>
      </w:r>
      <w:r>
        <w:rPr>
          <w:rFonts w:ascii="宋体" w:hAnsi="宋体" w:eastAsia="宋体" w:cs="Times New Roman"/>
          <w:bCs/>
          <w:sz w:val="24"/>
          <w:szCs w:val="24"/>
          <w:u w:val="single"/>
        </w:rPr>
        <w:t xml:space="preserve">                               </w:t>
      </w:r>
      <w:r>
        <w:rPr>
          <w:rFonts w:hint="eastAsia" w:ascii="宋体" w:hAnsi="宋体" w:eastAsia="宋体" w:cs="Times New Roman"/>
          <w:bCs/>
          <w:sz w:val="24"/>
          <w:szCs w:val="24"/>
          <w:u w:val="single"/>
        </w:rPr>
        <w:t xml:space="preserve">   </w:t>
      </w:r>
    </w:p>
    <w:p w14:paraId="5FAC174A">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0D85E995">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5FD98F62">
      <w:pPr>
        <w:keepNext w:val="0"/>
        <w:keepLines w:val="0"/>
        <w:widowControl/>
        <w:numPr>
          <w:ilvl w:val="0"/>
          <w:numId w:val="0"/>
        </w:numPr>
        <w:tabs>
          <w:tab w:val="left" w:pos="54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bookmarkStart w:id="5154" w:name="_Toc208587809"/>
      <w:bookmarkStart w:id="5155" w:name="_Toc37"/>
      <w:bookmarkStart w:id="5156" w:name="_Toc7876"/>
      <w:bookmarkStart w:id="5157" w:name="_Toc15766"/>
      <w:bookmarkStart w:id="5158" w:name="_Toc5211"/>
      <w:bookmarkStart w:id="5159" w:name="_Toc11435"/>
      <w:bookmarkStart w:id="5160" w:name="_Toc201735585"/>
      <w:bookmarkStart w:id="5161" w:name="_Toc22580"/>
      <w:bookmarkStart w:id="5162" w:name="_Toc22787"/>
      <w:bookmarkStart w:id="5163" w:name="_Toc305331481"/>
      <w:bookmarkStart w:id="5164" w:name="_Toc17053"/>
      <w:bookmarkStart w:id="5165" w:name="_Toc302635998"/>
      <w:bookmarkStart w:id="5166" w:name="_Toc8946"/>
      <w:bookmarkStart w:id="5167" w:name="_Toc1469"/>
      <w:bookmarkStart w:id="5168" w:name="_Toc1536568874"/>
      <w:r>
        <w:rPr>
          <w:rFonts w:hint="eastAsia" w:ascii="华文细黑" w:hAnsi="宋体" w:eastAsia="宋体" w:cs="Times New Roman"/>
          <w:b/>
          <w:bCs/>
          <w:snapToGrid w:val="0"/>
          <w:kern w:val="0"/>
          <w:sz w:val="28"/>
          <w:szCs w:val="44"/>
          <w:lang w:val="en-US" w:eastAsia="zh-CN" w:bidi="ar-SA"/>
        </w:rPr>
        <w:t>17 安全文明施工</w:t>
      </w:r>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p>
    <w:p w14:paraId="2F533CEF">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169" w:name="_Toc32013"/>
      <w:bookmarkStart w:id="5170" w:name="_Toc7636"/>
      <w:bookmarkStart w:id="5171" w:name="_Toc452"/>
      <w:bookmarkStart w:id="5172" w:name="_Toc13109"/>
      <w:bookmarkStart w:id="5173" w:name="_Toc208587810"/>
      <w:bookmarkStart w:id="5174" w:name="_Toc266977936"/>
      <w:bookmarkStart w:id="5175" w:name="_Toc10128"/>
      <w:bookmarkStart w:id="5176" w:name="_Toc9034"/>
      <w:bookmarkStart w:id="5177" w:name="_Toc20805"/>
      <w:bookmarkStart w:id="5178" w:name="_Toc2153"/>
      <w:bookmarkStart w:id="5179" w:name="_Toc12954"/>
      <w:bookmarkStart w:id="5180" w:name="_Toc30654"/>
      <w:bookmarkStart w:id="5181" w:name="_Toc201735586"/>
      <w:bookmarkStart w:id="5182" w:name="_Toc305331482"/>
      <w:bookmarkStart w:id="5183" w:name="_Toc302635999"/>
      <w:r>
        <w:rPr>
          <w:rFonts w:hint="eastAsia" w:ascii="宋体" w:hAnsi="宋体" w:eastAsia="宋体" w:cs="Times New Roman"/>
          <w:b/>
          <w:bCs/>
          <w:kern w:val="0"/>
          <w:sz w:val="24"/>
          <w:szCs w:val="32"/>
          <w:lang w:val="en-US" w:eastAsia="zh-CN" w:bidi="ar-SA"/>
        </w:rPr>
        <w:t>17.1</w:t>
      </w:r>
      <w:r>
        <w:rPr>
          <w:rFonts w:ascii="宋体" w:hAnsi="宋体" w:eastAsia="宋体" w:cs="Times New Roman"/>
          <w:b/>
          <w:bCs/>
          <w:kern w:val="0"/>
          <w:sz w:val="24"/>
          <w:szCs w:val="32"/>
          <w:lang w:val="en-US" w:eastAsia="zh-CN" w:bidi="ar-SA"/>
        </w:rPr>
        <w:t xml:space="preserve"> </w:t>
      </w:r>
      <w:r>
        <w:rPr>
          <w:rFonts w:hint="eastAsia" w:ascii="宋体" w:hAnsi="宋体" w:eastAsia="宋体" w:cs="Times New Roman"/>
          <w:b/>
          <w:bCs/>
          <w:kern w:val="0"/>
          <w:sz w:val="24"/>
          <w:szCs w:val="32"/>
          <w:lang w:val="en-US" w:eastAsia="zh-CN" w:bidi="ar-SA"/>
        </w:rPr>
        <w:t>发包人的安全文明施工责任</w:t>
      </w:r>
      <w:bookmarkEnd w:id="5169"/>
      <w:bookmarkEnd w:id="5170"/>
      <w:bookmarkEnd w:id="5171"/>
      <w:bookmarkEnd w:id="5172"/>
      <w:bookmarkEnd w:id="5173"/>
      <w:bookmarkEnd w:id="5174"/>
      <w:bookmarkEnd w:id="5175"/>
      <w:bookmarkEnd w:id="5176"/>
      <w:bookmarkEnd w:id="5177"/>
      <w:bookmarkEnd w:id="5178"/>
      <w:bookmarkEnd w:id="5179"/>
      <w:bookmarkEnd w:id="5180"/>
      <w:bookmarkEnd w:id="5181"/>
    </w:p>
    <w:p w14:paraId="76353437">
      <w:pPr>
        <w:spacing w:line="360" w:lineRule="auto"/>
        <w:ind w:firstLine="600" w:firstLineChars="250"/>
        <w:rPr>
          <w:rFonts w:hint="eastAsia" w:ascii="宋体" w:hAnsi="宋体" w:eastAsia="宋体" w:cs="Times New Roman"/>
          <w:bCs/>
          <w:sz w:val="24"/>
          <w:szCs w:val="24"/>
          <w:u w:val="single"/>
        </w:rPr>
      </w:pPr>
      <w:r>
        <w:rPr>
          <w:rFonts w:hint="eastAsia" w:ascii="宋体" w:hAnsi="宋体" w:eastAsia="宋体" w:cs="Times New Roman"/>
          <w:snapToGrid w:val="0"/>
          <w:sz w:val="24"/>
          <w:szCs w:val="24"/>
        </w:rPr>
        <w:t>(6)发包人应承担的安全文明施工责任：</w:t>
      </w:r>
      <w:r>
        <w:rPr>
          <w:rFonts w:hint="eastAsia" w:ascii="宋体" w:hAnsi="宋体" w:eastAsia="宋体" w:cs="Times New Roman"/>
          <w:sz w:val="24"/>
          <w:szCs w:val="24"/>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74FDE883">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5AE5367A">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0C587A9E">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4D5EA69A">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kern w:val="0"/>
          <w:sz w:val="24"/>
          <w:szCs w:val="32"/>
          <w:lang w:val="en-US" w:eastAsia="zh-CN" w:bidi="ar-SA"/>
        </w:rPr>
      </w:pPr>
      <w:bookmarkStart w:id="5184" w:name="_Toc12507"/>
      <w:bookmarkStart w:id="5185" w:name="_Toc17452"/>
      <w:bookmarkStart w:id="5186" w:name="_Toc147"/>
      <w:bookmarkStart w:id="5187" w:name="_Toc1568080323"/>
      <w:bookmarkStart w:id="5188" w:name="_Toc29059"/>
      <w:bookmarkStart w:id="5189" w:name="_Toc10706"/>
      <w:bookmarkStart w:id="5190" w:name="_Toc201735587"/>
      <w:bookmarkStart w:id="5191" w:name="_Toc6212"/>
      <w:bookmarkStart w:id="5192" w:name="_Toc21397"/>
      <w:bookmarkStart w:id="5193" w:name="_Toc208587811"/>
      <w:bookmarkStart w:id="5194" w:name="_Toc10090"/>
      <w:bookmarkStart w:id="5195" w:name="_Toc26021"/>
      <w:bookmarkStart w:id="5196" w:name="_Toc16859"/>
      <w:r>
        <w:rPr>
          <w:rFonts w:hint="eastAsia" w:ascii="宋体" w:hAnsi="宋体" w:eastAsia="宋体" w:cs="Times New Roman"/>
          <w:b/>
          <w:bCs/>
          <w:kern w:val="0"/>
          <w:sz w:val="24"/>
          <w:szCs w:val="32"/>
          <w:lang w:val="en-US" w:eastAsia="zh-CN" w:bidi="ar-SA"/>
        </w:rPr>
        <w:t>17.2 承包人的安全文明施工责任</w:t>
      </w:r>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p>
    <w:p w14:paraId="5CE94D25">
      <w:pPr>
        <w:tabs>
          <w:tab w:val="left" w:pos="1620"/>
          <w:tab w:val="left" w:pos="2340"/>
        </w:tabs>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napToGrid w:val="0"/>
          <w:sz w:val="24"/>
          <w:szCs w:val="24"/>
        </w:rPr>
        <w:t>(4)</w:t>
      </w:r>
      <w:r>
        <w:rPr>
          <w:rFonts w:hint="eastAsia" w:ascii="宋体" w:hAnsi="宋体" w:eastAsia="宋体" w:cs="Times New Roman"/>
          <w:bCs/>
          <w:snapToGrid w:val="0"/>
          <w:sz w:val="24"/>
          <w:szCs w:val="24"/>
        </w:rPr>
        <w:t>承包人未建立相关制度或未按制度履行的违约责任：</w:t>
      </w:r>
      <w:r>
        <w:rPr>
          <w:rFonts w:hint="eastAsia" w:ascii="宋体" w:hAnsi="宋体" w:eastAsia="宋体" w:cs="Times New Roman"/>
          <w:sz w:val="24"/>
          <w:szCs w:val="24"/>
          <w:u w:val="single"/>
        </w:rPr>
        <w:t xml:space="preserve">                                     </w:t>
      </w:r>
    </w:p>
    <w:p w14:paraId="67BA7582">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39CD648E">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6AC5498D">
      <w:pPr>
        <w:tabs>
          <w:tab w:val="left" w:pos="1620"/>
          <w:tab w:val="left" w:pos="2340"/>
        </w:tabs>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bCs/>
          <w:snapToGrid w:val="0"/>
          <w:sz w:val="24"/>
          <w:szCs w:val="24"/>
        </w:rPr>
        <w:t>(10)承包人应承担的安全文明施工责任：</w:t>
      </w:r>
      <w:r>
        <w:rPr>
          <w:rFonts w:hint="eastAsia" w:ascii="宋体" w:hAnsi="宋体" w:eastAsia="宋体" w:cs="Times New Roman"/>
          <w:sz w:val="24"/>
          <w:szCs w:val="24"/>
          <w:u w:val="single"/>
        </w:rPr>
        <w:t xml:space="preserve">                                     </w:t>
      </w:r>
    </w:p>
    <w:p w14:paraId="5A9C499D">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7BDA9B91">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5E74A61D">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kern w:val="0"/>
          <w:sz w:val="24"/>
          <w:szCs w:val="32"/>
          <w:lang w:val="en-US" w:eastAsia="zh-CN" w:bidi="ar-SA"/>
        </w:rPr>
      </w:pPr>
      <w:bookmarkStart w:id="5197" w:name="_Toc8585"/>
      <w:bookmarkStart w:id="5198" w:name="_Toc201735588"/>
      <w:bookmarkStart w:id="5199" w:name="_Toc14042"/>
      <w:bookmarkStart w:id="5200" w:name="_Toc25028"/>
      <w:bookmarkStart w:id="5201" w:name="_Toc2046788307"/>
      <w:bookmarkStart w:id="5202" w:name="_Toc26441"/>
      <w:bookmarkStart w:id="5203" w:name="_Toc32617"/>
      <w:bookmarkStart w:id="5204" w:name="_Toc8188"/>
      <w:bookmarkStart w:id="5205" w:name="_Toc208587812"/>
      <w:bookmarkStart w:id="5206" w:name="_Toc30242"/>
      <w:bookmarkStart w:id="5207" w:name="_Toc6836"/>
      <w:bookmarkStart w:id="5208" w:name="_Toc28605"/>
      <w:bookmarkStart w:id="5209" w:name="_Toc29908"/>
      <w:bookmarkStart w:id="5210" w:name="_Toc302636000"/>
      <w:bookmarkStart w:id="5211" w:name="_Toc305331483"/>
      <w:r>
        <w:rPr>
          <w:rFonts w:hint="eastAsia" w:ascii="宋体" w:hAnsi="宋体" w:eastAsia="宋体" w:cs="Times New Roman"/>
          <w:b/>
          <w:bCs/>
          <w:kern w:val="0"/>
          <w:sz w:val="24"/>
          <w:szCs w:val="32"/>
          <w:lang w:val="en-US" w:eastAsia="zh-CN" w:bidi="ar-SA"/>
        </w:rPr>
        <w:t>17.</w:t>
      </w:r>
      <w:r>
        <w:rPr>
          <w:rFonts w:ascii="宋体" w:hAnsi="宋体" w:eastAsia="宋体" w:cs="Times New Roman"/>
          <w:b/>
          <w:bCs/>
          <w:kern w:val="0"/>
          <w:sz w:val="24"/>
          <w:szCs w:val="32"/>
          <w:lang w:val="en-US" w:eastAsia="zh-CN" w:bidi="ar-SA"/>
        </w:rPr>
        <w:t>8</w:t>
      </w:r>
      <w:r>
        <w:rPr>
          <w:rFonts w:hint="eastAsia" w:ascii="宋体" w:hAnsi="宋体" w:eastAsia="宋体" w:cs="Times New Roman"/>
          <w:b/>
          <w:bCs/>
          <w:kern w:val="0"/>
          <w:sz w:val="24"/>
          <w:szCs w:val="32"/>
          <w:lang w:val="en-US" w:eastAsia="zh-CN" w:bidi="ar-SA"/>
        </w:rPr>
        <w:t xml:space="preserve"> 承包人的环境保护责任</w:t>
      </w:r>
      <w:bookmarkEnd w:id="5197"/>
      <w:bookmarkEnd w:id="5198"/>
      <w:bookmarkEnd w:id="5199"/>
      <w:bookmarkEnd w:id="5200"/>
      <w:bookmarkEnd w:id="5201"/>
      <w:bookmarkEnd w:id="5202"/>
      <w:bookmarkEnd w:id="5203"/>
      <w:bookmarkEnd w:id="5204"/>
      <w:bookmarkEnd w:id="5205"/>
      <w:bookmarkEnd w:id="5206"/>
      <w:bookmarkEnd w:id="5207"/>
      <w:bookmarkEnd w:id="5208"/>
      <w:bookmarkEnd w:id="5209"/>
    </w:p>
    <w:p w14:paraId="1E2B8C2A">
      <w:pPr>
        <w:tabs>
          <w:tab w:val="left" w:pos="1620"/>
          <w:tab w:val="left" w:pos="2340"/>
        </w:tabs>
        <w:spacing w:line="360" w:lineRule="auto"/>
        <w:ind w:firstLine="480"/>
        <w:rPr>
          <w:rFonts w:ascii="宋体" w:hAnsi="宋体" w:eastAsia="宋体" w:cs="Times New Roman"/>
          <w:bCs/>
          <w:sz w:val="24"/>
          <w:szCs w:val="24"/>
          <w:u w:val="single"/>
        </w:rPr>
      </w:pPr>
      <w:r>
        <w:rPr>
          <w:rFonts w:hint="eastAsia" w:ascii="宋体" w:hAnsi="宋体" w:eastAsia="宋体" w:cs="Times New Roman"/>
          <w:sz w:val="24"/>
          <w:szCs w:val="24"/>
        </w:rPr>
        <w:t>(</w:t>
      </w:r>
      <w:r>
        <w:rPr>
          <w:rFonts w:ascii="宋体" w:hAnsi="宋体" w:eastAsia="宋体" w:cs="Times New Roman"/>
          <w:sz w:val="24"/>
          <w:szCs w:val="24"/>
        </w:rPr>
        <w:t>1</w:t>
      </w:r>
      <w:r>
        <w:rPr>
          <w:rFonts w:hint="eastAsia" w:ascii="宋体" w:hAnsi="宋体" w:eastAsia="宋体" w:cs="Times New Roman"/>
          <w:sz w:val="24"/>
          <w:szCs w:val="24"/>
        </w:rPr>
        <w:t>)建筑废弃物排放的具体约定：</w:t>
      </w:r>
      <w:r>
        <w:rPr>
          <w:rFonts w:hint="eastAsia" w:ascii="宋体" w:hAnsi="宋体" w:eastAsia="宋体" w:cs="Times New Roman"/>
          <w:bCs/>
          <w:sz w:val="24"/>
          <w:szCs w:val="24"/>
          <w:u w:val="single"/>
        </w:rPr>
        <w:t xml:space="preserve">                                           </w:t>
      </w:r>
    </w:p>
    <w:p w14:paraId="441723FF">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652C6C1E">
      <w:pPr>
        <w:spacing w:line="360" w:lineRule="auto"/>
        <w:rPr>
          <w:rFonts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11E563C1">
      <w:pPr>
        <w:keepNext w:val="0"/>
        <w:keepLines w:val="0"/>
        <w:widowControl/>
        <w:numPr>
          <w:ilvl w:val="0"/>
          <w:numId w:val="0"/>
        </w:numPr>
        <w:tabs>
          <w:tab w:val="left" w:pos="54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bookmarkStart w:id="5212" w:name="_Toc201735589"/>
      <w:bookmarkStart w:id="5213" w:name="_Toc10287"/>
      <w:bookmarkStart w:id="5214" w:name="_Toc861"/>
      <w:bookmarkStart w:id="5215" w:name="_Toc14974"/>
      <w:bookmarkStart w:id="5216" w:name="_Toc10046"/>
      <w:bookmarkStart w:id="5217" w:name="_Toc208587813"/>
      <w:bookmarkStart w:id="5218" w:name="_Toc12056"/>
      <w:bookmarkStart w:id="5219" w:name="_Toc782201124"/>
      <w:bookmarkStart w:id="5220" w:name="_Toc6561"/>
      <w:bookmarkStart w:id="5221" w:name="_Toc11025"/>
      <w:bookmarkStart w:id="5222" w:name="_Toc29553"/>
      <w:bookmarkStart w:id="5223" w:name="_Toc6182"/>
      <w:bookmarkStart w:id="5224" w:name="_Toc20616"/>
      <w:r>
        <w:rPr>
          <w:rFonts w:hint="eastAsia" w:ascii="华文细黑" w:hAnsi="宋体" w:eastAsia="宋体" w:cs="Times New Roman"/>
          <w:b/>
          <w:bCs/>
          <w:snapToGrid w:val="0"/>
          <w:kern w:val="0"/>
          <w:sz w:val="28"/>
          <w:szCs w:val="44"/>
          <w:lang w:val="en-US" w:eastAsia="zh-CN" w:bidi="ar-SA"/>
        </w:rPr>
        <w:t>18 建筑废弃物运输</w:t>
      </w:r>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p>
    <w:p w14:paraId="598D75C0">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kern w:val="0"/>
          <w:sz w:val="24"/>
          <w:szCs w:val="32"/>
          <w:lang w:val="en-US" w:eastAsia="zh-CN" w:bidi="ar-SA"/>
        </w:rPr>
      </w:pPr>
      <w:bookmarkStart w:id="5225" w:name="_Toc8949"/>
      <w:bookmarkStart w:id="5226" w:name="_Toc201735590"/>
      <w:bookmarkStart w:id="5227" w:name="_Toc743"/>
      <w:bookmarkStart w:id="5228" w:name="_Toc18946"/>
      <w:bookmarkStart w:id="5229" w:name="_Toc27342"/>
      <w:bookmarkStart w:id="5230" w:name="_Toc32328"/>
      <w:bookmarkStart w:id="5231" w:name="_Toc84487394"/>
      <w:bookmarkStart w:id="5232" w:name="_Toc9410"/>
      <w:bookmarkStart w:id="5233" w:name="_Toc208587814"/>
      <w:bookmarkStart w:id="5234" w:name="_Toc12629"/>
      <w:bookmarkStart w:id="5235" w:name="_Toc305331484"/>
      <w:bookmarkStart w:id="5236" w:name="_Toc302636001"/>
      <w:bookmarkStart w:id="5237" w:name="_Toc17430"/>
      <w:bookmarkStart w:id="5238" w:name="_Toc21220"/>
      <w:bookmarkStart w:id="5239" w:name="_Toc22947"/>
      <w:bookmarkStart w:id="5240" w:name="_Toc35656540"/>
      <w:r>
        <w:rPr>
          <w:rFonts w:hint="eastAsia" w:ascii="宋体" w:hAnsi="宋体" w:eastAsia="宋体" w:cs="Times New Roman"/>
          <w:b/>
          <w:bCs/>
          <w:kern w:val="0"/>
          <w:sz w:val="24"/>
          <w:szCs w:val="32"/>
          <w:lang w:val="en-US" w:eastAsia="zh-CN" w:bidi="ar-SA"/>
        </w:rPr>
        <w:t>18.2 承包人自行运输</w:t>
      </w:r>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p>
    <w:p w14:paraId="0CB01820">
      <w:pPr>
        <w:spacing w:line="360" w:lineRule="auto"/>
        <w:ind w:firstLine="480"/>
        <w:jc w:val="left"/>
        <w:rPr>
          <w:rFonts w:ascii="宋体" w:hAnsi="宋体" w:eastAsia="宋体" w:cs="Times New Roman"/>
          <w:sz w:val="24"/>
          <w:szCs w:val="24"/>
        </w:rPr>
      </w:pPr>
      <w:r>
        <w:rPr>
          <w:rFonts w:hint="eastAsia" w:ascii="宋体" w:hAnsi="宋体" w:eastAsia="宋体" w:cs="Times New Roman"/>
          <w:sz w:val="24"/>
          <w:szCs w:val="24"/>
        </w:rPr>
        <w:t>(2)</w:t>
      </w:r>
      <w:r>
        <w:rPr>
          <w:rFonts w:ascii="宋体" w:hAnsi="宋体" w:eastAsia="宋体" w:cs="Times New Roman"/>
          <w:sz w:val="24"/>
          <w:szCs w:val="24"/>
        </w:rPr>
        <w:t>承包人不具备</w:t>
      </w:r>
      <w:r>
        <w:rPr>
          <w:rFonts w:hint="eastAsia" w:ascii="宋体" w:hAnsi="宋体" w:eastAsia="宋体" w:cs="Times New Roman"/>
          <w:sz w:val="24"/>
          <w:szCs w:val="24"/>
        </w:rPr>
        <w:t>通用条款</w:t>
      </w:r>
      <w:r>
        <w:rPr>
          <w:rFonts w:ascii="宋体" w:hAnsi="宋体" w:eastAsia="宋体" w:cs="Times New Roman"/>
          <w:sz w:val="24"/>
          <w:szCs w:val="24"/>
        </w:rPr>
        <w:t>第</w:t>
      </w:r>
      <w:r>
        <w:rPr>
          <w:rFonts w:hint="eastAsia" w:ascii="宋体" w:hAnsi="宋体" w:eastAsia="宋体" w:cs="Times New Roman"/>
          <w:sz w:val="24"/>
          <w:szCs w:val="24"/>
        </w:rPr>
        <w:t>18</w:t>
      </w:r>
      <w:r>
        <w:rPr>
          <w:rFonts w:ascii="宋体" w:hAnsi="宋体" w:eastAsia="宋体" w:cs="Times New Roman"/>
          <w:sz w:val="24"/>
          <w:szCs w:val="24"/>
        </w:rPr>
        <w:t>.1款</w:t>
      </w:r>
      <w:r>
        <w:rPr>
          <w:rFonts w:hint="eastAsia" w:ascii="宋体" w:hAnsi="宋体" w:eastAsia="宋体" w:cs="Times New Roman"/>
          <w:sz w:val="24"/>
          <w:szCs w:val="24"/>
        </w:rPr>
        <w:t>相关</w:t>
      </w:r>
      <w:r>
        <w:rPr>
          <w:rFonts w:ascii="宋体" w:hAnsi="宋体" w:eastAsia="宋体" w:cs="Times New Roman"/>
          <w:sz w:val="24"/>
          <w:szCs w:val="24"/>
        </w:rPr>
        <w:t>证件</w:t>
      </w:r>
      <w:r>
        <w:rPr>
          <w:rFonts w:hint="eastAsia" w:ascii="宋体" w:hAnsi="宋体" w:eastAsia="宋体" w:cs="Times New Roman"/>
          <w:sz w:val="24"/>
          <w:szCs w:val="24"/>
        </w:rPr>
        <w:t>，不具备</w:t>
      </w:r>
      <w:r>
        <w:rPr>
          <w:rFonts w:hint="eastAsia" w:ascii="宋体" w:hAnsi="宋体" w:eastAsia="宋体" w:cs="Times New Roman"/>
          <w:sz w:val="24"/>
          <w:szCs w:val="24"/>
          <w:lang w:eastAsia="zh-CN"/>
        </w:rPr>
        <w:t>建筑废弃物</w:t>
      </w:r>
      <w:r>
        <w:rPr>
          <w:rFonts w:ascii="宋体" w:hAnsi="宋体" w:eastAsia="宋体" w:cs="Times New Roman"/>
          <w:sz w:val="24"/>
          <w:szCs w:val="24"/>
        </w:rPr>
        <w:t>运输任务</w:t>
      </w:r>
      <w:r>
        <w:rPr>
          <w:rFonts w:hint="eastAsia" w:ascii="宋体" w:hAnsi="宋体" w:eastAsia="宋体" w:cs="Times New Roman"/>
          <w:sz w:val="24"/>
          <w:szCs w:val="24"/>
        </w:rPr>
        <w:t>能力</w:t>
      </w:r>
      <w:r>
        <w:rPr>
          <w:rFonts w:ascii="宋体" w:hAnsi="宋体" w:eastAsia="宋体" w:cs="Times New Roman"/>
          <w:sz w:val="24"/>
          <w:szCs w:val="24"/>
        </w:rPr>
        <w:t>而自行承担</w:t>
      </w:r>
      <w:r>
        <w:rPr>
          <w:rFonts w:hint="eastAsia" w:ascii="宋体" w:hAnsi="宋体" w:eastAsia="宋体" w:cs="Times New Roman"/>
          <w:sz w:val="24"/>
          <w:szCs w:val="24"/>
          <w:lang w:eastAsia="zh-CN"/>
        </w:rPr>
        <w:t>建筑废弃物</w:t>
      </w:r>
      <w:r>
        <w:rPr>
          <w:rFonts w:ascii="宋体" w:hAnsi="宋体" w:eastAsia="宋体" w:cs="Times New Roman"/>
          <w:sz w:val="24"/>
          <w:szCs w:val="24"/>
        </w:rPr>
        <w:t>运输任务，应支付违约金</w:t>
      </w:r>
      <w:r>
        <w:rPr>
          <w:rFonts w:hint="eastAsia" w:ascii="宋体" w:hAnsi="宋体" w:eastAsia="宋体" w:cs="Times New Roman"/>
          <w:sz w:val="24"/>
          <w:szCs w:val="24"/>
          <w:u w:val="single"/>
        </w:rPr>
        <w:t xml:space="preserve">               </w:t>
      </w:r>
      <w:r>
        <w:rPr>
          <w:rFonts w:ascii="宋体" w:hAnsi="宋体" w:eastAsia="宋体" w:cs="Times New Roman"/>
          <w:sz w:val="24"/>
          <w:szCs w:val="24"/>
        </w:rPr>
        <w:t>。</w:t>
      </w:r>
    </w:p>
    <w:p w14:paraId="38EDF137">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241" w:name="_Toc15425"/>
      <w:bookmarkStart w:id="5242" w:name="_Toc6917"/>
      <w:bookmarkStart w:id="5243" w:name="_Toc729075025"/>
      <w:bookmarkStart w:id="5244" w:name="_Toc14541"/>
      <w:bookmarkStart w:id="5245" w:name="_Toc201735591"/>
      <w:bookmarkStart w:id="5246" w:name="_Toc5759"/>
      <w:bookmarkStart w:id="5247" w:name="_Toc10861"/>
      <w:bookmarkStart w:id="5248" w:name="_Toc22553"/>
      <w:bookmarkStart w:id="5249" w:name="_Toc31692"/>
      <w:bookmarkStart w:id="5250" w:name="_Toc16050"/>
      <w:bookmarkStart w:id="5251" w:name="_Toc302636002"/>
      <w:bookmarkStart w:id="5252" w:name="_Toc208587815"/>
      <w:bookmarkStart w:id="5253" w:name="_Toc2715"/>
      <w:bookmarkStart w:id="5254" w:name="_Toc305331485"/>
      <w:r>
        <w:rPr>
          <w:rFonts w:hint="eastAsia" w:ascii="宋体" w:hAnsi="宋体" w:eastAsia="宋体" w:cs="Times New Roman"/>
          <w:b/>
          <w:bCs/>
          <w:kern w:val="0"/>
          <w:sz w:val="24"/>
          <w:szCs w:val="32"/>
          <w:lang w:val="en-US" w:eastAsia="zh-CN" w:bidi="ar-SA"/>
        </w:rPr>
        <w:t>18.3 建筑废弃物</w:t>
      </w:r>
      <w:r>
        <w:rPr>
          <w:rFonts w:ascii="宋体" w:hAnsi="宋体" w:eastAsia="宋体" w:cs="Times New Roman"/>
          <w:b/>
          <w:bCs/>
          <w:kern w:val="0"/>
          <w:sz w:val="24"/>
          <w:szCs w:val="32"/>
          <w:lang w:val="en-US" w:eastAsia="zh-CN" w:bidi="ar-SA"/>
        </w:rPr>
        <w:t>运输</w:t>
      </w:r>
      <w:r>
        <w:rPr>
          <w:rFonts w:hint="eastAsia" w:ascii="宋体" w:hAnsi="宋体" w:eastAsia="宋体" w:cs="Times New Roman"/>
          <w:b/>
          <w:bCs/>
          <w:kern w:val="0"/>
          <w:sz w:val="24"/>
          <w:szCs w:val="32"/>
          <w:lang w:val="en-US" w:eastAsia="zh-CN" w:bidi="ar-SA"/>
        </w:rPr>
        <w:t>分包</w:t>
      </w:r>
      <w:bookmarkEnd w:id="5241"/>
      <w:bookmarkEnd w:id="5242"/>
      <w:bookmarkEnd w:id="5243"/>
      <w:bookmarkEnd w:id="5244"/>
      <w:bookmarkEnd w:id="5245"/>
      <w:bookmarkEnd w:id="5246"/>
      <w:bookmarkEnd w:id="5247"/>
      <w:bookmarkEnd w:id="5248"/>
      <w:bookmarkEnd w:id="5249"/>
      <w:bookmarkEnd w:id="5250"/>
      <w:bookmarkEnd w:id="5251"/>
      <w:bookmarkEnd w:id="5252"/>
      <w:bookmarkEnd w:id="5253"/>
    </w:p>
    <w:p w14:paraId="318B8DB9">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(3)</w:t>
      </w:r>
      <w:r>
        <w:rPr>
          <w:rFonts w:ascii="宋体" w:hAnsi="宋体" w:eastAsia="宋体" w:cs="Times New Roman"/>
          <w:sz w:val="24"/>
          <w:szCs w:val="24"/>
        </w:rPr>
        <w:t>承包人将</w:t>
      </w:r>
      <w:r>
        <w:rPr>
          <w:rFonts w:hint="eastAsia" w:ascii="宋体" w:hAnsi="宋体" w:eastAsia="宋体" w:cs="Times New Roman"/>
          <w:sz w:val="24"/>
          <w:szCs w:val="24"/>
          <w:lang w:eastAsia="zh-CN"/>
        </w:rPr>
        <w:t>建筑废弃物</w:t>
      </w:r>
      <w:r>
        <w:rPr>
          <w:rFonts w:ascii="宋体" w:hAnsi="宋体" w:eastAsia="宋体" w:cs="Times New Roman"/>
          <w:sz w:val="24"/>
          <w:szCs w:val="24"/>
        </w:rPr>
        <w:t>运输任务分包给不</w:t>
      </w:r>
      <w:r>
        <w:rPr>
          <w:rFonts w:hint="eastAsia" w:ascii="宋体" w:hAnsi="宋体" w:eastAsia="宋体" w:cs="Times New Roman"/>
          <w:sz w:val="24"/>
          <w:szCs w:val="24"/>
        </w:rPr>
        <w:t>具备相应运输资质的单位</w:t>
      </w:r>
      <w:r>
        <w:rPr>
          <w:rFonts w:ascii="宋体" w:hAnsi="宋体" w:eastAsia="宋体" w:cs="Times New Roman"/>
          <w:sz w:val="24"/>
          <w:szCs w:val="24"/>
        </w:rPr>
        <w:t>时，应支付违约金</w:t>
      </w:r>
      <w:r>
        <w:rPr>
          <w:rFonts w:hint="eastAsia" w:ascii="宋体" w:hAnsi="宋体" w:eastAsia="宋体" w:cs="Times New Roman"/>
          <w:sz w:val="24"/>
          <w:szCs w:val="24"/>
          <w:u w:val="single"/>
        </w:rPr>
        <w:t xml:space="preserve">               </w:t>
      </w:r>
      <w:r>
        <w:rPr>
          <w:rFonts w:ascii="宋体" w:hAnsi="宋体" w:eastAsia="宋体" w:cs="Times New Roman"/>
          <w:sz w:val="24"/>
          <w:szCs w:val="24"/>
        </w:rPr>
        <w:t>。</w:t>
      </w:r>
    </w:p>
    <w:p w14:paraId="4815520B">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255" w:name="_Toc253369207"/>
      <w:bookmarkStart w:id="5256" w:name="_Toc7034"/>
      <w:bookmarkStart w:id="5257" w:name="_Toc8962"/>
      <w:bookmarkStart w:id="5258" w:name="_Toc27005"/>
      <w:bookmarkStart w:id="5259" w:name="_Toc6947"/>
      <w:bookmarkStart w:id="5260" w:name="_Toc3726"/>
      <w:bookmarkStart w:id="5261" w:name="_Toc16604"/>
      <w:bookmarkStart w:id="5262" w:name="_Toc201735592"/>
      <w:bookmarkStart w:id="5263" w:name="_Toc208587816"/>
      <w:bookmarkStart w:id="5264" w:name="_Toc31235"/>
      <w:bookmarkStart w:id="5265" w:name="_Toc302636003"/>
      <w:bookmarkStart w:id="5266" w:name="_Toc18732"/>
      <w:bookmarkStart w:id="5267" w:name="_Toc31721"/>
      <w:r>
        <w:rPr>
          <w:rFonts w:hint="eastAsia" w:ascii="宋体" w:hAnsi="宋体" w:eastAsia="宋体" w:cs="Times New Roman"/>
          <w:b/>
          <w:bCs/>
          <w:kern w:val="0"/>
          <w:sz w:val="24"/>
          <w:szCs w:val="32"/>
          <w:lang w:val="en-US" w:eastAsia="zh-CN" w:bidi="ar-SA"/>
        </w:rPr>
        <w:t>18.5 建筑废弃物</w:t>
      </w:r>
      <w:r>
        <w:rPr>
          <w:rFonts w:ascii="宋体" w:hAnsi="宋体" w:eastAsia="宋体" w:cs="Times New Roman"/>
          <w:b/>
          <w:bCs/>
          <w:kern w:val="0"/>
          <w:sz w:val="24"/>
          <w:szCs w:val="32"/>
          <w:lang w:val="en-US" w:eastAsia="zh-CN" w:bidi="ar-SA"/>
        </w:rPr>
        <w:t>运输车辆和</w:t>
      </w:r>
      <w:bookmarkEnd w:id="5254"/>
      <w:r>
        <w:rPr>
          <w:rFonts w:hint="eastAsia" w:ascii="宋体" w:hAnsi="宋体" w:eastAsia="宋体" w:cs="Times New Roman"/>
          <w:b/>
          <w:bCs/>
          <w:kern w:val="0"/>
          <w:sz w:val="24"/>
          <w:szCs w:val="32"/>
          <w:lang w:val="en-US" w:eastAsia="zh-CN" w:bidi="ar-SA"/>
        </w:rPr>
        <w:t>驾驶员</w:t>
      </w:r>
      <w:bookmarkEnd w:id="5255"/>
      <w:bookmarkEnd w:id="5256"/>
      <w:bookmarkEnd w:id="5257"/>
      <w:bookmarkEnd w:id="5258"/>
      <w:bookmarkEnd w:id="5259"/>
      <w:bookmarkEnd w:id="5260"/>
      <w:bookmarkEnd w:id="5261"/>
      <w:bookmarkEnd w:id="5262"/>
      <w:bookmarkEnd w:id="5263"/>
      <w:bookmarkEnd w:id="5264"/>
      <w:bookmarkEnd w:id="5265"/>
      <w:bookmarkEnd w:id="5266"/>
      <w:bookmarkEnd w:id="5267"/>
    </w:p>
    <w:p w14:paraId="7337C86E">
      <w:pPr>
        <w:spacing w:line="360" w:lineRule="auto"/>
        <w:ind w:firstLine="480"/>
        <w:jc w:val="left"/>
        <w:rPr>
          <w:rFonts w:hint="eastAsia" w:ascii="宋体" w:hAnsi="宋体" w:eastAsia="宋体" w:cs="Times New Roman"/>
          <w:sz w:val="24"/>
          <w:szCs w:val="24"/>
        </w:rPr>
      </w:pPr>
      <w:r>
        <w:rPr>
          <w:rFonts w:hint="eastAsia" w:ascii="宋体" w:hAnsi="宋体" w:eastAsia="宋体" w:cs="Times New Roman"/>
          <w:sz w:val="24"/>
          <w:szCs w:val="24"/>
        </w:rPr>
        <w:t>(2)</w:t>
      </w:r>
      <w:r>
        <w:rPr>
          <w:rFonts w:ascii="宋体" w:hAnsi="宋体" w:eastAsia="宋体" w:cs="Times New Roman"/>
          <w:sz w:val="24"/>
          <w:szCs w:val="24"/>
        </w:rPr>
        <w:t>在承包人</w:t>
      </w:r>
      <w:r>
        <w:rPr>
          <w:rFonts w:hint="eastAsia" w:ascii="宋体" w:hAnsi="宋体" w:eastAsia="宋体" w:cs="Times New Roman"/>
          <w:sz w:val="24"/>
          <w:szCs w:val="24"/>
        </w:rPr>
        <w:t>按通用条款第18.2款自行完成</w:t>
      </w:r>
      <w:r>
        <w:rPr>
          <w:rFonts w:hint="eastAsia" w:ascii="宋体" w:hAnsi="宋体" w:eastAsia="宋体" w:cs="Times New Roman"/>
          <w:sz w:val="24"/>
          <w:szCs w:val="24"/>
          <w:lang w:eastAsia="zh-CN"/>
        </w:rPr>
        <w:t>建筑废弃物</w:t>
      </w:r>
      <w:r>
        <w:rPr>
          <w:rFonts w:ascii="宋体" w:hAnsi="宋体" w:eastAsia="宋体" w:cs="Times New Roman"/>
          <w:sz w:val="24"/>
          <w:szCs w:val="24"/>
        </w:rPr>
        <w:t>运输任务时，其安排的</w:t>
      </w:r>
      <w:r>
        <w:rPr>
          <w:rFonts w:hint="eastAsia" w:ascii="宋体" w:hAnsi="宋体" w:eastAsia="宋体" w:cs="Times New Roman"/>
          <w:sz w:val="24"/>
          <w:szCs w:val="24"/>
          <w:lang w:eastAsia="zh-CN"/>
        </w:rPr>
        <w:t>建筑废弃物</w:t>
      </w:r>
      <w:r>
        <w:rPr>
          <w:rFonts w:ascii="宋体" w:hAnsi="宋体" w:eastAsia="宋体" w:cs="Times New Roman"/>
          <w:sz w:val="24"/>
          <w:szCs w:val="24"/>
        </w:rPr>
        <w:t>运输车辆</w:t>
      </w:r>
      <w:r>
        <w:rPr>
          <w:rFonts w:hint="eastAsia" w:ascii="宋体" w:hAnsi="宋体" w:eastAsia="宋体" w:cs="Times New Roman"/>
          <w:sz w:val="24"/>
          <w:szCs w:val="24"/>
        </w:rPr>
        <w:t>和</w:t>
      </w:r>
      <w:r>
        <w:rPr>
          <w:rFonts w:ascii="宋体" w:hAnsi="宋体" w:eastAsia="宋体" w:cs="Times New Roman"/>
          <w:sz w:val="24"/>
          <w:szCs w:val="24"/>
        </w:rPr>
        <w:t>驾驶员</w:t>
      </w:r>
      <w:r>
        <w:rPr>
          <w:rFonts w:hint="eastAsia" w:ascii="宋体" w:hAnsi="宋体" w:eastAsia="宋体" w:cs="Times New Roman"/>
          <w:sz w:val="24"/>
          <w:szCs w:val="24"/>
        </w:rPr>
        <w:t>有关信息见下表</w:t>
      </w:r>
      <w:r>
        <w:rPr>
          <w:rFonts w:hint="eastAsia" w:ascii="宋体" w:hAnsi="宋体" w:eastAsia="宋体" w:cs="Times New Roman"/>
          <w:bCs/>
          <w:sz w:val="24"/>
          <w:szCs w:val="24"/>
        </w:rPr>
        <w:t>(可另附页)</w:t>
      </w:r>
      <w:r>
        <w:rPr>
          <w:rFonts w:ascii="宋体" w:hAnsi="宋体" w:eastAsia="宋体" w:cs="Times New Roman"/>
          <w:sz w:val="24"/>
          <w:szCs w:val="24"/>
        </w:rPr>
        <w:t>：</w:t>
      </w:r>
    </w:p>
    <w:tbl>
      <w:tblPr>
        <w:tblStyle w:val="41"/>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662"/>
        <w:gridCol w:w="1378"/>
        <w:gridCol w:w="1378"/>
        <w:gridCol w:w="1378"/>
        <w:gridCol w:w="1378"/>
        <w:gridCol w:w="1378"/>
        <w:gridCol w:w="1379"/>
      </w:tblGrid>
      <w:tr w14:paraId="6BDE0B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385"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17A7DF91">
            <w:pPr>
              <w:spacing w:line="360" w:lineRule="auto"/>
              <w:ind w:left="-107" w:right="-107"/>
              <w:jc w:val="center"/>
              <w:rPr>
                <w:rFonts w:ascii="宋体" w:hAnsi="宋体" w:eastAsia="宋体" w:cs="Times New Roman"/>
                <w:sz w:val="24"/>
                <w:szCs w:val="24"/>
              </w:rPr>
            </w:pPr>
            <w:r>
              <w:rPr>
                <w:rFonts w:hint="eastAsia" w:ascii="宋体" w:hAnsi="宋体" w:eastAsia="宋体" w:cs="Times New Roman"/>
                <w:sz w:val="24"/>
                <w:szCs w:val="24"/>
              </w:rPr>
              <w:t>序号</w:t>
            </w:r>
          </w:p>
        </w:tc>
        <w:tc>
          <w:tcPr>
            <w:tcW w:w="1378" w:type="dxa"/>
            <w:tcBorders>
              <w:top w:val="single" w:color="auto" w:sz="4" w:space="0"/>
              <w:left w:val="single" w:color="auto" w:sz="4" w:space="0"/>
              <w:bottom w:val="single" w:color="auto" w:sz="4" w:space="0"/>
              <w:right w:val="single" w:color="auto" w:sz="4" w:space="0"/>
            </w:tcBorders>
            <w:noWrap w:val="0"/>
            <w:vAlign w:val="center"/>
          </w:tcPr>
          <w:p w14:paraId="6C45B7BC">
            <w:pPr>
              <w:spacing w:line="360" w:lineRule="auto"/>
              <w:ind w:left="-107" w:right="-107"/>
              <w:jc w:val="center"/>
              <w:rPr>
                <w:rFonts w:ascii="宋体" w:hAnsi="宋体" w:eastAsia="宋体" w:cs="Times New Roman"/>
                <w:sz w:val="24"/>
                <w:szCs w:val="24"/>
              </w:rPr>
            </w:pPr>
            <w:r>
              <w:rPr>
                <w:rFonts w:hint="eastAsia" w:ascii="宋体" w:hAnsi="宋体" w:eastAsia="宋体" w:cs="Times New Roman"/>
                <w:sz w:val="24"/>
                <w:szCs w:val="24"/>
              </w:rPr>
              <w:t>车牌号码</w:t>
            </w:r>
          </w:p>
        </w:tc>
        <w:tc>
          <w:tcPr>
            <w:tcW w:w="1378" w:type="dxa"/>
            <w:tcBorders>
              <w:top w:val="single" w:color="auto" w:sz="4" w:space="0"/>
              <w:left w:val="single" w:color="auto" w:sz="4" w:space="0"/>
              <w:bottom w:val="single" w:color="auto" w:sz="4" w:space="0"/>
              <w:right w:val="single" w:color="auto" w:sz="4" w:space="0"/>
            </w:tcBorders>
            <w:noWrap w:val="0"/>
            <w:vAlign w:val="center"/>
          </w:tcPr>
          <w:p w14:paraId="4426780E">
            <w:pPr>
              <w:spacing w:line="360" w:lineRule="auto"/>
              <w:ind w:left="-107" w:right="-107"/>
              <w:jc w:val="center"/>
              <w:rPr>
                <w:rFonts w:ascii="宋体" w:hAnsi="宋体" w:eastAsia="宋体" w:cs="Times New Roman"/>
                <w:sz w:val="24"/>
                <w:szCs w:val="24"/>
              </w:rPr>
            </w:pPr>
            <w:r>
              <w:rPr>
                <w:rFonts w:hint="eastAsia" w:ascii="宋体" w:hAnsi="宋体" w:eastAsia="宋体" w:cs="Times New Roman"/>
                <w:sz w:val="24"/>
                <w:szCs w:val="24"/>
              </w:rPr>
              <w:t>车型</w:t>
            </w:r>
          </w:p>
        </w:tc>
        <w:tc>
          <w:tcPr>
            <w:tcW w:w="1378" w:type="dxa"/>
            <w:tcBorders>
              <w:top w:val="single" w:color="auto" w:sz="4" w:space="0"/>
              <w:left w:val="single" w:color="auto" w:sz="4" w:space="0"/>
              <w:bottom w:val="single" w:color="auto" w:sz="4" w:space="0"/>
              <w:right w:val="single" w:color="auto" w:sz="4" w:space="0"/>
            </w:tcBorders>
            <w:noWrap w:val="0"/>
            <w:vAlign w:val="center"/>
          </w:tcPr>
          <w:p w14:paraId="7A96BEA1">
            <w:pPr>
              <w:spacing w:line="360" w:lineRule="auto"/>
              <w:ind w:left="-107" w:right="-107"/>
              <w:jc w:val="center"/>
              <w:rPr>
                <w:rFonts w:hint="eastAsia" w:ascii="宋体" w:hAnsi="宋体" w:eastAsia="宋体" w:cs="Times New Roman"/>
                <w:sz w:val="24"/>
                <w:szCs w:val="24"/>
              </w:rPr>
            </w:pPr>
            <w:r>
              <w:rPr>
                <w:rFonts w:hint="eastAsia" w:ascii="宋体" w:hAnsi="宋体" w:eastAsia="宋体" w:cs="Times New Roman"/>
                <w:sz w:val="24"/>
                <w:szCs w:val="24"/>
              </w:rPr>
              <w:t>车辆证件号</w:t>
            </w:r>
          </w:p>
        </w:tc>
        <w:tc>
          <w:tcPr>
            <w:tcW w:w="1378" w:type="dxa"/>
            <w:tcBorders>
              <w:top w:val="single" w:color="auto" w:sz="4" w:space="0"/>
              <w:left w:val="single" w:color="auto" w:sz="4" w:space="0"/>
              <w:bottom w:val="single" w:color="auto" w:sz="4" w:space="0"/>
              <w:right w:val="single" w:color="auto" w:sz="4" w:space="0"/>
            </w:tcBorders>
            <w:noWrap w:val="0"/>
            <w:vAlign w:val="center"/>
          </w:tcPr>
          <w:p w14:paraId="1628C0E4">
            <w:pPr>
              <w:spacing w:line="360" w:lineRule="auto"/>
              <w:ind w:left="-107" w:right="-107"/>
              <w:jc w:val="center"/>
              <w:rPr>
                <w:rFonts w:ascii="宋体" w:hAnsi="宋体" w:eastAsia="宋体" w:cs="Times New Roman"/>
                <w:sz w:val="24"/>
                <w:szCs w:val="24"/>
              </w:rPr>
            </w:pPr>
            <w:r>
              <w:rPr>
                <w:rFonts w:hint="eastAsia" w:ascii="宋体" w:hAnsi="宋体" w:eastAsia="宋体" w:cs="Times New Roman"/>
                <w:sz w:val="24"/>
                <w:szCs w:val="24"/>
              </w:rPr>
              <w:t>驾驶员姓名</w:t>
            </w:r>
          </w:p>
        </w:tc>
        <w:tc>
          <w:tcPr>
            <w:tcW w:w="1378" w:type="dxa"/>
            <w:tcBorders>
              <w:top w:val="single" w:color="auto" w:sz="4" w:space="0"/>
              <w:left w:val="single" w:color="auto" w:sz="4" w:space="0"/>
              <w:bottom w:val="single" w:color="auto" w:sz="4" w:space="0"/>
              <w:right w:val="single" w:color="auto" w:sz="4" w:space="0"/>
            </w:tcBorders>
            <w:noWrap w:val="0"/>
            <w:vAlign w:val="center"/>
          </w:tcPr>
          <w:p w14:paraId="0C9E8E4B">
            <w:pPr>
              <w:spacing w:line="360" w:lineRule="auto"/>
              <w:ind w:left="-107" w:right="-107"/>
              <w:jc w:val="center"/>
              <w:rPr>
                <w:rFonts w:hint="eastAsia" w:ascii="宋体" w:hAnsi="宋体" w:eastAsia="宋体" w:cs="Times New Roman"/>
                <w:sz w:val="24"/>
                <w:szCs w:val="24"/>
              </w:rPr>
            </w:pPr>
            <w:r>
              <w:rPr>
                <w:rFonts w:hint="eastAsia" w:ascii="宋体" w:hAnsi="宋体" w:eastAsia="宋体" w:cs="Times New Roman"/>
                <w:sz w:val="24"/>
                <w:szCs w:val="24"/>
              </w:rPr>
              <w:t>驾驶证件号</w:t>
            </w:r>
          </w:p>
        </w:tc>
        <w:tc>
          <w:tcPr>
            <w:tcW w:w="1379" w:type="dxa"/>
            <w:tcBorders>
              <w:top w:val="single" w:color="auto" w:sz="4" w:space="0"/>
              <w:left w:val="single" w:color="auto" w:sz="4" w:space="0"/>
              <w:bottom w:val="single" w:color="auto" w:sz="4" w:space="0"/>
              <w:right w:val="single" w:color="auto" w:sz="4" w:space="0"/>
            </w:tcBorders>
            <w:noWrap w:val="0"/>
            <w:vAlign w:val="center"/>
          </w:tcPr>
          <w:p w14:paraId="0C26923F">
            <w:pPr>
              <w:spacing w:line="360" w:lineRule="auto"/>
              <w:ind w:right="-107"/>
              <w:jc w:val="center"/>
              <w:rPr>
                <w:rFonts w:hint="eastAsia" w:ascii="宋体" w:hAnsi="宋体" w:eastAsia="宋体" w:cs="Times New Roman"/>
                <w:sz w:val="24"/>
                <w:szCs w:val="24"/>
              </w:rPr>
            </w:pPr>
            <w:r>
              <w:rPr>
                <w:rFonts w:hint="eastAsia" w:ascii="宋体" w:hAnsi="宋体" w:eastAsia="宋体" w:cs="Times New Roman"/>
                <w:sz w:val="24"/>
                <w:szCs w:val="24"/>
              </w:rPr>
              <w:t>备注</w:t>
            </w:r>
          </w:p>
        </w:tc>
      </w:tr>
      <w:tr w14:paraId="3FE1CA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5F06C7A0">
            <w:pPr>
              <w:spacing w:line="360" w:lineRule="auto"/>
              <w:jc w:val="center"/>
              <w:rPr>
                <w:rFonts w:ascii="宋体" w:hAnsi="宋体" w:eastAsia="宋体" w:cs="Times New Roman"/>
                <w:sz w:val="24"/>
                <w:szCs w:val="24"/>
              </w:rPr>
            </w:pPr>
            <w:r>
              <w:rPr>
                <w:rFonts w:ascii="宋体" w:hAnsi="宋体" w:eastAsia="宋体" w:cs="Times New Roman"/>
                <w:sz w:val="24"/>
                <w:szCs w:val="24"/>
              </w:rPr>
              <w:t>1</w:t>
            </w:r>
          </w:p>
        </w:tc>
        <w:tc>
          <w:tcPr>
            <w:tcW w:w="1378" w:type="dxa"/>
            <w:tcBorders>
              <w:top w:val="single" w:color="auto" w:sz="4" w:space="0"/>
              <w:left w:val="single" w:color="auto" w:sz="4" w:space="0"/>
              <w:bottom w:val="single" w:color="auto" w:sz="4" w:space="0"/>
              <w:right w:val="single" w:color="auto" w:sz="4" w:space="0"/>
            </w:tcBorders>
            <w:noWrap w:val="0"/>
            <w:vAlign w:val="bottom"/>
          </w:tcPr>
          <w:p w14:paraId="4B4F5F0C">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3DAF94E1">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6E7FACFB">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3FFBE0CB">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4F052198">
            <w:pPr>
              <w:spacing w:line="360" w:lineRule="auto"/>
              <w:rPr>
                <w:rFonts w:ascii="宋体" w:hAnsi="宋体" w:eastAsia="宋体" w:cs="Times New Roman"/>
                <w:sz w:val="24"/>
                <w:szCs w:val="24"/>
              </w:rPr>
            </w:pPr>
          </w:p>
        </w:tc>
        <w:tc>
          <w:tcPr>
            <w:tcW w:w="1379" w:type="dxa"/>
            <w:tcBorders>
              <w:top w:val="single" w:color="auto" w:sz="4" w:space="0"/>
              <w:left w:val="single" w:color="auto" w:sz="4" w:space="0"/>
              <w:bottom w:val="single" w:color="auto" w:sz="4" w:space="0"/>
              <w:right w:val="single" w:color="auto" w:sz="4" w:space="0"/>
            </w:tcBorders>
            <w:noWrap w:val="0"/>
            <w:vAlign w:val="bottom"/>
          </w:tcPr>
          <w:p w14:paraId="5A694630">
            <w:pPr>
              <w:spacing w:line="360" w:lineRule="auto"/>
              <w:rPr>
                <w:rFonts w:ascii="宋体" w:hAnsi="宋体" w:eastAsia="宋体" w:cs="Times New Roman"/>
                <w:sz w:val="24"/>
                <w:szCs w:val="24"/>
              </w:rPr>
            </w:pPr>
          </w:p>
        </w:tc>
      </w:tr>
      <w:tr w14:paraId="27EDAC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2B278190">
            <w:pPr>
              <w:spacing w:line="360" w:lineRule="auto"/>
              <w:jc w:val="center"/>
              <w:rPr>
                <w:rFonts w:ascii="宋体" w:hAnsi="宋体" w:eastAsia="宋体" w:cs="Times New Roman"/>
                <w:sz w:val="24"/>
                <w:szCs w:val="24"/>
              </w:rPr>
            </w:pPr>
            <w:r>
              <w:rPr>
                <w:rFonts w:ascii="宋体" w:hAnsi="宋体" w:eastAsia="宋体" w:cs="Times New Roman"/>
                <w:sz w:val="24"/>
                <w:szCs w:val="24"/>
              </w:rPr>
              <w:t>2</w:t>
            </w:r>
          </w:p>
        </w:tc>
        <w:tc>
          <w:tcPr>
            <w:tcW w:w="1378" w:type="dxa"/>
            <w:tcBorders>
              <w:top w:val="single" w:color="auto" w:sz="4" w:space="0"/>
              <w:left w:val="single" w:color="auto" w:sz="4" w:space="0"/>
              <w:bottom w:val="single" w:color="auto" w:sz="4" w:space="0"/>
              <w:right w:val="single" w:color="auto" w:sz="4" w:space="0"/>
            </w:tcBorders>
            <w:noWrap w:val="0"/>
            <w:vAlign w:val="bottom"/>
          </w:tcPr>
          <w:p w14:paraId="2788306D">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6963FEBB">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2D911714">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2993BD09">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6926011C">
            <w:pPr>
              <w:spacing w:line="360" w:lineRule="auto"/>
              <w:rPr>
                <w:rFonts w:ascii="宋体" w:hAnsi="宋体" w:eastAsia="宋体" w:cs="Times New Roman"/>
                <w:sz w:val="24"/>
                <w:szCs w:val="24"/>
              </w:rPr>
            </w:pPr>
          </w:p>
        </w:tc>
        <w:tc>
          <w:tcPr>
            <w:tcW w:w="1379" w:type="dxa"/>
            <w:tcBorders>
              <w:top w:val="single" w:color="auto" w:sz="4" w:space="0"/>
              <w:left w:val="single" w:color="auto" w:sz="4" w:space="0"/>
              <w:bottom w:val="single" w:color="auto" w:sz="4" w:space="0"/>
              <w:right w:val="single" w:color="auto" w:sz="4" w:space="0"/>
            </w:tcBorders>
            <w:noWrap w:val="0"/>
            <w:vAlign w:val="bottom"/>
          </w:tcPr>
          <w:p w14:paraId="7D9A7434">
            <w:pPr>
              <w:spacing w:line="360" w:lineRule="auto"/>
              <w:rPr>
                <w:rFonts w:ascii="宋体" w:hAnsi="宋体" w:eastAsia="宋体" w:cs="Times New Roman"/>
                <w:sz w:val="24"/>
                <w:szCs w:val="24"/>
              </w:rPr>
            </w:pPr>
          </w:p>
        </w:tc>
      </w:tr>
      <w:tr w14:paraId="48350B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43DFC9E6">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3</w:t>
            </w:r>
          </w:p>
        </w:tc>
        <w:tc>
          <w:tcPr>
            <w:tcW w:w="1378" w:type="dxa"/>
            <w:tcBorders>
              <w:top w:val="single" w:color="auto" w:sz="4" w:space="0"/>
              <w:left w:val="single" w:color="auto" w:sz="4" w:space="0"/>
              <w:bottom w:val="single" w:color="auto" w:sz="4" w:space="0"/>
              <w:right w:val="single" w:color="auto" w:sz="4" w:space="0"/>
            </w:tcBorders>
            <w:noWrap w:val="0"/>
            <w:vAlign w:val="bottom"/>
          </w:tcPr>
          <w:p w14:paraId="328DBC9C">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25258E74">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28144F87">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0FB82CCD">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4F83442C">
            <w:pPr>
              <w:spacing w:line="360" w:lineRule="auto"/>
              <w:rPr>
                <w:rFonts w:ascii="宋体" w:hAnsi="宋体" w:eastAsia="宋体" w:cs="Times New Roman"/>
                <w:sz w:val="24"/>
                <w:szCs w:val="24"/>
              </w:rPr>
            </w:pPr>
          </w:p>
        </w:tc>
        <w:tc>
          <w:tcPr>
            <w:tcW w:w="1379" w:type="dxa"/>
            <w:tcBorders>
              <w:top w:val="single" w:color="auto" w:sz="4" w:space="0"/>
              <w:left w:val="single" w:color="auto" w:sz="4" w:space="0"/>
              <w:bottom w:val="single" w:color="auto" w:sz="4" w:space="0"/>
              <w:right w:val="single" w:color="auto" w:sz="4" w:space="0"/>
            </w:tcBorders>
            <w:noWrap w:val="0"/>
            <w:vAlign w:val="bottom"/>
          </w:tcPr>
          <w:p w14:paraId="2B547AB5">
            <w:pPr>
              <w:spacing w:line="360" w:lineRule="auto"/>
              <w:rPr>
                <w:rFonts w:ascii="宋体" w:hAnsi="宋体" w:eastAsia="宋体" w:cs="Times New Roman"/>
                <w:sz w:val="24"/>
                <w:szCs w:val="24"/>
              </w:rPr>
            </w:pPr>
          </w:p>
        </w:tc>
      </w:tr>
      <w:tr w14:paraId="0802DC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4D329BDB">
            <w:pPr>
              <w:spacing w:line="360" w:lineRule="auto"/>
              <w:jc w:val="center"/>
              <w:rPr>
                <w:rFonts w:hint="eastAsia" w:ascii="宋体" w:hAnsi="宋体" w:eastAsia="宋体" w:cs="Times New Roman"/>
                <w:sz w:val="24"/>
                <w:szCs w:val="24"/>
              </w:rPr>
            </w:pPr>
            <w:r>
              <w:rPr>
                <w:rFonts w:ascii="宋体" w:hAnsi="宋体" w:eastAsia="宋体" w:cs="Times New Roman"/>
                <w:sz w:val="24"/>
                <w:szCs w:val="24"/>
              </w:rPr>
              <w:t>4</w:t>
            </w:r>
          </w:p>
        </w:tc>
        <w:tc>
          <w:tcPr>
            <w:tcW w:w="1378" w:type="dxa"/>
            <w:tcBorders>
              <w:top w:val="single" w:color="auto" w:sz="4" w:space="0"/>
              <w:left w:val="single" w:color="auto" w:sz="4" w:space="0"/>
              <w:bottom w:val="single" w:color="auto" w:sz="4" w:space="0"/>
              <w:right w:val="single" w:color="auto" w:sz="4" w:space="0"/>
            </w:tcBorders>
            <w:noWrap w:val="0"/>
            <w:vAlign w:val="bottom"/>
          </w:tcPr>
          <w:p w14:paraId="401A4EEE">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644E3926">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4A3A552B">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794571A1">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090CBBA4">
            <w:pPr>
              <w:spacing w:line="360" w:lineRule="auto"/>
              <w:rPr>
                <w:rFonts w:ascii="宋体" w:hAnsi="宋体" w:eastAsia="宋体" w:cs="Times New Roman"/>
                <w:sz w:val="24"/>
                <w:szCs w:val="24"/>
              </w:rPr>
            </w:pPr>
          </w:p>
        </w:tc>
        <w:tc>
          <w:tcPr>
            <w:tcW w:w="1379" w:type="dxa"/>
            <w:tcBorders>
              <w:top w:val="single" w:color="auto" w:sz="4" w:space="0"/>
              <w:left w:val="single" w:color="auto" w:sz="4" w:space="0"/>
              <w:bottom w:val="single" w:color="auto" w:sz="4" w:space="0"/>
              <w:right w:val="single" w:color="auto" w:sz="4" w:space="0"/>
            </w:tcBorders>
            <w:noWrap w:val="0"/>
            <w:vAlign w:val="bottom"/>
          </w:tcPr>
          <w:p w14:paraId="4D540B23">
            <w:pPr>
              <w:spacing w:line="360" w:lineRule="auto"/>
              <w:rPr>
                <w:rFonts w:ascii="宋体" w:hAnsi="宋体" w:eastAsia="宋体" w:cs="Times New Roman"/>
                <w:sz w:val="24"/>
                <w:szCs w:val="24"/>
              </w:rPr>
            </w:pPr>
          </w:p>
        </w:tc>
      </w:tr>
      <w:tr w14:paraId="269F46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5FD1BA81">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5</w:t>
            </w:r>
          </w:p>
        </w:tc>
        <w:tc>
          <w:tcPr>
            <w:tcW w:w="1378" w:type="dxa"/>
            <w:tcBorders>
              <w:top w:val="single" w:color="auto" w:sz="4" w:space="0"/>
              <w:left w:val="single" w:color="auto" w:sz="4" w:space="0"/>
              <w:bottom w:val="single" w:color="auto" w:sz="4" w:space="0"/>
              <w:right w:val="single" w:color="auto" w:sz="4" w:space="0"/>
            </w:tcBorders>
            <w:noWrap w:val="0"/>
            <w:vAlign w:val="bottom"/>
          </w:tcPr>
          <w:p w14:paraId="504F3FC3">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40DDD855">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5A64C389">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4698B942">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61C4FA46">
            <w:pPr>
              <w:spacing w:line="360" w:lineRule="auto"/>
              <w:rPr>
                <w:rFonts w:ascii="宋体" w:hAnsi="宋体" w:eastAsia="宋体" w:cs="Times New Roman"/>
                <w:sz w:val="24"/>
                <w:szCs w:val="24"/>
              </w:rPr>
            </w:pPr>
          </w:p>
        </w:tc>
        <w:tc>
          <w:tcPr>
            <w:tcW w:w="1379" w:type="dxa"/>
            <w:tcBorders>
              <w:top w:val="single" w:color="auto" w:sz="4" w:space="0"/>
              <w:left w:val="single" w:color="auto" w:sz="4" w:space="0"/>
              <w:bottom w:val="single" w:color="auto" w:sz="4" w:space="0"/>
              <w:right w:val="single" w:color="auto" w:sz="4" w:space="0"/>
            </w:tcBorders>
            <w:noWrap w:val="0"/>
            <w:vAlign w:val="bottom"/>
          </w:tcPr>
          <w:p w14:paraId="539677E6">
            <w:pPr>
              <w:spacing w:line="360" w:lineRule="auto"/>
              <w:rPr>
                <w:rFonts w:ascii="宋体" w:hAnsi="宋体" w:eastAsia="宋体" w:cs="Times New Roman"/>
                <w:sz w:val="24"/>
                <w:szCs w:val="24"/>
              </w:rPr>
            </w:pPr>
          </w:p>
        </w:tc>
      </w:tr>
      <w:tr w14:paraId="2FA39F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4E0B6040">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6</w:t>
            </w:r>
          </w:p>
        </w:tc>
        <w:tc>
          <w:tcPr>
            <w:tcW w:w="1378" w:type="dxa"/>
            <w:tcBorders>
              <w:top w:val="single" w:color="auto" w:sz="4" w:space="0"/>
              <w:left w:val="single" w:color="auto" w:sz="4" w:space="0"/>
              <w:bottom w:val="single" w:color="auto" w:sz="4" w:space="0"/>
              <w:right w:val="single" w:color="auto" w:sz="4" w:space="0"/>
            </w:tcBorders>
            <w:noWrap w:val="0"/>
            <w:vAlign w:val="bottom"/>
          </w:tcPr>
          <w:p w14:paraId="329019DD">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17679B45">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5B40A929">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4D6EA719">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4045214A">
            <w:pPr>
              <w:spacing w:line="360" w:lineRule="auto"/>
              <w:rPr>
                <w:rFonts w:ascii="宋体" w:hAnsi="宋体" w:eastAsia="宋体" w:cs="Times New Roman"/>
                <w:sz w:val="24"/>
                <w:szCs w:val="24"/>
              </w:rPr>
            </w:pPr>
          </w:p>
        </w:tc>
        <w:tc>
          <w:tcPr>
            <w:tcW w:w="1379" w:type="dxa"/>
            <w:tcBorders>
              <w:top w:val="single" w:color="auto" w:sz="4" w:space="0"/>
              <w:left w:val="single" w:color="auto" w:sz="4" w:space="0"/>
              <w:bottom w:val="single" w:color="auto" w:sz="4" w:space="0"/>
              <w:right w:val="single" w:color="auto" w:sz="4" w:space="0"/>
            </w:tcBorders>
            <w:noWrap w:val="0"/>
            <w:vAlign w:val="bottom"/>
          </w:tcPr>
          <w:p w14:paraId="52E2F7E9">
            <w:pPr>
              <w:spacing w:line="360" w:lineRule="auto"/>
              <w:rPr>
                <w:rFonts w:ascii="宋体" w:hAnsi="宋体" w:eastAsia="宋体" w:cs="Times New Roman"/>
                <w:sz w:val="24"/>
                <w:szCs w:val="24"/>
              </w:rPr>
            </w:pPr>
          </w:p>
        </w:tc>
      </w:tr>
      <w:tr w14:paraId="08DDA1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63AFEFC8">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7</w:t>
            </w:r>
          </w:p>
        </w:tc>
        <w:tc>
          <w:tcPr>
            <w:tcW w:w="1378" w:type="dxa"/>
            <w:tcBorders>
              <w:top w:val="single" w:color="auto" w:sz="4" w:space="0"/>
              <w:left w:val="single" w:color="auto" w:sz="4" w:space="0"/>
              <w:bottom w:val="single" w:color="auto" w:sz="4" w:space="0"/>
              <w:right w:val="single" w:color="auto" w:sz="4" w:space="0"/>
            </w:tcBorders>
            <w:noWrap w:val="0"/>
            <w:vAlign w:val="bottom"/>
          </w:tcPr>
          <w:p w14:paraId="33C8CD9B">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2B1E5C89">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68454E9C">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14FE51A9">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03E84607">
            <w:pPr>
              <w:spacing w:line="360" w:lineRule="auto"/>
              <w:rPr>
                <w:rFonts w:ascii="宋体" w:hAnsi="宋体" w:eastAsia="宋体" w:cs="Times New Roman"/>
                <w:sz w:val="24"/>
                <w:szCs w:val="24"/>
              </w:rPr>
            </w:pPr>
          </w:p>
        </w:tc>
        <w:tc>
          <w:tcPr>
            <w:tcW w:w="1379" w:type="dxa"/>
            <w:tcBorders>
              <w:top w:val="single" w:color="auto" w:sz="4" w:space="0"/>
              <w:left w:val="single" w:color="auto" w:sz="4" w:space="0"/>
              <w:bottom w:val="single" w:color="auto" w:sz="4" w:space="0"/>
              <w:right w:val="single" w:color="auto" w:sz="4" w:space="0"/>
            </w:tcBorders>
            <w:noWrap w:val="0"/>
            <w:vAlign w:val="bottom"/>
          </w:tcPr>
          <w:p w14:paraId="7AA5F417">
            <w:pPr>
              <w:spacing w:line="360" w:lineRule="auto"/>
              <w:rPr>
                <w:rFonts w:ascii="宋体" w:hAnsi="宋体" w:eastAsia="宋体" w:cs="Times New Roman"/>
                <w:sz w:val="24"/>
                <w:szCs w:val="24"/>
              </w:rPr>
            </w:pPr>
          </w:p>
        </w:tc>
      </w:tr>
      <w:tr w14:paraId="03572B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684DC0F5">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8</w:t>
            </w:r>
          </w:p>
        </w:tc>
        <w:tc>
          <w:tcPr>
            <w:tcW w:w="1378" w:type="dxa"/>
            <w:tcBorders>
              <w:top w:val="single" w:color="auto" w:sz="4" w:space="0"/>
              <w:left w:val="single" w:color="auto" w:sz="4" w:space="0"/>
              <w:bottom w:val="single" w:color="auto" w:sz="4" w:space="0"/>
              <w:right w:val="single" w:color="auto" w:sz="4" w:space="0"/>
            </w:tcBorders>
            <w:noWrap w:val="0"/>
            <w:vAlign w:val="bottom"/>
          </w:tcPr>
          <w:p w14:paraId="64942994">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64B2429E">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79603858">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41C6477D">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6485DDC7">
            <w:pPr>
              <w:spacing w:line="360" w:lineRule="auto"/>
              <w:rPr>
                <w:rFonts w:ascii="宋体" w:hAnsi="宋体" w:eastAsia="宋体" w:cs="Times New Roman"/>
                <w:sz w:val="24"/>
                <w:szCs w:val="24"/>
              </w:rPr>
            </w:pPr>
          </w:p>
        </w:tc>
        <w:tc>
          <w:tcPr>
            <w:tcW w:w="1379" w:type="dxa"/>
            <w:tcBorders>
              <w:top w:val="single" w:color="auto" w:sz="4" w:space="0"/>
              <w:left w:val="single" w:color="auto" w:sz="4" w:space="0"/>
              <w:bottom w:val="single" w:color="auto" w:sz="4" w:space="0"/>
              <w:right w:val="single" w:color="auto" w:sz="4" w:space="0"/>
            </w:tcBorders>
            <w:noWrap w:val="0"/>
            <w:vAlign w:val="bottom"/>
          </w:tcPr>
          <w:p w14:paraId="35D961EB">
            <w:pPr>
              <w:spacing w:line="360" w:lineRule="auto"/>
              <w:rPr>
                <w:rFonts w:ascii="宋体" w:hAnsi="宋体" w:eastAsia="宋体" w:cs="Times New Roman"/>
                <w:sz w:val="24"/>
                <w:szCs w:val="24"/>
              </w:rPr>
            </w:pPr>
          </w:p>
        </w:tc>
      </w:tr>
      <w:tr w14:paraId="1192DB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00F18106">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9</w:t>
            </w:r>
          </w:p>
        </w:tc>
        <w:tc>
          <w:tcPr>
            <w:tcW w:w="1378" w:type="dxa"/>
            <w:tcBorders>
              <w:top w:val="single" w:color="auto" w:sz="4" w:space="0"/>
              <w:left w:val="single" w:color="auto" w:sz="4" w:space="0"/>
              <w:bottom w:val="single" w:color="auto" w:sz="4" w:space="0"/>
              <w:right w:val="single" w:color="auto" w:sz="4" w:space="0"/>
            </w:tcBorders>
            <w:noWrap w:val="0"/>
            <w:vAlign w:val="bottom"/>
          </w:tcPr>
          <w:p w14:paraId="7B35E854">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6CFFA99D">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30E7B6FA">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7D1711B5">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193D5ACF">
            <w:pPr>
              <w:spacing w:line="360" w:lineRule="auto"/>
              <w:rPr>
                <w:rFonts w:ascii="宋体" w:hAnsi="宋体" w:eastAsia="宋体" w:cs="Times New Roman"/>
                <w:sz w:val="24"/>
                <w:szCs w:val="24"/>
              </w:rPr>
            </w:pPr>
          </w:p>
        </w:tc>
        <w:tc>
          <w:tcPr>
            <w:tcW w:w="1379" w:type="dxa"/>
            <w:tcBorders>
              <w:top w:val="single" w:color="auto" w:sz="4" w:space="0"/>
              <w:left w:val="single" w:color="auto" w:sz="4" w:space="0"/>
              <w:bottom w:val="single" w:color="auto" w:sz="4" w:space="0"/>
              <w:right w:val="single" w:color="auto" w:sz="4" w:space="0"/>
            </w:tcBorders>
            <w:noWrap w:val="0"/>
            <w:vAlign w:val="bottom"/>
          </w:tcPr>
          <w:p w14:paraId="2B4A730B">
            <w:pPr>
              <w:spacing w:line="360" w:lineRule="auto"/>
              <w:rPr>
                <w:rFonts w:ascii="宋体" w:hAnsi="宋体" w:eastAsia="宋体" w:cs="Times New Roman"/>
                <w:sz w:val="24"/>
                <w:szCs w:val="24"/>
              </w:rPr>
            </w:pPr>
          </w:p>
        </w:tc>
      </w:tr>
      <w:tr w14:paraId="006406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50C25F43">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10</w:t>
            </w:r>
          </w:p>
        </w:tc>
        <w:tc>
          <w:tcPr>
            <w:tcW w:w="1378" w:type="dxa"/>
            <w:tcBorders>
              <w:top w:val="single" w:color="auto" w:sz="4" w:space="0"/>
              <w:left w:val="single" w:color="auto" w:sz="4" w:space="0"/>
              <w:bottom w:val="single" w:color="auto" w:sz="4" w:space="0"/>
              <w:right w:val="single" w:color="auto" w:sz="4" w:space="0"/>
            </w:tcBorders>
            <w:noWrap w:val="0"/>
            <w:vAlign w:val="bottom"/>
          </w:tcPr>
          <w:p w14:paraId="47A85867">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4F868103">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35965663">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191D0BA3">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228125B7">
            <w:pPr>
              <w:spacing w:line="360" w:lineRule="auto"/>
              <w:rPr>
                <w:rFonts w:ascii="宋体" w:hAnsi="宋体" w:eastAsia="宋体" w:cs="Times New Roman"/>
                <w:sz w:val="24"/>
                <w:szCs w:val="24"/>
              </w:rPr>
            </w:pPr>
          </w:p>
        </w:tc>
        <w:tc>
          <w:tcPr>
            <w:tcW w:w="1379" w:type="dxa"/>
            <w:tcBorders>
              <w:top w:val="single" w:color="auto" w:sz="4" w:space="0"/>
              <w:left w:val="single" w:color="auto" w:sz="4" w:space="0"/>
              <w:bottom w:val="single" w:color="auto" w:sz="4" w:space="0"/>
              <w:right w:val="single" w:color="auto" w:sz="4" w:space="0"/>
            </w:tcBorders>
            <w:noWrap w:val="0"/>
            <w:vAlign w:val="bottom"/>
          </w:tcPr>
          <w:p w14:paraId="5781BBB5">
            <w:pPr>
              <w:spacing w:line="360" w:lineRule="auto"/>
              <w:rPr>
                <w:rFonts w:ascii="宋体" w:hAnsi="宋体" w:eastAsia="宋体" w:cs="Times New Roman"/>
                <w:sz w:val="24"/>
                <w:szCs w:val="24"/>
              </w:rPr>
            </w:pPr>
          </w:p>
        </w:tc>
      </w:tr>
      <w:tr w14:paraId="47D064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50E89F60">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w:t>
            </w:r>
          </w:p>
        </w:tc>
        <w:tc>
          <w:tcPr>
            <w:tcW w:w="1378" w:type="dxa"/>
            <w:tcBorders>
              <w:top w:val="single" w:color="auto" w:sz="4" w:space="0"/>
              <w:left w:val="single" w:color="auto" w:sz="4" w:space="0"/>
              <w:bottom w:val="single" w:color="auto" w:sz="4" w:space="0"/>
              <w:right w:val="single" w:color="auto" w:sz="4" w:space="0"/>
            </w:tcBorders>
            <w:noWrap w:val="0"/>
            <w:vAlign w:val="bottom"/>
          </w:tcPr>
          <w:p w14:paraId="64F6533F">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71F095DE">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42B3169D">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7C10A91F">
            <w:pPr>
              <w:spacing w:line="360" w:lineRule="auto"/>
              <w:rPr>
                <w:rFonts w:ascii="宋体" w:hAnsi="宋体" w:eastAsia="宋体" w:cs="Times New Roman"/>
                <w:sz w:val="24"/>
                <w:szCs w:val="24"/>
              </w:rPr>
            </w:pPr>
          </w:p>
        </w:tc>
        <w:tc>
          <w:tcPr>
            <w:tcW w:w="1378" w:type="dxa"/>
            <w:tcBorders>
              <w:top w:val="single" w:color="auto" w:sz="4" w:space="0"/>
              <w:left w:val="single" w:color="auto" w:sz="4" w:space="0"/>
              <w:bottom w:val="single" w:color="auto" w:sz="4" w:space="0"/>
              <w:right w:val="single" w:color="auto" w:sz="4" w:space="0"/>
            </w:tcBorders>
            <w:noWrap w:val="0"/>
            <w:vAlign w:val="bottom"/>
          </w:tcPr>
          <w:p w14:paraId="57642B54">
            <w:pPr>
              <w:spacing w:line="360" w:lineRule="auto"/>
              <w:rPr>
                <w:rFonts w:ascii="宋体" w:hAnsi="宋体" w:eastAsia="宋体" w:cs="Times New Roman"/>
                <w:sz w:val="24"/>
                <w:szCs w:val="24"/>
              </w:rPr>
            </w:pPr>
          </w:p>
        </w:tc>
        <w:tc>
          <w:tcPr>
            <w:tcW w:w="1379" w:type="dxa"/>
            <w:tcBorders>
              <w:top w:val="single" w:color="auto" w:sz="4" w:space="0"/>
              <w:left w:val="single" w:color="auto" w:sz="4" w:space="0"/>
              <w:bottom w:val="single" w:color="auto" w:sz="4" w:space="0"/>
              <w:right w:val="single" w:color="auto" w:sz="4" w:space="0"/>
            </w:tcBorders>
            <w:noWrap w:val="0"/>
            <w:vAlign w:val="bottom"/>
          </w:tcPr>
          <w:p w14:paraId="706AA494">
            <w:pPr>
              <w:spacing w:line="360" w:lineRule="auto"/>
              <w:rPr>
                <w:rFonts w:ascii="宋体" w:hAnsi="宋体" w:eastAsia="宋体" w:cs="Times New Roman"/>
                <w:sz w:val="24"/>
                <w:szCs w:val="24"/>
              </w:rPr>
            </w:pPr>
          </w:p>
        </w:tc>
      </w:tr>
    </w:tbl>
    <w:p w14:paraId="39F72371">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(5)</w:t>
      </w:r>
      <w:r>
        <w:rPr>
          <w:rFonts w:ascii="宋体" w:hAnsi="宋体" w:eastAsia="宋体" w:cs="Times New Roman"/>
          <w:sz w:val="24"/>
          <w:szCs w:val="24"/>
        </w:rPr>
        <w:t>承包人安排的车辆不符合通用条款第</w:t>
      </w:r>
      <w:r>
        <w:rPr>
          <w:rFonts w:hint="eastAsia" w:ascii="宋体" w:hAnsi="宋体" w:eastAsia="宋体" w:cs="Times New Roman"/>
          <w:sz w:val="24"/>
          <w:szCs w:val="24"/>
        </w:rPr>
        <w:t>18</w:t>
      </w:r>
      <w:r>
        <w:rPr>
          <w:rFonts w:ascii="宋体" w:hAnsi="宋体" w:eastAsia="宋体" w:cs="Times New Roman"/>
          <w:sz w:val="24"/>
          <w:szCs w:val="24"/>
        </w:rPr>
        <w:t>.</w:t>
      </w:r>
      <w:r>
        <w:rPr>
          <w:rFonts w:hint="eastAsia" w:ascii="宋体" w:hAnsi="宋体" w:eastAsia="宋体" w:cs="Times New Roman"/>
          <w:sz w:val="24"/>
          <w:szCs w:val="24"/>
        </w:rPr>
        <w:t>5款(1)项</w:t>
      </w:r>
      <w:r>
        <w:rPr>
          <w:rFonts w:ascii="宋体" w:hAnsi="宋体" w:eastAsia="宋体" w:cs="Times New Roman"/>
          <w:sz w:val="24"/>
          <w:szCs w:val="24"/>
        </w:rPr>
        <w:t>规定的证件要求</w:t>
      </w:r>
      <w:r>
        <w:rPr>
          <w:rFonts w:hint="eastAsia" w:ascii="宋体" w:hAnsi="宋体" w:eastAsia="宋体" w:cs="Times New Roman"/>
          <w:sz w:val="24"/>
          <w:szCs w:val="24"/>
        </w:rPr>
        <w:t>，或未如实向监理工程师报送车辆和驾驶员信息，或</w:t>
      </w:r>
      <w:r>
        <w:rPr>
          <w:rFonts w:ascii="宋体" w:hAnsi="宋体" w:eastAsia="宋体" w:cs="Times New Roman"/>
          <w:sz w:val="24"/>
          <w:szCs w:val="24"/>
        </w:rPr>
        <w:t>未依程序自行改变车辆和专职驾驶员名单，承包人应</w:t>
      </w:r>
      <w:r>
        <w:rPr>
          <w:rFonts w:hint="eastAsia" w:ascii="宋体" w:hAnsi="宋体" w:eastAsia="宋体" w:cs="Times New Roman"/>
          <w:sz w:val="24"/>
          <w:szCs w:val="24"/>
        </w:rPr>
        <w:t>向发包人</w:t>
      </w:r>
      <w:r>
        <w:rPr>
          <w:rFonts w:ascii="宋体" w:hAnsi="宋体" w:eastAsia="宋体" w:cs="Times New Roman"/>
          <w:sz w:val="24"/>
          <w:szCs w:val="24"/>
        </w:rPr>
        <w:t>支付违约金：</w:t>
      </w:r>
      <w:r>
        <w:rPr>
          <w:rFonts w:hint="eastAsia" w:ascii="宋体" w:hAnsi="宋体" w:eastAsia="宋体" w:cs="Times New Roman"/>
          <w:sz w:val="24"/>
          <w:szCs w:val="24"/>
          <w:u w:val="single"/>
        </w:rPr>
        <w:t xml:space="preserve">          </w:t>
      </w:r>
      <w:r>
        <w:rPr>
          <w:rFonts w:ascii="宋体" w:hAnsi="宋体" w:eastAsia="宋体" w:cs="Times New Roman"/>
          <w:sz w:val="24"/>
          <w:szCs w:val="24"/>
        </w:rPr>
        <w:t>元/车·次</w:t>
      </w:r>
      <w:r>
        <w:rPr>
          <w:rFonts w:hint="eastAsia" w:ascii="宋体" w:hAnsi="宋体" w:eastAsia="宋体" w:cs="Times New Roman"/>
          <w:sz w:val="24"/>
          <w:szCs w:val="24"/>
        </w:rPr>
        <w:t>。</w:t>
      </w:r>
    </w:p>
    <w:p w14:paraId="35D7DEA4">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268" w:name="_Toc201735593"/>
      <w:bookmarkStart w:id="5269" w:name="_Toc208587817"/>
      <w:bookmarkStart w:id="5270" w:name="_Toc305331486"/>
      <w:bookmarkStart w:id="5271" w:name="_Toc3078"/>
      <w:bookmarkStart w:id="5272" w:name="_Toc25011"/>
      <w:bookmarkStart w:id="5273" w:name="_Toc14901"/>
      <w:bookmarkStart w:id="5274" w:name="_Toc20753"/>
      <w:bookmarkStart w:id="5275" w:name="_Toc27239"/>
      <w:bookmarkStart w:id="5276" w:name="_Toc14780"/>
      <w:bookmarkStart w:id="5277" w:name="_Toc302636004"/>
      <w:bookmarkStart w:id="5278" w:name="_Toc1070071156"/>
      <w:bookmarkStart w:id="5279" w:name="_Toc17468"/>
      <w:bookmarkStart w:id="5280" w:name="_Toc20064"/>
      <w:r>
        <w:rPr>
          <w:rFonts w:hint="eastAsia" w:ascii="宋体" w:hAnsi="宋体" w:eastAsia="宋体" w:cs="Times New Roman"/>
          <w:b/>
          <w:bCs/>
          <w:kern w:val="0"/>
          <w:sz w:val="24"/>
          <w:szCs w:val="32"/>
          <w:lang w:val="en-US" w:eastAsia="zh-CN" w:bidi="ar-SA"/>
        </w:rPr>
        <w:t xml:space="preserve">18.6 </w:t>
      </w:r>
      <w:r>
        <w:rPr>
          <w:rFonts w:ascii="宋体" w:hAnsi="宋体" w:eastAsia="宋体" w:cs="Times New Roman"/>
          <w:b/>
          <w:bCs/>
          <w:kern w:val="0"/>
          <w:sz w:val="24"/>
          <w:szCs w:val="32"/>
          <w:lang w:val="en-US" w:eastAsia="zh-CN" w:bidi="ar-SA"/>
        </w:rPr>
        <w:t>专职检查</w:t>
      </w:r>
      <w:r>
        <w:rPr>
          <w:rFonts w:hint="eastAsia" w:ascii="宋体" w:hAnsi="宋体" w:eastAsia="宋体" w:cs="Times New Roman"/>
          <w:b/>
          <w:bCs/>
          <w:kern w:val="0"/>
          <w:sz w:val="24"/>
          <w:szCs w:val="32"/>
          <w:lang w:val="en-US" w:eastAsia="zh-CN" w:bidi="ar-SA"/>
        </w:rPr>
        <w:t>人员</w:t>
      </w:r>
      <w:bookmarkEnd w:id="5268"/>
      <w:bookmarkEnd w:id="5269"/>
      <w:bookmarkEnd w:id="5270"/>
      <w:bookmarkEnd w:id="5271"/>
      <w:bookmarkEnd w:id="5272"/>
      <w:bookmarkEnd w:id="5273"/>
      <w:bookmarkEnd w:id="5274"/>
      <w:bookmarkEnd w:id="5275"/>
      <w:bookmarkEnd w:id="5276"/>
      <w:bookmarkEnd w:id="5277"/>
      <w:bookmarkEnd w:id="5278"/>
      <w:bookmarkEnd w:id="5279"/>
      <w:bookmarkEnd w:id="5280"/>
    </w:p>
    <w:p w14:paraId="3AE1B420">
      <w:pPr>
        <w:spacing w:line="360" w:lineRule="auto"/>
        <w:ind w:firstLine="480"/>
        <w:rPr>
          <w:rFonts w:hint="eastAsia" w:ascii="宋体" w:hAnsi="宋体" w:eastAsia="宋体" w:cs="Times New Roman"/>
          <w:sz w:val="24"/>
          <w:szCs w:val="24"/>
        </w:rPr>
      </w:pPr>
      <w:r>
        <w:rPr>
          <w:rFonts w:ascii="宋体" w:hAnsi="宋体" w:eastAsia="宋体" w:cs="Times New Roman"/>
          <w:sz w:val="24"/>
          <w:szCs w:val="24"/>
        </w:rPr>
        <w:t>承包人指定专职检查</w:t>
      </w:r>
      <w:r>
        <w:rPr>
          <w:rFonts w:hint="eastAsia" w:ascii="宋体" w:hAnsi="宋体" w:eastAsia="宋体" w:cs="Times New Roman"/>
          <w:sz w:val="24"/>
          <w:szCs w:val="24"/>
        </w:rPr>
        <w:t>人员姓名</w:t>
      </w:r>
      <w:r>
        <w:rPr>
          <w:rFonts w:ascii="宋体" w:hAnsi="宋体" w:eastAsia="宋体" w:cs="Times New Roman"/>
          <w:sz w:val="24"/>
          <w:szCs w:val="24"/>
        </w:rPr>
        <w:t>：</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 xml:space="preserve">。                                        </w:t>
      </w:r>
    </w:p>
    <w:p w14:paraId="22B2F5F6">
      <w:pPr>
        <w:spacing w:line="360" w:lineRule="auto"/>
        <w:ind w:firstLine="480"/>
        <w:rPr>
          <w:rFonts w:hint="eastAsia" w:ascii="宋体" w:hAnsi="宋体" w:eastAsia="宋体" w:cs="Times New Roman"/>
          <w:bCs/>
          <w:sz w:val="24"/>
          <w:szCs w:val="24"/>
          <w:u w:val="single"/>
        </w:rPr>
      </w:pPr>
      <w:r>
        <w:rPr>
          <w:rFonts w:ascii="宋体" w:hAnsi="宋体" w:eastAsia="宋体" w:cs="Times New Roman"/>
          <w:sz w:val="24"/>
          <w:szCs w:val="24"/>
        </w:rPr>
        <w:t>检查内容：</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41DBD5EC">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46F211AA">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577D37BF">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kern w:val="0"/>
          <w:sz w:val="24"/>
          <w:szCs w:val="32"/>
          <w:lang w:val="en-US" w:eastAsia="zh-CN" w:bidi="ar-SA"/>
        </w:rPr>
      </w:pPr>
      <w:bookmarkStart w:id="5281" w:name="_Toc5968"/>
      <w:bookmarkStart w:id="5282" w:name="_Toc31403"/>
      <w:bookmarkStart w:id="5283" w:name="_Toc208587818"/>
      <w:bookmarkStart w:id="5284" w:name="_Toc32662"/>
      <w:bookmarkStart w:id="5285" w:name="_Toc2044294154"/>
      <w:bookmarkStart w:id="5286" w:name="_Toc23544"/>
      <w:bookmarkStart w:id="5287" w:name="_Toc19974"/>
      <w:bookmarkStart w:id="5288" w:name="_Toc201735594"/>
      <w:bookmarkStart w:id="5289" w:name="_Toc302636005"/>
      <w:bookmarkStart w:id="5290" w:name="_Toc9530"/>
      <w:bookmarkStart w:id="5291" w:name="_Toc305331487"/>
      <w:bookmarkStart w:id="5292" w:name="_Toc13963"/>
      <w:bookmarkStart w:id="5293" w:name="_Toc30710"/>
      <w:bookmarkStart w:id="5294" w:name="_Toc27069"/>
      <w:bookmarkStart w:id="5295" w:name="_Toc7192"/>
      <w:r>
        <w:rPr>
          <w:rFonts w:hint="eastAsia" w:ascii="宋体" w:hAnsi="宋体" w:eastAsia="宋体" w:cs="Times New Roman"/>
          <w:b/>
          <w:bCs/>
          <w:kern w:val="0"/>
          <w:sz w:val="24"/>
          <w:szCs w:val="32"/>
          <w:lang w:val="en-US" w:eastAsia="zh-CN" w:bidi="ar-SA"/>
        </w:rPr>
        <w:t>18.7 建筑废弃物安全文明运输</w:t>
      </w:r>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p>
    <w:p w14:paraId="10E46FA8">
      <w:pPr>
        <w:spacing w:line="360" w:lineRule="auto"/>
        <w:ind w:firstLine="480"/>
        <w:rPr>
          <w:rFonts w:hint="eastAsia" w:ascii="宋体" w:hAnsi="宋体" w:eastAsia="宋体" w:cs="Times New Roman"/>
          <w:sz w:val="24"/>
          <w:szCs w:val="24"/>
        </w:rPr>
      </w:pPr>
      <w:r>
        <w:rPr>
          <w:rFonts w:ascii="宋体" w:hAnsi="宋体" w:eastAsia="宋体" w:cs="Times New Roman"/>
          <w:sz w:val="24"/>
          <w:szCs w:val="24"/>
        </w:rPr>
        <w:t>承包人违反通用条款第</w:t>
      </w:r>
      <w:r>
        <w:rPr>
          <w:rFonts w:hint="eastAsia" w:ascii="宋体" w:hAnsi="宋体" w:eastAsia="宋体" w:cs="Times New Roman"/>
          <w:sz w:val="24"/>
          <w:szCs w:val="24"/>
        </w:rPr>
        <w:t>18</w:t>
      </w:r>
      <w:r>
        <w:rPr>
          <w:rFonts w:ascii="宋体" w:hAnsi="宋体" w:eastAsia="宋体" w:cs="Times New Roman"/>
          <w:sz w:val="24"/>
          <w:szCs w:val="24"/>
        </w:rPr>
        <w:t>.</w:t>
      </w:r>
      <w:r>
        <w:rPr>
          <w:rFonts w:hint="eastAsia" w:ascii="宋体" w:hAnsi="宋体" w:eastAsia="宋体" w:cs="Times New Roman"/>
          <w:sz w:val="24"/>
          <w:szCs w:val="24"/>
        </w:rPr>
        <w:t>7</w:t>
      </w:r>
      <w:r>
        <w:rPr>
          <w:rFonts w:ascii="宋体" w:hAnsi="宋体" w:eastAsia="宋体" w:cs="Times New Roman"/>
          <w:sz w:val="24"/>
          <w:szCs w:val="24"/>
        </w:rPr>
        <w:t>款约定，对发现问题拒不履行其应尽的合同义务，应支付违约金</w:t>
      </w:r>
      <w:r>
        <w:rPr>
          <w:rFonts w:hint="eastAsia" w:ascii="宋体" w:hAnsi="宋体" w:eastAsia="宋体" w:cs="Times New Roman"/>
          <w:sz w:val="24"/>
          <w:szCs w:val="24"/>
          <w:u w:val="single"/>
        </w:rPr>
        <w:t xml:space="preserve">            </w:t>
      </w:r>
      <w:r>
        <w:rPr>
          <w:rFonts w:ascii="宋体" w:hAnsi="宋体" w:eastAsia="宋体" w:cs="Times New Roman"/>
          <w:sz w:val="24"/>
          <w:szCs w:val="24"/>
        </w:rPr>
        <w:t>。</w:t>
      </w:r>
    </w:p>
    <w:p w14:paraId="247A0A16">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296" w:name="_Toc132686743"/>
      <w:bookmarkStart w:id="5297" w:name="_Toc27098"/>
      <w:bookmarkStart w:id="5298" w:name="_Toc15320"/>
      <w:bookmarkStart w:id="5299" w:name="_Toc8699"/>
      <w:bookmarkStart w:id="5300" w:name="_Toc4334"/>
      <w:bookmarkStart w:id="5301" w:name="_Toc201735595"/>
      <w:bookmarkStart w:id="5302" w:name="_Toc305331488"/>
      <w:bookmarkStart w:id="5303" w:name="_Toc14879"/>
      <w:bookmarkStart w:id="5304" w:name="_Toc27853"/>
      <w:bookmarkStart w:id="5305" w:name="_Toc208587819"/>
      <w:bookmarkStart w:id="5306" w:name="_Toc10872"/>
      <w:bookmarkStart w:id="5307" w:name="_Toc2990"/>
      <w:bookmarkStart w:id="5308" w:name="_Toc302636006"/>
      <w:bookmarkStart w:id="5309" w:name="_Toc20189"/>
      <w:bookmarkStart w:id="5310" w:name="_Toc1695"/>
      <w:r>
        <w:rPr>
          <w:rFonts w:hint="eastAsia" w:ascii="宋体" w:hAnsi="宋体" w:eastAsia="宋体" w:cs="Times New Roman"/>
          <w:b/>
          <w:bCs/>
          <w:kern w:val="0"/>
          <w:sz w:val="24"/>
          <w:szCs w:val="32"/>
          <w:lang w:val="en-US" w:eastAsia="zh-CN" w:bidi="ar-SA"/>
        </w:rPr>
        <w:t>18.8 检查纠正责任</w:t>
      </w:r>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p>
    <w:p w14:paraId="3E2ACF83">
      <w:pPr>
        <w:spacing w:line="360" w:lineRule="auto"/>
        <w:ind w:left="120" w:firstLine="360"/>
        <w:rPr>
          <w:rFonts w:hint="eastAsia" w:ascii="宋体" w:hAnsi="宋体" w:eastAsia="宋体" w:cs="Times New Roman"/>
          <w:sz w:val="24"/>
          <w:szCs w:val="24"/>
        </w:rPr>
      </w:pPr>
      <w:r>
        <w:rPr>
          <w:rFonts w:ascii="宋体" w:hAnsi="宋体" w:eastAsia="宋体" w:cs="Times New Roman"/>
          <w:sz w:val="24"/>
          <w:szCs w:val="24"/>
        </w:rPr>
        <w:t>承包人指定的专职检查人员未履行合同约定的检查纠正职责，承包人应支</w:t>
      </w:r>
      <w:r>
        <w:rPr>
          <w:rFonts w:hint="eastAsia" w:ascii="宋体" w:hAnsi="宋体" w:eastAsia="宋体" w:cs="Times New Roman"/>
          <w:sz w:val="24"/>
          <w:szCs w:val="24"/>
        </w:rPr>
        <w:t>付</w:t>
      </w:r>
      <w:r>
        <w:rPr>
          <w:rFonts w:ascii="宋体" w:hAnsi="宋体" w:eastAsia="宋体" w:cs="Times New Roman"/>
          <w:sz w:val="24"/>
          <w:szCs w:val="24"/>
        </w:rPr>
        <w:t>违约金</w:t>
      </w:r>
      <w:r>
        <w:rPr>
          <w:rFonts w:hint="eastAsia" w:ascii="宋体" w:hAnsi="宋体" w:eastAsia="宋体" w:cs="Times New Roman"/>
          <w:sz w:val="24"/>
          <w:szCs w:val="24"/>
          <w:u w:val="single"/>
        </w:rPr>
        <w:t xml:space="preserve">             </w:t>
      </w:r>
      <w:r>
        <w:rPr>
          <w:rFonts w:ascii="宋体" w:hAnsi="宋体" w:eastAsia="宋体" w:cs="Times New Roman"/>
          <w:sz w:val="24"/>
          <w:szCs w:val="24"/>
        </w:rPr>
        <w:t>。</w:t>
      </w:r>
      <w:r>
        <w:rPr>
          <w:rFonts w:hint="eastAsia" w:ascii="宋体" w:hAnsi="宋体" w:eastAsia="宋体" w:cs="Times New Roman"/>
          <w:sz w:val="24"/>
          <w:szCs w:val="24"/>
        </w:rPr>
        <w:t xml:space="preserve"> </w:t>
      </w:r>
    </w:p>
    <w:bookmarkEnd w:id="5240"/>
    <w:p w14:paraId="785DA53F">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bookmarkStart w:id="5311" w:name="_Toc208587820"/>
      <w:bookmarkStart w:id="5312" w:name="_Toc1868624186"/>
      <w:bookmarkStart w:id="5313" w:name="_Toc17208"/>
      <w:bookmarkStart w:id="5314" w:name="_Toc17857"/>
      <w:bookmarkStart w:id="5315" w:name="_Toc305331489"/>
      <w:bookmarkStart w:id="5316" w:name="_Toc18559"/>
      <w:bookmarkStart w:id="5317" w:name="_Toc201735596"/>
      <w:bookmarkStart w:id="5318" w:name="_Toc560"/>
      <w:bookmarkStart w:id="5319" w:name="_Toc31832"/>
      <w:bookmarkStart w:id="5320" w:name="_Toc24617"/>
      <w:bookmarkStart w:id="5321" w:name="_Toc74"/>
      <w:bookmarkStart w:id="5322" w:name="_Toc17209"/>
      <w:bookmarkStart w:id="5323" w:name="_Toc4426"/>
      <w:bookmarkStart w:id="5324" w:name="_Toc302636007"/>
      <w:bookmarkStart w:id="5325" w:name="_Toc27333"/>
      <w:r>
        <w:rPr>
          <w:rFonts w:hint="eastAsia" w:ascii="华文细黑" w:hAnsi="宋体" w:eastAsia="宋体" w:cs="Times New Roman"/>
          <w:b/>
          <w:bCs/>
          <w:snapToGrid w:val="0"/>
          <w:kern w:val="0"/>
          <w:sz w:val="28"/>
          <w:szCs w:val="44"/>
          <w:lang w:val="en-US" w:eastAsia="zh-CN" w:bidi="ar-SA"/>
        </w:rPr>
        <w:t>20 合同价格的确定和调整</w:t>
      </w:r>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p>
    <w:p w14:paraId="1527DA44">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326" w:name="_Toc30019"/>
      <w:bookmarkStart w:id="5327" w:name="_Toc208587821"/>
      <w:bookmarkStart w:id="5328" w:name="_Toc18146"/>
      <w:bookmarkStart w:id="5329" w:name="_Toc28271"/>
      <w:bookmarkStart w:id="5330" w:name="_Toc32623"/>
      <w:bookmarkStart w:id="5331" w:name="_Toc302636008"/>
      <w:bookmarkStart w:id="5332" w:name="_Toc606"/>
      <w:bookmarkStart w:id="5333" w:name="_Toc1712"/>
      <w:bookmarkStart w:id="5334" w:name="_Toc16133"/>
      <w:bookmarkStart w:id="5335" w:name="_Toc1903277172"/>
      <w:bookmarkStart w:id="5336" w:name="_Toc201735597"/>
      <w:bookmarkStart w:id="5337" w:name="_Toc12085"/>
      <w:bookmarkStart w:id="5338" w:name="_Toc648"/>
      <w:bookmarkStart w:id="5339" w:name="_Toc29608"/>
      <w:bookmarkStart w:id="5340" w:name="_Toc305331490"/>
      <w:r>
        <w:rPr>
          <w:rFonts w:hint="eastAsia" w:ascii="宋体" w:hAnsi="宋体" w:eastAsia="宋体" w:cs="Times New Roman"/>
          <w:b/>
          <w:bCs/>
          <w:kern w:val="0"/>
          <w:sz w:val="24"/>
          <w:szCs w:val="32"/>
          <w:lang w:val="en-US" w:eastAsia="zh-CN" w:bidi="ar-SA"/>
        </w:rPr>
        <w:t>20.1 签约合同价的确定</w:t>
      </w:r>
      <w:bookmarkEnd w:id="5326"/>
      <w:bookmarkEnd w:id="5327"/>
      <w:bookmarkEnd w:id="5328"/>
      <w:bookmarkEnd w:id="5329"/>
      <w:bookmarkEnd w:id="5330"/>
      <w:bookmarkEnd w:id="5331"/>
      <w:bookmarkEnd w:id="5332"/>
      <w:bookmarkEnd w:id="5333"/>
      <w:bookmarkEnd w:id="5334"/>
      <w:bookmarkEnd w:id="5335"/>
      <w:bookmarkEnd w:id="5336"/>
      <w:bookmarkEnd w:id="5337"/>
      <w:bookmarkEnd w:id="5338"/>
      <w:bookmarkEnd w:id="5339"/>
    </w:p>
    <w:p w14:paraId="074DFA18">
      <w:pPr>
        <w:spacing w:line="360" w:lineRule="auto"/>
        <w:ind w:left="120" w:firstLine="360"/>
        <w:rPr>
          <w:rFonts w:hint="eastAsia" w:ascii="宋体" w:hAnsi="宋体" w:eastAsia="宋体" w:cs="Times New Roman"/>
          <w:sz w:val="24"/>
          <w:szCs w:val="24"/>
          <w:u w:val="single"/>
        </w:rPr>
      </w:pPr>
      <w:r>
        <w:rPr>
          <w:rFonts w:hint="eastAsia" w:ascii="宋体" w:hAnsi="宋体" w:eastAsia="宋体" w:cs="Times New Roman"/>
          <w:sz w:val="24"/>
          <w:szCs w:val="24"/>
        </w:rPr>
        <w:t>(3)</w:t>
      </w:r>
      <w:r>
        <w:rPr>
          <w:rFonts w:hint="eastAsia" w:ascii="宋体" w:hAnsi="宋体" w:eastAsia="宋体" w:cs="Times New Roman"/>
          <w:sz w:val="24"/>
          <w:szCs w:val="24"/>
          <w:lang w:eastAsia="zh-CN"/>
        </w:rPr>
        <w:t>合同单价</w:t>
      </w:r>
      <w:r>
        <w:rPr>
          <w:rFonts w:hint="eastAsia" w:ascii="宋体" w:hAnsi="宋体" w:eastAsia="宋体" w:cs="Times New Roman"/>
          <w:sz w:val="24"/>
          <w:szCs w:val="24"/>
        </w:rPr>
        <w:t>包含的风险范围：</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095EAF41">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1520C639">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341" w:name="_Toc201735598"/>
      <w:bookmarkStart w:id="5342" w:name="_Toc30162"/>
      <w:bookmarkStart w:id="5343" w:name="_Toc208587822"/>
      <w:bookmarkStart w:id="5344" w:name="_Toc18566"/>
      <w:bookmarkStart w:id="5345" w:name="_Toc15782"/>
      <w:bookmarkStart w:id="5346" w:name="_Toc4862"/>
      <w:bookmarkStart w:id="5347" w:name="_Toc302636009"/>
      <w:bookmarkStart w:id="5348" w:name="_Toc22449"/>
      <w:bookmarkStart w:id="5349" w:name="_Toc58438398"/>
      <w:bookmarkStart w:id="5350" w:name="_Toc15081"/>
      <w:bookmarkStart w:id="5351" w:name="_Toc6238"/>
      <w:bookmarkStart w:id="5352" w:name="_Toc15371"/>
      <w:bookmarkStart w:id="5353" w:name="_Toc9129"/>
      <w:bookmarkStart w:id="5354" w:name="_Toc18682"/>
      <w:r>
        <w:rPr>
          <w:rFonts w:hint="eastAsia" w:ascii="宋体" w:hAnsi="宋体" w:eastAsia="宋体" w:cs="Times New Roman"/>
          <w:b/>
          <w:bCs/>
          <w:kern w:val="0"/>
          <w:sz w:val="24"/>
          <w:szCs w:val="32"/>
          <w:lang w:val="en-US" w:eastAsia="zh-CN" w:bidi="ar-SA"/>
        </w:rPr>
        <w:t>20.2 合同价格的调整</w:t>
      </w:r>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p>
    <w:p w14:paraId="655A2648">
      <w:pPr>
        <w:spacing w:line="360" w:lineRule="auto"/>
        <w:ind w:left="120" w:firstLine="360"/>
        <w:rPr>
          <w:rFonts w:hint="eastAsia" w:ascii="宋体" w:hAnsi="宋体" w:eastAsia="宋体" w:cs="Times New Roman"/>
          <w:sz w:val="24"/>
          <w:szCs w:val="24"/>
          <w:u w:val="single"/>
        </w:rPr>
      </w:pPr>
      <w:r>
        <w:rPr>
          <w:rFonts w:ascii="宋体" w:hAnsi="宋体" w:eastAsia="宋体" w:cs="Times New Roman"/>
          <w:sz w:val="24"/>
          <w:szCs w:val="24"/>
        </w:rPr>
        <w:t>(9)</w:t>
      </w:r>
      <w:r>
        <w:rPr>
          <w:rFonts w:hint="eastAsia" w:ascii="宋体" w:hAnsi="宋体" w:eastAsia="宋体" w:cs="Times New Roman"/>
          <w:sz w:val="24"/>
          <w:szCs w:val="24"/>
        </w:rPr>
        <w:t>本工程</w:t>
      </w:r>
      <w:r>
        <w:rPr>
          <w:rFonts w:ascii="宋体" w:hAnsi="宋体" w:eastAsia="宋体" w:cs="Times New Roman"/>
          <w:sz w:val="24"/>
          <w:szCs w:val="24"/>
        </w:rPr>
        <w:t>合同价格调整</w:t>
      </w:r>
      <w:r>
        <w:rPr>
          <w:rFonts w:hint="eastAsia" w:ascii="宋体" w:hAnsi="宋体" w:eastAsia="宋体" w:cs="Times New Roman"/>
          <w:sz w:val="24"/>
          <w:szCs w:val="24"/>
        </w:rPr>
        <w:t>的其他约定：</w:t>
      </w:r>
      <w:r>
        <w:rPr>
          <w:rFonts w:hint="eastAsia" w:ascii="宋体" w:hAnsi="宋体" w:eastAsia="宋体" w:cs="Times New Roman"/>
          <w:sz w:val="24"/>
          <w:szCs w:val="24"/>
          <w:u w:val="single"/>
        </w:rPr>
        <w:t xml:space="preserve">                                          </w:t>
      </w:r>
    </w:p>
    <w:p w14:paraId="3073037D">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293772CA">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355" w:name="_Toc6727"/>
      <w:bookmarkStart w:id="5356" w:name="_Toc2121108957"/>
      <w:bookmarkStart w:id="5357" w:name="_Toc302636010"/>
      <w:bookmarkStart w:id="5358" w:name="_Toc4007"/>
      <w:bookmarkStart w:id="5359" w:name="_Toc11939"/>
      <w:bookmarkStart w:id="5360" w:name="_Toc28638"/>
      <w:bookmarkStart w:id="5361" w:name="_Toc23863"/>
      <w:bookmarkStart w:id="5362" w:name="_Toc208587823"/>
      <w:bookmarkStart w:id="5363" w:name="_Toc201735599"/>
      <w:bookmarkStart w:id="5364" w:name="_Toc219"/>
      <w:bookmarkStart w:id="5365" w:name="_Toc26173"/>
      <w:bookmarkStart w:id="5366" w:name="_Toc13809"/>
      <w:bookmarkStart w:id="5367" w:name="_Toc305331491"/>
      <w:bookmarkStart w:id="5368" w:name="_Toc8165"/>
      <w:bookmarkStart w:id="5369" w:name="_Toc20086"/>
      <w:r>
        <w:rPr>
          <w:rFonts w:hint="eastAsia" w:ascii="宋体" w:hAnsi="宋体" w:eastAsia="宋体" w:cs="Times New Roman"/>
          <w:b/>
          <w:bCs/>
          <w:kern w:val="0"/>
          <w:sz w:val="24"/>
          <w:szCs w:val="32"/>
          <w:lang w:val="en-US" w:eastAsia="zh-CN" w:bidi="ar-SA"/>
        </w:rPr>
        <w:t>20.4 工料机调差</w:t>
      </w:r>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p>
    <w:p w14:paraId="6B446F7A">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(2)用于本工程的人工、主要材料及机械使用发生价格波动时的约定如下：</w:t>
      </w:r>
      <w:r>
        <w:rPr>
          <w:rFonts w:hint="eastAsia" w:ascii="宋体" w:hAnsi="宋体" w:eastAsia="宋体" w:cs="Times New Roman"/>
          <w:sz w:val="24"/>
          <w:szCs w:val="24"/>
          <w:u w:val="single"/>
        </w:rPr>
        <w:t xml:space="preserve">       </w:t>
      </w:r>
    </w:p>
    <w:p w14:paraId="3183E883">
      <w:pPr>
        <w:spacing w:line="360" w:lineRule="auto"/>
        <w:rPr>
          <w:rFonts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0A5FA50F">
      <w:pPr>
        <w:spacing w:line="360" w:lineRule="auto"/>
        <w:rPr>
          <w:rFonts w:hint="eastAsia" w:ascii="宋体" w:hAnsi="宋体" w:eastAsia="宋体" w:cs="Times New Roman"/>
          <w:sz w:val="24"/>
          <w:szCs w:val="24"/>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63FECE6C">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(3)主要材料是指用于本工程的某种材料价款总额达到签约合同价的</w:t>
      </w:r>
      <w:r>
        <w:rPr>
          <w:rFonts w:hint="eastAsia" w:ascii="宋体" w:hAnsi="宋体" w:eastAsia="宋体" w:cs="Times New Roman"/>
          <w:sz w:val="24"/>
          <w:szCs w:val="24"/>
          <w:u w:val="single"/>
        </w:rPr>
        <w:t xml:space="preserve">    </w:t>
      </w:r>
      <w:r>
        <w:rPr>
          <w:rFonts w:hint="eastAsia" w:ascii="宋体" w:hAnsi="宋体" w:eastAsia="宋体" w:cs="Times New Roman"/>
          <w:kern w:val="0"/>
          <w:szCs w:val="24"/>
          <w:u w:val="single"/>
        </w:rPr>
        <w:t>%</w:t>
      </w:r>
      <w:r>
        <w:rPr>
          <w:rFonts w:hint="eastAsia" w:ascii="宋体" w:hAnsi="宋体" w:eastAsia="宋体" w:cs="Times New Roman"/>
          <w:sz w:val="24"/>
          <w:szCs w:val="24"/>
        </w:rPr>
        <w:t>。</w:t>
      </w:r>
    </w:p>
    <w:p w14:paraId="5F5CDE91">
      <w:pPr>
        <w:spacing w:line="360" w:lineRule="auto"/>
        <w:ind w:firstLine="480"/>
        <w:rPr>
          <w:rFonts w:ascii="宋体" w:hAnsi="宋体" w:eastAsia="宋体" w:cs="Times New Roman"/>
          <w:bCs/>
          <w:sz w:val="24"/>
          <w:szCs w:val="24"/>
          <w:u w:val="single"/>
        </w:rPr>
      </w:pPr>
      <w:r>
        <w:rPr>
          <w:rFonts w:hint="eastAsia" w:ascii="宋体" w:hAnsi="宋体" w:eastAsia="宋体" w:cs="Times New Roman"/>
          <w:sz w:val="24"/>
          <w:szCs w:val="24"/>
        </w:rPr>
        <w:t>(4)发包人和承包人根据本工程的具体实际，约定用于本工程的未达到第20.4</w:t>
      </w:r>
      <w:r>
        <w:rPr>
          <w:rFonts w:ascii="宋体" w:hAnsi="宋体" w:eastAsia="宋体" w:cs="Times New Roman"/>
          <w:sz w:val="24"/>
          <w:szCs w:val="24"/>
        </w:rPr>
        <w:t>(3)</w:t>
      </w:r>
      <w:r>
        <w:rPr>
          <w:rFonts w:hint="eastAsia" w:ascii="宋体" w:hAnsi="宋体" w:eastAsia="宋体" w:cs="Times New Roman"/>
          <w:sz w:val="24"/>
          <w:szCs w:val="24"/>
        </w:rPr>
        <w:t>项约定比例的其他材料中可调差的材料种类为：</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72DB2F35">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77C87255">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0D490277">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(5)本工程工料机调差费用的计算和支付约定如下（注：只能选择一种方式，在选定的方式前的“□”内打“√”）：</w:t>
      </w:r>
    </w:p>
    <w:p w14:paraId="3AFF4A47">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□与其相关的工程完工后进行计算并同期支付。</w:t>
      </w:r>
    </w:p>
    <w:p w14:paraId="755D3046">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□竣工结算时一次性计算和支付。</w:t>
      </w:r>
    </w:p>
    <w:p w14:paraId="66020CBE">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□其他方式。具体约定为：</w:t>
      </w:r>
      <w:r>
        <w:rPr>
          <w:rFonts w:hint="eastAsia" w:ascii="宋体" w:hAnsi="宋体" w:eastAsia="宋体" w:cs="Times New Roman"/>
          <w:sz w:val="24"/>
          <w:szCs w:val="24"/>
          <w:u w:val="single"/>
        </w:rPr>
        <w:t xml:space="preserve">                                                </w:t>
      </w:r>
    </w:p>
    <w:p w14:paraId="07C3AECC">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u w:val="single"/>
        </w:rPr>
        <w:t xml:space="preserve">                                                                         </w:t>
      </w:r>
      <w:bookmarkStart w:id="5370" w:name="_Toc21432"/>
      <w:bookmarkStart w:id="5371" w:name="_Toc18007"/>
      <w:bookmarkStart w:id="5372" w:name="_Toc302636011"/>
      <w:bookmarkStart w:id="5373" w:name="_Toc605"/>
      <w:bookmarkStart w:id="5374" w:name="_Toc10606"/>
      <w:bookmarkStart w:id="5375" w:name="_Toc23140"/>
      <w:bookmarkStart w:id="5376" w:name="_Toc28015"/>
      <w:bookmarkStart w:id="5377" w:name="_Toc201735600"/>
      <w:r>
        <w:rPr>
          <w:rFonts w:hint="eastAsia" w:ascii="宋体" w:hAnsi="宋体" w:eastAsia="宋体" w:cs="Times New Roman"/>
          <w:sz w:val="24"/>
          <w:szCs w:val="24"/>
        </w:rPr>
        <w:t>(6)本工程预制成品构件调差价格波动幅度为：</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190650B3">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本工程可调差预制成品构件种类为：</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5A4DFBC9">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本工程可调差预制成品构件的调差方式为：</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7697F2D9">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kern w:val="0"/>
          <w:sz w:val="24"/>
          <w:szCs w:val="32"/>
          <w:lang w:val="en-US" w:eastAsia="zh-CN" w:bidi="ar-SA"/>
        </w:rPr>
      </w:pPr>
      <w:bookmarkStart w:id="5378" w:name="_Toc4203"/>
      <w:bookmarkStart w:id="5379" w:name="_Toc4410"/>
      <w:bookmarkStart w:id="5380" w:name="_Toc208587824"/>
      <w:bookmarkStart w:id="5381" w:name="_Toc10222"/>
      <w:bookmarkStart w:id="5382" w:name="_Toc27413"/>
      <w:bookmarkStart w:id="5383" w:name="_Toc1932705395"/>
      <w:r>
        <w:rPr>
          <w:rFonts w:hint="eastAsia" w:ascii="宋体" w:hAnsi="宋体" w:eastAsia="宋体" w:cs="Times New Roman"/>
          <w:b/>
          <w:bCs/>
          <w:kern w:val="0"/>
          <w:sz w:val="24"/>
          <w:szCs w:val="32"/>
          <w:lang w:val="en-US" w:eastAsia="zh-CN" w:bidi="ar-SA"/>
        </w:rPr>
        <w:t>20.5 材料调差</w:t>
      </w:r>
      <w:bookmarkEnd w:id="5370"/>
      <w:bookmarkEnd w:id="5371"/>
      <w:bookmarkEnd w:id="5372"/>
      <w:bookmarkEnd w:id="5373"/>
      <w:bookmarkEnd w:id="5374"/>
      <w:r>
        <w:rPr>
          <w:rFonts w:hint="eastAsia" w:ascii="宋体" w:hAnsi="宋体" w:eastAsia="宋体" w:cs="Times New Roman"/>
          <w:b/>
          <w:bCs/>
          <w:kern w:val="0"/>
          <w:sz w:val="24"/>
          <w:szCs w:val="32"/>
          <w:lang w:val="en-US" w:eastAsia="zh-CN" w:bidi="ar-SA"/>
        </w:rPr>
        <w:t>方法</w:t>
      </w:r>
      <w:bookmarkEnd w:id="5375"/>
      <w:bookmarkEnd w:id="5376"/>
      <w:bookmarkEnd w:id="5377"/>
      <w:bookmarkEnd w:id="5378"/>
      <w:bookmarkEnd w:id="5379"/>
      <w:bookmarkEnd w:id="5380"/>
      <w:bookmarkEnd w:id="5381"/>
      <w:bookmarkEnd w:id="5382"/>
      <w:bookmarkEnd w:id="5383"/>
    </w:p>
    <w:p w14:paraId="37E28B50">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按照20.4款 (3)、 (4)项款确定的可调差材料发生价格波动时，调差方式为（注：只能选择一种方式，在选定的方式前的“□”内打“√”）：</w:t>
      </w:r>
    </w:p>
    <w:p w14:paraId="448268E9">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□方式一</w:t>
      </w:r>
    </w:p>
    <w:p w14:paraId="2AB97FAD">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□方式二</w:t>
      </w:r>
    </w:p>
    <w:p w14:paraId="73A034AD">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□其他：</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p>
    <w:p w14:paraId="27C3A932">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用于本工程的按照20.4款(3)、(4)项确定的可调差材料发生价格波动时，调差公式中：</w:t>
      </w:r>
    </w:p>
    <w:p w14:paraId="2A98592F">
      <w:pPr>
        <w:spacing w:line="360" w:lineRule="auto"/>
        <w:ind w:firstLine="480"/>
        <w:rPr>
          <w:rFonts w:hint="eastAsia" w:ascii="宋体" w:hAnsi="宋体" w:eastAsia="宋体" w:cs="Times New Roman"/>
          <w:sz w:val="24"/>
          <w:szCs w:val="24"/>
        </w:rPr>
      </w:pPr>
      <w:r>
        <w:rPr>
          <w:rFonts w:hint="eastAsia" w:ascii="宋体" w:hAnsi="宋体" w:eastAsia="宋体" w:cs="Times New Roman"/>
          <w:kern w:val="0"/>
          <w:sz w:val="24"/>
          <w:szCs w:val="24"/>
        </w:rPr>
        <w:t>P</w:t>
      </w:r>
      <w:r>
        <w:rPr>
          <w:rFonts w:hint="eastAsia" w:ascii="宋体" w:hAnsi="宋体" w:eastAsia="宋体" w:cs="Times New Roman"/>
          <w:kern w:val="0"/>
          <w:sz w:val="24"/>
          <w:szCs w:val="24"/>
          <w:vertAlign w:val="subscript"/>
        </w:rPr>
        <w:t>0</w:t>
      </w:r>
      <w:r>
        <w:rPr>
          <w:rFonts w:hint="eastAsia" w:ascii="宋体" w:hAnsi="宋体" w:eastAsia="宋体" w:cs="Times New Roman"/>
          <w:sz w:val="24"/>
          <w:szCs w:val="24"/>
        </w:rPr>
        <w:t>为（注：只能选择一种方式，在选定的方式前的“□”内打“√”）：</w:t>
      </w:r>
    </w:p>
    <w:p w14:paraId="7A75DB96">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投标截止日期前35天的当月《深圳建设工程价格信息》某材料价格。示例：投标截止日期如果是2025年5月5日，前35天为3月31日，则P0对应的信息价是指2025年3月《深圳建设工程价格信息》。投标截止日期如果是2025年5月6日，前35天为4月1日，则</w:t>
      </w:r>
      <w:r>
        <w:rPr>
          <w:rFonts w:hint="eastAsia" w:ascii="宋体" w:hAnsi="宋体" w:eastAsia="宋体" w:cs="Times New Roman"/>
          <w:kern w:val="0"/>
          <w:sz w:val="24"/>
          <w:szCs w:val="24"/>
        </w:rPr>
        <w:t>P</w:t>
      </w:r>
      <w:r>
        <w:rPr>
          <w:rFonts w:hint="eastAsia" w:ascii="宋体" w:hAnsi="宋体" w:eastAsia="宋体" w:cs="Times New Roman"/>
          <w:kern w:val="0"/>
          <w:sz w:val="24"/>
          <w:szCs w:val="24"/>
          <w:vertAlign w:val="subscript"/>
        </w:rPr>
        <w:t>0</w:t>
      </w:r>
      <w:r>
        <w:rPr>
          <w:rFonts w:hint="eastAsia" w:ascii="宋体" w:hAnsi="宋体" w:eastAsia="宋体" w:cs="Times New Roman"/>
          <w:sz w:val="24"/>
          <w:szCs w:val="24"/>
        </w:rPr>
        <w:t>对应的信息价是指2025年4月《深圳建设工程价格信息》。</w:t>
      </w:r>
    </w:p>
    <w:p w14:paraId="34E5D7AC">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年</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月的《深圳建设工程价格信息》某材料价格。</w:t>
      </w:r>
    </w:p>
    <w:p w14:paraId="65E1EE20">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□基准日期当月的市场价格，价格来源为：                   。</w:t>
      </w:r>
    </w:p>
    <w:p w14:paraId="29F763E4">
      <w:pPr>
        <w:spacing w:line="360" w:lineRule="auto"/>
        <w:ind w:firstLine="480"/>
        <w:rPr>
          <w:rFonts w:hint="eastAsia" w:ascii="宋体" w:hAnsi="宋体" w:eastAsia="宋体" w:cs="Times New Roman"/>
          <w:sz w:val="24"/>
          <w:szCs w:val="24"/>
        </w:rPr>
      </w:pPr>
      <w:r>
        <w:rPr>
          <w:rFonts w:ascii="Cambria" w:hAnsi="Cambria" w:eastAsia="宋体" w:cs="Times New Roman"/>
          <w:i/>
          <w:sz w:val="24"/>
          <w:szCs w:val="24"/>
        </w:rPr>
        <w:sym w:font="Symbol" w:char="F060"/>
      </w:r>
      <w:r>
        <w:rPr>
          <w:rFonts w:ascii="Cambria" w:hAnsi="Cambria" w:eastAsia="宋体" w:cs="Times New Roman"/>
          <w:i/>
          <w:sz w:val="24"/>
          <w:szCs w:val="24"/>
        </w:rPr>
        <w:t>P</w:t>
      </w:r>
      <w:r>
        <w:rPr>
          <w:rFonts w:hint="eastAsia" w:ascii="Cambria" w:hAnsi="Cambria" w:eastAsia="宋体" w:cs="Times New Roman"/>
          <w:sz w:val="24"/>
          <w:szCs w:val="24"/>
        </w:rPr>
        <w:t>的计算方式</w:t>
      </w:r>
      <w:r>
        <w:rPr>
          <w:rFonts w:hint="eastAsia" w:ascii="宋体" w:hAnsi="宋体" w:eastAsia="宋体" w:cs="Times New Roman"/>
          <w:sz w:val="24"/>
          <w:szCs w:val="24"/>
        </w:rPr>
        <w:t>为（注：只能选择一种方式，在选定的方式前的“□”内打“√”）：</w:t>
      </w:r>
    </w:p>
    <w:p w14:paraId="2F4FDCD1">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w:t>
      </w:r>
      <w:r>
        <w:rPr>
          <w:rFonts w:hint="eastAsia" w:ascii="宋体" w:hAnsi="宋体" w:eastAsia="宋体" w:cs="Times New Roman"/>
          <w:sz w:val="24"/>
          <w:szCs w:val="24"/>
        </w:rPr>
        <w:t>1)加权平均法。</w:t>
      </w:r>
    </w:p>
    <w:p w14:paraId="7E5710E6">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w:t>
      </w:r>
      <w:r>
        <w:rPr>
          <w:rFonts w:hint="eastAsia" w:ascii="宋体" w:hAnsi="宋体" w:eastAsia="宋体" w:cs="Times New Roman"/>
          <w:sz w:val="24"/>
          <w:szCs w:val="24"/>
        </w:rPr>
        <w:t>2)算术平均法。</w:t>
      </w:r>
    </w:p>
    <w:p w14:paraId="3D314ECF">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w:t>
      </w:r>
      <w:r>
        <w:rPr>
          <w:rFonts w:ascii="宋体" w:hAnsi="宋体" w:eastAsia="宋体" w:cs="Times New Roman"/>
          <w:sz w:val="24"/>
          <w:szCs w:val="24"/>
        </w:rPr>
        <w:t>(</w:t>
      </w:r>
      <w:r>
        <w:rPr>
          <w:rFonts w:hint="eastAsia" w:ascii="宋体" w:hAnsi="宋体" w:eastAsia="宋体" w:cs="Times New Roman"/>
          <w:sz w:val="24"/>
          <w:szCs w:val="24"/>
        </w:rPr>
        <w:t>3)其他方法。具体约定为：</w:t>
      </w:r>
      <w:r>
        <w:rPr>
          <w:rFonts w:hint="eastAsia" w:ascii="宋体" w:hAnsi="宋体" w:eastAsia="宋体" w:cs="Times New Roman"/>
          <w:sz w:val="24"/>
          <w:szCs w:val="24"/>
          <w:u w:val="single"/>
        </w:rPr>
        <w:t xml:space="preserve">                                           </w:t>
      </w:r>
    </w:p>
    <w:p w14:paraId="4F2A0BD5">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254B2137">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本合同Q</w:t>
      </w:r>
      <w:r>
        <w:rPr>
          <w:rFonts w:hint="eastAsia" w:ascii="宋体" w:hAnsi="宋体" w:eastAsia="宋体" w:cs="Times New Roman"/>
          <w:sz w:val="24"/>
          <w:szCs w:val="24"/>
          <w:vertAlign w:val="subscript"/>
        </w:rPr>
        <w:t>总</w:t>
      </w:r>
      <w:r>
        <w:rPr>
          <w:rFonts w:hint="eastAsia" w:ascii="宋体" w:hAnsi="宋体" w:eastAsia="宋体" w:cs="Times New Roman"/>
          <w:sz w:val="24"/>
          <w:szCs w:val="24"/>
        </w:rPr>
        <w:t>、Q</w:t>
      </w:r>
      <w:r>
        <w:rPr>
          <w:rFonts w:hint="eastAsia" w:ascii="宋体" w:hAnsi="宋体" w:eastAsia="宋体" w:cs="Times New Roman"/>
          <w:sz w:val="24"/>
          <w:szCs w:val="24"/>
          <w:vertAlign w:val="subscript"/>
        </w:rPr>
        <w:t>i</w:t>
      </w:r>
      <w:r>
        <w:rPr>
          <w:rFonts w:hint="eastAsia" w:ascii="宋体" w:hAnsi="宋体" w:eastAsia="宋体" w:cs="Times New Roman"/>
          <w:sz w:val="24"/>
          <w:szCs w:val="24"/>
        </w:rPr>
        <w:t>中，考虑的消耗量因素为：（注：只能选择一种方式，在选定的方式前的“□”内打“√”）</w:t>
      </w:r>
    </w:p>
    <w:p w14:paraId="047CEF06">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□清单工程量（不计损耗）。</w:t>
      </w:r>
    </w:p>
    <w:p w14:paraId="22A3FFB2">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□投标报价中的消耗量。</w:t>
      </w:r>
    </w:p>
    <w:p w14:paraId="34FDA934">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□深圳市消耗量标准。</w:t>
      </w:r>
    </w:p>
    <w:p w14:paraId="29859F6C">
      <w:pPr>
        <w:spacing w:line="24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□投标报价中消耗量和深圳市消耗量标准两者中最小值。</w:t>
      </w:r>
    </w:p>
    <w:p w14:paraId="78358190">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384" w:name="_Toc1789979604"/>
      <w:bookmarkStart w:id="5385" w:name="_Toc31163"/>
      <w:bookmarkStart w:id="5386" w:name="_Toc10579"/>
      <w:bookmarkStart w:id="5387" w:name="_Toc1054"/>
      <w:bookmarkStart w:id="5388" w:name="_Toc14826"/>
      <w:bookmarkStart w:id="5389" w:name="_Toc2720"/>
      <w:bookmarkStart w:id="5390" w:name="_Toc27512"/>
      <w:bookmarkStart w:id="5391" w:name="_Toc14025"/>
      <w:bookmarkStart w:id="5392" w:name="_Toc14559"/>
      <w:bookmarkStart w:id="5393" w:name="_Toc208587825"/>
      <w:bookmarkStart w:id="5394" w:name="_Toc746"/>
      <w:bookmarkStart w:id="5395" w:name="_Toc201735601"/>
      <w:bookmarkStart w:id="5396" w:name="_Toc19713"/>
      <w:bookmarkStart w:id="5397" w:name="_Toc302636012"/>
      <w:bookmarkStart w:id="5398" w:name="_Toc305331492"/>
      <w:r>
        <w:rPr>
          <w:rFonts w:hint="eastAsia" w:ascii="宋体" w:hAnsi="宋体" w:eastAsia="宋体" w:cs="Times New Roman"/>
          <w:b/>
          <w:bCs/>
          <w:kern w:val="0"/>
          <w:sz w:val="24"/>
          <w:szCs w:val="32"/>
          <w:lang w:val="en-US" w:eastAsia="zh-CN" w:bidi="ar-SA"/>
        </w:rPr>
        <w:t>20.6 人工、机械使用调差方法</w:t>
      </w:r>
      <w:bookmarkEnd w:id="5384"/>
      <w:bookmarkEnd w:id="5385"/>
      <w:bookmarkEnd w:id="5386"/>
      <w:bookmarkEnd w:id="5387"/>
      <w:bookmarkEnd w:id="5388"/>
      <w:bookmarkEnd w:id="5389"/>
      <w:bookmarkEnd w:id="5390"/>
      <w:bookmarkEnd w:id="5391"/>
      <w:bookmarkEnd w:id="5392"/>
      <w:bookmarkEnd w:id="5393"/>
      <w:bookmarkEnd w:id="5394"/>
      <w:bookmarkEnd w:id="5395"/>
      <w:bookmarkEnd w:id="5396"/>
    </w:p>
    <w:p w14:paraId="5034E72A">
      <w:pPr>
        <w:spacing w:line="360" w:lineRule="auto"/>
        <w:ind w:firstLine="480"/>
        <w:rPr>
          <w:rFonts w:hint="eastAsia" w:ascii="宋体" w:hAnsi="宋体" w:eastAsia="宋体" w:cs="Times New Roman"/>
          <w:sz w:val="24"/>
          <w:szCs w:val="24"/>
        </w:rPr>
      </w:pPr>
      <w:r>
        <w:rPr>
          <w:rFonts w:hint="eastAsia" w:ascii="宋体" w:hAnsi="宋体" w:eastAsia="宋体" w:cs="Times New Roman"/>
          <w:bCs/>
          <w:sz w:val="24"/>
          <w:szCs w:val="24"/>
        </w:rPr>
        <w:t>(2)用于本工程的人工发生价格波动时，</w:t>
      </w:r>
      <w:r>
        <w:rPr>
          <w:rFonts w:hint="eastAsia" w:ascii="宋体" w:hAnsi="宋体" w:eastAsia="宋体" w:cs="Times New Roman"/>
          <w:sz w:val="24"/>
          <w:szCs w:val="24"/>
        </w:rPr>
        <w:t>合同价格的调整方法为：</w:t>
      </w:r>
    </w:p>
    <w:p w14:paraId="700E3F9D">
      <w:pPr>
        <w:spacing w:line="360" w:lineRule="auto"/>
        <w:ind w:left="420"/>
        <w:rPr>
          <w:rFonts w:hint="eastAsia" w:ascii="宋体" w:hAnsi="宋体" w:eastAsia="宋体" w:cs="Times New Roman"/>
          <w:sz w:val="24"/>
          <w:szCs w:val="24"/>
        </w:rPr>
      </w:pPr>
      <w:r>
        <w:rPr>
          <w:rFonts w:hint="eastAsia" w:ascii="宋体" w:hAnsi="宋体" w:eastAsia="宋体" w:cs="Times New Roman"/>
          <w:sz w:val="24"/>
          <w:szCs w:val="24"/>
        </w:rPr>
        <w:t>□①人工费指数调差。</w:t>
      </w:r>
    </w:p>
    <w:p w14:paraId="293B45E3">
      <w:pPr>
        <w:spacing w:line="360" w:lineRule="auto"/>
        <w:ind w:left="420" w:firstLine="480" w:firstLineChars="200"/>
        <w:rPr>
          <w:rFonts w:ascii="宋体" w:hAnsi="宋体" w:eastAsia="宋体" w:cs="Times New Roman"/>
          <w:sz w:val="24"/>
          <w:szCs w:val="24"/>
        </w:rPr>
      </w:pPr>
      <w:r>
        <w:rPr>
          <w:rFonts w:hint="eastAsia" w:ascii="宋体" w:hAnsi="宋体" w:eastAsia="宋体" w:cs="Times New Roman"/>
          <w:sz w:val="24"/>
          <w:szCs w:val="24"/>
        </w:rPr>
        <w:t>调差公式中，</w:t>
      </w:r>
      <w:r>
        <w:rPr>
          <w:rFonts w:ascii="宋体" w:hAnsi="宋体" w:eastAsia="宋体" w:cs="Times New Roman"/>
          <w:sz w:val="24"/>
          <w:szCs w:val="24"/>
        </w:rPr>
        <w:sym w:font="Symbol" w:char="F060"/>
      </w:r>
      <w:r>
        <w:rPr>
          <w:rFonts w:ascii="Cambria" w:hAnsi="Cambria" w:eastAsia="宋体" w:cs="Times New Roman"/>
          <w:i/>
          <w:sz w:val="24"/>
          <w:szCs w:val="24"/>
        </w:rPr>
        <w:t>I</w:t>
      </w:r>
      <w:r>
        <w:rPr>
          <w:rFonts w:hint="eastAsia" w:ascii="宋体" w:hAnsi="宋体" w:eastAsia="宋体" w:cs="Times New Roman"/>
          <w:sz w:val="24"/>
          <w:szCs w:val="24"/>
        </w:rPr>
        <w:t>的计算方法为（注：只能选择一种方式，在选定的方式前的“□”内打“√”）：</w:t>
      </w:r>
    </w:p>
    <w:p w14:paraId="141909F1">
      <w:pPr>
        <w:spacing w:line="360" w:lineRule="auto"/>
        <w:ind w:left="420" w:leftChars="200" w:firstLine="480"/>
        <w:rPr>
          <w:rFonts w:hint="eastAsia" w:ascii="宋体" w:hAnsi="宋体" w:eastAsia="宋体" w:cs="Times New Roman"/>
          <w:sz w:val="24"/>
          <w:szCs w:val="24"/>
        </w:rPr>
      </w:pPr>
      <w:r>
        <w:rPr>
          <w:rFonts w:hint="eastAsia" w:ascii="宋体" w:hAnsi="宋体" w:eastAsia="宋体" w:cs="Times New Roman"/>
          <w:sz w:val="24"/>
          <w:szCs w:val="24"/>
        </w:rPr>
        <w:t>□(1)加权平均法。</w:t>
      </w:r>
    </w:p>
    <w:p w14:paraId="1CDE1704">
      <w:pPr>
        <w:spacing w:line="360" w:lineRule="auto"/>
        <w:ind w:left="420" w:leftChars="200" w:firstLine="480"/>
        <w:rPr>
          <w:rFonts w:hint="eastAsia" w:ascii="宋体" w:hAnsi="宋体" w:eastAsia="宋体" w:cs="Times New Roman"/>
          <w:sz w:val="24"/>
          <w:szCs w:val="24"/>
        </w:rPr>
      </w:pPr>
      <w:r>
        <w:rPr>
          <w:rFonts w:hint="eastAsia" w:ascii="宋体" w:hAnsi="宋体" w:eastAsia="宋体" w:cs="Times New Roman"/>
          <w:sz w:val="24"/>
          <w:szCs w:val="24"/>
        </w:rPr>
        <w:t>□(2)算术平均法。</w:t>
      </w:r>
    </w:p>
    <w:p w14:paraId="20CAB493">
      <w:pPr>
        <w:spacing w:line="360" w:lineRule="auto"/>
        <w:ind w:left="420" w:leftChars="200" w:firstLine="480"/>
        <w:rPr>
          <w:rFonts w:hint="eastAsia" w:ascii="宋体" w:hAnsi="宋体" w:eastAsia="宋体" w:cs="Times New Roman"/>
          <w:sz w:val="24"/>
          <w:szCs w:val="24"/>
          <w:u w:val="single"/>
        </w:rPr>
      </w:pPr>
      <w:r>
        <w:rPr>
          <w:rFonts w:hint="eastAsia" w:ascii="宋体" w:hAnsi="宋体" w:eastAsia="宋体" w:cs="Times New Roman"/>
          <w:sz w:val="24"/>
          <w:szCs w:val="24"/>
        </w:rPr>
        <w:t>□(3)其他方法。具体约定为：</w:t>
      </w:r>
      <w:r>
        <w:rPr>
          <w:rFonts w:hint="eastAsia" w:ascii="宋体" w:hAnsi="宋体" w:eastAsia="宋体" w:cs="Times New Roman"/>
          <w:sz w:val="24"/>
          <w:szCs w:val="24"/>
          <w:u w:val="single"/>
        </w:rPr>
        <w:t xml:space="preserve">                                           </w:t>
      </w:r>
    </w:p>
    <w:p w14:paraId="51053B7A">
      <w:pPr>
        <w:spacing w:line="360" w:lineRule="auto"/>
        <w:ind w:left="420" w:leftChars="200"/>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588F25BD">
      <w:pPr>
        <w:spacing w:line="360" w:lineRule="auto"/>
        <w:ind w:left="420" w:leftChars="200"/>
        <w:rPr>
          <w:rFonts w:hint="eastAsia" w:ascii="宋体" w:hAnsi="宋体" w:eastAsia="宋体" w:cs="Times New Roman"/>
          <w:sz w:val="24"/>
          <w:szCs w:val="24"/>
        </w:rPr>
      </w:pPr>
      <w:r>
        <w:rPr>
          <w:rFonts w:hint="eastAsia" w:ascii="宋体" w:hAnsi="宋体" w:eastAsia="宋体" w:cs="Times New Roman"/>
          <w:sz w:val="24"/>
          <w:szCs w:val="24"/>
        </w:rPr>
        <w:t>调差公式中，</w:t>
      </w:r>
      <w:r>
        <w:rPr>
          <w:rFonts w:ascii="宋体" w:hAnsi="宋体" w:eastAsia="宋体" w:cs="Times New Roman"/>
          <w:sz w:val="24"/>
          <w:szCs w:val="24"/>
        </w:rPr>
        <w:t>I</w:t>
      </w:r>
      <w:r>
        <w:rPr>
          <w:rFonts w:ascii="宋体" w:hAnsi="宋体" w:eastAsia="宋体" w:cs="Times New Roman"/>
          <w:sz w:val="24"/>
          <w:szCs w:val="24"/>
          <w:vertAlign w:val="subscript"/>
        </w:rPr>
        <w:t>o</w:t>
      </w:r>
      <w:r>
        <w:rPr>
          <w:rFonts w:hint="eastAsia" w:ascii="宋体" w:hAnsi="宋体" w:eastAsia="宋体" w:cs="Times New Roman"/>
          <w:sz w:val="24"/>
          <w:szCs w:val="24"/>
        </w:rPr>
        <w:t>为</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年</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月《深圳建设工程价格信息》某工种人工费指数。</w:t>
      </w:r>
    </w:p>
    <w:p w14:paraId="0D334317">
      <w:pPr>
        <w:spacing w:line="360" w:lineRule="auto"/>
        <w:ind w:left="420" w:firstLine="480" w:firstLineChars="200"/>
        <w:rPr>
          <w:rFonts w:hint="eastAsia" w:ascii="宋体" w:hAnsi="宋体" w:eastAsia="宋体" w:cs="Times New Roman"/>
          <w:sz w:val="24"/>
          <w:szCs w:val="24"/>
        </w:rPr>
      </w:pPr>
      <w:r>
        <w:rPr>
          <w:rFonts w:hint="eastAsia" w:ascii="宋体" w:hAnsi="宋体" w:eastAsia="宋体" w:cs="Times New Roman"/>
          <w:sz w:val="24"/>
          <w:szCs w:val="24"/>
        </w:rPr>
        <w:t>L</w:t>
      </w:r>
      <w:r>
        <w:rPr>
          <w:rFonts w:hint="eastAsia" w:ascii="宋体" w:hAnsi="宋体" w:eastAsia="宋体" w:cs="Times New Roman"/>
          <w:sz w:val="24"/>
          <w:szCs w:val="24"/>
          <w:vertAlign w:val="subscript"/>
        </w:rPr>
        <w:t>总</w:t>
      </w:r>
      <w:r>
        <w:rPr>
          <w:rFonts w:hint="eastAsia" w:ascii="宋体" w:hAnsi="宋体" w:eastAsia="宋体" w:cs="Times New Roman"/>
          <w:sz w:val="24"/>
          <w:szCs w:val="24"/>
        </w:rPr>
        <w:t>确定原则：（注：只能选择一种方式，在选定的方式前的“□”内打“√”）</w:t>
      </w:r>
    </w:p>
    <w:p w14:paraId="69990C3D">
      <w:pPr>
        <w:spacing w:line="360" w:lineRule="auto"/>
        <w:ind w:left="420" w:firstLine="480" w:firstLineChars="200"/>
        <w:rPr>
          <w:rFonts w:hint="eastAsia" w:ascii="宋体" w:hAnsi="宋体" w:eastAsia="宋体" w:cs="Times New Roman"/>
          <w:sz w:val="24"/>
          <w:szCs w:val="24"/>
        </w:rPr>
      </w:pPr>
      <w:r>
        <w:rPr>
          <w:rFonts w:hint="eastAsia" w:ascii="宋体" w:hAnsi="宋体" w:eastAsia="宋体" w:cs="Times New Roman"/>
          <w:sz w:val="24"/>
          <w:szCs w:val="24"/>
        </w:rPr>
        <w:t>□按投标文件商务标书中某工种总人工费所占比例确定。</w:t>
      </w:r>
    </w:p>
    <w:p w14:paraId="37B47190">
      <w:pPr>
        <w:spacing w:line="360" w:lineRule="auto"/>
        <w:ind w:left="420" w:firstLine="480" w:firstLineChars="200"/>
        <w:rPr>
          <w:rFonts w:ascii="宋体" w:hAnsi="宋体" w:eastAsia="宋体" w:cs="Times New Roman"/>
          <w:sz w:val="24"/>
          <w:szCs w:val="24"/>
        </w:rPr>
      </w:pPr>
      <w:r>
        <w:rPr>
          <w:rFonts w:hint="eastAsia" w:ascii="宋体" w:hAnsi="宋体" w:eastAsia="宋体" w:cs="Times New Roman"/>
          <w:sz w:val="24"/>
          <w:szCs w:val="24"/>
        </w:rPr>
        <w:t>□按结算文件中某工种总人工费所占比例确定。</w:t>
      </w:r>
    </w:p>
    <w:p w14:paraId="5EADEC29">
      <w:pPr>
        <w:spacing w:line="360" w:lineRule="auto"/>
        <w:ind w:left="420" w:firstLine="480" w:firstLineChars="200"/>
        <w:rPr>
          <w:rFonts w:hint="eastAsia" w:ascii="宋体" w:hAnsi="宋体" w:eastAsia="宋体" w:cs="Times New Roman"/>
          <w:sz w:val="24"/>
          <w:szCs w:val="24"/>
        </w:rPr>
      </w:pPr>
      <w:r>
        <w:rPr>
          <w:rFonts w:hint="eastAsia" w:ascii="宋体" w:hAnsi="宋体" w:eastAsia="宋体" w:cs="Times New Roman"/>
          <w:sz w:val="24"/>
          <w:szCs w:val="24"/>
        </w:rPr>
        <w:t xml:space="preserve">□某工种总人工费所占比例的其他确定方式：       </w:t>
      </w: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p>
    <w:p w14:paraId="588264FD">
      <w:pPr>
        <w:spacing w:line="360" w:lineRule="auto"/>
        <w:ind w:firstLine="480" w:firstLineChars="200"/>
        <w:rPr>
          <w:rFonts w:ascii="宋体" w:hAnsi="宋体" w:eastAsia="宋体" w:cs="Times New Roman"/>
          <w:bCs/>
          <w:sz w:val="24"/>
          <w:szCs w:val="24"/>
          <w:u w:val="single"/>
        </w:rPr>
      </w:pPr>
      <w:r>
        <w:rPr>
          <w:rFonts w:hint="eastAsia" w:ascii="宋体" w:hAnsi="宋体" w:eastAsia="宋体" w:cs="Times New Roman"/>
          <w:sz w:val="24"/>
          <w:szCs w:val="24"/>
        </w:rPr>
        <w:t>□</w:t>
      </w:r>
      <w:r>
        <w:rPr>
          <w:rFonts w:hint="eastAsia" w:ascii="宋体" w:hAnsi="宋体" w:eastAsia="宋体" w:cs="Times New Roman"/>
          <w:bCs/>
          <w:sz w:val="24"/>
          <w:szCs w:val="24"/>
        </w:rPr>
        <w:t>②其他调整方式：</w:t>
      </w:r>
      <w:r>
        <w:rPr>
          <w:rFonts w:hint="eastAsia" w:ascii="宋体" w:hAnsi="宋体" w:eastAsia="宋体" w:cs="Times New Roman"/>
          <w:bCs/>
          <w:sz w:val="24"/>
          <w:szCs w:val="24"/>
          <w:u w:val="single"/>
        </w:rPr>
        <w:t xml:space="preserve">                                                              </w:t>
      </w:r>
    </w:p>
    <w:p w14:paraId="26F95D31">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730D8829">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399" w:name="_Toc13282"/>
      <w:bookmarkStart w:id="5400" w:name="_Toc31583"/>
      <w:bookmarkStart w:id="5401" w:name="_Toc29521"/>
      <w:bookmarkStart w:id="5402" w:name="_Toc22869"/>
      <w:bookmarkStart w:id="5403" w:name="_Toc145128931"/>
      <w:bookmarkStart w:id="5404" w:name="_Toc13680"/>
      <w:bookmarkStart w:id="5405" w:name="_Toc25672"/>
      <w:bookmarkStart w:id="5406" w:name="_Toc6627"/>
      <w:bookmarkStart w:id="5407" w:name="_Toc19634"/>
      <w:bookmarkStart w:id="5408" w:name="_Toc8489"/>
      <w:bookmarkStart w:id="5409" w:name="_Toc208587826"/>
      <w:bookmarkStart w:id="5410" w:name="_Toc201735602"/>
      <w:bookmarkStart w:id="5411" w:name="_Toc27944"/>
      <w:r>
        <w:rPr>
          <w:rFonts w:hint="eastAsia" w:ascii="宋体" w:hAnsi="宋体" w:eastAsia="宋体" w:cs="Times New Roman"/>
          <w:b/>
          <w:bCs/>
          <w:kern w:val="0"/>
          <w:sz w:val="24"/>
          <w:szCs w:val="32"/>
          <w:lang w:val="en-US" w:eastAsia="zh-CN" w:bidi="ar-SA"/>
        </w:rPr>
        <w:t>20.8</w:t>
      </w:r>
      <w:r>
        <w:rPr>
          <w:rFonts w:ascii="宋体" w:hAnsi="宋体" w:eastAsia="宋体" w:cs="Times New Roman"/>
          <w:b/>
          <w:bCs/>
          <w:kern w:val="0"/>
          <w:sz w:val="24"/>
          <w:szCs w:val="32"/>
          <w:lang w:val="en-US" w:eastAsia="zh-CN" w:bidi="ar-SA"/>
        </w:rPr>
        <w:t xml:space="preserve"> </w:t>
      </w:r>
      <w:r>
        <w:rPr>
          <w:rFonts w:hint="eastAsia" w:ascii="宋体" w:hAnsi="宋体" w:eastAsia="宋体" w:cs="Times New Roman"/>
          <w:b/>
          <w:bCs/>
          <w:kern w:val="0"/>
          <w:sz w:val="24"/>
          <w:szCs w:val="32"/>
          <w:lang w:val="en-US" w:eastAsia="zh-CN" w:bidi="ar-SA"/>
        </w:rPr>
        <w:t>中标净下浮率</w:t>
      </w:r>
      <w:bookmarkEnd w:id="5397"/>
      <w:bookmarkEnd w:id="5399"/>
      <w:bookmarkEnd w:id="5400"/>
      <w:bookmarkEnd w:id="5401"/>
      <w:bookmarkEnd w:id="5402"/>
      <w:bookmarkEnd w:id="5403"/>
      <w:bookmarkEnd w:id="5404"/>
      <w:bookmarkEnd w:id="5405"/>
      <w:bookmarkEnd w:id="5406"/>
      <w:bookmarkEnd w:id="5407"/>
      <w:bookmarkEnd w:id="5408"/>
      <w:bookmarkEnd w:id="5409"/>
      <w:bookmarkEnd w:id="5410"/>
      <w:bookmarkEnd w:id="5411"/>
    </w:p>
    <w:p w14:paraId="74458EC9">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本工程中标净下浮率为：</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17464B8D">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412" w:name="_Toc3592"/>
      <w:bookmarkStart w:id="5413" w:name="_Toc25414"/>
      <w:bookmarkStart w:id="5414" w:name="_Toc3133"/>
      <w:bookmarkStart w:id="5415" w:name="_Toc20418"/>
      <w:bookmarkStart w:id="5416" w:name="_Toc18301"/>
      <w:bookmarkStart w:id="5417" w:name="_Toc30118"/>
      <w:bookmarkStart w:id="5418" w:name="_Toc30195"/>
      <w:bookmarkStart w:id="5419" w:name="_Toc9616"/>
      <w:bookmarkStart w:id="5420" w:name="_Toc26163"/>
      <w:bookmarkStart w:id="5421" w:name="_Toc201735603"/>
      <w:bookmarkStart w:id="5422" w:name="_Toc208587827"/>
      <w:bookmarkStart w:id="5423" w:name="_Toc23975"/>
      <w:bookmarkStart w:id="5424" w:name="_Toc1514225198"/>
      <w:r>
        <w:rPr>
          <w:rFonts w:hint="eastAsia" w:ascii="宋体" w:hAnsi="宋体" w:eastAsia="宋体" w:cs="Times New Roman"/>
          <w:b/>
          <w:bCs/>
          <w:kern w:val="0"/>
          <w:sz w:val="24"/>
          <w:szCs w:val="32"/>
          <w:lang w:val="en-US" w:eastAsia="zh-CN" w:bidi="ar-SA"/>
        </w:rPr>
        <w:t>20.9 询价采购</w:t>
      </w:r>
      <w:bookmarkEnd w:id="5412"/>
      <w:bookmarkEnd w:id="5413"/>
      <w:bookmarkEnd w:id="5414"/>
      <w:bookmarkEnd w:id="5415"/>
      <w:bookmarkEnd w:id="5416"/>
      <w:bookmarkEnd w:id="5417"/>
      <w:bookmarkEnd w:id="5418"/>
      <w:bookmarkEnd w:id="5419"/>
      <w:bookmarkEnd w:id="5420"/>
      <w:bookmarkEnd w:id="5421"/>
      <w:bookmarkEnd w:id="5422"/>
      <w:bookmarkEnd w:id="5423"/>
      <w:bookmarkEnd w:id="5424"/>
    </w:p>
    <w:p w14:paraId="1B4DEB97">
      <w:pPr>
        <w:spacing w:line="360" w:lineRule="auto"/>
        <w:ind w:firstLine="480"/>
        <w:rPr>
          <w:rFonts w:ascii="宋体" w:hAnsi="宋体" w:eastAsia="宋体" w:cs="Times New Roman"/>
          <w:bCs/>
          <w:sz w:val="24"/>
          <w:szCs w:val="24"/>
          <w:u w:val="single"/>
        </w:rPr>
      </w:pPr>
      <w:r>
        <w:rPr>
          <w:rFonts w:ascii="宋体" w:hAnsi="宋体" w:eastAsia="宋体" w:cs="Times New Roman"/>
          <w:sz w:val="24"/>
          <w:szCs w:val="24"/>
        </w:rPr>
        <w:t>(</w:t>
      </w:r>
      <w:r>
        <w:rPr>
          <w:rFonts w:hint="eastAsia" w:ascii="宋体" w:hAnsi="宋体" w:eastAsia="宋体" w:cs="Times New Roman"/>
          <w:sz w:val="24"/>
          <w:szCs w:val="24"/>
        </w:rPr>
        <w:t>3</w:t>
      </w:r>
      <w:r>
        <w:rPr>
          <w:rFonts w:ascii="宋体" w:hAnsi="宋体" w:eastAsia="宋体" w:cs="Times New Roman"/>
          <w:sz w:val="24"/>
          <w:szCs w:val="24"/>
        </w:rPr>
        <w:t>)</w:t>
      </w:r>
      <w:r>
        <w:rPr>
          <w:rFonts w:hint="eastAsia" w:ascii="宋体" w:hAnsi="宋体" w:eastAsia="宋体" w:cs="Times New Roman"/>
          <w:sz w:val="24"/>
          <w:szCs w:val="24"/>
        </w:rPr>
        <w:t>询价采购确定的成交价格作为工程计价依据的具体约定为：</w:t>
      </w:r>
      <w:r>
        <w:rPr>
          <w:rFonts w:hint="eastAsia" w:ascii="宋体" w:hAnsi="宋体" w:eastAsia="宋体" w:cs="Times New Roman"/>
          <w:bCs/>
          <w:sz w:val="24"/>
          <w:szCs w:val="24"/>
          <w:u w:val="single"/>
        </w:rPr>
        <w:t xml:space="preserve">                              </w:t>
      </w:r>
    </w:p>
    <w:p w14:paraId="6BF2FD77">
      <w:pPr>
        <w:spacing w:line="360" w:lineRule="auto"/>
        <w:rPr>
          <w:rFonts w:ascii="宋体" w:hAnsi="宋体" w:eastAsia="宋体" w:cs="Times New Roman"/>
          <w:sz w:val="24"/>
          <w:szCs w:val="24"/>
        </w:rPr>
      </w:pP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rPr>
        <w:t>。</w:t>
      </w:r>
    </w:p>
    <w:p w14:paraId="79C79B16">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r>
        <w:rPr>
          <w:rFonts w:ascii="宋体" w:hAnsi="宋体" w:eastAsia="宋体" w:cs="Times New Roman"/>
          <w:b/>
          <w:bCs/>
          <w:snapToGrid w:val="0"/>
          <w:kern w:val="0"/>
          <w:sz w:val="24"/>
          <w:szCs w:val="44"/>
          <w:lang w:val="en-US" w:eastAsia="zh-CN" w:bidi="ar-SA"/>
        </w:rPr>
        <w:t xml:space="preserve"> </w:t>
      </w:r>
      <w:bookmarkStart w:id="5425" w:name="_Toc21605"/>
      <w:bookmarkStart w:id="5426" w:name="_Toc208587828"/>
      <w:bookmarkStart w:id="5427" w:name="_Toc9157"/>
      <w:bookmarkStart w:id="5428" w:name="_Toc27738"/>
      <w:bookmarkStart w:id="5429" w:name="_Toc3618"/>
      <w:bookmarkStart w:id="5430" w:name="_Toc11692"/>
      <w:bookmarkStart w:id="5431" w:name="_Toc8906"/>
      <w:bookmarkStart w:id="5432" w:name="_Toc23694"/>
      <w:bookmarkStart w:id="5433" w:name="_Toc23899"/>
      <w:bookmarkStart w:id="5434" w:name="_Toc20725"/>
      <w:bookmarkStart w:id="5435" w:name="_Toc26107"/>
      <w:bookmarkStart w:id="5436" w:name="_Toc201735604"/>
      <w:bookmarkStart w:id="5437" w:name="_Toc1131727435"/>
      <w:bookmarkStart w:id="5438" w:name="_Toc302636013"/>
      <w:r>
        <w:rPr>
          <w:rFonts w:hint="eastAsia" w:ascii="华文细黑" w:hAnsi="宋体" w:eastAsia="宋体" w:cs="Times New Roman"/>
          <w:b/>
          <w:bCs/>
          <w:snapToGrid w:val="0"/>
          <w:kern w:val="0"/>
          <w:sz w:val="28"/>
          <w:szCs w:val="44"/>
          <w:lang w:val="en-US" w:eastAsia="zh-CN" w:bidi="ar-SA"/>
        </w:rPr>
        <w:t>21暂估价和暂列金额</w:t>
      </w:r>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p>
    <w:p w14:paraId="2E87EB3C">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439" w:name="_Toc10516"/>
      <w:bookmarkStart w:id="5440" w:name="_Toc20547"/>
      <w:bookmarkStart w:id="5441" w:name="_Toc201735605"/>
      <w:bookmarkStart w:id="5442" w:name="_Toc24499"/>
      <w:bookmarkStart w:id="5443" w:name="_Toc302636014"/>
      <w:bookmarkStart w:id="5444" w:name="_Toc15764"/>
      <w:bookmarkStart w:id="5445" w:name="_Toc17766"/>
      <w:bookmarkStart w:id="5446" w:name="_Toc19631"/>
      <w:bookmarkStart w:id="5447" w:name="_Toc4481"/>
      <w:bookmarkStart w:id="5448" w:name="_Toc21563"/>
      <w:bookmarkStart w:id="5449" w:name="_Toc1034923103"/>
      <w:bookmarkStart w:id="5450" w:name="_Toc208587829"/>
      <w:bookmarkStart w:id="5451" w:name="_Toc26544"/>
      <w:bookmarkStart w:id="5452" w:name="_Toc28853"/>
      <w:r>
        <w:rPr>
          <w:rFonts w:hint="eastAsia" w:ascii="宋体" w:hAnsi="宋体" w:eastAsia="宋体" w:cs="Times New Roman"/>
          <w:b/>
          <w:bCs/>
          <w:kern w:val="0"/>
          <w:sz w:val="24"/>
          <w:szCs w:val="32"/>
          <w:lang w:val="en-US" w:eastAsia="zh-CN" w:bidi="ar-SA"/>
        </w:rPr>
        <w:t>21.1</w:t>
      </w:r>
      <w:r>
        <w:rPr>
          <w:rFonts w:ascii="宋体" w:hAnsi="宋体" w:eastAsia="宋体" w:cs="Times New Roman"/>
          <w:b/>
          <w:bCs/>
          <w:kern w:val="0"/>
          <w:sz w:val="24"/>
          <w:szCs w:val="32"/>
          <w:lang w:val="en-US" w:eastAsia="zh-CN" w:bidi="ar-SA"/>
        </w:rPr>
        <w:t xml:space="preserve"> </w:t>
      </w:r>
      <w:bookmarkEnd w:id="5439"/>
      <w:bookmarkEnd w:id="5440"/>
      <w:bookmarkEnd w:id="5441"/>
      <w:bookmarkEnd w:id="5442"/>
      <w:bookmarkEnd w:id="5443"/>
      <w:bookmarkEnd w:id="5444"/>
      <w:bookmarkEnd w:id="5445"/>
      <w:bookmarkEnd w:id="5446"/>
      <w:r>
        <w:rPr>
          <w:rFonts w:hint="eastAsia" w:ascii="宋体" w:hAnsi="宋体" w:eastAsia="宋体" w:cs="Times New Roman"/>
          <w:b/>
          <w:bCs/>
          <w:kern w:val="0"/>
          <w:sz w:val="24"/>
          <w:szCs w:val="32"/>
          <w:lang w:val="en-US" w:eastAsia="zh-CN" w:bidi="ar-SA"/>
        </w:rPr>
        <w:t>材料暂估价</w:t>
      </w:r>
      <w:bookmarkEnd w:id="5447"/>
      <w:bookmarkEnd w:id="5448"/>
      <w:bookmarkEnd w:id="5449"/>
      <w:bookmarkEnd w:id="5450"/>
      <w:bookmarkEnd w:id="5451"/>
      <w:bookmarkEnd w:id="5452"/>
    </w:p>
    <w:p w14:paraId="7B64F6EA">
      <w:pPr>
        <w:spacing w:line="360" w:lineRule="auto"/>
        <w:ind w:firstLine="480"/>
        <w:jc w:val="left"/>
        <w:rPr>
          <w:rFonts w:ascii="宋体" w:hAnsi="宋体" w:eastAsia="宋体" w:cs="Times New Roman"/>
          <w:sz w:val="24"/>
          <w:szCs w:val="24"/>
        </w:rPr>
      </w:pPr>
      <w:r>
        <w:rPr>
          <w:rFonts w:hint="eastAsia" w:ascii="宋体" w:hAnsi="宋体" w:eastAsia="宋体" w:cs="Times New Roman"/>
          <w:sz w:val="24"/>
          <w:szCs w:val="24"/>
        </w:rPr>
        <w:t xml:space="preserve">(1)本工程暂估的材料的名称、规格、单位和暂估单价见下表：                             (本表可另附页) </w:t>
      </w:r>
    </w:p>
    <w:tbl>
      <w:tblPr>
        <w:tblStyle w:val="41"/>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662"/>
        <w:gridCol w:w="2630"/>
        <w:gridCol w:w="2288"/>
        <w:gridCol w:w="1224"/>
        <w:gridCol w:w="2268"/>
      </w:tblGrid>
      <w:tr w14:paraId="1D0B9B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5EE79A23">
            <w:pPr>
              <w:spacing w:line="360" w:lineRule="auto"/>
              <w:ind w:left="-107" w:right="-107"/>
              <w:jc w:val="center"/>
              <w:rPr>
                <w:rFonts w:ascii="宋体" w:hAnsi="宋体" w:eastAsia="宋体" w:cs="Times New Roman"/>
                <w:sz w:val="24"/>
                <w:szCs w:val="24"/>
              </w:rPr>
            </w:pPr>
            <w:r>
              <w:rPr>
                <w:rFonts w:hint="eastAsia" w:ascii="宋体" w:hAnsi="宋体" w:eastAsia="宋体" w:cs="Times New Roman"/>
                <w:sz w:val="24"/>
                <w:szCs w:val="24"/>
              </w:rPr>
              <w:t>序号</w:t>
            </w:r>
          </w:p>
        </w:tc>
        <w:tc>
          <w:tcPr>
            <w:tcW w:w="2630" w:type="dxa"/>
            <w:tcBorders>
              <w:top w:val="single" w:color="auto" w:sz="4" w:space="0"/>
              <w:left w:val="single" w:color="auto" w:sz="4" w:space="0"/>
              <w:bottom w:val="single" w:color="auto" w:sz="4" w:space="0"/>
              <w:right w:val="single" w:color="auto" w:sz="4" w:space="0"/>
            </w:tcBorders>
            <w:noWrap w:val="0"/>
            <w:vAlign w:val="center"/>
          </w:tcPr>
          <w:p w14:paraId="208521BC">
            <w:pPr>
              <w:spacing w:line="360" w:lineRule="auto"/>
              <w:ind w:left="-107" w:right="-107"/>
              <w:jc w:val="center"/>
              <w:rPr>
                <w:rFonts w:ascii="宋体" w:hAnsi="宋体" w:eastAsia="宋体" w:cs="Times New Roman"/>
                <w:sz w:val="24"/>
                <w:szCs w:val="24"/>
              </w:rPr>
            </w:pPr>
            <w:r>
              <w:rPr>
                <w:rFonts w:hint="eastAsia" w:ascii="宋体" w:hAnsi="宋体" w:eastAsia="宋体" w:cs="Times New Roman"/>
                <w:sz w:val="24"/>
                <w:szCs w:val="24"/>
              </w:rPr>
              <w:t>暂估的材料名称</w:t>
            </w:r>
          </w:p>
        </w:tc>
        <w:tc>
          <w:tcPr>
            <w:tcW w:w="2288" w:type="dxa"/>
            <w:tcBorders>
              <w:top w:val="single" w:color="auto" w:sz="4" w:space="0"/>
              <w:left w:val="single" w:color="auto" w:sz="4" w:space="0"/>
              <w:bottom w:val="single" w:color="auto" w:sz="4" w:space="0"/>
              <w:right w:val="single" w:color="auto" w:sz="4" w:space="0"/>
            </w:tcBorders>
            <w:noWrap w:val="0"/>
            <w:vAlign w:val="center"/>
          </w:tcPr>
          <w:p w14:paraId="5B0C6B57">
            <w:pPr>
              <w:spacing w:line="360" w:lineRule="auto"/>
              <w:ind w:left="-107" w:right="-107"/>
              <w:jc w:val="center"/>
              <w:rPr>
                <w:rFonts w:ascii="宋体" w:hAnsi="宋体" w:eastAsia="宋体" w:cs="Times New Roman"/>
                <w:sz w:val="24"/>
                <w:szCs w:val="24"/>
              </w:rPr>
            </w:pPr>
            <w:r>
              <w:rPr>
                <w:rFonts w:hint="eastAsia" w:ascii="宋体" w:hAnsi="宋体" w:eastAsia="宋体" w:cs="Times New Roman"/>
                <w:sz w:val="24"/>
                <w:szCs w:val="24"/>
              </w:rPr>
              <w:t>规格</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79A9C8CE">
            <w:pPr>
              <w:spacing w:line="360" w:lineRule="auto"/>
              <w:ind w:right="-107"/>
              <w:jc w:val="center"/>
              <w:rPr>
                <w:rFonts w:hint="eastAsia" w:ascii="宋体" w:hAnsi="宋体" w:eastAsia="宋体" w:cs="Times New Roman"/>
                <w:sz w:val="24"/>
                <w:szCs w:val="24"/>
              </w:rPr>
            </w:pPr>
            <w:r>
              <w:rPr>
                <w:rFonts w:hint="eastAsia" w:ascii="宋体" w:hAnsi="宋体" w:eastAsia="宋体" w:cs="Times New Roman"/>
                <w:sz w:val="24"/>
                <w:szCs w:val="24"/>
              </w:rPr>
              <w:t>单位</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29C2B7A">
            <w:pPr>
              <w:spacing w:line="360" w:lineRule="auto"/>
              <w:ind w:left="-107" w:right="-107"/>
              <w:jc w:val="center"/>
              <w:rPr>
                <w:rFonts w:ascii="宋体" w:hAnsi="宋体" w:eastAsia="宋体" w:cs="Times New Roman"/>
                <w:sz w:val="24"/>
                <w:szCs w:val="24"/>
              </w:rPr>
            </w:pPr>
            <w:r>
              <w:rPr>
                <w:rFonts w:hint="eastAsia" w:ascii="宋体" w:hAnsi="宋体" w:eastAsia="宋体" w:cs="Times New Roman"/>
                <w:sz w:val="24"/>
                <w:szCs w:val="24"/>
              </w:rPr>
              <w:t>暂估单价（元）</w:t>
            </w:r>
          </w:p>
        </w:tc>
      </w:tr>
      <w:tr w14:paraId="45F561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7236E166">
            <w:pPr>
              <w:spacing w:line="360" w:lineRule="auto"/>
              <w:jc w:val="center"/>
              <w:rPr>
                <w:rFonts w:ascii="宋体" w:hAnsi="宋体" w:eastAsia="宋体" w:cs="Times New Roman"/>
                <w:sz w:val="24"/>
                <w:szCs w:val="24"/>
              </w:rPr>
            </w:pPr>
            <w:r>
              <w:rPr>
                <w:rFonts w:ascii="宋体" w:hAnsi="宋体" w:eastAsia="宋体" w:cs="Times New Roman"/>
                <w:sz w:val="24"/>
                <w:szCs w:val="24"/>
              </w:rPr>
              <w:t>1</w:t>
            </w:r>
          </w:p>
        </w:tc>
        <w:tc>
          <w:tcPr>
            <w:tcW w:w="2630" w:type="dxa"/>
            <w:tcBorders>
              <w:top w:val="single" w:color="auto" w:sz="4" w:space="0"/>
              <w:left w:val="single" w:color="auto" w:sz="4" w:space="0"/>
              <w:bottom w:val="single" w:color="auto" w:sz="4" w:space="0"/>
              <w:right w:val="single" w:color="auto" w:sz="4" w:space="0"/>
            </w:tcBorders>
            <w:noWrap w:val="0"/>
            <w:vAlign w:val="bottom"/>
          </w:tcPr>
          <w:p w14:paraId="67A2E33E">
            <w:pPr>
              <w:spacing w:line="360" w:lineRule="auto"/>
              <w:rPr>
                <w:rFonts w:ascii="宋体" w:hAnsi="宋体" w:eastAsia="宋体" w:cs="Times New Roman"/>
                <w:sz w:val="24"/>
                <w:szCs w:val="24"/>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14:paraId="6ACF9F2C">
            <w:pPr>
              <w:spacing w:line="360" w:lineRule="auto"/>
              <w:rPr>
                <w:rFonts w:ascii="宋体" w:hAnsi="宋体" w:eastAsia="宋体" w:cs="Times New Roman"/>
                <w:sz w:val="24"/>
                <w:szCs w:val="24"/>
              </w:rPr>
            </w:pPr>
          </w:p>
        </w:tc>
        <w:tc>
          <w:tcPr>
            <w:tcW w:w="1224" w:type="dxa"/>
            <w:tcBorders>
              <w:top w:val="single" w:color="auto" w:sz="4" w:space="0"/>
              <w:left w:val="single" w:color="auto" w:sz="4" w:space="0"/>
              <w:bottom w:val="single" w:color="auto" w:sz="4" w:space="0"/>
              <w:right w:val="single" w:color="auto" w:sz="4" w:space="0"/>
            </w:tcBorders>
            <w:noWrap w:val="0"/>
            <w:vAlign w:val="bottom"/>
          </w:tcPr>
          <w:p w14:paraId="079D539E">
            <w:pPr>
              <w:spacing w:line="360" w:lineRule="auto"/>
              <w:rPr>
                <w:rFonts w:ascii="宋体" w:hAnsi="宋体" w:eastAsia="宋体" w:cs="Times New Roman"/>
                <w:sz w:val="24"/>
                <w:szCs w:val="24"/>
              </w:rPr>
            </w:pPr>
          </w:p>
        </w:tc>
        <w:tc>
          <w:tcPr>
            <w:tcW w:w="2268" w:type="dxa"/>
            <w:tcBorders>
              <w:top w:val="single" w:color="auto" w:sz="4" w:space="0"/>
              <w:left w:val="single" w:color="auto" w:sz="4" w:space="0"/>
              <w:bottom w:val="single" w:color="auto" w:sz="4" w:space="0"/>
              <w:right w:val="single" w:color="auto" w:sz="4" w:space="0"/>
            </w:tcBorders>
            <w:noWrap w:val="0"/>
            <w:vAlign w:val="bottom"/>
          </w:tcPr>
          <w:p w14:paraId="566E1B7D">
            <w:pPr>
              <w:spacing w:line="360" w:lineRule="auto"/>
              <w:rPr>
                <w:rFonts w:ascii="宋体" w:hAnsi="宋体" w:eastAsia="宋体" w:cs="Times New Roman"/>
                <w:sz w:val="24"/>
                <w:szCs w:val="24"/>
              </w:rPr>
            </w:pPr>
          </w:p>
        </w:tc>
      </w:tr>
      <w:tr w14:paraId="16F98F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7FB3D621">
            <w:pPr>
              <w:spacing w:line="360" w:lineRule="auto"/>
              <w:jc w:val="center"/>
              <w:rPr>
                <w:rFonts w:ascii="宋体" w:hAnsi="宋体" w:eastAsia="宋体" w:cs="Times New Roman"/>
                <w:sz w:val="24"/>
                <w:szCs w:val="24"/>
              </w:rPr>
            </w:pPr>
            <w:r>
              <w:rPr>
                <w:rFonts w:ascii="宋体" w:hAnsi="宋体" w:eastAsia="宋体" w:cs="Times New Roman"/>
                <w:sz w:val="24"/>
                <w:szCs w:val="24"/>
              </w:rPr>
              <w:t>2</w:t>
            </w:r>
          </w:p>
        </w:tc>
        <w:tc>
          <w:tcPr>
            <w:tcW w:w="2630" w:type="dxa"/>
            <w:tcBorders>
              <w:top w:val="single" w:color="auto" w:sz="4" w:space="0"/>
              <w:left w:val="single" w:color="auto" w:sz="4" w:space="0"/>
              <w:bottom w:val="single" w:color="auto" w:sz="4" w:space="0"/>
              <w:right w:val="single" w:color="auto" w:sz="4" w:space="0"/>
            </w:tcBorders>
            <w:noWrap w:val="0"/>
            <w:vAlign w:val="bottom"/>
          </w:tcPr>
          <w:p w14:paraId="7314F21F">
            <w:pPr>
              <w:spacing w:line="360" w:lineRule="auto"/>
              <w:rPr>
                <w:rFonts w:ascii="宋体" w:hAnsi="宋体" w:eastAsia="宋体" w:cs="Times New Roman"/>
                <w:sz w:val="24"/>
                <w:szCs w:val="24"/>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14:paraId="4D72DEAB">
            <w:pPr>
              <w:spacing w:line="360" w:lineRule="auto"/>
              <w:rPr>
                <w:rFonts w:ascii="宋体" w:hAnsi="宋体" w:eastAsia="宋体" w:cs="Times New Roman"/>
                <w:sz w:val="24"/>
                <w:szCs w:val="24"/>
              </w:rPr>
            </w:pPr>
          </w:p>
        </w:tc>
        <w:tc>
          <w:tcPr>
            <w:tcW w:w="1224" w:type="dxa"/>
            <w:tcBorders>
              <w:top w:val="single" w:color="auto" w:sz="4" w:space="0"/>
              <w:left w:val="single" w:color="auto" w:sz="4" w:space="0"/>
              <w:bottom w:val="single" w:color="auto" w:sz="4" w:space="0"/>
              <w:right w:val="single" w:color="auto" w:sz="4" w:space="0"/>
            </w:tcBorders>
            <w:noWrap w:val="0"/>
            <w:vAlign w:val="bottom"/>
          </w:tcPr>
          <w:p w14:paraId="7C8D7024">
            <w:pPr>
              <w:spacing w:line="360" w:lineRule="auto"/>
              <w:rPr>
                <w:rFonts w:ascii="宋体" w:hAnsi="宋体" w:eastAsia="宋体" w:cs="Times New Roman"/>
                <w:sz w:val="24"/>
                <w:szCs w:val="24"/>
              </w:rPr>
            </w:pPr>
          </w:p>
        </w:tc>
        <w:tc>
          <w:tcPr>
            <w:tcW w:w="2268" w:type="dxa"/>
            <w:tcBorders>
              <w:top w:val="single" w:color="auto" w:sz="4" w:space="0"/>
              <w:left w:val="single" w:color="auto" w:sz="4" w:space="0"/>
              <w:bottom w:val="single" w:color="auto" w:sz="4" w:space="0"/>
              <w:right w:val="single" w:color="auto" w:sz="4" w:space="0"/>
            </w:tcBorders>
            <w:noWrap w:val="0"/>
            <w:vAlign w:val="bottom"/>
          </w:tcPr>
          <w:p w14:paraId="61E815E0">
            <w:pPr>
              <w:spacing w:line="360" w:lineRule="auto"/>
              <w:rPr>
                <w:rFonts w:ascii="宋体" w:hAnsi="宋体" w:eastAsia="宋体" w:cs="Times New Roman"/>
                <w:sz w:val="24"/>
                <w:szCs w:val="24"/>
              </w:rPr>
            </w:pPr>
          </w:p>
        </w:tc>
      </w:tr>
      <w:tr w14:paraId="4AAAA9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489EFA4E">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3</w:t>
            </w:r>
          </w:p>
        </w:tc>
        <w:tc>
          <w:tcPr>
            <w:tcW w:w="2630" w:type="dxa"/>
            <w:tcBorders>
              <w:top w:val="single" w:color="auto" w:sz="4" w:space="0"/>
              <w:left w:val="single" w:color="auto" w:sz="4" w:space="0"/>
              <w:bottom w:val="single" w:color="auto" w:sz="4" w:space="0"/>
              <w:right w:val="single" w:color="auto" w:sz="4" w:space="0"/>
            </w:tcBorders>
            <w:noWrap w:val="0"/>
            <w:vAlign w:val="bottom"/>
          </w:tcPr>
          <w:p w14:paraId="5E1ECD25">
            <w:pPr>
              <w:spacing w:line="360" w:lineRule="auto"/>
              <w:rPr>
                <w:rFonts w:ascii="宋体" w:hAnsi="宋体" w:eastAsia="宋体" w:cs="Times New Roman"/>
                <w:sz w:val="24"/>
                <w:szCs w:val="24"/>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14:paraId="0E5D7C33">
            <w:pPr>
              <w:spacing w:line="360" w:lineRule="auto"/>
              <w:rPr>
                <w:rFonts w:ascii="宋体" w:hAnsi="宋体" w:eastAsia="宋体" w:cs="Times New Roman"/>
                <w:sz w:val="24"/>
                <w:szCs w:val="24"/>
              </w:rPr>
            </w:pPr>
          </w:p>
        </w:tc>
        <w:tc>
          <w:tcPr>
            <w:tcW w:w="1224" w:type="dxa"/>
            <w:tcBorders>
              <w:top w:val="single" w:color="auto" w:sz="4" w:space="0"/>
              <w:left w:val="single" w:color="auto" w:sz="4" w:space="0"/>
              <w:bottom w:val="single" w:color="auto" w:sz="4" w:space="0"/>
              <w:right w:val="single" w:color="auto" w:sz="4" w:space="0"/>
            </w:tcBorders>
            <w:noWrap w:val="0"/>
            <w:vAlign w:val="bottom"/>
          </w:tcPr>
          <w:p w14:paraId="57FBAEA6">
            <w:pPr>
              <w:spacing w:line="360" w:lineRule="auto"/>
              <w:rPr>
                <w:rFonts w:ascii="宋体" w:hAnsi="宋体" w:eastAsia="宋体" w:cs="Times New Roman"/>
                <w:sz w:val="24"/>
                <w:szCs w:val="24"/>
              </w:rPr>
            </w:pPr>
          </w:p>
        </w:tc>
        <w:tc>
          <w:tcPr>
            <w:tcW w:w="2268" w:type="dxa"/>
            <w:tcBorders>
              <w:top w:val="single" w:color="auto" w:sz="4" w:space="0"/>
              <w:left w:val="single" w:color="auto" w:sz="4" w:space="0"/>
              <w:bottom w:val="single" w:color="auto" w:sz="4" w:space="0"/>
              <w:right w:val="single" w:color="auto" w:sz="4" w:space="0"/>
            </w:tcBorders>
            <w:noWrap w:val="0"/>
            <w:vAlign w:val="bottom"/>
          </w:tcPr>
          <w:p w14:paraId="7ED9F88C">
            <w:pPr>
              <w:spacing w:line="360" w:lineRule="auto"/>
              <w:rPr>
                <w:rFonts w:ascii="宋体" w:hAnsi="宋体" w:eastAsia="宋体" w:cs="Times New Roman"/>
                <w:sz w:val="24"/>
                <w:szCs w:val="24"/>
              </w:rPr>
            </w:pPr>
          </w:p>
        </w:tc>
      </w:tr>
      <w:tr w14:paraId="219B71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46EEA17C">
            <w:pPr>
              <w:spacing w:line="360" w:lineRule="auto"/>
              <w:jc w:val="center"/>
              <w:rPr>
                <w:rFonts w:hint="eastAsia" w:ascii="宋体" w:hAnsi="宋体" w:eastAsia="宋体" w:cs="Times New Roman"/>
                <w:sz w:val="24"/>
                <w:szCs w:val="24"/>
              </w:rPr>
            </w:pPr>
            <w:r>
              <w:rPr>
                <w:rFonts w:ascii="宋体" w:hAnsi="宋体" w:eastAsia="宋体" w:cs="Times New Roman"/>
                <w:sz w:val="24"/>
                <w:szCs w:val="24"/>
              </w:rPr>
              <w:t>4</w:t>
            </w:r>
          </w:p>
        </w:tc>
        <w:tc>
          <w:tcPr>
            <w:tcW w:w="2630" w:type="dxa"/>
            <w:tcBorders>
              <w:top w:val="single" w:color="auto" w:sz="4" w:space="0"/>
              <w:left w:val="single" w:color="auto" w:sz="4" w:space="0"/>
              <w:bottom w:val="single" w:color="auto" w:sz="4" w:space="0"/>
              <w:right w:val="single" w:color="auto" w:sz="4" w:space="0"/>
            </w:tcBorders>
            <w:noWrap w:val="0"/>
            <w:vAlign w:val="bottom"/>
          </w:tcPr>
          <w:p w14:paraId="5F9A9A2D">
            <w:pPr>
              <w:spacing w:line="360" w:lineRule="auto"/>
              <w:rPr>
                <w:rFonts w:ascii="宋体" w:hAnsi="宋体" w:eastAsia="宋体" w:cs="Times New Roman"/>
                <w:sz w:val="24"/>
                <w:szCs w:val="24"/>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14:paraId="2DBF1493">
            <w:pPr>
              <w:spacing w:line="360" w:lineRule="auto"/>
              <w:rPr>
                <w:rFonts w:ascii="宋体" w:hAnsi="宋体" w:eastAsia="宋体" w:cs="Times New Roman"/>
                <w:sz w:val="24"/>
                <w:szCs w:val="24"/>
              </w:rPr>
            </w:pPr>
          </w:p>
        </w:tc>
        <w:tc>
          <w:tcPr>
            <w:tcW w:w="1224" w:type="dxa"/>
            <w:tcBorders>
              <w:top w:val="single" w:color="auto" w:sz="4" w:space="0"/>
              <w:left w:val="single" w:color="auto" w:sz="4" w:space="0"/>
              <w:bottom w:val="single" w:color="auto" w:sz="4" w:space="0"/>
              <w:right w:val="single" w:color="auto" w:sz="4" w:space="0"/>
            </w:tcBorders>
            <w:noWrap w:val="0"/>
            <w:vAlign w:val="bottom"/>
          </w:tcPr>
          <w:p w14:paraId="47553CDE">
            <w:pPr>
              <w:spacing w:line="360" w:lineRule="auto"/>
              <w:rPr>
                <w:rFonts w:ascii="宋体" w:hAnsi="宋体" w:eastAsia="宋体" w:cs="Times New Roman"/>
                <w:sz w:val="24"/>
                <w:szCs w:val="24"/>
              </w:rPr>
            </w:pPr>
          </w:p>
        </w:tc>
        <w:tc>
          <w:tcPr>
            <w:tcW w:w="2268" w:type="dxa"/>
            <w:tcBorders>
              <w:top w:val="single" w:color="auto" w:sz="4" w:space="0"/>
              <w:left w:val="single" w:color="auto" w:sz="4" w:space="0"/>
              <w:bottom w:val="single" w:color="auto" w:sz="4" w:space="0"/>
              <w:right w:val="single" w:color="auto" w:sz="4" w:space="0"/>
            </w:tcBorders>
            <w:noWrap w:val="0"/>
            <w:vAlign w:val="bottom"/>
          </w:tcPr>
          <w:p w14:paraId="0B2ABA97">
            <w:pPr>
              <w:spacing w:line="360" w:lineRule="auto"/>
              <w:rPr>
                <w:rFonts w:ascii="宋体" w:hAnsi="宋体" w:eastAsia="宋体" w:cs="Times New Roman"/>
                <w:sz w:val="24"/>
                <w:szCs w:val="24"/>
              </w:rPr>
            </w:pPr>
          </w:p>
        </w:tc>
      </w:tr>
      <w:tr w14:paraId="002204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3CF23295">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5</w:t>
            </w:r>
          </w:p>
        </w:tc>
        <w:tc>
          <w:tcPr>
            <w:tcW w:w="2630" w:type="dxa"/>
            <w:tcBorders>
              <w:top w:val="single" w:color="auto" w:sz="4" w:space="0"/>
              <w:left w:val="single" w:color="auto" w:sz="4" w:space="0"/>
              <w:bottom w:val="single" w:color="auto" w:sz="4" w:space="0"/>
              <w:right w:val="single" w:color="auto" w:sz="4" w:space="0"/>
            </w:tcBorders>
            <w:noWrap w:val="0"/>
            <w:vAlign w:val="bottom"/>
          </w:tcPr>
          <w:p w14:paraId="166339C5">
            <w:pPr>
              <w:spacing w:line="360" w:lineRule="auto"/>
              <w:rPr>
                <w:rFonts w:ascii="宋体" w:hAnsi="宋体" w:eastAsia="宋体" w:cs="Times New Roman"/>
                <w:sz w:val="24"/>
                <w:szCs w:val="24"/>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14:paraId="5D44CD08">
            <w:pPr>
              <w:spacing w:line="360" w:lineRule="auto"/>
              <w:rPr>
                <w:rFonts w:ascii="宋体" w:hAnsi="宋体" w:eastAsia="宋体" w:cs="Times New Roman"/>
                <w:sz w:val="24"/>
                <w:szCs w:val="24"/>
              </w:rPr>
            </w:pPr>
          </w:p>
        </w:tc>
        <w:tc>
          <w:tcPr>
            <w:tcW w:w="1224" w:type="dxa"/>
            <w:tcBorders>
              <w:top w:val="single" w:color="auto" w:sz="4" w:space="0"/>
              <w:left w:val="single" w:color="auto" w:sz="4" w:space="0"/>
              <w:bottom w:val="single" w:color="auto" w:sz="4" w:space="0"/>
              <w:right w:val="single" w:color="auto" w:sz="4" w:space="0"/>
            </w:tcBorders>
            <w:noWrap w:val="0"/>
            <w:vAlign w:val="bottom"/>
          </w:tcPr>
          <w:p w14:paraId="3405D8EB">
            <w:pPr>
              <w:spacing w:line="360" w:lineRule="auto"/>
              <w:rPr>
                <w:rFonts w:ascii="宋体" w:hAnsi="宋体" w:eastAsia="宋体" w:cs="Times New Roman"/>
                <w:sz w:val="24"/>
                <w:szCs w:val="24"/>
              </w:rPr>
            </w:pPr>
          </w:p>
        </w:tc>
        <w:tc>
          <w:tcPr>
            <w:tcW w:w="2268" w:type="dxa"/>
            <w:tcBorders>
              <w:top w:val="single" w:color="auto" w:sz="4" w:space="0"/>
              <w:left w:val="single" w:color="auto" w:sz="4" w:space="0"/>
              <w:bottom w:val="single" w:color="auto" w:sz="4" w:space="0"/>
              <w:right w:val="single" w:color="auto" w:sz="4" w:space="0"/>
            </w:tcBorders>
            <w:noWrap w:val="0"/>
            <w:vAlign w:val="bottom"/>
          </w:tcPr>
          <w:p w14:paraId="01C05EDD">
            <w:pPr>
              <w:spacing w:line="360" w:lineRule="auto"/>
              <w:rPr>
                <w:rFonts w:ascii="宋体" w:hAnsi="宋体" w:eastAsia="宋体" w:cs="Times New Roman"/>
                <w:sz w:val="24"/>
                <w:szCs w:val="24"/>
              </w:rPr>
            </w:pPr>
          </w:p>
        </w:tc>
      </w:tr>
      <w:tr w14:paraId="642E99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26B37C54">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6</w:t>
            </w:r>
          </w:p>
        </w:tc>
        <w:tc>
          <w:tcPr>
            <w:tcW w:w="2630" w:type="dxa"/>
            <w:tcBorders>
              <w:top w:val="single" w:color="auto" w:sz="4" w:space="0"/>
              <w:left w:val="single" w:color="auto" w:sz="4" w:space="0"/>
              <w:bottom w:val="single" w:color="auto" w:sz="4" w:space="0"/>
              <w:right w:val="single" w:color="auto" w:sz="4" w:space="0"/>
            </w:tcBorders>
            <w:noWrap w:val="0"/>
            <w:vAlign w:val="bottom"/>
          </w:tcPr>
          <w:p w14:paraId="4C1D73FC">
            <w:pPr>
              <w:spacing w:line="360" w:lineRule="auto"/>
              <w:rPr>
                <w:rFonts w:ascii="宋体" w:hAnsi="宋体" w:eastAsia="宋体" w:cs="Times New Roman"/>
                <w:sz w:val="24"/>
                <w:szCs w:val="24"/>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14:paraId="29A827D2">
            <w:pPr>
              <w:spacing w:line="360" w:lineRule="auto"/>
              <w:rPr>
                <w:rFonts w:ascii="宋体" w:hAnsi="宋体" w:eastAsia="宋体" w:cs="Times New Roman"/>
                <w:sz w:val="24"/>
                <w:szCs w:val="24"/>
              </w:rPr>
            </w:pPr>
          </w:p>
        </w:tc>
        <w:tc>
          <w:tcPr>
            <w:tcW w:w="1224" w:type="dxa"/>
            <w:tcBorders>
              <w:top w:val="single" w:color="auto" w:sz="4" w:space="0"/>
              <w:left w:val="single" w:color="auto" w:sz="4" w:space="0"/>
              <w:bottom w:val="single" w:color="auto" w:sz="4" w:space="0"/>
              <w:right w:val="single" w:color="auto" w:sz="4" w:space="0"/>
            </w:tcBorders>
            <w:noWrap w:val="0"/>
            <w:vAlign w:val="bottom"/>
          </w:tcPr>
          <w:p w14:paraId="3CF8DA12">
            <w:pPr>
              <w:spacing w:line="360" w:lineRule="auto"/>
              <w:rPr>
                <w:rFonts w:ascii="宋体" w:hAnsi="宋体" w:eastAsia="宋体" w:cs="Times New Roman"/>
                <w:sz w:val="24"/>
                <w:szCs w:val="24"/>
              </w:rPr>
            </w:pPr>
          </w:p>
        </w:tc>
        <w:tc>
          <w:tcPr>
            <w:tcW w:w="2268" w:type="dxa"/>
            <w:tcBorders>
              <w:top w:val="single" w:color="auto" w:sz="4" w:space="0"/>
              <w:left w:val="single" w:color="auto" w:sz="4" w:space="0"/>
              <w:bottom w:val="single" w:color="auto" w:sz="4" w:space="0"/>
              <w:right w:val="single" w:color="auto" w:sz="4" w:space="0"/>
            </w:tcBorders>
            <w:noWrap w:val="0"/>
            <w:vAlign w:val="bottom"/>
          </w:tcPr>
          <w:p w14:paraId="28FC3963">
            <w:pPr>
              <w:spacing w:line="360" w:lineRule="auto"/>
              <w:rPr>
                <w:rFonts w:ascii="宋体" w:hAnsi="宋体" w:eastAsia="宋体" w:cs="Times New Roman"/>
                <w:sz w:val="24"/>
                <w:szCs w:val="24"/>
              </w:rPr>
            </w:pPr>
          </w:p>
        </w:tc>
      </w:tr>
      <w:tr w14:paraId="31CFBF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662" w:type="dxa"/>
            <w:tcBorders>
              <w:top w:val="single" w:color="auto" w:sz="4" w:space="0"/>
              <w:left w:val="single" w:color="auto" w:sz="4" w:space="0"/>
              <w:bottom w:val="single" w:color="auto" w:sz="4" w:space="0"/>
              <w:right w:val="single" w:color="auto" w:sz="4" w:space="0"/>
            </w:tcBorders>
            <w:noWrap w:val="0"/>
            <w:vAlign w:val="center"/>
          </w:tcPr>
          <w:p w14:paraId="2495E08D">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w:t>
            </w:r>
          </w:p>
        </w:tc>
        <w:tc>
          <w:tcPr>
            <w:tcW w:w="2630" w:type="dxa"/>
            <w:tcBorders>
              <w:top w:val="single" w:color="auto" w:sz="4" w:space="0"/>
              <w:left w:val="single" w:color="auto" w:sz="4" w:space="0"/>
              <w:bottom w:val="single" w:color="auto" w:sz="4" w:space="0"/>
              <w:right w:val="single" w:color="auto" w:sz="4" w:space="0"/>
            </w:tcBorders>
            <w:noWrap w:val="0"/>
            <w:vAlign w:val="bottom"/>
          </w:tcPr>
          <w:p w14:paraId="35588C1A">
            <w:pPr>
              <w:spacing w:line="360" w:lineRule="auto"/>
              <w:rPr>
                <w:rFonts w:ascii="宋体" w:hAnsi="宋体" w:eastAsia="宋体" w:cs="Times New Roman"/>
                <w:sz w:val="24"/>
                <w:szCs w:val="24"/>
              </w:rPr>
            </w:pPr>
          </w:p>
        </w:tc>
        <w:tc>
          <w:tcPr>
            <w:tcW w:w="2288" w:type="dxa"/>
            <w:tcBorders>
              <w:top w:val="single" w:color="auto" w:sz="4" w:space="0"/>
              <w:left w:val="single" w:color="auto" w:sz="4" w:space="0"/>
              <w:bottom w:val="single" w:color="auto" w:sz="4" w:space="0"/>
              <w:right w:val="single" w:color="auto" w:sz="4" w:space="0"/>
            </w:tcBorders>
            <w:noWrap w:val="0"/>
            <w:vAlign w:val="bottom"/>
          </w:tcPr>
          <w:p w14:paraId="5CD680A7">
            <w:pPr>
              <w:spacing w:line="360" w:lineRule="auto"/>
              <w:rPr>
                <w:rFonts w:ascii="宋体" w:hAnsi="宋体" w:eastAsia="宋体" w:cs="Times New Roman"/>
                <w:sz w:val="24"/>
                <w:szCs w:val="24"/>
              </w:rPr>
            </w:pPr>
          </w:p>
        </w:tc>
        <w:tc>
          <w:tcPr>
            <w:tcW w:w="1224" w:type="dxa"/>
            <w:tcBorders>
              <w:top w:val="single" w:color="auto" w:sz="4" w:space="0"/>
              <w:left w:val="single" w:color="auto" w:sz="4" w:space="0"/>
              <w:bottom w:val="single" w:color="auto" w:sz="4" w:space="0"/>
              <w:right w:val="single" w:color="auto" w:sz="4" w:space="0"/>
            </w:tcBorders>
            <w:noWrap w:val="0"/>
            <w:vAlign w:val="bottom"/>
          </w:tcPr>
          <w:p w14:paraId="6401E360">
            <w:pPr>
              <w:spacing w:line="360" w:lineRule="auto"/>
              <w:rPr>
                <w:rFonts w:ascii="宋体" w:hAnsi="宋体" w:eastAsia="宋体" w:cs="Times New Roman"/>
                <w:sz w:val="24"/>
                <w:szCs w:val="24"/>
              </w:rPr>
            </w:pPr>
          </w:p>
        </w:tc>
        <w:tc>
          <w:tcPr>
            <w:tcW w:w="2268" w:type="dxa"/>
            <w:tcBorders>
              <w:top w:val="single" w:color="auto" w:sz="4" w:space="0"/>
              <w:left w:val="single" w:color="auto" w:sz="4" w:space="0"/>
              <w:bottom w:val="single" w:color="auto" w:sz="4" w:space="0"/>
              <w:right w:val="single" w:color="auto" w:sz="4" w:space="0"/>
            </w:tcBorders>
            <w:noWrap w:val="0"/>
            <w:vAlign w:val="bottom"/>
          </w:tcPr>
          <w:p w14:paraId="441AE074">
            <w:pPr>
              <w:spacing w:line="360" w:lineRule="auto"/>
              <w:rPr>
                <w:rFonts w:ascii="宋体" w:hAnsi="宋体" w:eastAsia="宋体" w:cs="Times New Roman"/>
                <w:sz w:val="24"/>
                <w:szCs w:val="24"/>
              </w:rPr>
            </w:pPr>
          </w:p>
        </w:tc>
      </w:tr>
    </w:tbl>
    <w:p w14:paraId="4B8F6144">
      <w:pPr>
        <w:spacing w:line="360" w:lineRule="auto"/>
        <w:ind w:firstLine="480"/>
        <w:jc w:val="left"/>
        <w:rPr>
          <w:rFonts w:hint="eastAsia" w:ascii="宋体" w:hAnsi="宋体" w:eastAsia="宋体" w:cs="Times New Roman"/>
          <w:sz w:val="24"/>
          <w:szCs w:val="24"/>
        </w:rPr>
      </w:pPr>
      <w:bookmarkStart w:id="5453" w:name="_Toc302636015"/>
      <w:r>
        <w:rPr>
          <w:rFonts w:hint="eastAsia" w:ascii="宋体" w:hAnsi="宋体" w:eastAsia="宋体" w:cs="Times New Roman"/>
          <w:sz w:val="24"/>
          <w:szCs w:val="24"/>
        </w:rPr>
        <w:t>(</w:t>
      </w:r>
      <w:r>
        <w:rPr>
          <w:rFonts w:ascii="宋体" w:hAnsi="宋体" w:eastAsia="宋体" w:cs="Times New Roman"/>
          <w:sz w:val="24"/>
          <w:szCs w:val="24"/>
        </w:rPr>
        <w:t>4</w:t>
      </w:r>
      <w:r>
        <w:rPr>
          <w:rFonts w:hint="eastAsia" w:ascii="宋体" w:hAnsi="宋体" w:eastAsia="宋体" w:cs="Times New Roman"/>
          <w:sz w:val="24"/>
          <w:szCs w:val="24"/>
        </w:rPr>
        <w:t>)如本款第(1)项所述暂估的材料不属于按规定必须招标且不属于按规定必须询价采购的，按照以下方式确定该材料单价：</w:t>
      </w:r>
      <w:r>
        <w:rPr>
          <w:rFonts w:hint="eastAsia" w:ascii="宋体" w:hAnsi="宋体" w:eastAsia="宋体" w:cs="Times New Roman"/>
          <w:bCs/>
          <w:sz w:val="24"/>
          <w:szCs w:val="24"/>
          <w:u w:val="single"/>
        </w:rPr>
        <w:t xml:space="preserve">                                                            </w:t>
      </w:r>
    </w:p>
    <w:p w14:paraId="4B774E8C">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1AB47BF3">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kern w:val="0"/>
          <w:sz w:val="24"/>
          <w:szCs w:val="32"/>
          <w:lang w:val="en-US" w:eastAsia="zh-CN" w:bidi="ar-SA"/>
        </w:rPr>
      </w:pPr>
      <w:bookmarkStart w:id="5454" w:name="_Toc31786"/>
      <w:bookmarkStart w:id="5455" w:name="_Toc24079"/>
      <w:bookmarkStart w:id="5456" w:name="_Toc18237"/>
      <w:bookmarkStart w:id="5457" w:name="_Toc4647"/>
      <w:bookmarkStart w:id="5458" w:name="_Toc201735606"/>
      <w:bookmarkStart w:id="5459" w:name="_Toc16195"/>
      <w:bookmarkStart w:id="5460" w:name="_Toc21523"/>
      <w:bookmarkStart w:id="5461" w:name="_Toc5737"/>
      <w:bookmarkStart w:id="5462" w:name="_Toc24574"/>
      <w:bookmarkStart w:id="5463" w:name="_Toc208587830"/>
      <w:bookmarkStart w:id="5464" w:name="_Toc423533955"/>
      <w:bookmarkStart w:id="5465" w:name="_Toc23825"/>
      <w:bookmarkStart w:id="5466" w:name="_Toc10493"/>
      <w:r>
        <w:rPr>
          <w:rFonts w:hint="eastAsia" w:ascii="宋体" w:hAnsi="宋体" w:eastAsia="宋体" w:cs="Times New Roman"/>
          <w:b/>
          <w:bCs/>
          <w:kern w:val="0"/>
          <w:sz w:val="24"/>
          <w:szCs w:val="32"/>
          <w:lang w:val="en-US" w:eastAsia="zh-CN" w:bidi="ar-SA"/>
        </w:rPr>
        <w:t>21.2</w:t>
      </w:r>
      <w:r>
        <w:rPr>
          <w:rFonts w:ascii="宋体" w:hAnsi="宋体" w:eastAsia="宋体" w:cs="Times New Roman"/>
          <w:b/>
          <w:bCs/>
          <w:kern w:val="0"/>
          <w:sz w:val="24"/>
          <w:szCs w:val="32"/>
          <w:lang w:val="en-US" w:eastAsia="zh-CN" w:bidi="ar-SA"/>
        </w:rPr>
        <w:t xml:space="preserve"> </w:t>
      </w:r>
      <w:r>
        <w:rPr>
          <w:rFonts w:hint="eastAsia" w:ascii="宋体" w:hAnsi="宋体" w:eastAsia="宋体" w:cs="Times New Roman"/>
          <w:b/>
          <w:bCs/>
          <w:kern w:val="0"/>
          <w:sz w:val="24"/>
          <w:szCs w:val="32"/>
          <w:lang w:val="en-US" w:eastAsia="zh-CN" w:bidi="ar-SA"/>
        </w:rPr>
        <w:t>专业工程暂估价</w:t>
      </w:r>
      <w:bookmarkEnd w:id="5398"/>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p>
    <w:p w14:paraId="620865A7">
      <w:pPr>
        <w:spacing w:line="360" w:lineRule="auto"/>
        <w:ind w:firstLine="480"/>
        <w:jc w:val="left"/>
        <w:rPr>
          <w:rFonts w:hint="eastAsia" w:ascii="宋体" w:hAnsi="宋体" w:eastAsia="宋体" w:cs="Times New Roman"/>
          <w:sz w:val="24"/>
          <w:szCs w:val="24"/>
        </w:rPr>
      </w:pPr>
      <w:r>
        <w:rPr>
          <w:rFonts w:hint="eastAsia" w:ascii="宋体" w:hAnsi="宋体" w:eastAsia="宋体" w:cs="Times New Roman"/>
          <w:sz w:val="24"/>
          <w:szCs w:val="24"/>
        </w:rPr>
        <w:t>(1)本工程暂估的专业工程的名称和暂估价款：                                              (本表可另附页)</w:t>
      </w:r>
    </w:p>
    <w:tbl>
      <w:tblPr>
        <w:tblStyle w:val="41"/>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00"/>
        <w:gridCol w:w="5040"/>
        <w:gridCol w:w="3132"/>
      </w:tblGrid>
      <w:tr w14:paraId="6584BD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6165FCAF">
            <w:pPr>
              <w:spacing w:line="360" w:lineRule="auto"/>
              <w:ind w:left="-107" w:right="-107"/>
              <w:jc w:val="center"/>
              <w:rPr>
                <w:rFonts w:ascii="宋体" w:hAnsi="宋体" w:eastAsia="宋体" w:cs="Times New Roman"/>
                <w:sz w:val="24"/>
                <w:szCs w:val="24"/>
              </w:rPr>
            </w:pPr>
            <w:r>
              <w:rPr>
                <w:rFonts w:hint="eastAsia" w:ascii="宋体" w:hAnsi="宋体" w:eastAsia="宋体" w:cs="Times New Roman"/>
                <w:sz w:val="24"/>
                <w:szCs w:val="24"/>
              </w:rPr>
              <w:t>序号</w:t>
            </w:r>
          </w:p>
        </w:tc>
        <w:tc>
          <w:tcPr>
            <w:tcW w:w="5040" w:type="dxa"/>
            <w:tcBorders>
              <w:top w:val="single" w:color="auto" w:sz="4" w:space="0"/>
              <w:left w:val="single" w:color="auto" w:sz="4" w:space="0"/>
              <w:bottom w:val="single" w:color="auto" w:sz="4" w:space="0"/>
              <w:right w:val="single" w:color="auto" w:sz="4" w:space="0"/>
            </w:tcBorders>
            <w:noWrap w:val="0"/>
            <w:vAlign w:val="center"/>
          </w:tcPr>
          <w:p w14:paraId="055B3A5A">
            <w:pPr>
              <w:spacing w:line="360" w:lineRule="auto"/>
              <w:ind w:left="-107" w:right="-107"/>
              <w:jc w:val="center"/>
              <w:rPr>
                <w:rFonts w:ascii="宋体" w:hAnsi="宋体" w:eastAsia="宋体" w:cs="Times New Roman"/>
                <w:sz w:val="24"/>
                <w:szCs w:val="24"/>
              </w:rPr>
            </w:pPr>
            <w:r>
              <w:rPr>
                <w:rFonts w:hint="eastAsia" w:ascii="宋体" w:hAnsi="宋体" w:eastAsia="宋体" w:cs="Times New Roman"/>
                <w:sz w:val="24"/>
                <w:szCs w:val="24"/>
              </w:rPr>
              <w:t>暂估的专业工程名称</w:t>
            </w:r>
          </w:p>
        </w:tc>
        <w:tc>
          <w:tcPr>
            <w:tcW w:w="3132" w:type="dxa"/>
            <w:tcBorders>
              <w:top w:val="single" w:color="auto" w:sz="4" w:space="0"/>
              <w:left w:val="single" w:color="auto" w:sz="4" w:space="0"/>
              <w:bottom w:val="single" w:color="auto" w:sz="4" w:space="0"/>
              <w:right w:val="single" w:color="auto" w:sz="4" w:space="0"/>
            </w:tcBorders>
            <w:noWrap w:val="0"/>
            <w:vAlign w:val="center"/>
          </w:tcPr>
          <w:p w14:paraId="6D4900AE">
            <w:pPr>
              <w:spacing w:line="360" w:lineRule="auto"/>
              <w:ind w:left="-107" w:right="-107"/>
              <w:jc w:val="center"/>
              <w:rPr>
                <w:rFonts w:ascii="宋体" w:hAnsi="宋体" w:eastAsia="宋体" w:cs="Times New Roman"/>
                <w:sz w:val="24"/>
                <w:szCs w:val="24"/>
              </w:rPr>
            </w:pPr>
            <w:r>
              <w:rPr>
                <w:rFonts w:hint="eastAsia" w:ascii="宋体" w:hAnsi="宋体" w:eastAsia="宋体" w:cs="Times New Roman"/>
                <w:sz w:val="24"/>
                <w:szCs w:val="24"/>
              </w:rPr>
              <w:t>暂估价款(万元)</w:t>
            </w:r>
          </w:p>
        </w:tc>
      </w:tr>
      <w:tr w14:paraId="68FCB0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11F513BE">
            <w:pPr>
              <w:spacing w:line="360" w:lineRule="auto"/>
              <w:jc w:val="center"/>
              <w:rPr>
                <w:rFonts w:ascii="宋体" w:hAnsi="宋体" w:eastAsia="宋体" w:cs="Times New Roman"/>
                <w:sz w:val="24"/>
                <w:szCs w:val="24"/>
              </w:rPr>
            </w:pPr>
            <w:r>
              <w:rPr>
                <w:rFonts w:ascii="宋体" w:hAnsi="宋体" w:eastAsia="宋体" w:cs="Times New Roman"/>
                <w:sz w:val="24"/>
                <w:szCs w:val="24"/>
              </w:rPr>
              <w:t>1</w:t>
            </w:r>
          </w:p>
        </w:tc>
        <w:tc>
          <w:tcPr>
            <w:tcW w:w="5040" w:type="dxa"/>
            <w:tcBorders>
              <w:top w:val="single" w:color="auto" w:sz="4" w:space="0"/>
              <w:left w:val="single" w:color="auto" w:sz="4" w:space="0"/>
              <w:bottom w:val="single" w:color="auto" w:sz="4" w:space="0"/>
              <w:right w:val="single" w:color="auto" w:sz="4" w:space="0"/>
            </w:tcBorders>
            <w:noWrap w:val="0"/>
            <w:vAlign w:val="bottom"/>
          </w:tcPr>
          <w:p w14:paraId="018C3E92">
            <w:pPr>
              <w:spacing w:line="360" w:lineRule="auto"/>
              <w:rPr>
                <w:rFonts w:ascii="宋体" w:hAnsi="宋体" w:eastAsia="宋体" w:cs="Times New Roman"/>
                <w:sz w:val="24"/>
                <w:szCs w:val="24"/>
              </w:rPr>
            </w:pPr>
          </w:p>
        </w:tc>
        <w:tc>
          <w:tcPr>
            <w:tcW w:w="3132" w:type="dxa"/>
            <w:tcBorders>
              <w:top w:val="single" w:color="auto" w:sz="4" w:space="0"/>
              <w:left w:val="single" w:color="auto" w:sz="4" w:space="0"/>
              <w:bottom w:val="single" w:color="auto" w:sz="4" w:space="0"/>
              <w:right w:val="single" w:color="auto" w:sz="4" w:space="0"/>
            </w:tcBorders>
            <w:noWrap w:val="0"/>
            <w:vAlign w:val="bottom"/>
          </w:tcPr>
          <w:p w14:paraId="7D8865CF">
            <w:pPr>
              <w:spacing w:line="360" w:lineRule="auto"/>
              <w:rPr>
                <w:rFonts w:ascii="宋体" w:hAnsi="宋体" w:eastAsia="宋体" w:cs="Times New Roman"/>
                <w:sz w:val="24"/>
                <w:szCs w:val="24"/>
              </w:rPr>
            </w:pPr>
          </w:p>
        </w:tc>
      </w:tr>
      <w:tr w14:paraId="23874C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7E908BB5">
            <w:pPr>
              <w:spacing w:line="360" w:lineRule="auto"/>
              <w:jc w:val="center"/>
              <w:rPr>
                <w:rFonts w:ascii="宋体" w:hAnsi="宋体" w:eastAsia="宋体" w:cs="Times New Roman"/>
                <w:sz w:val="24"/>
                <w:szCs w:val="24"/>
              </w:rPr>
            </w:pPr>
            <w:r>
              <w:rPr>
                <w:rFonts w:ascii="宋体" w:hAnsi="宋体" w:eastAsia="宋体" w:cs="Times New Roman"/>
                <w:sz w:val="24"/>
                <w:szCs w:val="24"/>
              </w:rPr>
              <w:t>2</w:t>
            </w:r>
          </w:p>
        </w:tc>
        <w:tc>
          <w:tcPr>
            <w:tcW w:w="5040" w:type="dxa"/>
            <w:tcBorders>
              <w:top w:val="single" w:color="auto" w:sz="4" w:space="0"/>
              <w:left w:val="single" w:color="auto" w:sz="4" w:space="0"/>
              <w:bottom w:val="single" w:color="auto" w:sz="4" w:space="0"/>
              <w:right w:val="single" w:color="auto" w:sz="4" w:space="0"/>
            </w:tcBorders>
            <w:noWrap w:val="0"/>
            <w:vAlign w:val="bottom"/>
          </w:tcPr>
          <w:p w14:paraId="113104C6">
            <w:pPr>
              <w:spacing w:line="360" w:lineRule="auto"/>
              <w:rPr>
                <w:rFonts w:ascii="宋体" w:hAnsi="宋体" w:eastAsia="宋体" w:cs="Times New Roman"/>
                <w:sz w:val="24"/>
                <w:szCs w:val="24"/>
              </w:rPr>
            </w:pPr>
          </w:p>
        </w:tc>
        <w:tc>
          <w:tcPr>
            <w:tcW w:w="3132" w:type="dxa"/>
            <w:tcBorders>
              <w:top w:val="single" w:color="auto" w:sz="4" w:space="0"/>
              <w:left w:val="single" w:color="auto" w:sz="4" w:space="0"/>
              <w:bottom w:val="single" w:color="auto" w:sz="4" w:space="0"/>
              <w:right w:val="single" w:color="auto" w:sz="4" w:space="0"/>
            </w:tcBorders>
            <w:noWrap w:val="0"/>
            <w:vAlign w:val="bottom"/>
          </w:tcPr>
          <w:p w14:paraId="19E7D888">
            <w:pPr>
              <w:spacing w:line="360" w:lineRule="auto"/>
              <w:rPr>
                <w:rFonts w:ascii="宋体" w:hAnsi="宋体" w:eastAsia="宋体" w:cs="Times New Roman"/>
                <w:sz w:val="24"/>
                <w:szCs w:val="24"/>
              </w:rPr>
            </w:pPr>
          </w:p>
        </w:tc>
      </w:tr>
      <w:tr w14:paraId="4BB8B1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79D0C9B6">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3</w:t>
            </w:r>
          </w:p>
        </w:tc>
        <w:tc>
          <w:tcPr>
            <w:tcW w:w="5040" w:type="dxa"/>
            <w:tcBorders>
              <w:top w:val="single" w:color="auto" w:sz="4" w:space="0"/>
              <w:left w:val="single" w:color="auto" w:sz="4" w:space="0"/>
              <w:bottom w:val="single" w:color="auto" w:sz="4" w:space="0"/>
              <w:right w:val="single" w:color="auto" w:sz="4" w:space="0"/>
            </w:tcBorders>
            <w:noWrap w:val="0"/>
            <w:vAlign w:val="bottom"/>
          </w:tcPr>
          <w:p w14:paraId="679320E2">
            <w:pPr>
              <w:spacing w:line="360" w:lineRule="auto"/>
              <w:rPr>
                <w:rFonts w:ascii="宋体" w:hAnsi="宋体" w:eastAsia="宋体" w:cs="Times New Roman"/>
                <w:sz w:val="24"/>
                <w:szCs w:val="24"/>
              </w:rPr>
            </w:pPr>
          </w:p>
        </w:tc>
        <w:tc>
          <w:tcPr>
            <w:tcW w:w="3132" w:type="dxa"/>
            <w:tcBorders>
              <w:top w:val="single" w:color="auto" w:sz="4" w:space="0"/>
              <w:left w:val="single" w:color="auto" w:sz="4" w:space="0"/>
              <w:bottom w:val="single" w:color="auto" w:sz="4" w:space="0"/>
              <w:right w:val="single" w:color="auto" w:sz="4" w:space="0"/>
            </w:tcBorders>
            <w:noWrap w:val="0"/>
            <w:vAlign w:val="bottom"/>
          </w:tcPr>
          <w:p w14:paraId="6B17A663">
            <w:pPr>
              <w:spacing w:line="360" w:lineRule="auto"/>
              <w:rPr>
                <w:rFonts w:ascii="宋体" w:hAnsi="宋体" w:eastAsia="宋体" w:cs="Times New Roman"/>
                <w:sz w:val="24"/>
                <w:szCs w:val="24"/>
              </w:rPr>
            </w:pPr>
          </w:p>
        </w:tc>
      </w:tr>
      <w:tr w14:paraId="74AACD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210E9BC8">
            <w:pPr>
              <w:spacing w:line="360" w:lineRule="auto"/>
              <w:jc w:val="center"/>
              <w:rPr>
                <w:rFonts w:hint="eastAsia" w:ascii="宋体" w:hAnsi="宋体" w:eastAsia="宋体" w:cs="Times New Roman"/>
                <w:sz w:val="24"/>
                <w:szCs w:val="24"/>
              </w:rPr>
            </w:pPr>
            <w:r>
              <w:rPr>
                <w:rFonts w:ascii="宋体" w:hAnsi="宋体" w:eastAsia="宋体" w:cs="Times New Roman"/>
                <w:sz w:val="24"/>
                <w:szCs w:val="24"/>
              </w:rPr>
              <w:t>4</w:t>
            </w:r>
          </w:p>
        </w:tc>
        <w:tc>
          <w:tcPr>
            <w:tcW w:w="5040" w:type="dxa"/>
            <w:tcBorders>
              <w:top w:val="single" w:color="auto" w:sz="4" w:space="0"/>
              <w:left w:val="single" w:color="auto" w:sz="4" w:space="0"/>
              <w:bottom w:val="single" w:color="auto" w:sz="4" w:space="0"/>
              <w:right w:val="single" w:color="auto" w:sz="4" w:space="0"/>
            </w:tcBorders>
            <w:noWrap w:val="0"/>
            <w:vAlign w:val="bottom"/>
          </w:tcPr>
          <w:p w14:paraId="0EB9E9E6">
            <w:pPr>
              <w:spacing w:line="360" w:lineRule="auto"/>
              <w:rPr>
                <w:rFonts w:ascii="宋体" w:hAnsi="宋体" w:eastAsia="宋体" w:cs="Times New Roman"/>
                <w:sz w:val="24"/>
                <w:szCs w:val="24"/>
              </w:rPr>
            </w:pPr>
          </w:p>
        </w:tc>
        <w:tc>
          <w:tcPr>
            <w:tcW w:w="3132" w:type="dxa"/>
            <w:tcBorders>
              <w:top w:val="single" w:color="auto" w:sz="4" w:space="0"/>
              <w:left w:val="single" w:color="auto" w:sz="4" w:space="0"/>
              <w:bottom w:val="single" w:color="auto" w:sz="4" w:space="0"/>
              <w:right w:val="single" w:color="auto" w:sz="4" w:space="0"/>
            </w:tcBorders>
            <w:noWrap w:val="0"/>
            <w:vAlign w:val="bottom"/>
          </w:tcPr>
          <w:p w14:paraId="0EC0BBC0">
            <w:pPr>
              <w:spacing w:line="360" w:lineRule="auto"/>
              <w:rPr>
                <w:rFonts w:ascii="宋体" w:hAnsi="宋体" w:eastAsia="宋体" w:cs="Times New Roman"/>
                <w:sz w:val="24"/>
                <w:szCs w:val="24"/>
              </w:rPr>
            </w:pPr>
          </w:p>
        </w:tc>
      </w:tr>
      <w:tr w14:paraId="3786F8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56A471AD">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5</w:t>
            </w:r>
          </w:p>
        </w:tc>
        <w:tc>
          <w:tcPr>
            <w:tcW w:w="5040" w:type="dxa"/>
            <w:tcBorders>
              <w:top w:val="single" w:color="auto" w:sz="4" w:space="0"/>
              <w:left w:val="single" w:color="auto" w:sz="4" w:space="0"/>
              <w:bottom w:val="single" w:color="auto" w:sz="4" w:space="0"/>
              <w:right w:val="single" w:color="auto" w:sz="4" w:space="0"/>
            </w:tcBorders>
            <w:noWrap w:val="0"/>
            <w:vAlign w:val="bottom"/>
          </w:tcPr>
          <w:p w14:paraId="7D2DBD36">
            <w:pPr>
              <w:spacing w:line="360" w:lineRule="auto"/>
              <w:rPr>
                <w:rFonts w:ascii="宋体" w:hAnsi="宋体" w:eastAsia="宋体" w:cs="Times New Roman"/>
                <w:sz w:val="24"/>
                <w:szCs w:val="24"/>
              </w:rPr>
            </w:pPr>
          </w:p>
        </w:tc>
        <w:tc>
          <w:tcPr>
            <w:tcW w:w="3132" w:type="dxa"/>
            <w:tcBorders>
              <w:top w:val="single" w:color="auto" w:sz="4" w:space="0"/>
              <w:left w:val="single" w:color="auto" w:sz="4" w:space="0"/>
              <w:bottom w:val="single" w:color="auto" w:sz="4" w:space="0"/>
              <w:right w:val="single" w:color="auto" w:sz="4" w:space="0"/>
            </w:tcBorders>
            <w:noWrap w:val="0"/>
            <w:vAlign w:val="bottom"/>
          </w:tcPr>
          <w:p w14:paraId="2DC261C2">
            <w:pPr>
              <w:spacing w:line="360" w:lineRule="auto"/>
              <w:rPr>
                <w:rFonts w:ascii="宋体" w:hAnsi="宋体" w:eastAsia="宋体" w:cs="Times New Roman"/>
                <w:sz w:val="24"/>
                <w:szCs w:val="24"/>
              </w:rPr>
            </w:pPr>
          </w:p>
        </w:tc>
      </w:tr>
      <w:tr w14:paraId="08FA7C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6212488B">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w:t>
            </w:r>
          </w:p>
        </w:tc>
        <w:tc>
          <w:tcPr>
            <w:tcW w:w="5040" w:type="dxa"/>
            <w:tcBorders>
              <w:top w:val="single" w:color="auto" w:sz="4" w:space="0"/>
              <w:left w:val="single" w:color="auto" w:sz="4" w:space="0"/>
              <w:bottom w:val="single" w:color="auto" w:sz="4" w:space="0"/>
              <w:right w:val="single" w:color="auto" w:sz="4" w:space="0"/>
            </w:tcBorders>
            <w:noWrap w:val="0"/>
            <w:vAlign w:val="bottom"/>
          </w:tcPr>
          <w:p w14:paraId="227FB6B3">
            <w:pPr>
              <w:spacing w:line="360" w:lineRule="auto"/>
              <w:rPr>
                <w:rFonts w:ascii="宋体" w:hAnsi="宋体" w:eastAsia="宋体" w:cs="Times New Roman"/>
                <w:sz w:val="24"/>
                <w:szCs w:val="24"/>
              </w:rPr>
            </w:pPr>
          </w:p>
        </w:tc>
        <w:tc>
          <w:tcPr>
            <w:tcW w:w="3132" w:type="dxa"/>
            <w:tcBorders>
              <w:top w:val="single" w:color="auto" w:sz="4" w:space="0"/>
              <w:left w:val="single" w:color="auto" w:sz="4" w:space="0"/>
              <w:bottom w:val="single" w:color="auto" w:sz="4" w:space="0"/>
              <w:right w:val="single" w:color="auto" w:sz="4" w:space="0"/>
            </w:tcBorders>
            <w:noWrap w:val="0"/>
            <w:vAlign w:val="bottom"/>
          </w:tcPr>
          <w:p w14:paraId="5BE8C299">
            <w:pPr>
              <w:spacing w:line="360" w:lineRule="auto"/>
              <w:rPr>
                <w:rFonts w:ascii="宋体" w:hAnsi="宋体" w:eastAsia="宋体" w:cs="Times New Roman"/>
                <w:sz w:val="24"/>
                <w:szCs w:val="24"/>
              </w:rPr>
            </w:pPr>
          </w:p>
        </w:tc>
      </w:tr>
      <w:tr w14:paraId="041FD5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4FEA1EE7">
            <w:pPr>
              <w:spacing w:line="360" w:lineRule="auto"/>
              <w:jc w:val="center"/>
              <w:rPr>
                <w:rFonts w:hint="eastAsia" w:ascii="宋体" w:hAnsi="宋体" w:eastAsia="宋体" w:cs="Times New Roman"/>
                <w:sz w:val="24"/>
                <w:szCs w:val="24"/>
              </w:rPr>
            </w:pPr>
            <w:r>
              <w:rPr>
                <w:rFonts w:hint="eastAsia" w:ascii="宋体" w:hAnsi="宋体" w:eastAsia="宋体" w:cs="Times New Roman"/>
                <w:sz w:val="24"/>
                <w:szCs w:val="24"/>
              </w:rPr>
              <w:t>合计</w:t>
            </w:r>
          </w:p>
        </w:tc>
        <w:tc>
          <w:tcPr>
            <w:tcW w:w="5040" w:type="dxa"/>
            <w:tcBorders>
              <w:top w:val="single" w:color="auto" w:sz="4" w:space="0"/>
              <w:left w:val="single" w:color="auto" w:sz="4" w:space="0"/>
              <w:bottom w:val="single" w:color="auto" w:sz="4" w:space="0"/>
              <w:right w:val="single" w:color="auto" w:sz="4" w:space="0"/>
            </w:tcBorders>
            <w:noWrap w:val="0"/>
            <w:vAlign w:val="bottom"/>
          </w:tcPr>
          <w:p w14:paraId="7008647D">
            <w:pPr>
              <w:spacing w:line="360" w:lineRule="auto"/>
              <w:rPr>
                <w:rFonts w:ascii="宋体" w:hAnsi="宋体" w:eastAsia="宋体" w:cs="Times New Roman"/>
                <w:sz w:val="24"/>
                <w:szCs w:val="24"/>
              </w:rPr>
            </w:pPr>
          </w:p>
        </w:tc>
        <w:tc>
          <w:tcPr>
            <w:tcW w:w="3132" w:type="dxa"/>
            <w:tcBorders>
              <w:top w:val="single" w:color="auto" w:sz="4" w:space="0"/>
              <w:left w:val="single" w:color="auto" w:sz="4" w:space="0"/>
              <w:bottom w:val="single" w:color="auto" w:sz="4" w:space="0"/>
              <w:right w:val="single" w:color="auto" w:sz="4" w:space="0"/>
            </w:tcBorders>
            <w:noWrap w:val="0"/>
            <w:vAlign w:val="bottom"/>
          </w:tcPr>
          <w:p w14:paraId="79BE3B86">
            <w:pPr>
              <w:spacing w:line="360" w:lineRule="auto"/>
              <w:rPr>
                <w:rFonts w:ascii="宋体" w:hAnsi="宋体" w:eastAsia="宋体" w:cs="Times New Roman"/>
                <w:sz w:val="24"/>
                <w:szCs w:val="24"/>
              </w:rPr>
            </w:pPr>
          </w:p>
        </w:tc>
      </w:tr>
    </w:tbl>
    <w:p w14:paraId="0864661B">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 xml:space="preserve"> (3)不属于按规定必须招标的暂估的专业工程结算价款的确定方法：</w:t>
      </w:r>
      <w:r>
        <w:rPr>
          <w:rFonts w:hint="eastAsia" w:ascii="宋体" w:hAnsi="宋体" w:eastAsia="宋体" w:cs="Times New Roman"/>
          <w:sz w:val="24"/>
          <w:szCs w:val="24"/>
          <w:u w:val="single"/>
        </w:rPr>
        <w:t xml:space="preserve">                   </w:t>
      </w:r>
    </w:p>
    <w:p w14:paraId="2E2FEF91">
      <w:pPr>
        <w:spacing w:line="360" w:lineRule="auto"/>
        <w:rPr>
          <w:rFonts w:hint="eastAsia" w:ascii="宋体" w:hAnsi="宋体" w:eastAsia="宋体" w:cs="Times New Roman"/>
          <w:bCs/>
          <w:sz w:val="24"/>
          <w:szCs w:val="24"/>
          <w:u w:val="single"/>
        </w:rPr>
      </w:pPr>
      <w:bookmarkStart w:id="5467" w:name="_Toc35656542"/>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71C8D830">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12A27715">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1322909C">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bookmarkStart w:id="5468" w:name="_Toc15564"/>
      <w:bookmarkStart w:id="5469" w:name="_Toc30231"/>
      <w:bookmarkStart w:id="5470" w:name="_Toc14908"/>
      <w:bookmarkStart w:id="5471" w:name="_Toc208587831"/>
      <w:bookmarkStart w:id="5472" w:name="_Toc31595"/>
      <w:bookmarkStart w:id="5473" w:name="_Toc23947"/>
      <w:bookmarkStart w:id="5474" w:name="_Toc201735607"/>
      <w:bookmarkStart w:id="5475" w:name="_Toc20363"/>
      <w:bookmarkStart w:id="5476" w:name="_Toc305331493"/>
      <w:bookmarkStart w:id="5477" w:name="_Toc302636016"/>
      <w:bookmarkStart w:id="5478" w:name="_Toc15411"/>
      <w:bookmarkStart w:id="5479" w:name="_Toc10497"/>
      <w:bookmarkStart w:id="5480" w:name="_Toc11835"/>
      <w:bookmarkStart w:id="5481" w:name="_Toc1240352659"/>
      <w:bookmarkStart w:id="5482" w:name="_Toc16675"/>
      <w:r>
        <w:rPr>
          <w:rFonts w:hint="eastAsia" w:ascii="华文细黑" w:hAnsi="宋体" w:eastAsia="宋体" w:cs="Times New Roman"/>
          <w:b/>
          <w:bCs/>
          <w:snapToGrid w:val="0"/>
          <w:kern w:val="0"/>
          <w:sz w:val="28"/>
          <w:szCs w:val="44"/>
          <w:lang w:val="en-US" w:eastAsia="zh-CN" w:bidi="ar-SA"/>
        </w:rPr>
        <w:t>22 工程量</w:t>
      </w:r>
      <w:bookmarkEnd w:id="5467"/>
      <w:r>
        <w:rPr>
          <w:rFonts w:hint="eastAsia" w:ascii="华文细黑" w:hAnsi="宋体" w:eastAsia="宋体" w:cs="Times New Roman"/>
          <w:b/>
          <w:bCs/>
          <w:snapToGrid w:val="0"/>
          <w:kern w:val="0"/>
          <w:sz w:val="28"/>
          <w:szCs w:val="44"/>
          <w:lang w:val="en-US" w:eastAsia="zh-CN" w:bidi="ar-SA"/>
        </w:rPr>
        <w:t>计量</w:t>
      </w:r>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p>
    <w:p w14:paraId="213B1328">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483" w:name="_Toc208587832"/>
      <w:bookmarkStart w:id="5484" w:name="_Toc201735608"/>
      <w:bookmarkStart w:id="5485" w:name="_Toc22938"/>
      <w:bookmarkStart w:id="5486" w:name="_Toc25742"/>
      <w:bookmarkStart w:id="5487" w:name="_Toc7642"/>
      <w:bookmarkStart w:id="5488" w:name="_Toc341376316"/>
      <w:bookmarkStart w:id="5489" w:name="_Toc12240"/>
      <w:bookmarkStart w:id="5490" w:name="_Toc20979"/>
      <w:bookmarkStart w:id="5491" w:name="_Toc29378"/>
      <w:bookmarkStart w:id="5492" w:name="_Toc14683"/>
      <w:bookmarkStart w:id="5493" w:name="_Toc305331494"/>
      <w:bookmarkStart w:id="5494" w:name="_Toc16413"/>
      <w:bookmarkStart w:id="5495" w:name="_Toc302636017"/>
      <w:bookmarkStart w:id="5496" w:name="_Toc19050"/>
      <w:bookmarkStart w:id="5497" w:name="_Toc11585"/>
      <w:r>
        <w:rPr>
          <w:rFonts w:hint="eastAsia" w:ascii="宋体" w:hAnsi="宋体" w:eastAsia="宋体" w:cs="Times New Roman"/>
          <w:b/>
          <w:bCs/>
          <w:kern w:val="0"/>
          <w:sz w:val="24"/>
          <w:szCs w:val="32"/>
          <w:lang w:val="en-US" w:eastAsia="zh-CN" w:bidi="ar-SA"/>
        </w:rPr>
        <w:t>22.</w:t>
      </w:r>
      <w:r>
        <w:rPr>
          <w:rFonts w:ascii="宋体" w:hAnsi="宋体" w:eastAsia="宋体" w:cs="Times New Roman"/>
          <w:b/>
          <w:bCs/>
          <w:kern w:val="0"/>
          <w:sz w:val="24"/>
          <w:szCs w:val="32"/>
          <w:lang w:val="en-US" w:eastAsia="zh-CN" w:bidi="ar-SA"/>
        </w:rPr>
        <w:t xml:space="preserve">2 </w:t>
      </w:r>
      <w:r>
        <w:rPr>
          <w:rFonts w:hint="eastAsia" w:ascii="宋体" w:hAnsi="宋体" w:eastAsia="宋体" w:cs="Times New Roman"/>
          <w:b/>
          <w:bCs/>
          <w:kern w:val="0"/>
          <w:sz w:val="24"/>
          <w:szCs w:val="32"/>
          <w:lang w:val="en-US" w:eastAsia="zh-CN" w:bidi="ar-SA"/>
        </w:rPr>
        <w:t>工程量清单缺陷</w:t>
      </w:r>
      <w:bookmarkEnd w:id="5483"/>
      <w:bookmarkEnd w:id="5484"/>
      <w:bookmarkEnd w:id="5485"/>
      <w:bookmarkEnd w:id="5486"/>
      <w:bookmarkEnd w:id="5487"/>
      <w:bookmarkEnd w:id="5488"/>
      <w:bookmarkEnd w:id="5489"/>
    </w:p>
    <w:p w14:paraId="6AEA7AF9">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1)</w:t>
      </w:r>
      <w:r>
        <w:rPr>
          <w:rFonts w:hint="eastAsia" w:ascii="宋体" w:hAnsi="宋体" w:eastAsia="宋体" w:cs="Times New Roman"/>
          <w:sz w:val="24"/>
          <w:szCs w:val="24"/>
        </w:rPr>
        <w:t>本合同签订及合同图纸下发后</w:t>
      </w:r>
      <w:r>
        <w:rPr>
          <w:rFonts w:ascii="宋体" w:hAnsi="宋体" w:eastAsia="宋体" w:cs="Times New Roman"/>
          <w:sz w:val="24"/>
          <w:szCs w:val="24"/>
          <w:u w:val="single"/>
        </w:rPr>
        <w:t xml:space="preserve">     </w:t>
      </w:r>
      <w:r>
        <w:rPr>
          <w:rFonts w:hint="eastAsia" w:ascii="宋体" w:hAnsi="宋体" w:eastAsia="宋体" w:cs="Times New Roman"/>
          <w:sz w:val="24"/>
          <w:szCs w:val="24"/>
        </w:rPr>
        <w:t>天内，承包人应根据合同图纸对合同清单进行复核，复核结果报监理人核对、发包人确认。</w:t>
      </w:r>
    </w:p>
    <w:p w14:paraId="5AAA2E8F">
      <w:pPr>
        <w:spacing w:line="360" w:lineRule="auto"/>
        <w:ind w:firstLine="480"/>
        <w:rPr>
          <w:rFonts w:hint="eastAsia" w:ascii="宋体" w:hAnsi="宋体" w:eastAsia="宋体" w:cs="Times New Roman"/>
          <w:sz w:val="24"/>
          <w:szCs w:val="24"/>
          <w:u w:val="single"/>
        </w:rPr>
      </w:pPr>
      <w:r>
        <w:rPr>
          <w:rFonts w:ascii="宋体" w:hAnsi="宋体" w:eastAsia="宋体" w:cs="Times New Roman"/>
          <w:sz w:val="24"/>
          <w:szCs w:val="24"/>
        </w:rPr>
        <w:t>(3)</w:t>
      </w:r>
      <w:r>
        <w:rPr>
          <w:rFonts w:hint="eastAsia" w:ascii="宋体" w:hAnsi="宋体" w:eastAsia="宋体" w:cs="Times New Roman"/>
          <w:sz w:val="24"/>
          <w:szCs w:val="24"/>
        </w:rPr>
        <w:t>工程量清单缺陷价格调整时，措施费调整原则为：</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p>
    <w:p w14:paraId="4359F653">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498" w:name="_Toc201735609"/>
      <w:bookmarkStart w:id="5499" w:name="_Toc26186"/>
      <w:bookmarkStart w:id="5500" w:name="_Toc23529"/>
      <w:bookmarkStart w:id="5501" w:name="_Toc14244"/>
      <w:bookmarkStart w:id="5502" w:name="_Toc1004979897"/>
      <w:bookmarkStart w:id="5503" w:name="_Toc17022"/>
      <w:bookmarkStart w:id="5504" w:name="_Toc208587833"/>
      <w:r>
        <w:rPr>
          <w:rFonts w:hint="eastAsia" w:ascii="宋体" w:hAnsi="宋体" w:eastAsia="宋体" w:cs="Times New Roman"/>
          <w:b/>
          <w:bCs/>
          <w:kern w:val="0"/>
          <w:sz w:val="24"/>
          <w:szCs w:val="32"/>
          <w:lang w:val="en-US" w:eastAsia="zh-CN" w:bidi="ar-SA"/>
        </w:rPr>
        <w:t>22.3</w:t>
      </w:r>
      <w:r>
        <w:rPr>
          <w:rFonts w:ascii="宋体" w:hAnsi="宋体" w:eastAsia="宋体" w:cs="Times New Roman"/>
          <w:b/>
          <w:bCs/>
          <w:kern w:val="0"/>
          <w:sz w:val="24"/>
          <w:szCs w:val="32"/>
          <w:lang w:val="en-US" w:eastAsia="zh-CN" w:bidi="ar-SA"/>
        </w:rPr>
        <w:t xml:space="preserve"> </w:t>
      </w:r>
      <w:r>
        <w:rPr>
          <w:rFonts w:hint="eastAsia" w:ascii="宋体" w:hAnsi="宋体" w:eastAsia="宋体" w:cs="Times New Roman"/>
          <w:b/>
          <w:bCs/>
          <w:kern w:val="0"/>
          <w:sz w:val="24"/>
          <w:szCs w:val="32"/>
          <w:lang w:val="en-US" w:eastAsia="zh-CN" w:bidi="ar-SA"/>
        </w:rPr>
        <w:t>工程量计算规则</w:t>
      </w:r>
      <w:bookmarkEnd w:id="5490"/>
      <w:bookmarkEnd w:id="5491"/>
      <w:bookmarkEnd w:id="5492"/>
      <w:bookmarkEnd w:id="5493"/>
      <w:bookmarkEnd w:id="5494"/>
      <w:bookmarkEnd w:id="5495"/>
      <w:bookmarkEnd w:id="5496"/>
      <w:bookmarkEnd w:id="5497"/>
      <w:bookmarkEnd w:id="5498"/>
      <w:bookmarkEnd w:id="5499"/>
      <w:bookmarkEnd w:id="5500"/>
      <w:bookmarkEnd w:id="5501"/>
      <w:bookmarkEnd w:id="5502"/>
      <w:bookmarkEnd w:id="5503"/>
      <w:bookmarkEnd w:id="5504"/>
    </w:p>
    <w:p w14:paraId="7F33387F">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本工程的工程量计算规则采用（注：只能选择一种，在选定的方式前的“□”内打“√”）：</w:t>
      </w:r>
    </w:p>
    <w:p w14:paraId="79E30E82">
      <w:pPr>
        <w:spacing w:line="360" w:lineRule="auto"/>
        <w:ind w:left="178" w:firstLine="480"/>
        <w:rPr>
          <w:rFonts w:ascii="宋体" w:hAnsi="宋体" w:eastAsia="宋体" w:cs="Times New Roman"/>
          <w:sz w:val="24"/>
          <w:szCs w:val="24"/>
        </w:rPr>
      </w:pPr>
      <w:r>
        <w:rPr>
          <w:rFonts w:hint="eastAsia" w:ascii="宋体" w:hAnsi="宋体" w:eastAsia="宋体" w:cs="Times New Roman"/>
          <w:sz w:val="24"/>
          <w:szCs w:val="24"/>
        </w:rPr>
        <w:t>□国家各专业工程工程量计算标准及《深圳市建设工程工程量清单计价与计算标准应用指引》；</w:t>
      </w:r>
    </w:p>
    <w:p w14:paraId="212EBEA8">
      <w:pPr>
        <w:spacing w:line="360" w:lineRule="auto"/>
        <w:ind w:left="178" w:firstLine="480"/>
        <w:rPr>
          <w:rFonts w:hint="eastAsia" w:ascii="宋体" w:hAnsi="宋体" w:eastAsia="宋体" w:cs="Times New Roman"/>
          <w:bCs/>
          <w:sz w:val="24"/>
          <w:szCs w:val="24"/>
          <w:u w:val="single"/>
        </w:rPr>
      </w:pPr>
      <w:r>
        <w:rPr>
          <w:rFonts w:hint="eastAsia" w:ascii="宋体" w:hAnsi="宋体" w:eastAsia="宋体" w:cs="Times New Roman"/>
          <w:sz w:val="24"/>
          <w:szCs w:val="24"/>
        </w:rPr>
        <w:t xml:space="preserve">□其他工程量计算规则： </w:t>
      </w:r>
      <w:bookmarkStart w:id="5505" w:name="_Toc302636018"/>
      <w:bookmarkStart w:id="5506" w:name="_Toc305331495"/>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613AD02E">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35254872">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bookmarkStart w:id="5507" w:name="_Toc12852"/>
      <w:bookmarkStart w:id="5508" w:name="_Toc32333"/>
      <w:bookmarkStart w:id="5509" w:name="_Toc4150"/>
      <w:bookmarkStart w:id="5510" w:name="_Toc14310"/>
      <w:bookmarkStart w:id="5511" w:name="_Toc16226"/>
      <w:bookmarkStart w:id="5512" w:name="_Toc11219"/>
      <w:bookmarkStart w:id="5513" w:name="_Toc1233514909"/>
      <w:bookmarkStart w:id="5514" w:name="_Toc24125"/>
      <w:bookmarkStart w:id="5515" w:name="_Toc32527"/>
      <w:bookmarkStart w:id="5516" w:name="_Toc13413"/>
      <w:bookmarkStart w:id="5517" w:name="_Toc9704"/>
      <w:bookmarkStart w:id="5518" w:name="_Toc208587834"/>
      <w:bookmarkStart w:id="5519" w:name="_Toc201735610"/>
      <w:r>
        <w:rPr>
          <w:rFonts w:hint="eastAsia" w:ascii="华文细黑" w:hAnsi="宋体" w:eastAsia="宋体" w:cs="Times New Roman"/>
          <w:b/>
          <w:bCs/>
          <w:snapToGrid w:val="0"/>
          <w:kern w:val="0"/>
          <w:sz w:val="28"/>
          <w:szCs w:val="44"/>
          <w:lang w:val="en-US" w:eastAsia="zh-CN" w:bidi="ar-SA"/>
        </w:rPr>
        <w:t>23 工程款支付</w:t>
      </w:r>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p>
    <w:p w14:paraId="2DD6106C">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520" w:name="_Toc30802"/>
      <w:bookmarkStart w:id="5521" w:name="_Toc7843"/>
      <w:bookmarkStart w:id="5522" w:name="_Toc22054"/>
      <w:bookmarkStart w:id="5523" w:name="_Toc22872"/>
      <w:bookmarkStart w:id="5524" w:name="_Toc3923"/>
      <w:bookmarkStart w:id="5525" w:name="_Toc823"/>
      <w:bookmarkStart w:id="5526" w:name="_Toc3343"/>
      <w:bookmarkStart w:id="5527" w:name="_Toc453830719"/>
      <w:bookmarkStart w:id="5528" w:name="_Toc31812"/>
      <w:bookmarkStart w:id="5529" w:name="_Toc26757"/>
      <w:bookmarkStart w:id="5530" w:name="_Toc302636019"/>
      <w:bookmarkStart w:id="5531" w:name="_Toc305331496"/>
      <w:bookmarkStart w:id="5532" w:name="_Toc201735611"/>
      <w:bookmarkStart w:id="5533" w:name="_Toc208587835"/>
      <w:bookmarkStart w:id="5534" w:name="_Toc23299"/>
      <w:r>
        <w:rPr>
          <w:rFonts w:hint="eastAsia" w:ascii="宋体" w:hAnsi="宋体" w:eastAsia="宋体" w:cs="Times New Roman"/>
          <w:b/>
          <w:bCs/>
          <w:kern w:val="0"/>
          <w:sz w:val="24"/>
          <w:szCs w:val="32"/>
          <w:lang w:val="en-US" w:eastAsia="zh-CN" w:bidi="ar-SA"/>
        </w:rPr>
        <w:t>23.1 工程预付款</w:t>
      </w:r>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p>
    <w:p w14:paraId="0EFC6C92">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(1)本工程的工程预付款比例为</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%，工程预付款金额为：￥</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47055777">
      <w:pPr>
        <w:spacing w:line="360" w:lineRule="auto"/>
        <w:ind w:firstLine="840"/>
        <w:rPr>
          <w:rFonts w:hint="eastAsia" w:ascii="宋体" w:hAnsi="宋体" w:eastAsia="宋体" w:cs="Times New Roman"/>
          <w:sz w:val="24"/>
          <w:szCs w:val="24"/>
        </w:rPr>
      </w:pPr>
      <w:r>
        <w:rPr>
          <w:rFonts w:hint="eastAsia" w:ascii="宋体" w:hAnsi="宋体" w:eastAsia="宋体" w:cs="Times New Roman"/>
          <w:sz w:val="24"/>
          <w:szCs w:val="24"/>
        </w:rPr>
        <w:t>其中，安全文明施工费工人工资预付款金额：￥</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3A015E4A">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(2)施工现场安全文明施工费预付款的金额：￥</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11130297">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w:t>
      </w:r>
      <w:r>
        <w:rPr>
          <w:rFonts w:ascii="宋体" w:hAnsi="宋体" w:eastAsia="宋体" w:cs="Times New Roman"/>
          <w:sz w:val="24"/>
          <w:szCs w:val="24"/>
        </w:rPr>
        <w:t>3)</w:t>
      </w:r>
      <w:r>
        <w:rPr>
          <w:rFonts w:hint="eastAsia" w:ascii="宋体" w:hAnsi="宋体" w:eastAsia="宋体" w:cs="Times New Roman"/>
          <w:sz w:val="24"/>
          <w:szCs w:val="24"/>
        </w:rPr>
        <w:t>发包人向承包人支付工程预付款的时间：</w:t>
      </w:r>
      <w:r>
        <w:rPr>
          <w:rFonts w:hint="eastAsia" w:ascii="宋体" w:hAnsi="宋体" w:eastAsia="宋体" w:cs="Times New Roman"/>
          <w:sz w:val="24"/>
          <w:szCs w:val="24"/>
          <w:u w:val="single"/>
        </w:rPr>
        <w:t xml:space="preserve">                                 </w:t>
      </w:r>
    </w:p>
    <w:p w14:paraId="0EAD63B4">
      <w:pPr>
        <w:spacing w:line="360" w:lineRule="auto"/>
        <w:ind w:firstLine="840"/>
        <w:rPr>
          <w:rFonts w:hint="eastAsia" w:ascii="宋体" w:hAnsi="宋体" w:eastAsia="宋体" w:cs="Times New Roman"/>
          <w:sz w:val="24"/>
          <w:szCs w:val="24"/>
        </w:rPr>
      </w:pPr>
      <w:r>
        <w:rPr>
          <w:rFonts w:hint="eastAsia" w:ascii="宋体" w:hAnsi="宋体" w:eastAsia="宋体" w:cs="Times New Roman"/>
          <w:sz w:val="24"/>
          <w:szCs w:val="24"/>
        </w:rPr>
        <w:t>发包人支付预付款之前，还应具备的条件：</w:t>
      </w:r>
      <w:r>
        <w:rPr>
          <w:rFonts w:hint="eastAsia" w:ascii="宋体" w:hAnsi="宋体" w:eastAsia="宋体" w:cs="Times New Roman"/>
          <w:sz w:val="24"/>
          <w:szCs w:val="24"/>
          <w:u w:val="single"/>
        </w:rPr>
        <w:t xml:space="preserve">                               </w:t>
      </w:r>
    </w:p>
    <w:p w14:paraId="32CBC462">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320BE28C">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4</w:t>
      </w:r>
      <w:r>
        <w:rPr>
          <w:rFonts w:hint="eastAsia" w:ascii="宋体" w:hAnsi="宋体" w:eastAsia="宋体" w:cs="Times New Roman"/>
          <w:sz w:val="24"/>
          <w:szCs w:val="24"/>
        </w:rPr>
        <w:t>)工程预付款扣回的起扣点：</w:t>
      </w:r>
      <w:r>
        <w:rPr>
          <w:rFonts w:hint="eastAsia" w:ascii="宋体" w:hAnsi="宋体" w:eastAsia="宋体" w:cs="Times New Roman"/>
          <w:sz w:val="24"/>
          <w:szCs w:val="24"/>
          <w:u w:val="single"/>
        </w:rPr>
        <w:t xml:space="preserve">                                             </w:t>
      </w:r>
    </w:p>
    <w:p w14:paraId="6972A8C1">
      <w:pPr>
        <w:spacing w:line="360" w:lineRule="auto"/>
        <w:ind w:firstLine="960"/>
        <w:rPr>
          <w:rFonts w:ascii="宋体" w:hAnsi="宋体" w:eastAsia="宋体" w:cs="Times New Roman"/>
          <w:sz w:val="24"/>
          <w:szCs w:val="24"/>
        </w:rPr>
      </w:pPr>
      <w:r>
        <w:rPr>
          <w:rFonts w:hint="eastAsia" w:ascii="宋体" w:hAnsi="宋体" w:eastAsia="宋体" w:cs="Times New Roman"/>
          <w:sz w:val="24"/>
          <w:szCs w:val="24"/>
        </w:rPr>
        <w:t>工程预付款扣回比例：</w:t>
      </w:r>
      <w:r>
        <w:rPr>
          <w:rFonts w:hint="eastAsia" w:ascii="宋体" w:hAnsi="宋体" w:eastAsia="宋体" w:cs="Times New Roman"/>
          <w:sz w:val="24"/>
          <w:szCs w:val="24"/>
          <w:u w:val="single"/>
        </w:rPr>
        <w:t xml:space="preserve">                                                </w:t>
      </w:r>
    </w:p>
    <w:p w14:paraId="73760C97">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535" w:name="_Toc14341"/>
      <w:bookmarkStart w:id="5536" w:name="_Toc302636020"/>
      <w:bookmarkStart w:id="5537" w:name="_Toc305331497"/>
      <w:bookmarkStart w:id="5538" w:name="_Toc201735612"/>
      <w:bookmarkStart w:id="5539" w:name="_Toc11953"/>
      <w:bookmarkStart w:id="5540" w:name="_Toc613746852"/>
      <w:bookmarkStart w:id="5541" w:name="_Toc208587836"/>
      <w:bookmarkStart w:id="5542" w:name="_Toc22901"/>
      <w:bookmarkStart w:id="5543" w:name="_Toc401"/>
      <w:bookmarkStart w:id="5544" w:name="_Toc10010"/>
      <w:bookmarkStart w:id="5545" w:name="_Toc7501"/>
      <w:bookmarkStart w:id="5546" w:name="_Toc30448"/>
      <w:bookmarkStart w:id="5547" w:name="_Toc367"/>
      <w:bookmarkStart w:id="5548" w:name="_Toc5386"/>
      <w:bookmarkStart w:id="5549" w:name="_Toc30732"/>
      <w:r>
        <w:rPr>
          <w:rFonts w:hint="eastAsia" w:ascii="宋体" w:hAnsi="宋体" w:eastAsia="宋体" w:cs="Times New Roman"/>
          <w:b/>
          <w:bCs/>
          <w:kern w:val="0"/>
          <w:sz w:val="24"/>
          <w:szCs w:val="32"/>
          <w:lang w:val="en-US" w:eastAsia="zh-CN" w:bidi="ar-SA"/>
        </w:rPr>
        <w:t xml:space="preserve">23.2 </w:t>
      </w:r>
      <w:bookmarkEnd w:id="5535"/>
      <w:bookmarkEnd w:id="5536"/>
      <w:bookmarkEnd w:id="5537"/>
      <w:r>
        <w:rPr>
          <w:rFonts w:hint="eastAsia" w:ascii="宋体" w:hAnsi="宋体" w:eastAsia="宋体" w:cs="Times New Roman"/>
          <w:b/>
          <w:bCs/>
          <w:kern w:val="0"/>
          <w:sz w:val="24"/>
          <w:szCs w:val="24"/>
          <w:lang w:val="en-US" w:eastAsia="zh-CN" w:bidi="ar-SA"/>
        </w:rPr>
        <w:t>进度款支付周期</w:t>
      </w:r>
      <w:bookmarkEnd w:id="5538"/>
      <w:bookmarkEnd w:id="5539"/>
      <w:bookmarkEnd w:id="5540"/>
      <w:bookmarkEnd w:id="5541"/>
      <w:bookmarkEnd w:id="5542"/>
      <w:bookmarkEnd w:id="5543"/>
      <w:bookmarkEnd w:id="5544"/>
      <w:bookmarkEnd w:id="5545"/>
      <w:bookmarkEnd w:id="5546"/>
      <w:bookmarkEnd w:id="5547"/>
      <w:bookmarkEnd w:id="5548"/>
      <w:bookmarkEnd w:id="5549"/>
    </w:p>
    <w:p w14:paraId="0741BCBB">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(1)本工程办理进度款支付的时间间隔为：</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 xml:space="preserve">   </w:t>
      </w:r>
    </w:p>
    <w:p w14:paraId="3F1B4892">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28C661C8">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550" w:name="_Toc208587837"/>
      <w:bookmarkStart w:id="5551" w:name="_Toc1045"/>
      <w:bookmarkStart w:id="5552" w:name="_Toc302636021"/>
      <w:bookmarkStart w:id="5553" w:name="_Toc2959"/>
      <w:bookmarkStart w:id="5554" w:name="_Toc305331499"/>
      <w:bookmarkStart w:id="5555" w:name="_Toc11685"/>
      <w:bookmarkStart w:id="5556" w:name="_Toc22105"/>
      <w:bookmarkStart w:id="5557" w:name="_Toc201735613"/>
      <w:bookmarkStart w:id="5558" w:name="_Toc2977"/>
      <w:bookmarkStart w:id="5559" w:name="_Toc22483"/>
      <w:bookmarkStart w:id="5560" w:name="_Toc4905"/>
      <w:bookmarkStart w:id="5561" w:name="_Toc785"/>
      <w:bookmarkStart w:id="5562" w:name="_Toc27575"/>
      <w:bookmarkStart w:id="5563" w:name="_Toc5802"/>
      <w:bookmarkStart w:id="5564" w:name="_Toc20011197"/>
      <w:r>
        <w:rPr>
          <w:rFonts w:hint="eastAsia" w:ascii="宋体" w:hAnsi="宋体" w:eastAsia="宋体" w:cs="Times New Roman"/>
          <w:b/>
          <w:bCs/>
          <w:kern w:val="0"/>
          <w:sz w:val="24"/>
          <w:szCs w:val="32"/>
          <w:lang w:val="en-US" w:eastAsia="zh-CN" w:bidi="ar-SA"/>
        </w:rPr>
        <w:t>23.4 进度款支付</w:t>
      </w:r>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p>
    <w:p w14:paraId="1B29014D">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(1)进度款支付的最低金额为：</w:t>
      </w:r>
      <w:r>
        <w:rPr>
          <w:rFonts w:hint="eastAsia" w:ascii="宋体" w:hAnsi="宋体" w:eastAsia="宋体" w:cs="Times New Roman"/>
          <w:sz w:val="24"/>
          <w:szCs w:val="24"/>
          <w:u w:val="single"/>
        </w:rPr>
        <w:t xml:space="preserve">                                             </w:t>
      </w:r>
    </w:p>
    <w:p w14:paraId="52220BFA">
      <w:pPr>
        <w:spacing w:line="360" w:lineRule="auto"/>
        <w:ind w:firstLine="480"/>
        <w:rPr>
          <w:rFonts w:ascii="宋体" w:hAnsi="宋体" w:eastAsia="宋体" w:cs="Times New Roman"/>
          <w:sz w:val="24"/>
          <w:szCs w:val="24"/>
          <w:u w:val="single"/>
        </w:rPr>
      </w:pPr>
      <w:r>
        <w:rPr>
          <w:rFonts w:hint="eastAsia" w:ascii="宋体" w:hAnsi="宋体" w:eastAsia="宋体" w:cs="Times New Roman"/>
          <w:sz w:val="24"/>
          <w:szCs w:val="24"/>
        </w:rPr>
        <w:t>(2)累计进度款支付价款达到合同价格总额的</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%时暂停支付。</w:t>
      </w:r>
    </w:p>
    <w:p w14:paraId="43D4D9CC">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565" w:name="_Toc18117"/>
      <w:bookmarkStart w:id="5566" w:name="_Toc1858276660"/>
      <w:bookmarkStart w:id="5567" w:name="_Toc22926"/>
      <w:bookmarkStart w:id="5568" w:name="_Toc30015"/>
      <w:bookmarkStart w:id="5569" w:name="_Toc208587838"/>
      <w:bookmarkStart w:id="5570" w:name="_Toc3040"/>
      <w:bookmarkStart w:id="5571" w:name="_Toc25954"/>
      <w:bookmarkStart w:id="5572" w:name="_Toc19330"/>
      <w:bookmarkStart w:id="5573" w:name="_Toc9037"/>
      <w:bookmarkStart w:id="5574" w:name="_Toc22728"/>
      <w:bookmarkStart w:id="5575" w:name="_Toc201735614"/>
      <w:bookmarkStart w:id="5576" w:name="_Toc15724"/>
      <w:bookmarkStart w:id="5577" w:name="_Toc2944"/>
      <w:bookmarkStart w:id="5578" w:name="_Toc302636022"/>
      <w:bookmarkStart w:id="5579" w:name="_Toc305331500"/>
      <w:bookmarkStart w:id="5580" w:name="_Toc35656544"/>
      <w:r>
        <w:rPr>
          <w:rFonts w:hint="eastAsia" w:ascii="宋体" w:hAnsi="宋体" w:eastAsia="宋体" w:cs="Times New Roman"/>
          <w:b/>
          <w:bCs/>
          <w:kern w:val="0"/>
          <w:sz w:val="24"/>
          <w:szCs w:val="32"/>
          <w:lang w:val="en-US" w:eastAsia="zh-CN" w:bidi="ar-SA"/>
        </w:rPr>
        <w:t>23.5 工人工资支付</w:t>
      </w:r>
      <w:bookmarkEnd w:id="5565"/>
      <w:bookmarkEnd w:id="5566"/>
      <w:bookmarkEnd w:id="5567"/>
      <w:bookmarkEnd w:id="5568"/>
      <w:bookmarkEnd w:id="5569"/>
      <w:bookmarkEnd w:id="5570"/>
      <w:bookmarkEnd w:id="5571"/>
      <w:bookmarkEnd w:id="5572"/>
      <w:bookmarkEnd w:id="5573"/>
      <w:bookmarkEnd w:id="5574"/>
      <w:bookmarkEnd w:id="5575"/>
      <w:bookmarkEnd w:id="5576"/>
      <w:bookmarkEnd w:id="5577"/>
    </w:p>
    <w:p w14:paraId="10CF6A9A">
      <w:pPr>
        <w:spacing w:line="360" w:lineRule="auto"/>
        <w:ind w:firstLine="480"/>
        <w:rPr>
          <w:rFonts w:hint="eastAsia" w:ascii="宋体" w:hAnsi="宋体" w:eastAsia="宋体" w:cs="Times New Roman"/>
          <w:sz w:val="24"/>
          <w:szCs w:val="24"/>
        </w:rPr>
      </w:pPr>
      <w:bookmarkStart w:id="5581" w:name="_Toc453616623"/>
      <w:bookmarkStart w:id="5582" w:name="_Toc448841291"/>
      <w:r>
        <w:rPr>
          <w:rFonts w:hint="eastAsia" w:ascii="宋体" w:hAnsi="宋体" w:eastAsia="宋体" w:cs="Times New Roman"/>
          <w:sz w:val="24"/>
          <w:szCs w:val="24"/>
        </w:rPr>
        <w:t>发包人支付到工人工资专用账户的工人工资支付周期为：</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，该工人工资支付周期不得超过1个月。</w:t>
      </w:r>
    </w:p>
    <w:p w14:paraId="2885AB00">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发包人每月工人工资拨付金额占当期进度款的比例为：</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。（房屋建筑工程基础施工、主体施工、装修装饰施工、收尾阶段分别不少于当期进度款的8%、30%、18%、20%；市政工程(含水务工程)不少于当期进度款的13%；其他工程为当期进度款的15%～20%。）</w:t>
      </w:r>
    </w:p>
    <w:p w14:paraId="6F9FFD76">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发包人和承包人应结合项目实际，合理确定上述比例。</w:t>
      </w:r>
    </w:p>
    <w:p w14:paraId="14565158">
      <w:pPr>
        <w:spacing w:line="360" w:lineRule="auto"/>
        <w:ind w:firstLine="480"/>
        <w:rPr>
          <w:rFonts w:ascii="宋体" w:hAnsi="宋体" w:eastAsia="宋体" w:cs="Times New Roman"/>
          <w:sz w:val="24"/>
          <w:szCs w:val="24"/>
          <w:u w:val="single"/>
        </w:rPr>
      </w:pPr>
      <w:r>
        <w:rPr>
          <w:rFonts w:hint="eastAsia" w:ascii="宋体" w:hAnsi="宋体" w:eastAsia="宋体" w:cs="Times New Roman"/>
          <w:sz w:val="24"/>
          <w:szCs w:val="24"/>
        </w:rPr>
        <w:t>如因非承包人原因导致按上述比例不足以满足本工程工人工资足额发放的，双方可以协商调整上述比例，具体调整方式为：</w:t>
      </w:r>
      <w:r>
        <w:rPr>
          <w:rFonts w:hint="eastAsia" w:ascii="宋体" w:hAnsi="宋体" w:eastAsia="宋体" w:cs="Times New Roman"/>
          <w:bCs/>
          <w:sz w:val="24"/>
          <w:szCs w:val="24"/>
          <w:u w:val="single"/>
        </w:rPr>
        <w:t xml:space="preserve">                                       </w:t>
      </w:r>
    </w:p>
    <w:p w14:paraId="40611487">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承包人已确认上述比例及调整的约定，能满足本工程的工人工资足额发放。</w:t>
      </w:r>
    </w:p>
    <w:p w14:paraId="78E44174">
      <w:pPr>
        <w:spacing w:line="360" w:lineRule="auto"/>
        <w:ind w:firstLine="480"/>
        <w:rPr>
          <w:rFonts w:hint="eastAsia" w:ascii="宋体" w:hAnsi="宋体" w:eastAsia="宋体" w:cs="Times New Roman"/>
          <w:bCs/>
          <w:sz w:val="24"/>
          <w:szCs w:val="24"/>
          <w:u w:val="single"/>
        </w:rPr>
      </w:pPr>
      <w:r>
        <w:rPr>
          <w:rFonts w:hint="eastAsia" w:ascii="宋体" w:hAnsi="宋体" w:eastAsia="宋体" w:cs="Times New Roman"/>
          <w:sz w:val="24"/>
          <w:szCs w:val="24"/>
        </w:rPr>
        <w:t>本工程工人工资支付的其他约定：</w:t>
      </w:r>
      <w:bookmarkEnd w:id="5581"/>
      <w:bookmarkEnd w:id="5582"/>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6168133C">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7239932A">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583" w:name="_Toc666202330"/>
      <w:bookmarkStart w:id="5584" w:name="_Toc15757"/>
      <w:bookmarkStart w:id="5585" w:name="_Toc201735615"/>
      <w:bookmarkStart w:id="5586" w:name="_Toc20072"/>
      <w:bookmarkStart w:id="5587" w:name="_Toc10217"/>
      <w:bookmarkStart w:id="5588" w:name="_Toc25427"/>
      <w:bookmarkStart w:id="5589" w:name="_Toc19708"/>
      <w:bookmarkStart w:id="5590" w:name="_Toc6156"/>
      <w:bookmarkStart w:id="5591" w:name="_Toc6651"/>
      <w:bookmarkStart w:id="5592" w:name="_Toc10500"/>
      <w:bookmarkStart w:id="5593" w:name="_Toc13564"/>
      <w:bookmarkStart w:id="5594" w:name="_Toc208587839"/>
      <w:r>
        <w:rPr>
          <w:rFonts w:hint="eastAsia" w:ascii="宋体" w:hAnsi="宋体" w:eastAsia="宋体" w:cs="Times New Roman"/>
          <w:b/>
          <w:bCs/>
          <w:kern w:val="0"/>
          <w:sz w:val="24"/>
          <w:szCs w:val="32"/>
          <w:lang w:val="en-US" w:eastAsia="zh-CN" w:bidi="ar-SA"/>
        </w:rPr>
        <w:t>23.6 工程款专款专用</w:t>
      </w:r>
      <w:bookmarkEnd w:id="5578"/>
      <w:bookmarkEnd w:id="5579"/>
      <w:bookmarkEnd w:id="5583"/>
      <w:bookmarkEnd w:id="5584"/>
      <w:bookmarkEnd w:id="5585"/>
      <w:bookmarkEnd w:id="5586"/>
      <w:bookmarkEnd w:id="5587"/>
      <w:bookmarkEnd w:id="5588"/>
      <w:bookmarkEnd w:id="5589"/>
      <w:bookmarkEnd w:id="5590"/>
      <w:bookmarkEnd w:id="5591"/>
      <w:bookmarkEnd w:id="5592"/>
      <w:bookmarkEnd w:id="5593"/>
      <w:bookmarkEnd w:id="5594"/>
    </w:p>
    <w:p w14:paraId="51F3CAA4">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发包人有权采取以下方式对承包人的工程款使用情况进行监管（注：可多选，在选定的方式前的“□”内打“√”）：</w:t>
      </w:r>
    </w:p>
    <w:p w14:paraId="41656B62">
      <w:pPr>
        <w:spacing w:line="360" w:lineRule="auto"/>
        <w:ind w:firstLine="120"/>
        <w:rPr>
          <w:rFonts w:ascii="宋体" w:hAnsi="宋体" w:eastAsia="宋体" w:cs="Times New Roman"/>
          <w:sz w:val="24"/>
          <w:szCs w:val="24"/>
        </w:rPr>
      </w:pPr>
      <w:r>
        <w:rPr>
          <w:rFonts w:hint="eastAsia" w:ascii="宋体" w:hAnsi="宋体" w:eastAsia="宋体" w:cs="Times New Roman"/>
          <w:sz w:val="24"/>
          <w:szCs w:val="24"/>
        </w:rPr>
        <w:t xml:space="preserve">   □</w:t>
      </w:r>
      <w:r>
        <w:rPr>
          <w:rFonts w:hint="eastAsia" w:ascii="宋体" w:hAnsi="宋体" w:eastAsia="宋体" w:cs="Times New Roman"/>
          <w:b/>
          <w:sz w:val="24"/>
          <w:szCs w:val="24"/>
        </w:rPr>
        <w:t>资金监管</w:t>
      </w:r>
      <w:r>
        <w:rPr>
          <w:rFonts w:hint="eastAsia" w:ascii="宋体" w:hAnsi="宋体" w:eastAsia="宋体" w:cs="Times New Roman"/>
          <w:sz w:val="24"/>
          <w:szCs w:val="24"/>
        </w:rPr>
        <w:t>：发包人可要求承包人建立监管账户，工程进度款支付到以承包人名义设立的监管账户中，承包人对外支付时需得到发包人的批准。资金监管的范围包括但不限于工程预付款、工程进度款、安全文明施工费等。</w:t>
      </w:r>
    </w:p>
    <w:p w14:paraId="7684FE9C">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w:t>
      </w:r>
      <w:r>
        <w:rPr>
          <w:rFonts w:hint="eastAsia" w:ascii="宋体" w:hAnsi="宋体" w:eastAsia="宋体" w:cs="Times New Roman"/>
          <w:b/>
          <w:sz w:val="24"/>
          <w:szCs w:val="24"/>
        </w:rPr>
        <w:t>暂停支付</w:t>
      </w:r>
      <w:r>
        <w:rPr>
          <w:rFonts w:hint="eastAsia" w:ascii="宋体" w:hAnsi="宋体" w:eastAsia="宋体" w:cs="Times New Roman"/>
          <w:sz w:val="24"/>
          <w:szCs w:val="24"/>
        </w:rPr>
        <w:t>：发包人有权在下一期进度款支付时暂停支付与承包人挪用款额相等的工程款；</w:t>
      </w:r>
    </w:p>
    <w:p w14:paraId="2B683DFA">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□其他：</w:t>
      </w:r>
      <w:r>
        <w:rPr>
          <w:rFonts w:hint="eastAsia" w:ascii="宋体" w:hAnsi="宋体" w:eastAsia="宋体" w:cs="Times New Roman"/>
          <w:kern w:val="0"/>
          <w:sz w:val="24"/>
          <w:szCs w:val="24"/>
          <w:u w:val="single"/>
        </w:rPr>
        <w:t xml:space="preserve">                                                                 </w:t>
      </w:r>
    </w:p>
    <w:p w14:paraId="5846988C">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2E8BD41F">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hint="eastAsia" w:ascii="华文细黑" w:hAnsi="宋体" w:eastAsia="宋体" w:cs="Times New Roman"/>
          <w:b/>
          <w:bCs/>
          <w:snapToGrid w:val="0"/>
          <w:kern w:val="0"/>
          <w:sz w:val="28"/>
          <w:szCs w:val="44"/>
          <w:lang w:val="en-US" w:eastAsia="zh-CN" w:bidi="ar-SA"/>
        </w:rPr>
      </w:pPr>
      <w:bookmarkStart w:id="5595" w:name="_Toc3540"/>
      <w:bookmarkStart w:id="5596" w:name="_Toc305331501"/>
      <w:bookmarkStart w:id="5597" w:name="_Toc302636023"/>
      <w:bookmarkStart w:id="5598" w:name="_Toc20114"/>
      <w:bookmarkStart w:id="5599" w:name="_Toc1556580071"/>
      <w:bookmarkStart w:id="5600" w:name="_Toc1822"/>
      <w:bookmarkStart w:id="5601" w:name="_Toc32401"/>
      <w:bookmarkStart w:id="5602" w:name="_Toc16976"/>
      <w:bookmarkStart w:id="5603" w:name="_Toc18587"/>
      <w:bookmarkStart w:id="5604" w:name="_Toc31030"/>
      <w:bookmarkStart w:id="5605" w:name="_Toc15310"/>
      <w:bookmarkStart w:id="5606" w:name="_Toc15072"/>
      <w:bookmarkStart w:id="5607" w:name="_Toc201735616"/>
      <w:bookmarkStart w:id="5608" w:name="_Toc208587840"/>
      <w:bookmarkStart w:id="5609" w:name="_Toc9032"/>
      <w:r>
        <w:rPr>
          <w:rFonts w:hint="eastAsia" w:ascii="华文细黑" w:hAnsi="宋体" w:eastAsia="宋体" w:cs="Times New Roman"/>
          <w:b/>
          <w:bCs/>
          <w:snapToGrid w:val="0"/>
          <w:kern w:val="0"/>
          <w:sz w:val="28"/>
          <w:szCs w:val="44"/>
          <w:lang w:val="en-US" w:eastAsia="zh-CN" w:bidi="ar-SA"/>
        </w:rPr>
        <w:t>24 工程变更</w:t>
      </w:r>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p>
    <w:p w14:paraId="0EF8AFE7">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kern w:val="0"/>
          <w:sz w:val="24"/>
          <w:szCs w:val="32"/>
          <w:lang w:val="en-US" w:eastAsia="zh-CN" w:bidi="ar-SA"/>
        </w:rPr>
      </w:pPr>
      <w:bookmarkStart w:id="5610" w:name="_Toc6222"/>
      <w:bookmarkStart w:id="5611" w:name="_Toc21760"/>
      <w:bookmarkStart w:id="5612" w:name="_Toc25146"/>
      <w:bookmarkStart w:id="5613" w:name="_Toc20430"/>
      <w:bookmarkStart w:id="5614" w:name="_Toc208587841"/>
      <w:bookmarkStart w:id="5615" w:name="_Toc30393"/>
      <w:bookmarkStart w:id="5616" w:name="_Toc7397"/>
      <w:bookmarkStart w:id="5617" w:name="_Toc13787"/>
      <w:bookmarkStart w:id="5618" w:name="_Toc201735617"/>
      <w:bookmarkStart w:id="5619" w:name="_Toc2125254596"/>
      <w:bookmarkStart w:id="5620" w:name="_Toc19474"/>
      <w:bookmarkStart w:id="5621" w:name="_Toc305331502"/>
      <w:bookmarkStart w:id="5622" w:name="_Toc302636024"/>
      <w:bookmarkStart w:id="5623" w:name="_Toc11588"/>
      <w:bookmarkStart w:id="5624" w:name="_Toc22786"/>
      <w:r>
        <w:rPr>
          <w:rFonts w:hint="eastAsia" w:ascii="宋体" w:hAnsi="宋体" w:eastAsia="宋体" w:cs="Times New Roman"/>
          <w:b/>
          <w:bCs/>
          <w:kern w:val="0"/>
          <w:sz w:val="24"/>
          <w:szCs w:val="32"/>
          <w:lang w:val="en-US" w:eastAsia="zh-CN" w:bidi="ar-SA"/>
        </w:rPr>
        <w:t>24.3 工程变更程序</w:t>
      </w:r>
      <w:bookmarkEnd w:id="5610"/>
      <w:bookmarkEnd w:id="5611"/>
      <w:bookmarkEnd w:id="5612"/>
      <w:bookmarkEnd w:id="5613"/>
      <w:bookmarkEnd w:id="5614"/>
      <w:bookmarkEnd w:id="5615"/>
      <w:bookmarkEnd w:id="5616"/>
      <w:bookmarkEnd w:id="5617"/>
      <w:bookmarkEnd w:id="5618"/>
      <w:bookmarkEnd w:id="5619"/>
      <w:bookmarkEnd w:id="5620"/>
      <w:bookmarkEnd w:id="5621"/>
      <w:bookmarkEnd w:id="5622"/>
      <w:bookmarkEnd w:id="5623"/>
      <w:bookmarkEnd w:id="5624"/>
    </w:p>
    <w:p w14:paraId="5D03BEC4">
      <w:pPr>
        <w:spacing w:line="360" w:lineRule="auto"/>
        <w:ind w:firstLine="480"/>
        <w:rPr>
          <w:rFonts w:hint="eastAsia" w:ascii="宋体" w:hAnsi="宋体" w:eastAsia="宋体" w:cs="Times New Roman"/>
          <w:bCs/>
          <w:sz w:val="24"/>
          <w:szCs w:val="24"/>
          <w:u w:val="single"/>
        </w:rPr>
      </w:pPr>
      <w:r>
        <w:rPr>
          <w:rFonts w:hint="eastAsia" w:ascii="宋体" w:hAnsi="宋体" w:eastAsia="宋体" w:cs="Times New Roman"/>
          <w:sz w:val="24"/>
          <w:szCs w:val="24"/>
        </w:rPr>
        <w:t>本工程的工程变更的程序约定如下：</w:t>
      </w: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07C0F68C">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4C6404E2">
      <w:pPr>
        <w:spacing w:line="360" w:lineRule="auto"/>
        <w:ind w:firstLine="480" w:firstLineChars="200"/>
        <w:rPr>
          <w:rFonts w:hint="eastAsia" w:ascii="宋体" w:hAnsi="宋体" w:eastAsia="宋体" w:cs="Times New Roman"/>
          <w:bCs/>
          <w:sz w:val="24"/>
          <w:szCs w:val="24"/>
          <w:u w:val="single"/>
        </w:rPr>
      </w:pPr>
      <w:r>
        <w:rPr>
          <w:rFonts w:ascii="宋体" w:hAnsi="宋体" w:eastAsia="宋体" w:cs="Times New Roman"/>
          <w:sz w:val="24"/>
          <w:szCs w:val="24"/>
        </w:rPr>
        <w:t>(</w:t>
      </w:r>
      <w:r>
        <w:rPr>
          <w:rFonts w:hint="eastAsia" w:ascii="宋体" w:hAnsi="宋体" w:eastAsia="宋体" w:cs="Times New Roman"/>
          <w:sz w:val="24"/>
          <w:szCs w:val="24"/>
        </w:rPr>
        <w:t>6</w:t>
      </w:r>
      <w:r>
        <w:rPr>
          <w:rFonts w:ascii="宋体" w:hAnsi="宋体" w:eastAsia="宋体" w:cs="Times New Roman"/>
          <w:sz w:val="24"/>
          <w:szCs w:val="24"/>
        </w:rPr>
        <w:t>)</w:t>
      </w:r>
      <w:r>
        <w:rPr>
          <w:rFonts w:hint="eastAsia" w:ascii="宋体" w:hAnsi="宋体" w:eastAsia="宋体" w:cs="Times New Roman"/>
          <w:sz w:val="24"/>
          <w:szCs w:val="24"/>
        </w:rPr>
        <w:t>设计变更改变原设计标准或批复建设规模时，发包人完成审批手续办理的时限为：</w:t>
      </w:r>
      <w:r>
        <w:rPr>
          <w:rFonts w:hint="eastAsia" w:ascii="宋体" w:hAnsi="宋体" w:eastAsia="宋体" w:cs="Times New Roman"/>
          <w:sz w:val="24"/>
          <w:szCs w:val="24"/>
          <w:u w:val="single"/>
        </w:rPr>
        <w:t xml:space="preserve">                                                                        </w:t>
      </w:r>
    </w:p>
    <w:p w14:paraId="523D1504">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625" w:name="_Toc4263"/>
      <w:bookmarkStart w:id="5626" w:name="_Toc10949"/>
      <w:bookmarkStart w:id="5627" w:name="_Toc201735618"/>
      <w:bookmarkStart w:id="5628" w:name="_Toc9724"/>
      <w:bookmarkStart w:id="5629" w:name="_Toc208587842"/>
      <w:bookmarkStart w:id="5630" w:name="_Toc302636025"/>
      <w:bookmarkStart w:id="5631" w:name="_Toc17012"/>
      <w:bookmarkStart w:id="5632" w:name="_Toc29800"/>
      <w:bookmarkStart w:id="5633" w:name="_Toc31193"/>
      <w:bookmarkStart w:id="5634" w:name="_Toc8603"/>
      <w:bookmarkStart w:id="5635" w:name="_Toc4525"/>
      <w:bookmarkStart w:id="5636" w:name="_Toc15905"/>
      <w:bookmarkStart w:id="5637" w:name="_Toc86799005"/>
      <w:bookmarkStart w:id="5638" w:name="_Toc19560"/>
      <w:bookmarkStart w:id="5639" w:name="_Toc305331504"/>
      <w:r>
        <w:rPr>
          <w:rFonts w:hint="eastAsia" w:ascii="宋体" w:hAnsi="宋体" w:eastAsia="宋体" w:cs="Times New Roman"/>
          <w:b/>
          <w:bCs/>
          <w:kern w:val="0"/>
          <w:sz w:val="24"/>
          <w:szCs w:val="32"/>
          <w:lang w:val="en-US" w:eastAsia="zh-CN" w:bidi="ar-SA"/>
        </w:rPr>
        <w:t>24.6 价值工程</w:t>
      </w:r>
      <w:bookmarkEnd w:id="5625"/>
      <w:bookmarkEnd w:id="5626"/>
      <w:bookmarkEnd w:id="5627"/>
      <w:bookmarkEnd w:id="5628"/>
      <w:bookmarkEnd w:id="5629"/>
      <w:bookmarkEnd w:id="5630"/>
      <w:bookmarkEnd w:id="5631"/>
      <w:bookmarkEnd w:id="5632"/>
      <w:bookmarkEnd w:id="5633"/>
      <w:bookmarkEnd w:id="5634"/>
      <w:bookmarkEnd w:id="5635"/>
      <w:bookmarkEnd w:id="5636"/>
      <w:bookmarkEnd w:id="5637"/>
      <w:bookmarkEnd w:id="5638"/>
    </w:p>
    <w:p w14:paraId="5325EF8B">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(3)发包人同意采用承包人合理化建议，所发生的费用和获得的收益按以下约定分担或分享：</w:t>
      </w:r>
      <w:r>
        <w:rPr>
          <w:rFonts w:hint="eastAsia" w:ascii="宋体" w:hAnsi="宋体" w:eastAsia="宋体" w:cs="Times New Roman"/>
          <w:sz w:val="24"/>
          <w:szCs w:val="24"/>
          <w:u w:val="single"/>
        </w:rPr>
        <w:t xml:space="preserve">                                                                 </w:t>
      </w:r>
    </w:p>
    <w:p w14:paraId="743C888D">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72F663DA">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bookmarkStart w:id="5640" w:name="_Toc18609"/>
      <w:bookmarkStart w:id="5641" w:name="_Toc30900"/>
      <w:bookmarkStart w:id="5642" w:name="_Toc201735619"/>
      <w:bookmarkStart w:id="5643" w:name="_Toc25397"/>
      <w:bookmarkStart w:id="5644" w:name="_Toc1455884730"/>
      <w:bookmarkStart w:id="5645" w:name="_Toc208587843"/>
      <w:bookmarkStart w:id="5646" w:name="_Toc302636026"/>
      <w:bookmarkStart w:id="5647" w:name="_Toc1511"/>
      <w:bookmarkStart w:id="5648" w:name="_Toc1477"/>
      <w:bookmarkStart w:id="5649" w:name="_Toc17568"/>
      <w:bookmarkStart w:id="5650" w:name="_Toc16781"/>
      <w:bookmarkStart w:id="5651" w:name="_Toc23250"/>
      <w:bookmarkStart w:id="5652" w:name="_Toc20507"/>
      <w:bookmarkStart w:id="5653" w:name="_Toc14256"/>
      <w:r>
        <w:rPr>
          <w:rFonts w:hint="eastAsia" w:ascii="华文细黑" w:hAnsi="宋体" w:eastAsia="宋体" w:cs="Times New Roman"/>
          <w:b/>
          <w:bCs/>
          <w:snapToGrid w:val="0"/>
          <w:kern w:val="0"/>
          <w:sz w:val="28"/>
          <w:szCs w:val="44"/>
          <w:lang w:val="en-US" w:eastAsia="zh-CN" w:bidi="ar-SA"/>
        </w:rPr>
        <w:t>25 工程变更</w:t>
      </w:r>
      <w:bookmarkEnd w:id="5580"/>
      <w:r>
        <w:rPr>
          <w:rFonts w:hint="eastAsia" w:ascii="华文细黑" w:hAnsi="宋体" w:eastAsia="宋体" w:cs="Times New Roman"/>
          <w:b/>
          <w:bCs/>
          <w:snapToGrid w:val="0"/>
          <w:kern w:val="0"/>
          <w:sz w:val="28"/>
          <w:szCs w:val="44"/>
          <w:lang w:val="en-US" w:eastAsia="zh-CN" w:bidi="ar-SA"/>
        </w:rPr>
        <w:t>价款</w:t>
      </w:r>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p>
    <w:p w14:paraId="14970A6C">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kern w:val="0"/>
          <w:sz w:val="24"/>
          <w:szCs w:val="32"/>
          <w:lang w:val="en-US" w:eastAsia="zh-CN" w:bidi="ar-SA"/>
        </w:rPr>
      </w:pPr>
      <w:bookmarkStart w:id="5654" w:name="_Toc759972072"/>
      <w:bookmarkStart w:id="5655" w:name="_Toc16669"/>
      <w:bookmarkStart w:id="5656" w:name="_Toc3314"/>
      <w:bookmarkStart w:id="5657" w:name="_Toc6939"/>
      <w:bookmarkStart w:id="5658" w:name="_Toc6198"/>
      <w:bookmarkStart w:id="5659" w:name="_Toc16880"/>
      <w:bookmarkStart w:id="5660" w:name="_Toc208587844"/>
      <w:bookmarkStart w:id="5661" w:name="_Toc201735620"/>
      <w:bookmarkStart w:id="5662" w:name="_Toc5768"/>
      <w:bookmarkStart w:id="5663" w:name="_Toc305331505"/>
      <w:bookmarkStart w:id="5664" w:name="_Toc20634"/>
      <w:bookmarkStart w:id="5665" w:name="_Toc10851"/>
      <w:bookmarkStart w:id="5666" w:name="_Toc25481"/>
      <w:bookmarkStart w:id="5667" w:name="_Toc302636027"/>
      <w:bookmarkStart w:id="5668" w:name="_Toc19297"/>
      <w:r>
        <w:rPr>
          <w:rFonts w:hint="eastAsia" w:ascii="宋体" w:hAnsi="宋体" w:eastAsia="宋体" w:cs="Times New Roman"/>
          <w:b/>
          <w:bCs/>
          <w:kern w:val="0"/>
          <w:sz w:val="24"/>
          <w:szCs w:val="32"/>
          <w:lang w:val="en-US" w:eastAsia="zh-CN" w:bidi="ar-SA"/>
        </w:rPr>
        <w:t>25.1 工程变更价款的确定方法</w:t>
      </w:r>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p>
    <w:p w14:paraId="5F15F46E">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1</w:t>
      </w:r>
      <w:r>
        <w:rPr>
          <w:rFonts w:hint="eastAsia" w:ascii="宋体" w:hAnsi="宋体" w:eastAsia="宋体" w:cs="Times New Roman"/>
          <w:sz w:val="24"/>
          <w:szCs w:val="24"/>
        </w:rPr>
        <w:t>)合同清单中有适用于变更工程的合同单价的，工程变更价款确定原则如下：</w:t>
      </w:r>
    </w:p>
    <w:p w14:paraId="26F29E2D">
      <w:pPr>
        <w:spacing w:line="360" w:lineRule="auto"/>
        <w:ind w:firstLine="480"/>
        <w:rPr>
          <w:rFonts w:ascii="宋体" w:hAnsi="宋体" w:eastAsia="宋体" w:cs="Times New Roman"/>
          <w:sz w:val="24"/>
          <w:szCs w:val="24"/>
          <w:u w:val="single"/>
        </w:rPr>
      </w:pPr>
      <w:r>
        <w:rPr>
          <w:rFonts w:hint="eastAsia" w:ascii="宋体" w:hAnsi="宋体" w:eastAsia="宋体" w:cs="Times New Roman"/>
          <w:sz w:val="24"/>
          <w:szCs w:val="24"/>
        </w:rPr>
        <w:t>①工程变更造成合同清单中某项目的工程量增减幅度：</w:t>
      </w:r>
      <w:r>
        <w:rPr>
          <w:rFonts w:hint="eastAsia" w:ascii="宋体" w:hAnsi="宋体" w:eastAsia="宋体" w:cs="Times New Roman"/>
          <w:sz w:val="24"/>
          <w:szCs w:val="24"/>
          <w:u w:val="single"/>
        </w:rPr>
        <w:t xml:space="preserve">            </w:t>
      </w:r>
    </w:p>
    <w:p w14:paraId="47B66F6F">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②超出本项第①目约定幅度增加部分或减少后剩余部分工程量清单项目单价按照以下约定执行：（注：只能选择一种方式，在选定的方式前的“□”内打“√”）</w:t>
      </w:r>
    </w:p>
    <w:p w14:paraId="1C83B4BE">
      <w:pPr>
        <w:spacing w:line="360" w:lineRule="auto"/>
        <w:ind w:left="420" w:firstLine="420"/>
        <w:rPr>
          <w:rFonts w:ascii="宋体" w:hAnsi="宋体" w:eastAsia="宋体" w:cs="Times New Roman"/>
          <w:sz w:val="24"/>
          <w:szCs w:val="24"/>
        </w:rPr>
      </w:pPr>
      <w:r>
        <w:rPr>
          <w:rFonts w:hint="eastAsia" w:ascii="宋体" w:hAnsi="宋体" w:eastAsia="宋体" w:cs="Times New Roman"/>
          <w:sz w:val="24"/>
          <w:szCs w:val="24"/>
        </w:rPr>
        <w:t>□按照本工程最高投标限价的编制方法，根据工程变更资料计算，并按本工程净下浮率进行下浮调整；</w:t>
      </w:r>
    </w:p>
    <w:p w14:paraId="04DA2073">
      <w:pPr>
        <w:spacing w:line="360" w:lineRule="auto"/>
        <w:ind w:left="420" w:firstLine="420"/>
        <w:rPr>
          <w:rFonts w:ascii="宋体" w:hAnsi="宋体" w:eastAsia="宋体" w:cs="Times New Roman"/>
          <w:sz w:val="24"/>
          <w:szCs w:val="24"/>
        </w:rPr>
      </w:pPr>
      <w:r>
        <w:rPr>
          <w:rFonts w:hint="eastAsia" w:ascii="宋体" w:hAnsi="宋体" w:eastAsia="宋体" w:cs="Times New Roman"/>
          <w:sz w:val="24"/>
          <w:szCs w:val="24"/>
        </w:rPr>
        <w:t>□合同单价；</w:t>
      </w:r>
    </w:p>
    <w:p w14:paraId="275FA1F3">
      <w:pPr>
        <w:spacing w:line="360" w:lineRule="auto"/>
        <w:ind w:left="420" w:firstLine="420"/>
        <w:rPr>
          <w:rFonts w:hint="eastAsia" w:ascii="宋体" w:hAnsi="宋体" w:eastAsia="宋体" w:cs="Times New Roman"/>
          <w:sz w:val="24"/>
          <w:szCs w:val="24"/>
          <w:u w:val="single"/>
        </w:rPr>
      </w:pPr>
      <w:r>
        <w:rPr>
          <w:rFonts w:hint="eastAsia" w:ascii="宋体" w:hAnsi="宋体" w:eastAsia="宋体" w:cs="Times New Roman"/>
          <w:sz w:val="24"/>
          <w:szCs w:val="24"/>
        </w:rPr>
        <w:t>□其他：</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p>
    <w:p w14:paraId="71734E2D">
      <w:pPr>
        <w:spacing w:line="360" w:lineRule="auto"/>
        <w:ind w:firstLine="480"/>
        <w:rPr>
          <w:rFonts w:ascii="宋体" w:hAnsi="宋体" w:eastAsia="宋体" w:cs="Times New Roman"/>
          <w:sz w:val="24"/>
          <w:szCs w:val="24"/>
          <w:u w:val="single"/>
        </w:rPr>
      </w:pPr>
      <w:r>
        <w:rPr>
          <w:rFonts w:hint="eastAsia" w:ascii="宋体" w:hAnsi="宋体" w:eastAsia="宋体" w:cs="Times New Roman"/>
          <w:sz w:val="24"/>
          <w:szCs w:val="24"/>
        </w:rPr>
        <w:t>(</w:t>
      </w:r>
      <w:r>
        <w:rPr>
          <w:rFonts w:ascii="宋体" w:hAnsi="宋体" w:eastAsia="宋体" w:cs="Times New Roman"/>
          <w:sz w:val="24"/>
          <w:szCs w:val="24"/>
        </w:rPr>
        <w:t>2)</w:t>
      </w:r>
      <w:r>
        <w:rPr>
          <w:rFonts w:hint="eastAsia" w:ascii="Times New Roman" w:hAnsi="Times New Roman" w:eastAsia="宋体" w:cs="Times New Roman"/>
          <w:szCs w:val="24"/>
        </w:rPr>
        <w:t xml:space="preserve"> </w:t>
      </w:r>
      <w:r>
        <w:rPr>
          <w:rFonts w:hint="eastAsia" w:ascii="宋体" w:hAnsi="宋体" w:eastAsia="宋体" w:cs="Times New Roman"/>
          <w:sz w:val="24"/>
          <w:szCs w:val="24"/>
        </w:rPr>
        <w:t>类似合同单价的定义为：</w:t>
      </w:r>
      <w:r>
        <w:rPr>
          <w:rFonts w:hint="eastAsia" w:ascii="宋体" w:hAnsi="宋体" w:eastAsia="宋体" w:cs="Times New Roman"/>
          <w:sz w:val="24"/>
          <w:szCs w:val="24"/>
          <w:u w:val="single"/>
        </w:rPr>
        <w:t xml:space="preserve">                                            </w:t>
      </w:r>
    </w:p>
    <w:p w14:paraId="1CC096E9">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合同清单中有类似于变更工程的合同单价，工程变更价款确定方式：</w:t>
      </w:r>
      <w:r>
        <w:rPr>
          <w:rFonts w:hint="eastAsia" w:ascii="宋体" w:hAnsi="宋体" w:eastAsia="宋体" w:cs="Times New Roman"/>
          <w:sz w:val="24"/>
          <w:szCs w:val="24"/>
          <w:u w:val="single"/>
        </w:rPr>
        <w:t xml:space="preserve">            </w:t>
      </w:r>
    </w:p>
    <w:p w14:paraId="74DB89E4">
      <w:pPr>
        <w:spacing w:line="360" w:lineRule="auto"/>
        <w:ind w:firstLine="480"/>
        <w:rPr>
          <w:rFonts w:hint="default" w:ascii="宋体" w:hAnsi="宋体" w:eastAsia="宋体" w:cs="Times New Roman"/>
          <w:sz w:val="24"/>
          <w:szCs w:val="24"/>
          <w:u w:val="single"/>
        </w:rPr>
      </w:pP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u w:val="single"/>
          <w:lang w:val="en-US" w:eastAsia="zh-CN"/>
        </w:rPr>
        <w:t xml:space="preserve">                                          </w:t>
      </w:r>
    </w:p>
    <w:p w14:paraId="397457AC">
      <w:pPr>
        <w:spacing w:line="360" w:lineRule="auto"/>
        <w:ind w:firstLine="480"/>
        <w:rPr>
          <w:rFonts w:ascii="宋体" w:hAnsi="宋体" w:eastAsia="宋体" w:cs="Times New Roman"/>
          <w:sz w:val="24"/>
          <w:szCs w:val="24"/>
        </w:rPr>
      </w:pPr>
      <w:r>
        <w:rPr>
          <w:rFonts w:ascii="宋体" w:hAnsi="宋体" w:eastAsia="宋体" w:cs="Times New Roman"/>
          <w:sz w:val="24"/>
          <w:szCs w:val="24"/>
        </w:rPr>
        <w:t>(3)</w:t>
      </w:r>
      <w:r>
        <w:rPr>
          <w:rFonts w:hint="eastAsia" w:ascii="宋体" w:hAnsi="宋体" w:eastAsia="宋体" w:cs="Times New Roman"/>
          <w:sz w:val="24"/>
          <w:szCs w:val="24"/>
        </w:rPr>
        <w:t>合同清单中没有适用或类似于变更工程的合同单价，工程变更价款确定方式（注：只能选择一种方式，在选定的方式前的“□”内打“√”）：</w:t>
      </w:r>
    </w:p>
    <w:p w14:paraId="1E465ABC">
      <w:pPr>
        <w:spacing w:line="360" w:lineRule="auto"/>
        <w:ind w:left="420" w:firstLine="420"/>
        <w:rPr>
          <w:rFonts w:ascii="宋体" w:hAnsi="宋体" w:eastAsia="宋体" w:cs="Times New Roman"/>
          <w:sz w:val="24"/>
          <w:szCs w:val="24"/>
        </w:rPr>
      </w:pPr>
      <w:r>
        <w:rPr>
          <w:rFonts w:hint="eastAsia" w:ascii="宋体" w:hAnsi="宋体" w:eastAsia="宋体" w:cs="Times New Roman"/>
          <w:sz w:val="24"/>
          <w:szCs w:val="24"/>
        </w:rPr>
        <w:t>□按照本工程最高投标限价的编制方法，根据工程变更资料计算，并按本工程净下浮率进行下浮调整确定该工程变更价款；</w:t>
      </w:r>
    </w:p>
    <w:p w14:paraId="4C9AAE2E">
      <w:pPr>
        <w:spacing w:line="360" w:lineRule="auto"/>
        <w:ind w:left="420" w:firstLine="420"/>
        <w:rPr>
          <w:rFonts w:ascii="宋体" w:hAnsi="宋体" w:eastAsia="宋体" w:cs="Times New Roman"/>
          <w:sz w:val="24"/>
          <w:szCs w:val="24"/>
          <w:u w:val="single"/>
        </w:rPr>
      </w:pPr>
      <w:r>
        <w:rPr>
          <w:rFonts w:hint="eastAsia" w:ascii="宋体" w:hAnsi="宋体" w:eastAsia="宋体" w:cs="Times New Roman"/>
          <w:sz w:val="24"/>
          <w:szCs w:val="24"/>
        </w:rPr>
        <w:t>□其他：</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p>
    <w:p w14:paraId="2BB3D1EE">
      <w:pPr>
        <w:spacing w:line="360" w:lineRule="auto"/>
        <w:ind w:firstLine="480"/>
        <w:rPr>
          <w:rFonts w:hint="eastAsia" w:ascii="宋体" w:hAnsi="宋体" w:eastAsia="宋体" w:cs="Times New Roman"/>
          <w:sz w:val="24"/>
          <w:szCs w:val="24"/>
          <w:u w:val="single"/>
        </w:rPr>
      </w:pPr>
      <w:r>
        <w:rPr>
          <w:rFonts w:ascii="宋体" w:hAnsi="宋体" w:eastAsia="宋体" w:cs="Times New Roman"/>
          <w:sz w:val="24"/>
          <w:szCs w:val="24"/>
        </w:rPr>
        <w:t>(4)</w:t>
      </w:r>
      <w:r>
        <w:rPr>
          <w:rFonts w:hint="eastAsia" w:ascii="宋体" w:hAnsi="宋体" w:eastAsia="宋体" w:cs="Times New Roman"/>
          <w:sz w:val="24"/>
          <w:szCs w:val="24"/>
        </w:rPr>
        <w:t>发包人给予承包人的补偿方式为：</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29F4888C">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208F12F1">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669" w:name="_Toc3971"/>
      <w:bookmarkStart w:id="5670" w:name="_Toc3109"/>
      <w:bookmarkStart w:id="5671" w:name="_Toc208587845"/>
      <w:bookmarkStart w:id="5672" w:name="_Toc25956"/>
      <w:bookmarkStart w:id="5673" w:name="_Toc27540"/>
      <w:bookmarkStart w:id="5674" w:name="_Toc2677"/>
      <w:bookmarkStart w:id="5675" w:name="_Toc17833"/>
      <w:bookmarkStart w:id="5676" w:name="_Toc10275"/>
      <w:bookmarkStart w:id="5677" w:name="_Toc5904"/>
      <w:bookmarkStart w:id="5678" w:name="_Toc201735621"/>
      <w:bookmarkStart w:id="5679" w:name="_Toc302636028"/>
      <w:bookmarkStart w:id="5680" w:name="_Toc1323"/>
      <w:bookmarkStart w:id="5681" w:name="_Toc171286399"/>
      <w:bookmarkStart w:id="5682" w:name="_Toc305331507"/>
      <w:bookmarkStart w:id="5683" w:name="_Toc4099"/>
      <w:r>
        <w:rPr>
          <w:rFonts w:hint="eastAsia" w:ascii="宋体" w:hAnsi="宋体" w:eastAsia="宋体" w:cs="Times New Roman"/>
          <w:b/>
          <w:bCs/>
          <w:kern w:val="0"/>
          <w:sz w:val="24"/>
          <w:szCs w:val="32"/>
          <w:lang w:val="en-US" w:eastAsia="zh-CN" w:bidi="ar-SA"/>
        </w:rPr>
        <w:t>25.2 工程变更引起措施项目的调整</w:t>
      </w:r>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p>
    <w:p w14:paraId="213D4F6D">
      <w:pPr>
        <w:spacing w:line="360" w:lineRule="auto"/>
        <w:ind w:firstLine="480" w:firstLineChars="200"/>
        <w:rPr>
          <w:rFonts w:hint="eastAsia" w:ascii="宋体" w:hAnsi="宋体" w:eastAsia="宋体" w:cs="Times New Roman"/>
          <w:bCs/>
          <w:sz w:val="24"/>
          <w:szCs w:val="24"/>
        </w:rPr>
      </w:pPr>
      <w:r>
        <w:rPr>
          <w:rFonts w:ascii="宋体" w:hAnsi="宋体" w:eastAsia="宋体" w:cs="Times New Roman"/>
          <w:sz w:val="24"/>
          <w:szCs w:val="24"/>
        </w:rPr>
        <w:t>(2)</w:t>
      </w:r>
      <w:r>
        <w:rPr>
          <w:rFonts w:hint="eastAsia" w:ascii="宋体" w:hAnsi="宋体" w:eastAsia="宋体" w:cs="Times New Roman"/>
          <w:sz w:val="24"/>
          <w:szCs w:val="24"/>
        </w:rPr>
        <w:t xml:space="preserve"> ②</w:t>
      </w:r>
      <w:r>
        <w:rPr>
          <w:rFonts w:ascii="宋体" w:hAnsi="宋体" w:eastAsia="宋体" w:cs="Times New Roman"/>
          <w:sz w:val="24"/>
          <w:szCs w:val="24"/>
        </w:rPr>
        <w:t>采用以“项”计量计价的措施项目费</w:t>
      </w:r>
      <w:r>
        <w:rPr>
          <w:rFonts w:hint="eastAsia" w:ascii="宋体" w:hAnsi="宋体" w:eastAsia="宋体" w:cs="Times New Roman"/>
          <w:sz w:val="24"/>
          <w:szCs w:val="24"/>
        </w:rPr>
        <w:t>的调整方法为：</w:t>
      </w:r>
      <w:r>
        <w:rPr>
          <w:rFonts w:hint="eastAsia" w:ascii="宋体" w:hAnsi="宋体" w:eastAsia="宋体" w:cs="Times New Roman"/>
          <w:sz w:val="24"/>
          <w:szCs w:val="24"/>
          <w:u w:val="single"/>
        </w:rPr>
        <w:t xml:space="preserve">                        </w:t>
      </w: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p>
    <w:p w14:paraId="512BBA81">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kern w:val="0"/>
          <w:sz w:val="24"/>
          <w:szCs w:val="32"/>
          <w:lang w:val="en-US" w:eastAsia="zh-CN" w:bidi="ar-SA"/>
        </w:rPr>
      </w:pPr>
      <w:bookmarkStart w:id="5684" w:name="_Toc11182"/>
      <w:bookmarkStart w:id="5685" w:name="_Toc305331506"/>
      <w:bookmarkStart w:id="5686" w:name="_Toc5282"/>
      <w:bookmarkStart w:id="5687" w:name="_Toc17384"/>
      <w:bookmarkStart w:id="5688" w:name="_Toc302636029"/>
      <w:bookmarkStart w:id="5689" w:name="_Toc26472"/>
      <w:bookmarkStart w:id="5690" w:name="_Toc201735622"/>
      <w:bookmarkStart w:id="5691" w:name="_Toc11785"/>
      <w:bookmarkStart w:id="5692" w:name="_Toc10263"/>
      <w:bookmarkStart w:id="5693" w:name="_Toc16532"/>
      <w:bookmarkStart w:id="5694" w:name="_Toc37476108"/>
      <w:bookmarkStart w:id="5695" w:name="_Toc208587846"/>
      <w:bookmarkStart w:id="5696" w:name="_Toc867"/>
      <w:bookmarkStart w:id="5697" w:name="_Toc32297"/>
      <w:bookmarkStart w:id="5698" w:name="_Toc8955"/>
      <w:r>
        <w:rPr>
          <w:rFonts w:hint="eastAsia" w:ascii="宋体" w:hAnsi="宋体" w:eastAsia="宋体" w:cs="Times New Roman"/>
          <w:b/>
          <w:bCs/>
          <w:kern w:val="0"/>
          <w:sz w:val="24"/>
          <w:szCs w:val="32"/>
          <w:lang w:val="en-US" w:eastAsia="zh-CN" w:bidi="ar-SA"/>
        </w:rPr>
        <w:t>25.3 工程变更价款的确定程序</w:t>
      </w:r>
      <w:bookmarkEnd w:id="5684"/>
      <w:bookmarkEnd w:id="5685"/>
      <w:bookmarkEnd w:id="5686"/>
      <w:bookmarkEnd w:id="5687"/>
      <w:bookmarkEnd w:id="5688"/>
      <w:bookmarkEnd w:id="5689"/>
      <w:bookmarkEnd w:id="5690"/>
      <w:bookmarkEnd w:id="5691"/>
      <w:bookmarkEnd w:id="5692"/>
      <w:bookmarkEnd w:id="5693"/>
      <w:bookmarkEnd w:id="5694"/>
      <w:bookmarkEnd w:id="5695"/>
      <w:bookmarkEnd w:id="5696"/>
      <w:bookmarkEnd w:id="5697"/>
      <w:bookmarkEnd w:id="5698"/>
    </w:p>
    <w:p w14:paraId="76544473">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本工程的工程变更价款按以下程序进行确定：</w:t>
      </w:r>
      <w:r>
        <w:rPr>
          <w:rFonts w:hint="eastAsia" w:ascii="宋体" w:hAnsi="宋体" w:eastAsia="宋体" w:cs="Times New Roman"/>
          <w:sz w:val="24"/>
          <w:szCs w:val="24"/>
          <w:u w:val="single"/>
        </w:rPr>
        <w:t xml:space="preserve">                                </w:t>
      </w:r>
    </w:p>
    <w:p w14:paraId="09CC29F5">
      <w:pPr>
        <w:spacing w:line="360" w:lineRule="auto"/>
        <w:rPr>
          <w:rFonts w:hint="eastAsia" w:ascii="宋体" w:hAnsi="宋体" w:eastAsia="宋体" w:cs="Times New Roman"/>
          <w:bCs/>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p>
    <w:p w14:paraId="0412ED53">
      <w:pPr>
        <w:spacing w:line="360" w:lineRule="auto"/>
        <w:rPr>
          <w:rFonts w:hint="eastAsia" w:ascii="宋体" w:hAnsi="宋体" w:eastAsia="宋体" w:cs="Times New Roman"/>
          <w:bCs/>
          <w:sz w:val="24"/>
          <w:szCs w:val="24"/>
          <w:u w:val="single"/>
        </w:rPr>
      </w:pPr>
      <w:r>
        <w:rPr>
          <w:rFonts w:hint="eastAsia" w:ascii="宋体" w:hAnsi="宋体" w:eastAsia="宋体" w:cs="Times New Roman"/>
          <w:bCs/>
          <w:sz w:val="24"/>
          <w:szCs w:val="24"/>
          <w:u w:val="single"/>
        </w:rPr>
        <w:t xml:space="preserve">                                                                            </w:t>
      </w:r>
    </w:p>
    <w:p w14:paraId="1E570738">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699" w:name="_Toc1013341279"/>
      <w:bookmarkStart w:id="5700" w:name="_Toc8362"/>
      <w:bookmarkStart w:id="5701" w:name="_Toc21493"/>
      <w:bookmarkStart w:id="5702" w:name="_Toc6030"/>
      <w:bookmarkStart w:id="5703" w:name="_Toc22133"/>
      <w:bookmarkStart w:id="5704" w:name="_Toc11742"/>
      <w:bookmarkStart w:id="5705" w:name="_Toc10578"/>
      <w:bookmarkStart w:id="5706" w:name="_Toc201735623"/>
      <w:bookmarkStart w:id="5707" w:name="_Toc26869"/>
      <w:bookmarkStart w:id="5708" w:name="_Toc31787"/>
      <w:bookmarkStart w:id="5709" w:name="_Toc11444"/>
      <w:bookmarkStart w:id="5710" w:name="_Toc208587847"/>
      <w:bookmarkStart w:id="5711" w:name="_Toc14843"/>
      <w:bookmarkStart w:id="5712" w:name="_Toc302636031"/>
      <w:bookmarkStart w:id="5713" w:name="_Toc305331508"/>
      <w:r>
        <w:rPr>
          <w:rFonts w:hint="eastAsia" w:ascii="宋体" w:hAnsi="宋体" w:eastAsia="宋体" w:cs="Times New Roman"/>
          <w:b/>
          <w:bCs/>
          <w:kern w:val="0"/>
          <w:sz w:val="24"/>
          <w:szCs w:val="32"/>
          <w:lang w:val="en-US" w:eastAsia="zh-CN" w:bidi="ar-SA"/>
        </w:rPr>
        <w:t>25.</w:t>
      </w:r>
      <w:r>
        <w:rPr>
          <w:rFonts w:ascii="宋体" w:hAnsi="宋体" w:eastAsia="宋体" w:cs="Times New Roman"/>
          <w:b/>
          <w:bCs/>
          <w:kern w:val="0"/>
          <w:sz w:val="24"/>
          <w:szCs w:val="32"/>
          <w:lang w:val="en-US" w:eastAsia="zh-CN" w:bidi="ar-SA"/>
        </w:rPr>
        <w:t>4</w:t>
      </w:r>
      <w:r>
        <w:rPr>
          <w:rFonts w:hint="eastAsia" w:ascii="宋体" w:hAnsi="宋体" w:eastAsia="宋体" w:cs="Times New Roman"/>
          <w:b/>
          <w:bCs/>
          <w:kern w:val="0"/>
          <w:sz w:val="24"/>
          <w:szCs w:val="32"/>
          <w:lang w:val="en-US" w:eastAsia="zh-CN" w:bidi="ar-SA"/>
        </w:rPr>
        <w:t xml:space="preserve"> 工程变更价款支付</w:t>
      </w:r>
      <w:bookmarkEnd w:id="5699"/>
      <w:bookmarkEnd w:id="5700"/>
      <w:bookmarkEnd w:id="5701"/>
      <w:bookmarkEnd w:id="5702"/>
      <w:bookmarkEnd w:id="5703"/>
      <w:bookmarkEnd w:id="5704"/>
      <w:bookmarkEnd w:id="5705"/>
      <w:bookmarkEnd w:id="5706"/>
      <w:bookmarkEnd w:id="5707"/>
      <w:bookmarkEnd w:id="5708"/>
      <w:bookmarkEnd w:id="5709"/>
      <w:bookmarkEnd w:id="5710"/>
      <w:bookmarkEnd w:id="5711"/>
    </w:p>
    <w:p w14:paraId="08A08811">
      <w:pPr>
        <w:spacing w:line="360" w:lineRule="auto"/>
        <w:ind w:firstLine="480"/>
        <w:rPr>
          <w:rFonts w:hint="eastAsia" w:ascii="宋体" w:hAnsi="宋体" w:eastAsia="宋体" w:cs="Times New Roman"/>
          <w:sz w:val="24"/>
          <w:szCs w:val="24"/>
        </w:rPr>
      </w:pPr>
      <w:r>
        <w:rPr>
          <w:rFonts w:ascii="宋体" w:hAnsi="宋体" w:eastAsia="宋体" w:cs="Times New Roman"/>
          <w:sz w:val="24"/>
          <w:szCs w:val="24"/>
        </w:rPr>
        <w:t>(</w:t>
      </w:r>
      <w:r>
        <w:rPr>
          <w:rFonts w:hint="eastAsia" w:ascii="宋体" w:hAnsi="宋体" w:eastAsia="宋体" w:cs="Times New Roman"/>
          <w:sz w:val="24"/>
          <w:szCs w:val="24"/>
        </w:rPr>
        <w:t>1</w:t>
      </w:r>
      <w:r>
        <w:rPr>
          <w:rFonts w:ascii="宋体" w:hAnsi="宋体" w:eastAsia="宋体" w:cs="Times New Roman"/>
          <w:sz w:val="24"/>
          <w:szCs w:val="24"/>
        </w:rPr>
        <w:t>)</w:t>
      </w:r>
      <w:r>
        <w:rPr>
          <w:rFonts w:hint="eastAsia" w:ascii="宋体" w:hAnsi="宋体" w:eastAsia="宋体" w:cs="Times New Roman"/>
          <w:sz w:val="24"/>
          <w:szCs w:val="24"/>
        </w:rPr>
        <w:t>追加</w:t>
      </w:r>
      <w:r>
        <w:rPr>
          <w:rFonts w:ascii="宋体" w:hAnsi="宋体" w:eastAsia="宋体" w:cs="Times New Roman"/>
          <w:sz w:val="24"/>
          <w:szCs w:val="24"/>
        </w:rPr>
        <w:t>(</w:t>
      </w:r>
      <w:r>
        <w:rPr>
          <w:rFonts w:hint="eastAsia" w:ascii="宋体" w:hAnsi="宋体" w:eastAsia="宋体" w:cs="Times New Roman"/>
          <w:sz w:val="24"/>
          <w:szCs w:val="24"/>
        </w:rPr>
        <w:t>减</w:t>
      </w:r>
      <w:r>
        <w:rPr>
          <w:rFonts w:ascii="宋体" w:hAnsi="宋体" w:eastAsia="宋体" w:cs="Times New Roman"/>
          <w:sz w:val="24"/>
          <w:szCs w:val="24"/>
        </w:rPr>
        <w:t>)</w:t>
      </w:r>
      <w:r>
        <w:rPr>
          <w:rFonts w:hint="eastAsia" w:ascii="宋体" w:hAnsi="宋体" w:eastAsia="宋体" w:cs="Times New Roman"/>
          <w:sz w:val="24"/>
          <w:szCs w:val="24"/>
        </w:rPr>
        <w:t>合同价款支付比例达到</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％时暂停支付。</w:t>
      </w:r>
    </w:p>
    <w:bookmarkEnd w:id="5712"/>
    <w:bookmarkEnd w:id="5713"/>
    <w:p w14:paraId="2B20A69E">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hint="eastAsia" w:ascii="华文细黑" w:hAnsi="宋体" w:eastAsia="宋体" w:cs="Times New Roman"/>
          <w:b/>
          <w:bCs/>
          <w:snapToGrid w:val="0"/>
          <w:kern w:val="0"/>
          <w:sz w:val="28"/>
          <w:szCs w:val="44"/>
          <w:lang w:val="en-US" w:eastAsia="zh-CN" w:bidi="ar-SA"/>
        </w:rPr>
      </w:pPr>
      <w:bookmarkStart w:id="5714" w:name="_Toc27065"/>
      <w:bookmarkStart w:id="5715" w:name="_Toc21105"/>
      <w:bookmarkStart w:id="5716" w:name="_Toc1241357555"/>
      <w:bookmarkStart w:id="5717" w:name="_Toc17774"/>
      <w:bookmarkStart w:id="5718" w:name="_Toc21028"/>
      <w:bookmarkStart w:id="5719" w:name="_Toc208587848"/>
      <w:bookmarkStart w:id="5720" w:name="_Toc8321"/>
      <w:bookmarkStart w:id="5721" w:name="_Toc12208"/>
      <w:bookmarkStart w:id="5722" w:name="_Toc16536"/>
      <w:bookmarkStart w:id="5723" w:name="_Toc4083"/>
      <w:bookmarkStart w:id="5724" w:name="_Toc5427"/>
      <w:bookmarkStart w:id="5725" w:name="_Toc201735624"/>
      <w:bookmarkStart w:id="5726" w:name="_Toc305331509"/>
      <w:bookmarkStart w:id="5727" w:name="_Toc783"/>
      <w:bookmarkStart w:id="5728" w:name="_Toc302636032"/>
      <w:r>
        <w:rPr>
          <w:rFonts w:hint="eastAsia" w:ascii="华文细黑" w:hAnsi="宋体" w:eastAsia="宋体" w:cs="Times New Roman"/>
          <w:b/>
          <w:bCs/>
          <w:snapToGrid w:val="0"/>
          <w:kern w:val="0"/>
          <w:sz w:val="28"/>
          <w:szCs w:val="44"/>
          <w:lang w:val="en-US" w:eastAsia="zh-CN" w:bidi="ar-SA"/>
        </w:rPr>
        <w:t>26 过程结算</w:t>
      </w:r>
      <w:bookmarkEnd w:id="5714"/>
      <w:bookmarkEnd w:id="5715"/>
      <w:bookmarkEnd w:id="5716"/>
      <w:bookmarkEnd w:id="5717"/>
      <w:bookmarkEnd w:id="5718"/>
      <w:bookmarkEnd w:id="5719"/>
      <w:bookmarkEnd w:id="5720"/>
      <w:bookmarkEnd w:id="5721"/>
      <w:bookmarkEnd w:id="5722"/>
      <w:bookmarkEnd w:id="5723"/>
      <w:bookmarkEnd w:id="5724"/>
      <w:bookmarkEnd w:id="5725"/>
    </w:p>
    <w:p w14:paraId="79DD5129">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729" w:name="_Toc18756"/>
      <w:bookmarkStart w:id="5730" w:name="_Toc17103"/>
      <w:bookmarkStart w:id="5731" w:name="_Toc5374"/>
      <w:bookmarkStart w:id="5732" w:name="_Toc1271"/>
      <w:bookmarkStart w:id="5733" w:name="_Toc201735625"/>
      <w:bookmarkStart w:id="5734" w:name="_Toc23838"/>
      <w:bookmarkStart w:id="5735" w:name="_Toc2081770262"/>
      <w:bookmarkStart w:id="5736" w:name="_Toc14275"/>
      <w:bookmarkStart w:id="5737" w:name="_Toc13311"/>
      <w:bookmarkStart w:id="5738" w:name="_Toc14705"/>
      <w:bookmarkStart w:id="5739" w:name="_Toc9527"/>
      <w:bookmarkStart w:id="5740" w:name="_Toc2614"/>
      <w:bookmarkStart w:id="5741" w:name="_Toc208587849"/>
      <w:bookmarkStart w:id="5742" w:name="_Toc24661"/>
      <w:bookmarkStart w:id="5743" w:name="_Toc9024"/>
      <w:bookmarkStart w:id="5744" w:name="_Toc20453"/>
      <w:bookmarkStart w:id="5745" w:name="_Toc7745"/>
      <w:r>
        <w:rPr>
          <w:rFonts w:hint="eastAsia" w:ascii="宋体" w:hAnsi="宋体" w:eastAsia="宋体" w:cs="Times New Roman"/>
          <w:b/>
          <w:bCs/>
          <w:kern w:val="0"/>
          <w:sz w:val="24"/>
          <w:szCs w:val="32"/>
          <w:lang w:val="en-US" w:eastAsia="zh-CN" w:bidi="ar-SA"/>
        </w:rPr>
        <w:t>26.1</w:t>
      </w:r>
      <w:r>
        <w:rPr>
          <w:rFonts w:ascii="宋体" w:hAnsi="宋体" w:eastAsia="宋体" w:cs="Times New Roman"/>
          <w:b/>
          <w:bCs/>
          <w:kern w:val="0"/>
          <w:sz w:val="24"/>
          <w:szCs w:val="32"/>
          <w:lang w:val="en-US" w:eastAsia="zh-CN" w:bidi="ar-SA"/>
        </w:rPr>
        <w:t xml:space="preserve"> </w:t>
      </w:r>
      <w:r>
        <w:rPr>
          <w:rFonts w:hint="eastAsia" w:ascii="宋体" w:hAnsi="宋体" w:eastAsia="宋体" w:cs="Times New Roman"/>
          <w:b/>
          <w:bCs/>
          <w:kern w:val="0"/>
          <w:sz w:val="24"/>
          <w:szCs w:val="32"/>
          <w:lang w:val="en-US" w:eastAsia="zh-CN" w:bidi="ar-SA"/>
        </w:rPr>
        <w:t>过程结算周期及验收要求</w:t>
      </w:r>
      <w:bookmarkEnd w:id="5729"/>
      <w:bookmarkEnd w:id="5730"/>
      <w:bookmarkEnd w:id="5731"/>
      <w:bookmarkEnd w:id="5732"/>
      <w:bookmarkEnd w:id="5733"/>
      <w:bookmarkEnd w:id="5734"/>
      <w:bookmarkEnd w:id="5735"/>
      <w:bookmarkEnd w:id="5736"/>
      <w:bookmarkEnd w:id="5737"/>
      <w:bookmarkEnd w:id="5738"/>
      <w:bookmarkEnd w:id="5739"/>
      <w:bookmarkEnd w:id="5740"/>
      <w:bookmarkEnd w:id="5741"/>
      <w:bookmarkEnd w:id="5742"/>
      <w:bookmarkEnd w:id="5743"/>
      <w:bookmarkEnd w:id="5744"/>
      <w:bookmarkEnd w:id="5745"/>
    </w:p>
    <w:p w14:paraId="28CAF0E6">
      <w:pPr>
        <w:spacing w:line="360" w:lineRule="auto"/>
        <w:ind w:firstLine="480"/>
        <w:rPr>
          <w:rFonts w:hint="eastAsia" w:ascii="宋体" w:hAnsi="宋体" w:eastAsia="宋体" w:cs="Times New Roman"/>
          <w:bCs/>
          <w:sz w:val="24"/>
          <w:szCs w:val="24"/>
          <w:u w:val="single"/>
        </w:rPr>
      </w:pPr>
      <w:r>
        <w:rPr>
          <w:rFonts w:ascii="宋体" w:hAnsi="宋体" w:eastAsia="宋体" w:cs="Times New Roman"/>
          <w:sz w:val="24"/>
          <w:szCs w:val="24"/>
        </w:rPr>
        <w:t>发承包双方约定</w:t>
      </w:r>
      <w:r>
        <w:rPr>
          <w:rFonts w:hint="eastAsia" w:ascii="宋体" w:hAnsi="宋体" w:eastAsia="宋体" w:cs="Times New Roman"/>
          <w:sz w:val="24"/>
          <w:szCs w:val="24"/>
        </w:rPr>
        <w:t>的</w:t>
      </w:r>
      <w:r>
        <w:rPr>
          <w:rFonts w:ascii="宋体" w:hAnsi="宋体" w:eastAsia="宋体" w:cs="Times New Roman"/>
          <w:sz w:val="24"/>
          <w:szCs w:val="24"/>
        </w:rPr>
        <w:t>过程结算周期</w:t>
      </w:r>
      <w:r>
        <w:rPr>
          <w:rFonts w:hint="eastAsia" w:ascii="宋体" w:hAnsi="宋体" w:eastAsia="宋体" w:cs="Times New Roman"/>
          <w:sz w:val="24"/>
          <w:szCs w:val="24"/>
        </w:rPr>
        <w:t>：</w:t>
      </w:r>
      <w:r>
        <w:rPr>
          <w:rFonts w:hint="eastAsia" w:ascii="宋体" w:hAnsi="宋体" w:eastAsia="宋体" w:cs="Times New Roman"/>
          <w:bCs/>
          <w:sz w:val="24"/>
          <w:szCs w:val="24"/>
          <w:u w:val="single"/>
        </w:rPr>
        <w:t xml:space="preserve">                                          </w:t>
      </w:r>
    </w:p>
    <w:p w14:paraId="1DEE7D67">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4235D069">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发承包双方约定的过</w:t>
      </w:r>
      <w:r>
        <w:rPr>
          <w:rFonts w:ascii="宋体" w:hAnsi="宋体" w:eastAsia="宋体" w:cs="Times New Roman"/>
          <w:sz w:val="24"/>
          <w:szCs w:val="24"/>
        </w:rPr>
        <w:t>程结算验收要求</w:t>
      </w:r>
      <w:r>
        <w:rPr>
          <w:rFonts w:hint="eastAsia" w:ascii="宋体" w:hAnsi="宋体" w:eastAsia="宋体" w:cs="Times New Roman"/>
          <w:sz w:val="24"/>
          <w:szCs w:val="24"/>
        </w:rPr>
        <w:t>：</w:t>
      </w:r>
      <w:r>
        <w:rPr>
          <w:rFonts w:hint="eastAsia" w:ascii="宋体" w:hAnsi="宋体" w:eastAsia="宋体" w:cs="Times New Roman"/>
          <w:sz w:val="24"/>
          <w:szCs w:val="24"/>
          <w:u w:val="single"/>
        </w:rPr>
        <w:t xml:space="preserve">                                     </w:t>
      </w:r>
    </w:p>
    <w:p w14:paraId="599F99B1">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6187A985">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0B26441E">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56055AEC">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746" w:name="_Toc1075"/>
      <w:bookmarkStart w:id="5747" w:name="_Toc9"/>
      <w:bookmarkStart w:id="5748" w:name="_Toc6725"/>
      <w:bookmarkStart w:id="5749" w:name="_Toc10770"/>
      <w:bookmarkStart w:id="5750" w:name="_Toc32101"/>
      <w:bookmarkStart w:id="5751" w:name="_Toc208587850"/>
      <w:bookmarkStart w:id="5752" w:name="_Toc4914"/>
      <w:bookmarkStart w:id="5753" w:name="_Toc22704"/>
      <w:bookmarkStart w:id="5754" w:name="_Toc6474"/>
      <w:bookmarkStart w:id="5755" w:name="_Toc29622"/>
      <w:bookmarkStart w:id="5756" w:name="_Toc1146028022"/>
      <w:bookmarkStart w:id="5757" w:name="_Toc6646"/>
      <w:bookmarkStart w:id="5758" w:name="_Toc3916"/>
      <w:bookmarkStart w:id="5759" w:name="_Toc25060"/>
      <w:bookmarkStart w:id="5760" w:name="_Toc12245"/>
      <w:bookmarkStart w:id="5761" w:name="_Toc18356"/>
      <w:bookmarkStart w:id="5762" w:name="_Toc201735626"/>
      <w:r>
        <w:rPr>
          <w:rFonts w:hint="eastAsia" w:ascii="宋体" w:hAnsi="宋体" w:eastAsia="宋体" w:cs="Times New Roman"/>
          <w:b/>
          <w:bCs/>
          <w:kern w:val="0"/>
          <w:sz w:val="24"/>
          <w:szCs w:val="32"/>
          <w:lang w:val="en-US" w:eastAsia="zh-CN" w:bidi="ar-SA"/>
        </w:rPr>
        <w:t>26.2</w:t>
      </w:r>
      <w:r>
        <w:rPr>
          <w:rFonts w:ascii="宋体" w:hAnsi="宋体" w:eastAsia="宋体" w:cs="Times New Roman"/>
          <w:b/>
          <w:bCs/>
          <w:kern w:val="0"/>
          <w:sz w:val="24"/>
          <w:szCs w:val="32"/>
          <w:lang w:val="en-US" w:eastAsia="zh-CN" w:bidi="ar-SA"/>
        </w:rPr>
        <w:t xml:space="preserve"> </w:t>
      </w:r>
      <w:r>
        <w:rPr>
          <w:rFonts w:hint="eastAsia" w:ascii="宋体" w:hAnsi="宋体" w:eastAsia="宋体" w:cs="Times New Roman"/>
          <w:b/>
          <w:bCs/>
          <w:kern w:val="0"/>
          <w:sz w:val="24"/>
          <w:szCs w:val="32"/>
          <w:lang w:val="en-US" w:eastAsia="zh-CN" w:bidi="ar-SA"/>
        </w:rPr>
        <w:t>过程结算报告的编制和提交</w:t>
      </w:r>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p>
    <w:p w14:paraId="78437A51">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(2)承包人向发包人提交过程结算报告的时间为：</w:t>
      </w:r>
      <w:r>
        <w:rPr>
          <w:rFonts w:hint="eastAsia" w:ascii="宋体" w:hAnsi="宋体" w:eastAsia="宋体" w:cs="Times New Roman"/>
          <w:sz w:val="24"/>
          <w:szCs w:val="24"/>
          <w:u w:val="single"/>
        </w:rPr>
        <w:t xml:space="preserve">                                        </w:t>
      </w:r>
    </w:p>
    <w:p w14:paraId="074C3A33">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6DD53A49">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763" w:name="_Toc6876"/>
      <w:bookmarkStart w:id="5764" w:name="_Toc18563"/>
      <w:bookmarkStart w:id="5765" w:name="_Toc208587851"/>
      <w:bookmarkStart w:id="5766" w:name="_Toc29365"/>
      <w:bookmarkStart w:id="5767" w:name="_Toc15377"/>
      <w:bookmarkStart w:id="5768" w:name="_Toc20350"/>
      <w:bookmarkStart w:id="5769" w:name="_Toc10611"/>
      <w:bookmarkStart w:id="5770" w:name="_Toc29138"/>
      <w:bookmarkStart w:id="5771" w:name="_Toc26626"/>
      <w:bookmarkStart w:id="5772" w:name="_Toc962498094"/>
      <w:bookmarkStart w:id="5773" w:name="_Toc17796"/>
      <w:bookmarkStart w:id="5774" w:name="_Toc201735627"/>
      <w:bookmarkStart w:id="5775" w:name="_Toc3444"/>
      <w:bookmarkStart w:id="5776" w:name="_Toc12429"/>
      <w:bookmarkStart w:id="5777" w:name="_Toc13666"/>
      <w:bookmarkStart w:id="5778" w:name="_Toc28123"/>
      <w:bookmarkStart w:id="5779" w:name="_Toc16166"/>
      <w:r>
        <w:rPr>
          <w:rFonts w:hint="eastAsia" w:ascii="宋体" w:hAnsi="宋体" w:eastAsia="宋体" w:cs="Times New Roman"/>
          <w:b/>
          <w:bCs/>
          <w:kern w:val="0"/>
          <w:sz w:val="24"/>
          <w:szCs w:val="32"/>
          <w:lang w:val="en-US" w:eastAsia="zh-CN" w:bidi="ar-SA"/>
        </w:rPr>
        <w:t>26.3</w:t>
      </w:r>
      <w:r>
        <w:rPr>
          <w:rFonts w:ascii="宋体" w:hAnsi="宋体" w:eastAsia="宋体" w:cs="Times New Roman"/>
          <w:b/>
          <w:bCs/>
          <w:kern w:val="0"/>
          <w:sz w:val="24"/>
          <w:szCs w:val="32"/>
          <w:lang w:val="en-US" w:eastAsia="zh-CN" w:bidi="ar-SA"/>
        </w:rPr>
        <w:t xml:space="preserve"> </w:t>
      </w:r>
      <w:r>
        <w:rPr>
          <w:rFonts w:hint="eastAsia" w:ascii="宋体" w:hAnsi="宋体" w:eastAsia="宋体" w:cs="Times New Roman"/>
          <w:b/>
          <w:bCs/>
          <w:kern w:val="0"/>
          <w:sz w:val="24"/>
          <w:szCs w:val="32"/>
          <w:lang w:val="en-US" w:eastAsia="zh-CN" w:bidi="ar-SA"/>
        </w:rPr>
        <w:t>过程结算报告的核对和修改</w:t>
      </w:r>
      <w:bookmarkEnd w:id="5763"/>
      <w:bookmarkEnd w:id="5764"/>
      <w:bookmarkEnd w:id="5765"/>
      <w:bookmarkEnd w:id="5766"/>
      <w:bookmarkEnd w:id="5767"/>
      <w:bookmarkEnd w:id="5768"/>
      <w:bookmarkEnd w:id="5769"/>
      <w:bookmarkEnd w:id="5770"/>
      <w:bookmarkEnd w:id="5771"/>
      <w:bookmarkEnd w:id="5772"/>
      <w:bookmarkEnd w:id="5773"/>
      <w:bookmarkEnd w:id="5774"/>
      <w:bookmarkEnd w:id="5775"/>
      <w:bookmarkEnd w:id="5776"/>
      <w:bookmarkEnd w:id="5777"/>
      <w:bookmarkEnd w:id="5778"/>
      <w:bookmarkEnd w:id="5779"/>
    </w:p>
    <w:p w14:paraId="3F63F7F3">
      <w:pPr>
        <w:spacing w:line="360" w:lineRule="auto"/>
        <w:ind w:firstLine="480"/>
        <w:jc w:val="left"/>
        <w:rPr>
          <w:rFonts w:hint="eastAsia" w:ascii="宋体" w:hAnsi="宋体" w:eastAsia="宋体" w:cs="Times New Roman"/>
          <w:sz w:val="24"/>
          <w:szCs w:val="24"/>
        </w:rPr>
      </w:pPr>
      <w:r>
        <w:rPr>
          <w:rFonts w:ascii="宋体" w:hAnsi="宋体" w:eastAsia="宋体" w:cs="Times New Roman"/>
          <w:sz w:val="24"/>
          <w:szCs w:val="24"/>
        </w:rPr>
        <w:t>(</w:t>
      </w:r>
      <w:r>
        <w:rPr>
          <w:rFonts w:hint="eastAsia" w:ascii="宋体" w:hAnsi="宋体" w:eastAsia="宋体" w:cs="Times New Roman"/>
          <w:sz w:val="24"/>
          <w:szCs w:val="24"/>
        </w:rPr>
        <w:t>1</w:t>
      </w:r>
      <w:r>
        <w:rPr>
          <w:rFonts w:ascii="宋体" w:hAnsi="宋体" w:eastAsia="宋体" w:cs="Times New Roman"/>
          <w:sz w:val="24"/>
          <w:szCs w:val="24"/>
        </w:rPr>
        <w:t>)</w:t>
      </w:r>
      <w:r>
        <w:rPr>
          <w:rFonts w:hint="eastAsia" w:ascii="宋体" w:hAnsi="宋体" w:eastAsia="宋体" w:cs="Times New Roman"/>
          <w:sz w:val="24"/>
          <w:szCs w:val="24"/>
        </w:rPr>
        <w:t>发包人应在收到承包人提交的过程结算报告后</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天内，对承包人提交的过程结算报告进行核对。</w:t>
      </w:r>
    </w:p>
    <w:p w14:paraId="1008AD57">
      <w:pPr>
        <w:spacing w:line="360" w:lineRule="auto"/>
        <w:ind w:firstLine="480"/>
        <w:jc w:val="left"/>
        <w:rPr>
          <w:rFonts w:hint="eastAsia" w:ascii="宋体" w:hAnsi="宋体" w:eastAsia="宋体" w:cs="Times New Roman"/>
          <w:sz w:val="24"/>
          <w:szCs w:val="24"/>
        </w:rPr>
      </w:pPr>
      <w:r>
        <w:rPr>
          <w:rFonts w:hint="eastAsia" w:ascii="宋体" w:hAnsi="宋体" w:eastAsia="宋体" w:cs="Times New Roman"/>
          <w:sz w:val="24"/>
          <w:szCs w:val="24"/>
        </w:rPr>
        <w:t>②承包人应在收到发包人相关书面通知后</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天内，向发包人提交经修改的过程结算报告或按要求补充结算资料，发包人应在收到承包人相关书面资料后</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天内进行核对。</w:t>
      </w:r>
    </w:p>
    <w:p w14:paraId="0A40F13D">
      <w:pPr>
        <w:spacing w:line="360" w:lineRule="auto"/>
        <w:ind w:firstLine="241" w:firstLineChars="100"/>
        <w:jc w:val="left"/>
        <w:outlineLvl w:val="1"/>
        <w:rPr>
          <w:rFonts w:hint="eastAsia" w:ascii="宋体" w:hAnsi="宋体" w:eastAsia="宋体" w:cs="Times New Roman"/>
          <w:b/>
          <w:bCs/>
          <w:kern w:val="0"/>
          <w:sz w:val="24"/>
          <w:szCs w:val="32"/>
        </w:rPr>
      </w:pPr>
      <w:bookmarkStart w:id="5780" w:name="_Toc208587852"/>
      <w:bookmarkStart w:id="5781" w:name="_Toc28346"/>
      <w:bookmarkStart w:id="5782" w:name="_Toc1837563787"/>
      <w:bookmarkStart w:id="5783" w:name="_Toc9813"/>
      <w:bookmarkStart w:id="5784" w:name="_Toc24659"/>
      <w:bookmarkStart w:id="5785" w:name="_Toc201735628"/>
      <w:bookmarkStart w:id="5786" w:name="_Toc16640"/>
      <w:bookmarkStart w:id="5787" w:name="_Toc9873"/>
      <w:bookmarkStart w:id="5788" w:name="_Toc26486"/>
      <w:bookmarkStart w:id="5789" w:name="_Toc25232"/>
      <w:bookmarkStart w:id="5790" w:name="_Toc24077"/>
      <w:bookmarkStart w:id="5791" w:name="_Toc11942"/>
      <w:bookmarkStart w:id="5792" w:name="_Toc32542"/>
      <w:bookmarkStart w:id="5793" w:name="_Toc14230"/>
      <w:bookmarkStart w:id="5794" w:name="_Toc25678"/>
      <w:bookmarkStart w:id="5795" w:name="_Toc6932"/>
      <w:bookmarkStart w:id="5796" w:name="_Toc11740"/>
      <w:r>
        <w:rPr>
          <w:rFonts w:hint="eastAsia" w:ascii="宋体" w:hAnsi="宋体" w:eastAsia="宋体" w:cs="Times New Roman"/>
          <w:b/>
          <w:bCs/>
          <w:kern w:val="0"/>
          <w:sz w:val="24"/>
          <w:szCs w:val="32"/>
        </w:rPr>
        <w:t>26.6</w:t>
      </w:r>
      <w:r>
        <w:rPr>
          <w:rFonts w:ascii="宋体" w:hAnsi="宋体" w:eastAsia="宋体" w:cs="Times New Roman"/>
          <w:b/>
          <w:bCs/>
          <w:kern w:val="0"/>
          <w:sz w:val="24"/>
          <w:szCs w:val="32"/>
        </w:rPr>
        <w:t xml:space="preserve"> </w:t>
      </w:r>
      <w:r>
        <w:rPr>
          <w:rFonts w:hint="eastAsia" w:ascii="宋体" w:hAnsi="宋体" w:eastAsia="宋体" w:cs="Times New Roman"/>
          <w:b/>
          <w:bCs/>
          <w:kern w:val="0"/>
          <w:sz w:val="24"/>
          <w:szCs w:val="32"/>
        </w:rPr>
        <w:t>过程结算支付</w:t>
      </w:r>
      <w:bookmarkEnd w:id="5780"/>
      <w:bookmarkEnd w:id="5781"/>
      <w:bookmarkEnd w:id="5782"/>
      <w:bookmarkEnd w:id="5783"/>
      <w:bookmarkEnd w:id="5784"/>
      <w:bookmarkEnd w:id="5785"/>
      <w:bookmarkEnd w:id="5786"/>
      <w:bookmarkEnd w:id="5787"/>
      <w:bookmarkEnd w:id="5788"/>
      <w:bookmarkEnd w:id="5789"/>
      <w:bookmarkEnd w:id="5790"/>
      <w:bookmarkEnd w:id="5791"/>
      <w:bookmarkEnd w:id="5792"/>
      <w:bookmarkEnd w:id="5793"/>
      <w:bookmarkEnd w:id="5794"/>
      <w:bookmarkEnd w:id="5795"/>
      <w:bookmarkEnd w:id="5796"/>
    </w:p>
    <w:p w14:paraId="69F99CA7">
      <w:pPr>
        <w:spacing w:line="360" w:lineRule="auto"/>
        <w:ind w:firstLine="480"/>
        <w:rPr>
          <w:rFonts w:ascii="宋体" w:hAnsi="宋体" w:eastAsia="宋体" w:cs="Times New Roman"/>
          <w:sz w:val="24"/>
          <w:szCs w:val="24"/>
        </w:rPr>
      </w:pPr>
      <w:r>
        <w:rPr>
          <w:rFonts w:ascii="宋体" w:hAnsi="宋体" w:eastAsia="宋体" w:cs="Times New Roman"/>
          <w:sz w:val="24"/>
          <w:szCs w:val="24"/>
        </w:rPr>
        <w:t>(3)发承包</w:t>
      </w:r>
      <w:r>
        <w:rPr>
          <w:rFonts w:hint="eastAsia" w:ascii="宋体" w:hAnsi="宋体" w:eastAsia="宋体" w:cs="Times New Roman"/>
          <w:sz w:val="24"/>
          <w:szCs w:val="24"/>
        </w:rPr>
        <w:t>双方</w:t>
      </w:r>
      <w:r>
        <w:rPr>
          <w:rFonts w:ascii="宋体" w:hAnsi="宋体" w:eastAsia="宋体" w:cs="Times New Roman"/>
          <w:sz w:val="24"/>
          <w:szCs w:val="24"/>
        </w:rPr>
        <w:t>约定修正时间为：</w:t>
      </w:r>
      <w:r>
        <w:rPr>
          <w:rFonts w:hint="eastAsia" w:ascii="宋体" w:hAnsi="宋体" w:eastAsia="宋体" w:cs="Times New Roman"/>
          <w:bCs/>
          <w:sz w:val="24"/>
          <w:szCs w:val="24"/>
          <w:u w:val="single"/>
        </w:rPr>
        <w:t xml:space="preserve">                                               </w:t>
      </w:r>
    </w:p>
    <w:p w14:paraId="3FE5F581">
      <w:pPr>
        <w:spacing w:line="360" w:lineRule="auto"/>
        <w:ind w:firstLine="480"/>
        <w:jc w:val="left"/>
        <w:rPr>
          <w:rFonts w:ascii="宋体" w:hAnsi="宋体" w:eastAsia="宋体" w:cs="Times New Roman"/>
          <w:sz w:val="24"/>
          <w:szCs w:val="24"/>
        </w:rPr>
      </w:pPr>
      <w:r>
        <w:rPr>
          <w:rFonts w:hint="eastAsia" w:ascii="宋体" w:hAnsi="宋体" w:eastAsia="宋体" w:cs="Times New Roman"/>
          <w:sz w:val="24"/>
          <w:szCs w:val="24"/>
        </w:rPr>
        <w:t>(4)</w:t>
      </w:r>
      <w:r>
        <w:rPr>
          <w:rFonts w:ascii="宋体" w:hAnsi="宋体" w:eastAsia="宋体" w:cs="Times New Roman"/>
          <w:sz w:val="24"/>
          <w:szCs w:val="24"/>
        </w:rPr>
        <w:t>过程结算价款累计支付总额达到合同价格的</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rPr>
        <w:t>%时，暂停支付。</w:t>
      </w:r>
    </w:p>
    <w:p w14:paraId="4E81A700">
      <w:pPr>
        <w:widowControl w:val="0"/>
        <w:numPr>
          <w:ilvl w:val="0"/>
          <w:numId w:val="0"/>
        </w:numPr>
        <w:tabs>
          <w:tab w:val="left" w:pos="540"/>
          <w:tab w:val="left" w:pos="900"/>
        </w:tabs>
        <w:spacing w:before="120" w:after="156"/>
        <w:ind w:firstLine="241" w:firstLineChars="100"/>
        <w:jc w:val="left"/>
        <w:outlineLvl w:val="1"/>
        <w:rPr>
          <w:rFonts w:hint="eastAsia" w:ascii="宋体" w:hAnsi="宋体" w:eastAsia="宋体" w:cs="Times New Roman"/>
          <w:b/>
          <w:bCs/>
          <w:kern w:val="0"/>
          <w:sz w:val="24"/>
          <w:szCs w:val="32"/>
          <w:lang w:val="en-US" w:eastAsia="zh-CN" w:bidi="ar-SA"/>
        </w:rPr>
      </w:pPr>
      <w:bookmarkStart w:id="5797" w:name="_Toc4141"/>
      <w:bookmarkStart w:id="5798" w:name="_Toc13922"/>
      <w:bookmarkStart w:id="5799" w:name="_Toc15544"/>
      <w:bookmarkStart w:id="5800" w:name="_Toc1204466420"/>
      <w:bookmarkStart w:id="5801" w:name="_Toc19733"/>
      <w:bookmarkStart w:id="5802" w:name="_Toc17232"/>
      <w:bookmarkStart w:id="5803" w:name="_Toc21736"/>
      <w:bookmarkStart w:id="5804" w:name="_Toc201735629"/>
      <w:bookmarkStart w:id="5805" w:name="_Toc6905"/>
      <w:bookmarkStart w:id="5806" w:name="_Toc26858"/>
      <w:bookmarkStart w:id="5807" w:name="_Toc208587853"/>
      <w:bookmarkStart w:id="5808" w:name="_Toc21608"/>
      <w:bookmarkStart w:id="5809" w:name="_Toc24476"/>
      <w:bookmarkStart w:id="5810" w:name="_Toc28858"/>
      <w:bookmarkStart w:id="5811" w:name="_Toc11977"/>
      <w:bookmarkStart w:id="5812" w:name="_Toc2721"/>
      <w:bookmarkStart w:id="5813" w:name="_Toc23209"/>
      <w:r>
        <w:rPr>
          <w:rFonts w:hint="eastAsia" w:ascii="宋体" w:hAnsi="宋体" w:eastAsia="宋体" w:cs="Times New Roman"/>
          <w:b/>
          <w:bCs/>
          <w:kern w:val="0"/>
          <w:sz w:val="24"/>
          <w:szCs w:val="32"/>
          <w:lang w:val="en-US" w:eastAsia="zh-CN" w:bidi="ar-SA"/>
        </w:rPr>
        <w:t>26.7</w:t>
      </w:r>
      <w:r>
        <w:rPr>
          <w:rFonts w:ascii="宋体" w:hAnsi="宋体" w:eastAsia="宋体" w:cs="Times New Roman"/>
          <w:b/>
          <w:bCs/>
          <w:kern w:val="0"/>
          <w:sz w:val="24"/>
          <w:szCs w:val="32"/>
          <w:lang w:val="en-US" w:eastAsia="zh-CN" w:bidi="ar-SA"/>
        </w:rPr>
        <w:t xml:space="preserve"> </w:t>
      </w:r>
      <w:r>
        <w:rPr>
          <w:rFonts w:hint="eastAsia" w:ascii="宋体" w:hAnsi="宋体" w:eastAsia="宋体" w:cs="Times New Roman"/>
          <w:b/>
          <w:bCs/>
          <w:kern w:val="0"/>
          <w:sz w:val="24"/>
          <w:szCs w:val="32"/>
          <w:lang w:val="en-US" w:eastAsia="zh-CN" w:bidi="ar-SA"/>
        </w:rPr>
        <w:t>过程结算暂定意见</w:t>
      </w:r>
      <w:bookmarkEnd w:id="5797"/>
      <w:bookmarkEnd w:id="5798"/>
      <w:bookmarkEnd w:id="5799"/>
      <w:bookmarkEnd w:id="5800"/>
      <w:bookmarkEnd w:id="5801"/>
      <w:bookmarkEnd w:id="5802"/>
      <w:bookmarkEnd w:id="5803"/>
      <w:bookmarkEnd w:id="5804"/>
      <w:bookmarkEnd w:id="5805"/>
      <w:bookmarkEnd w:id="5806"/>
      <w:bookmarkEnd w:id="5807"/>
      <w:bookmarkEnd w:id="5808"/>
      <w:bookmarkEnd w:id="5809"/>
      <w:bookmarkEnd w:id="5810"/>
      <w:bookmarkEnd w:id="5811"/>
      <w:bookmarkEnd w:id="5812"/>
      <w:bookmarkEnd w:id="5813"/>
    </w:p>
    <w:p w14:paraId="76FAE4B4">
      <w:pPr>
        <w:spacing w:line="360" w:lineRule="auto"/>
        <w:ind w:firstLine="480" w:firstLineChars="200"/>
        <w:jc w:val="left"/>
        <w:rPr>
          <w:rFonts w:ascii="宋体" w:hAnsi="宋体" w:eastAsia="宋体" w:cs="Times New Roman"/>
          <w:sz w:val="24"/>
          <w:szCs w:val="24"/>
        </w:rPr>
      </w:pPr>
      <w:r>
        <w:rPr>
          <w:rFonts w:ascii="宋体" w:hAnsi="宋体" w:eastAsia="宋体" w:cs="Times New Roman"/>
          <w:sz w:val="24"/>
          <w:szCs w:val="24"/>
        </w:rPr>
        <w:t>发承包双方委托的第三方为：</w:t>
      </w:r>
      <w:r>
        <w:rPr>
          <w:rFonts w:hint="eastAsia" w:ascii="宋体" w:hAnsi="宋体" w:eastAsia="宋体" w:cs="Times New Roman"/>
          <w:sz w:val="24"/>
          <w:szCs w:val="24"/>
          <w:u w:val="single"/>
        </w:rPr>
        <w:t xml:space="preserve">                                              </w:t>
      </w:r>
    </w:p>
    <w:p w14:paraId="21772F3D">
      <w:pPr>
        <w:spacing w:line="360" w:lineRule="auto"/>
        <w:ind w:firstLine="480"/>
        <w:jc w:val="left"/>
        <w:rPr>
          <w:rFonts w:ascii="宋体" w:hAnsi="宋体" w:eastAsia="宋体" w:cs="Times New Roman"/>
          <w:sz w:val="24"/>
          <w:szCs w:val="24"/>
        </w:rPr>
      </w:pPr>
      <w:r>
        <w:rPr>
          <w:rFonts w:ascii="宋体" w:hAnsi="宋体" w:eastAsia="宋体" w:cs="Times New Roman"/>
          <w:sz w:val="24"/>
          <w:szCs w:val="24"/>
        </w:rPr>
        <w:t>发承包双方应在收到第三方暂定结算意见后</w:t>
      </w:r>
      <w:r>
        <w:rPr>
          <w:rFonts w:ascii="宋体" w:hAnsi="宋体" w:eastAsia="宋体" w:cs="Times New Roman"/>
          <w:sz w:val="24"/>
          <w:szCs w:val="24"/>
          <w:u w:val="single"/>
        </w:rPr>
        <w:t xml:space="preserve">       </w:t>
      </w:r>
      <w:r>
        <w:rPr>
          <w:rFonts w:ascii="宋体" w:hAnsi="宋体" w:eastAsia="宋体" w:cs="Times New Roman"/>
          <w:sz w:val="24"/>
          <w:szCs w:val="24"/>
        </w:rPr>
        <w:t>天内，对暂定结算意见予以确认或提出异议。</w:t>
      </w:r>
    </w:p>
    <w:p w14:paraId="5A159413">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bookmarkStart w:id="5814" w:name="_Toc30753"/>
      <w:bookmarkStart w:id="5815" w:name="_Toc30767"/>
      <w:bookmarkStart w:id="5816" w:name="_Toc24492"/>
      <w:bookmarkStart w:id="5817" w:name="_Toc31931"/>
      <w:bookmarkStart w:id="5818" w:name="_Toc30877"/>
      <w:bookmarkStart w:id="5819" w:name="_Toc1146"/>
      <w:bookmarkStart w:id="5820" w:name="_Toc3250"/>
      <w:bookmarkStart w:id="5821" w:name="_Toc936123403"/>
      <w:bookmarkStart w:id="5822" w:name="_Toc23341"/>
      <w:bookmarkStart w:id="5823" w:name="_Toc61"/>
      <w:bookmarkStart w:id="5824" w:name="_Toc201735630"/>
      <w:bookmarkStart w:id="5825" w:name="_Toc208587854"/>
      <w:r>
        <w:rPr>
          <w:rFonts w:hint="eastAsia" w:ascii="华文细黑" w:hAnsi="宋体" w:eastAsia="宋体" w:cs="Times New Roman"/>
          <w:b/>
          <w:bCs/>
          <w:snapToGrid w:val="0"/>
          <w:kern w:val="0"/>
          <w:sz w:val="28"/>
          <w:szCs w:val="44"/>
          <w:lang w:val="en-US" w:eastAsia="zh-CN" w:bidi="ar-SA"/>
        </w:rPr>
        <w:t>27竣工验收</w:t>
      </w:r>
      <w:bookmarkEnd w:id="5726"/>
      <w:bookmarkEnd w:id="5727"/>
      <w:bookmarkEnd w:id="5728"/>
      <w:bookmarkEnd w:id="5814"/>
      <w:bookmarkEnd w:id="5815"/>
      <w:bookmarkEnd w:id="5816"/>
      <w:bookmarkEnd w:id="5817"/>
      <w:bookmarkEnd w:id="5818"/>
      <w:bookmarkEnd w:id="5819"/>
      <w:bookmarkEnd w:id="5820"/>
      <w:bookmarkEnd w:id="5821"/>
      <w:bookmarkEnd w:id="5822"/>
      <w:bookmarkEnd w:id="5823"/>
      <w:bookmarkEnd w:id="5824"/>
      <w:bookmarkEnd w:id="5825"/>
    </w:p>
    <w:p w14:paraId="6DE4CCAB">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kern w:val="0"/>
          <w:sz w:val="24"/>
          <w:szCs w:val="32"/>
          <w:lang w:val="en-US" w:eastAsia="zh-CN" w:bidi="ar-SA"/>
        </w:rPr>
      </w:pPr>
      <w:bookmarkStart w:id="5826" w:name="_Toc15947"/>
      <w:bookmarkStart w:id="5827" w:name="_Toc302636033"/>
      <w:bookmarkStart w:id="5828" w:name="_Toc3998"/>
      <w:bookmarkStart w:id="5829" w:name="_Toc201735631"/>
      <w:bookmarkStart w:id="5830" w:name="_Toc27172"/>
      <w:bookmarkStart w:id="5831" w:name="_Toc30320"/>
      <w:bookmarkStart w:id="5832" w:name="_Toc18279"/>
      <w:bookmarkStart w:id="5833" w:name="_Toc10532"/>
      <w:bookmarkStart w:id="5834" w:name="_Toc23161"/>
      <w:bookmarkStart w:id="5835" w:name="_Toc29084"/>
      <w:bookmarkStart w:id="5836" w:name="_Toc1622785534"/>
      <w:bookmarkStart w:id="5837" w:name="_Toc11869"/>
      <w:bookmarkStart w:id="5838" w:name="_Toc208587855"/>
      <w:bookmarkStart w:id="5839" w:name="_Toc305331510"/>
      <w:bookmarkStart w:id="5840" w:name="_Toc29625"/>
      <w:r>
        <w:rPr>
          <w:rFonts w:hint="eastAsia" w:ascii="宋体" w:hAnsi="宋体" w:eastAsia="宋体" w:cs="Times New Roman"/>
          <w:b/>
          <w:bCs/>
          <w:kern w:val="0"/>
          <w:sz w:val="24"/>
          <w:szCs w:val="32"/>
          <w:lang w:val="en-US" w:eastAsia="zh-CN" w:bidi="ar-SA"/>
        </w:rPr>
        <w:t>27.1 竣工验收</w:t>
      </w:r>
      <w:bookmarkEnd w:id="5826"/>
      <w:bookmarkEnd w:id="5827"/>
      <w:bookmarkEnd w:id="5828"/>
      <w:bookmarkEnd w:id="5829"/>
      <w:bookmarkEnd w:id="5830"/>
      <w:bookmarkEnd w:id="5831"/>
      <w:bookmarkEnd w:id="5832"/>
      <w:bookmarkEnd w:id="5833"/>
      <w:bookmarkEnd w:id="5834"/>
      <w:bookmarkEnd w:id="5835"/>
      <w:bookmarkEnd w:id="5836"/>
      <w:bookmarkEnd w:id="5837"/>
      <w:bookmarkEnd w:id="5838"/>
      <w:bookmarkEnd w:id="5839"/>
      <w:bookmarkEnd w:id="5840"/>
    </w:p>
    <w:p w14:paraId="1B857B8D">
      <w:pPr>
        <w:spacing w:line="360" w:lineRule="auto"/>
        <w:ind w:firstLine="480"/>
        <w:rPr>
          <w:rFonts w:ascii="宋体" w:hAnsi="宋体" w:eastAsia="宋体" w:cs="Times New Roman"/>
          <w:sz w:val="24"/>
          <w:szCs w:val="24"/>
        </w:rPr>
      </w:pPr>
      <w:r>
        <w:rPr>
          <w:rFonts w:ascii="宋体" w:hAnsi="宋体" w:eastAsia="宋体" w:cs="Times New Roman"/>
          <w:sz w:val="24"/>
          <w:szCs w:val="24"/>
        </w:rPr>
        <w:t>(2)</w:t>
      </w:r>
      <w:r>
        <w:rPr>
          <w:rFonts w:hint="eastAsia" w:ascii="宋体" w:hAnsi="宋体" w:eastAsia="宋体" w:cs="Times New Roman"/>
          <w:sz w:val="24"/>
          <w:szCs w:val="24"/>
        </w:rPr>
        <w:t>承包人提供竣工资料的约定：</w:t>
      </w:r>
      <w:r>
        <w:rPr>
          <w:rFonts w:hint="eastAsia" w:ascii="宋体" w:hAnsi="宋体" w:eastAsia="宋体" w:cs="Times New Roman"/>
          <w:bCs/>
          <w:sz w:val="24"/>
          <w:szCs w:val="24"/>
          <w:u w:val="single"/>
        </w:rPr>
        <w:t xml:space="preserve">                                           </w:t>
      </w:r>
    </w:p>
    <w:p w14:paraId="406EC5C8">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59ED4D49">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0E7068D2">
      <w:pPr>
        <w:spacing w:line="360" w:lineRule="auto"/>
        <w:ind w:firstLine="480"/>
        <w:rPr>
          <w:rFonts w:ascii="宋体" w:hAnsi="宋体" w:eastAsia="宋体" w:cs="Times New Roman"/>
          <w:sz w:val="24"/>
          <w:szCs w:val="24"/>
          <w:u w:val="single"/>
        </w:rPr>
      </w:pPr>
      <w:r>
        <w:rPr>
          <w:rFonts w:ascii="宋体" w:hAnsi="宋体" w:eastAsia="宋体" w:cs="Times New Roman"/>
          <w:sz w:val="24"/>
          <w:szCs w:val="24"/>
        </w:rPr>
        <w:t>(6)</w:t>
      </w:r>
      <w:r>
        <w:rPr>
          <w:rFonts w:hint="eastAsia" w:ascii="宋体" w:hAnsi="宋体" w:eastAsia="宋体" w:cs="Times New Roman"/>
          <w:sz w:val="24"/>
          <w:szCs w:val="24"/>
        </w:rPr>
        <w:t>本工程中须单独进行竣工验收的单位工程为：</w:t>
      </w:r>
      <w:r>
        <w:rPr>
          <w:rFonts w:hint="eastAsia" w:ascii="宋体" w:hAnsi="宋体" w:eastAsia="宋体" w:cs="Times New Roman"/>
          <w:sz w:val="24"/>
          <w:szCs w:val="24"/>
          <w:u w:val="single"/>
        </w:rPr>
        <w:t xml:space="preserve">                            </w:t>
      </w:r>
    </w:p>
    <w:p w14:paraId="6697E016">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394C1AAA">
      <w:pPr>
        <w:spacing w:line="360" w:lineRule="auto"/>
        <w:rPr>
          <w:rFonts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158632EA">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841" w:name="_Toc846962377"/>
      <w:bookmarkStart w:id="5842" w:name="_Toc20238"/>
      <w:bookmarkStart w:id="5843" w:name="_Toc7453"/>
      <w:bookmarkStart w:id="5844" w:name="_Toc16425"/>
      <w:bookmarkStart w:id="5845" w:name="_Toc10583"/>
      <w:bookmarkStart w:id="5846" w:name="_Toc4128"/>
      <w:bookmarkStart w:id="5847" w:name="_Toc1921"/>
      <w:bookmarkStart w:id="5848" w:name="_Toc208587856"/>
      <w:bookmarkStart w:id="5849" w:name="_Toc201735632"/>
      <w:bookmarkStart w:id="5850" w:name="_Toc305331511"/>
      <w:bookmarkStart w:id="5851" w:name="_Toc302636034"/>
      <w:bookmarkStart w:id="5852" w:name="_Toc32418"/>
      <w:bookmarkStart w:id="5853" w:name="_Toc20206"/>
      <w:bookmarkStart w:id="5854" w:name="_Toc22697"/>
      <w:bookmarkStart w:id="5855" w:name="_Toc27081"/>
      <w:r>
        <w:rPr>
          <w:rFonts w:hint="eastAsia" w:ascii="宋体" w:hAnsi="宋体" w:eastAsia="宋体" w:cs="Times New Roman"/>
          <w:b/>
          <w:bCs/>
          <w:kern w:val="0"/>
          <w:sz w:val="24"/>
          <w:szCs w:val="32"/>
          <w:lang w:val="en-US" w:eastAsia="zh-CN" w:bidi="ar-SA"/>
        </w:rPr>
        <w:t>27.2 竣工验收合格后的移交和清理</w:t>
      </w:r>
      <w:bookmarkEnd w:id="5841"/>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p>
    <w:p w14:paraId="694CAC66">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(1)承包人不按时向发包人移交本工程的，每延迟一天，承包人向发包人支付违约金</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186ED951">
      <w:pPr>
        <w:spacing w:line="360" w:lineRule="auto"/>
        <w:ind w:firstLine="480"/>
        <w:rPr>
          <w:rFonts w:ascii="宋体" w:hAnsi="宋体" w:eastAsia="宋体" w:cs="Times New Roman"/>
          <w:sz w:val="24"/>
          <w:szCs w:val="24"/>
          <w:u w:val="single"/>
        </w:rPr>
      </w:pPr>
      <w:r>
        <w:rPr>
          <w:rFonts w:hint="eastAsia" w:ascii="宋体" w:hAnsi="宋体" w:eastAsia="宋体" w:cs="Times New Roman"/>
          <w:sz w:val="24"/>
          <w:szCs w:val="24"/>
        </w:rPr>
        <w:t>(3)发包人无正当理由不接收工程的，发包人应承担以下违约责任：</w:t>
      </w:r>
      <w:r>
        <w:rPr>
          <w:rFonts w:hint="eastAsia" w:ascii="宋体" w:hAnsi="宋体" w:eastAsia="宋体" w:cs="Times New Roman"/>
          <w:sz w:val="24"/>
          <w:szCs w:val="24"/>
          <w:u w:val="single"/>
        </w:rPr>
        <w:t xml:space="preserve">             </w:t>
      </w:r>
    </w:p>
    <w:p w14:paraId="151A99C9">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66BEE80A">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856" w:name="_Toc8658"/>
      <w:bookmarkStart w:id="5857" w:name="_Toc26728"/>
      <w:bookmarkStart w:id="5858" w:name="_Toc128"/>
      <w:bookmarkStart w:id="5859" w:name="_Toc25026"/>
      <w:bookmarkStart w:id="5860" w:name="_Toc208587857"/>
      <w:bookmarkStart w:id="5861" w:name="_Toc25583"/>
      <w:bookmarkStart w:id="5862" w:name="_Toc24421"/>
      <w:bookmarkStart w:id="5863" w:name="_Toc6098"/>
      <w:bookmarkStart w:id="5864" w:name="_Toc302636035"/>
      <w:bookmarkStart w:id="5865" w:name="_Toc25332"/>
      <w:bookmarkStart w:id="5866" w:name="_Toc305331512"/>
      <w:bookmarkStart w:id="5867" w:name="_Toc1081252334"/>
      <w:bookmarkStart w:id="5868" w:name="_Toc17706"/>
      <w:bookmarkStart w:id="5869" w:name="_Toc13732"/>
      <w:bookmarkStart w:id="5870" w:name="_Toc201735633"/>
      <w:r>
        <w:rPr>
          <w:rFonts w:hint="eastAsia" w:ascii="宋体" w:hAnsi="宋体" w:eastAsia="宋体" w:cs="Times New Roman"/>
          <w:b/>
          <w:bCs/>
          <w:kern w:val="0"/>
          <w:sz w:val="24"/>
          <w:szCs w:val="32"/>
          <w:lang w:val="en-US" w:eastAsia="zh-CN" w:bidi="ar-SA"/>
        </w:rPr>
        <w:t>27.3 竣工验收质量不合格和重新验收</w:t>
      </w:r>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p>
    <w:p w14:paraId="2E16AE66">
      <w:pPr>
        <w:spacing w:line="360" w:lineRule="auto"/>
        <w:ind w:firstLine="480"/>
        <w:rPr>
          <w:rFonts w:ascii="宋体" w:hAnsi="宋体" w:eastAsia="宋体" w:cs="Times New Roman"/>
          <w:sz w:val="24"/>
          <w:szCs w:val="24"/>
          <w:u w:val="single"/>
        </w:rPr>
      </w:pPr>
      <w:r>
        <w:rPr>
          <w:rFonts w:hint="eastAsia" w:ascii="宋体" w:hAnsi="宋体" w:eastAsia="宋体" w:cs="Times New Roman"/>
          <w:sz w:val="24"/>
          <w:szCs w:val="24"/>
        </w:rPr>
        <w:t>(1)如本工程竣工验收质量未达到本合同约定的标准，承包人应承担以下违约责任：</w:t>
      </w:r>
      <w:r>
        <w:rPr>
          <w:rFonts w:hint="eastAsia" w:ascii="宋体" w:hAnsi="宋体" w:eastAsia="宋体" w:cs="Times New Roman"/>
          <w:sz w:val="24"/>
          <w:szCs w:val="24"/>
          <w:u w:val="single"/>
        </w:rPr>
        <w:t xml:space="preserve">                                                                 </w:t>
      </w:r>
    </w:p>
    <w:p w14:paraId="5DF8F2A7">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34F09911">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kern w:val="0"/>
          <w:sz w:val="24"/>
          <w:szCs w:val="32"/>
          <w:lang w:val="en-US" w:eastAsia="zh-CN" w:bidi="ar-SA"/>
        </w:rPr>
      </w:pPr>
      <w:bookmarkStart w:id="5871" w:name="_Toc208587858"/>
      <w:bookmarkStart w:id="5872" w:name="_Toc23425"/>
      <w:bookmarkStart w:id="5873" w:name="_Toc302636037"/>
      <w:bookmarkStart w:id="5874" w:name="_Toc30455"/>
      <w:bookmarkStart w:id="5875" w:name="_Toc305331515"/>
      <w:bookmarkStart w:id="5876" w:name="_Toc11252"/>
      <w:bookmarkStart w:id="5877" w:name="_Toc989527084"/>
      <w:bookmarkStart w:id="5878" w:name="_Toc201735634"/>
      <w:bookmarkStart w:id="5879" w:name="_Toc27629"/>
      <w:bookmarkStart w:id="5880" w:name="_Toc14786"/>
      <w:bookmarkStart w:id="5881" w:name="_Toc14093"/>
      <w:bookmarkStart w:id="5882" w:name="_Toc19861"/>
      <w:bookmarkStart w:id="5883" w:name="_Toc28802"/>
      <w:bookmarkStart w:id="5884" w:name="_Toc16053"/>
      <w:bookmarkStart w:id="5885" w:name="_Toc15783"/>
      <w:bookmarkStart w:id="5886" w:name="_Toc305331514"/>
      <w:r>
        <w:rPr>
          <w:rFonts w:hint="eastAsia" w:ascii="宋体" w:hAnsi="宋体" w:eastAsia="宋体" w:cs="Times New Roman"/>
          <w:b/>
          <w:bCs/>
          <w:kern w:val="0"/>
          <w:sz w:val="24"/>
          <w:szCs w:val="32"/>
          <w:lang w:val="en-US" w:eastAsia="zh-CN" w:bidi="ar-SA"/>
        </w:rPr>
        <w:t>27.</w:t>
      </w:r>
      <w:r>
        <w:rPr>
          <w:rFonts w:ascii="宋体" w:hAnsi="宋体" w:eastAsia="宋体" w:cs="Times New Roman"/>
          <w:b/>
          <w:bCs/>
          <w:kern w:val="0"/>
          <w:sz w:val="24"/>
          <w:szCs w:val="32"/>
          <w:lang w:val="en-US" w:eastAsia="zh-CN" w:bidi="ar-SA"/>
        </w:rPr>
        <w:t>6</w:t>
      </w:r>
      <w:r>
        <w:rPr>
          <w:rFonts w:hint="eastAsia" w:ascii="宋体" w:hAnsi="宋体" w:eastAsia="宋体" w:cs="Times New Roman"/>
          <w:b/>
          <w:bCs/>
          <w:kern w:val="0"/>
          <w:sz w:val="24"/>
          <w:szCs w:val="32"/>
          <w:lang w:val="en-US" w:eastAsia="zh-CN" w:bidi="ar-SA"/>
        </w:rPr>
        <w:t xml:space="preserve"> 竣工验收工程质量争议处理</w:t>
      </w:r>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p>
    <w:p w14:paraId="353BE17F">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发包人与承包人对竣工验收工程质量有争议时共同委托的质量检测鉴定机构为：</w:t>
      </w:r>
      <w:r>
        <w:rPr>
          <w:rFonts w:hint="eastAsia" w:ascii="宋体" w:hAnsi="宋体" w:eastAsia="宋体" w:cs="Times New Roman"/>
          <w:sz w:val="24"/>
          <w:szCs w:val="24"/>
          <w:u w:val="single"/>
        </w:rPr>
        <w:t xml:space="preserve">  </w:t>
      </w:r>
    </w:p>
    <w:p w14:paraId="4EF47FEA">
      <w:pPr>
        <w:spacing w:line="360" w:lineRule="auto"/>
        <w:rPr>
          <w:rFonts w:ascii="宋体" w:hAnsi="宋体" w:eastAsia="宋体" w:cs="Times New Roman"/>
          <w:sz w:val="24"/>
          <w:szCs w:val="24"/>
        </w:rPr>
      </w:pPr>
      <w:r>
        <w:rPr>
          <w:rFonts w:hint="eastAsia" w:ascii="宋体" w:hAnsi="宋体" w:eastAsia="宋体" w:cs="Times New Roman"/>
          <w:sz w:val="24"/>
          <w:szCs w:val="24"/>
          <w:u w:val="single"/>
        </w:rPr>
        <w:t xml:space="preserve">                                                                            </w:t>
      </w:r>
    </w:p>
    <w:p w14:paraId="6683781A">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887" w:name="_Toc19084"/>
      <w:bookmarkStart w:id="5888" w:name="_Toc1990"/>
      <w:bookmarkStart w:id="5889" w:name="_Toc13977"/>
      <w:bookmarkStart w:id="5890" w:name="_Toc11264"/>
      <w:bookmarkStart w:id="5891" w:name="_Toc26301"/>
      <w:bookmarkStart w:id="5892" w:name="_Toc302636038"/>
      <w:bookmarkStart w:id="5893" w:name="_Toc15275"/>
      <w:bookmarkStart w:id="5894" w:name="_Toc208587859"/>
      <w:bookmarkStart w:id="5895" w:name="_Toc201735635"/>
      <w:bookmarkStart w:id="5896" w:name="_Toc21642"/>
      <w:bookmarkStart w:id="5897" w:name="_Toc2909"/>
      <w:bookmarkStart w:id="5898" w:name="_Toc12488"/>
      <w:bookmarkStart w:id="5899" w:name="_Toc16642"/>
      <w:bookmarkStart w:id="5900" w:name="_Toc1978689812"/>
      <w:r>
        <w:rPr>
          <w:rFonts w:hint="eastAsia" w:ascii="宋体" w:hAnsi="宋体" w:eastAsia="宋体" w:cs="Times New Roman"/>
          <w:b/>
          <w:bCs/>
          <w:kern w:val="0"/>
          <w:sz w:val="24"/>
          <w:szCs w:val="32"/>
          <w:lang w:val="en-US" w:eastAsia="zh-CN" w:bidi="ar-SA"/>
        </w:rPr>
        <w:t>27.</w:t>
      </w:r>
      <w:r>
        <w:rPr>
          <w:rFonts w:ascii="宋体" w:hAnsi="宋体" w:eastAsia="宋体" w:cs="Times New Roman"/>
          <w:b/>
          <w:bCs/>
          <w:kern w:val="0"/>
          <w:sz w:val="24"/>
          <w:szCs w:val="32"/>
          <w:lang w:val="en-US" w:eastAsia="zh-CN" w:bidi="ar-SA"/>
        </w:rPr>
        <w:t>7</w:t>
      </w:r>
      <w:r>
        <w:rPr>
          <w:rFonts w:hint="eastAsia" w:ascii="宋体" w:hAnsi="宋体" w:eastAsia="宋体" w:cs="Times New Roman"/>
          <w:b/>
          <w:bCs/>
          <w:kern w:val="0"/>
          <w:sz w:val="24"/>
          <w:szCs w:val="32"/>
          <w:lang w:val="en-US" w:eastAsia="zh-CN" w:bidi="ar-SA"/>
        </w:rPr>
        <w:t xml:space="preserve"> 履约评价与优质优价</w:t>
      </w:r>
      <w:bookmarkEnd w:id="5886"/>
      <w:bookmarkEnd w:id="5887"/>
      <w:bookmarkEnd w:id="5888"/>
      <w:bookmarkEnd w:id="5889"/>
      <w:bookmarkEnd w:id="5890"/>
      <w:bookmarkEnd w:id="5891"/>
      <w:bookmarkEnd w:id="5892"/>
      <w:bookmarkEnd w:id="5893"/>
      <w:bookmarkEnd w:id="5894"/>
      <w:bookmarkEnd w:id="5895"/>
      <w:bookmarkEnd w:id="5896"/>
      <w:bookmarkEnd w:id="5897"/>
      <w:bookmarkEnd w:id="5898"/>
      <w:bookmarkEnd w:id="5899"/>
      <w:bookmarkEnd w:id="5900"/>
    </w:p>
    <w:p w14:paraId="7C1B3CE7">
      <w:pPr>
        <w:spacing w:line="360" w:lineRule="auto"/>
        <w:ind w:firstLine="480"/>
        <w:rPr>
          <w:rFonts w:ascii="宋体" w:hAnsi="宋体" w:eastAsia="宋体" w:cs="Times New Roman"/>
          <w:sz w:val="24"/>
          <w:szCs w:val="24"/>
          <w:u w:val="single"/>
        </w:rPr>
      </w:pPr>
      <w:r>
        <w:rPr>
          <w:rFonts w:hint="eastAsia" w:ascii="宋体" w:hAnsi="宋体" w:eastAsia="宋体" w:cs="Times New Roman"/>
          <w:sz w:val="24"/>
          <w:szCs w:val="24"/>
        </w:rPr>
        <w:t>(1)发包人对承包人的履约评价约定(可另附页)：</w:t>
      </w:r>
      <w:r>
        <w:rPr>
          <w:rFonts w:hint="eastAsia" w:ascii="宋体" w:hAnsi="宋体" w:eastAsia="宋体" w:cs="Times New Roman"/>
          <w:bCs/>
          <w:sz w:val="24"/>
          <w:szCs w:val="24"/>
          <w:u w:val="single"/>
        </w:rPr>
        <w:t xml:space="preserve">                                    </w:t>
      </w:r>
    </w:p>
    <w:p w14:paraId="60C8AF0D">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2809431D">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宋体" w:hAnsi="宋体" w:eastAsia="宋体" w:cs="Times New Roman"/>
          <w:sz w:val="24"/>
          <w:szCs w:val="24"/>
          <w:u w:val="single"/>
        </w:rPr>
        <w:t xml:space="preserve">  </w:t>
      </w:r>
    </w:p>
    <w:p w14:paraId="7FF8294D">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(2)履约评价奖励：发包人负责组织相关单位对承包人进行履约评价，对履约评价为良好及以上等级的，发包人应给予承包人本工程签约合同价的</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%作为奖励。</w:t>
      </w:r>
    </w:p>
    <w:p w14:paraId="0E8E1672">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工程创优奖励：对履约评价为良好及以上等级，且取得</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奖项的，发包人应在履约评价奖励基础上给予承包人追加本工程签约合同价的</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%作为奖励。</w:t>
      </w:r>
    </w:p>
    <w:p w14:paraId="08B9D092">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bookmarkStart w:id="5901" w:name="_Toc302636039"/>
      <w:bookmarkStart w:id="5902" w:name="_Toc1026"/>
      <w:bookmarkStart w:id="5903" w:name="_Toc25305"/>
      <w:bookmarkStart w:id="5904" w:name="_Toc25418"/>
      <w:bookmarkStart w:id="5905" w:name="_Toc208587860"/>
      <w:bookmarkStart w:id="5906" w:name="_Toc21317"/>
      <w:bookmarkStart w:id="5907" w:name="_Toc2370"/>
      <w:bookmarkStart w:id="5908" w:name="_Toc201735636"/>
      <w:bookmarkStart w:id="5909" w:name="_Toc305331516"/>
      <w:bookmarkStart w:id="5910" w:name="_Toc30103"/>
      <w:bookmarkStart w:id="5911" w:name="_Toc23753"/>
      <w:bookmarkStart w:id="5912" w:name="_Toc14129"/>
      <w:bookmarkStart w:id="5913" w:name="_Toc2116175438"/>
      <w:bookmarkStart w:id="5914" w:name="_Toc10290"/>
      <w:bookmarkStart w:id="5915" w:name="_Toc30536"/>
      <w:r>
        <w:rPr>
          <w:rFonts w:hint="eastAsia" w:ascii="华文细黑" w:hAnsi="宋体" w:eastAsia="宋体" w:cs="Times New Roman"/>
          <w:b/>
          <w:bCs/>
          <w:snapToGrid w:val="0"/>
          <w:kern w:val="0"/>
          <w:sz w:val="28"/>
          <w:szCs w:val="44"/>
          <w:lang w:val="en-US" w:eastAsia="zh-CN" w:bidi="ar-SA"/>
        </w:rPr>
        <w:t>28 竣工结算</w:t>
      </w:r>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p>
    <w:p w14:paraId="1E52055C">
      <w:pPr>
        <w:spacing w:line="360" w:lineRule="auto"/>
        <w:ind w:firstLine="480"/>
        <w:rPr>
          <w:rFonts w:ascii="宋体" w:hAnsi="宋体" w:eastAsia="宋体" w:cs="Times New Roman"/>
          <w:sz w:val="24"/>
          <w:szCs w:val="24"/>
        </w:rPr>
      </w:pPr>
      <w:bookmarkStart w:id="5916" w:name="_Toc20359"/>
      <w:bookmarkStart w:id="5917" w:name="_Toc305331517"/>
      <w:bookmarkStart w:id="5918" w:name="_Toc28109"/>
      <w:bookmarkStart w:id="5919" w:name="_Toc302636040"/>
      <w:bookmarkStart w:id="5920" w:name="_Toc1914"/>
      <w:r>
        <w:rPr>
          <w:rFonts w:hint="eastAsia" w:ascii="宋体" w:hAnsi="宋体" w:eastAsia="宋体" w:cs="Times New Roman"/>
          <w:sz w:val="24"/>
          <w:szCs w:val="24"/>
        </w:rPr>
        <w:t>28.1 竣工结算书的编制和提交</w:t>
      </w:r>
      <w:bookmarkEnd w:id="5916"/>
      <w:bookmarkEnd w:id="5917"/>
      <w:bookmarkEnd w:id="5918"/>
      <w:bookmarkEnd w:id="5919"/>
      <w:bookmarkEnd w:id="5920"/>
    </w:p>
    <w:p w14:paraId="40476E81">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(2)承包人向发包人提交竣工结算书及完整的结算资料的时间要求为本工程竣工验收合格后</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天。</w:t>
      </w:r>
    </w:p>
    <w:p w14:paraId="5D8577D5">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kern w:val="0"/>
          <w:sz w:val="24"/>
          <w:szCs w:val="32"/>
          <w:lang w:val="en-US" w:eastAsia="zh-CN" w:bidi="ar-SA"/>
        </w:rPr>
      </w:pPr>
      <w:bookmarkStart w:id="5921" w:name="_Toc26112"/>
      <w:bookmarkStart w:id="5922" w:name="_Toc201735637"/>
      <w:bookmarkStart w:id="5923" w:name="_Toc21052"/>
      <w:bookmarkStart w:id="5924" w:name="_Toc3128"/>
      <w:bookmarkStart w:id="5925" w:name="_Toc16172"/>
      <w:bookmarkStart w:id="5926" w:name="_Toc27704"/>
      <w:bookmarkStart w:id="5927" w:name="_Toc208587861"/>
      <w:bookmarkStart w:id="5928" w:name="_Toc32108"/>
      <w:bookmarkStart w:id="5929" w:name="_Toc27238"/>
      <w:bookmarkStart w:id="5930" w:name="_Toc16228"/>
      <w:bookmarkStart w:id="5931" w:name="_Toc305331518"/>
      <w:bookmarkStart w:id="5932" w:name="_Toc1413061040"/>
      <w:bookmarkStart w:id="5933" w:name="_Toc25807"/>
      <w:bookmarkStart w:id="5934" w:name="_Toc302636041"/>
      <w:bookmarkStart w:id="5935" w:name="_Toc15575"/>
      <w:r>
        <w:rPr>
          <w:rFonts w:hint="eastAsia" w:ascii="宋体" w:hAnsi="宋体" w:eastAsia="宋体" w:cs="Times New Roman"/>
          <w:b/>
          <w:bCs/>
          <w:kern w:val="0"/>
          <w:sz w:val="24"/>
          <w:szCs w:val="32"/>
          <w:lang w:val="en-US" w:eastAsia="zh-CN" w:bidi="ar-SA"/>
        </w:rPr>
        <w:t>28.2 竣工结算书的核对和修改</w:t>
      </w:r>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p>
    <w:p w14:paraId="21E7E966">
      <w:pPr>
        <w:spacing w:line="360" w:lineRule="auto"/>
        <w:ind w:firstLine="480"/>
        <w:jc w:val="left"/>
        <w:rPr>
          <w:rFonts w:ascii="宋体" w:hAnsi="宋体" w:eastAsia="宋体" w:cs="Times New Roman"/>
          <w:sz w:val="24"/>
          <w:szCs w:val="24"/>
        </w:rPr>
      </w:pPr>
      <w:r>
        <w:rPr>
          <w:rFonts w:hint="eastAsia" w:ascii="宋体" w:hAnsi="宋体" w:eastAsia="宋体" w:cs="Times New Roman"/>
          <w:sz w:val="24"/>
          <w:szCs w:val="24"/>
        </w:rPr>
        <w:t>(1)发包人核对竣工结算书的期限为承包人提交竣工结算书和完整结算资料后</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天。</w:t>
      </w:r>
    </w:p>
    <w:p w14:paraId="7B46DBE6">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(2)承包人提交修改竣工结算书或补充结算资料的期限为发包人提出核对意见或补充结算资料要求后</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天；发包人核对经修改的竣工结算书的期限为承包人提交修改竣工结算书或补充结算资料后</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天。</w:t>
      </w:r>
    </w:p>
    <w:p w14:paraId="007D4E27">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kern w:val="0"/>
          <w:sz w:val="24"/>
          <w:szCs w:val="32"/>
          <w:lang w:val="en-US" w:eastAsia="zh-CN" w:bidi="ar-SA"/>
        </w:rPr>
      </w:pPr>
      <w:bookmarkStart w:id="5936" w:name="_Toc6801"/>
      <w:bookmarkStart w:id="5937" w:name="_Toc4417"/>
      <w:bookmarkStart w:id="5938" w:name="_Toc23164"/>
      <w:bookmarkStart w:id="5939" w:name="_Toc10757"/>
      <w:bookmarkStart w:id="5940" w:name="_Toc13438"/>
      <w:bookmarkStart w:id="5941" w:name="_Toc208587862"/>
      <w:bookmarkStart w:id="5942" w:name="_Toc29188"/>
      <w:bookmarkStart w:id="5943" w:name="_Toc26411"/>
      <w:bookmarkStart w:id="5944" w:name="_Toc30759"/>
      <w:bookmarkStart w:id="5945" w:name="_Toc305331519"/>
      <w:bookmarkStart w:id="5946" w:name="_Toc25008"/>
      <w:bookmarkStart w:id="5947" w:name="_Toc201735638"/>
      <w:bookmarkStart w:id="5948" w:name="_Toc1071558823"/>
      <w:bookmarkStart w:id="5949" w:name="_Toc302636042"/>
      <w:bookmarkStart w:id="5950" w:name="_Toc6598"/>
      <w:r>
        <w:rPr>
          <w:rFonts w:hint="eastAsia" w:ascii="宋体" w:hAnsi="宋体" w:eastAsia="宋体" w:cs="Times New Roman"/>
          <w:b/>
          <w:bCs/>
          <w:kern w:val="0"/>
          <w:sz w:val="24"/>
          <w:szCs w:val="32"/>
          <w:lang w:val="en-US" w:eastAsia="zh-CN" w:bidi="ar-SA"/>
        </w:rPr>
        <w:t>28.3 竣工结算书核对次数</w:t>
      </w:r>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p>
    <w:p w14:paraId="06393949">
      <w:pPr>
        <w:spacing w:line="360" w:lineRule="auto"/>
        <w:ind w:firstLine="480"/>
        <w:jc w:val="left"/>
        <w:rPr>
          <w:rFonts w:hint="eastAsia" w:ascii="宋体" w:hAnsi="宋体" w:eastAsia="宋体" w:cs="Times New Roman"/>
          <w:sz w:val="24"/>
          <w:szCs w:val="24"/>
        </w:rPr>
      </w:pPr>
      <w:r>
        <w:rPr>
          <w:rFonts w:ascii="宋体" w:hAnsi="宋体" w:eastAsia="宋体" w:cs="Times New Roman"/>
          <w:sz w:val="24"/>
          <w:szCs w:val="24"/>
        </w:rPr>
        <w:t>(1)</w:t>
      </w:r>
      <w:r>
        <w:rPr>
          <w:rFonts w:hint="eastAsia" w:ascii="宋体" w:hAnsi="宋体" w:eastAsia="宋体" w:cs="Times New Roman"/>
          <w:sz w:val="24"/>
          <w:szCs w:val="24"/>
        </w:rPr>
        <w:t>发包人指派的竣工结算核对人为：</w:t>
      </w:r>
      <w:r>
        <w:rPr>
          <w:rFonts w:hint="eastAsia" w:ascii="宋体" w:hAnsi="宋体" w:eastAsia="宋体" w:cs="Times New Roman"/>
          <w:sz w:val="24"/>
          <w:szCs w:val="24"/>
          <w:u w:val="single"/>
        </w:rPr>
        <w:t xml:space="preserve">                            </w:t>
      </w:r>
    </w:p>
    <w:p w14:paraId="495497D0">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核对次数为：</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 xml:space="preserve">次。    </w:t>
      </w:r>
    </w:p>
    <w:p w14:paraId="7A7015DB">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951" w:name="_Toc2127"/>
      <w:bookmarkStart w:id="5952" w:name="_Toc23530"/>
      <w:bookmarkStart w:id="5953" w:name="_Toc22004"/>
      <w:bookmarkStart w:id="5954" w:name="_Toc310068106"/>
      <w:bookmarkStart w:id="5955" w:name="_Toc201735639"/>
      <w:bookmarkStart w:id="5956" w:name="_Toc31312"/>
      <w:bookmarkStart w:id="5957" w:name="_Toc14876"/>
      <w:bookmarkStart w:id="5958" w:name="_Toc208587863"/>
      <w:bookmarkStart w:id="5959" w:name="_Toc14589"/>
      <w:bookmarkStart w:id="5960" w:name="_Toc10124"/>
      <w:bookmarkStart w:id="5961" w:name="_Toc30818"/>
      <w:bookmarkStart w:id="5962" w:name="_Toc7209"/>
      <w:bookmarkStart w:id="5963" w:name="_Toc23422"/>
      <w:bookmarkStart w:id="5964" w:name="_Toc302636043"/>
      <w:r>
        <w:rPr>
          <w:rFonts w:hint="eastAsia" w:ascii="宋体" w:hAnsi="宋体" w:eastAsia="宋体" w:cs="Times New Roman"/>
          <w:b/>
          <w:bCs/>
          <w:kern w:val="0"/>
          <w:sz w:val="24"/>
          <w:szCs w:val="32"/>
          <w:lang w:val="en-US" w:eastAsia="zh-CN" w:bidi="ar-SA"/>
        </w:rPr>
        <w:t>28.4 承包人不提交竣工结算书</w:t>
      </w:r>
      <w:bookmarkEnd w:id="5951"/>
      <w:bookmarkEnd w:id="5952"/>
      <w:bookmarkEnd w:id="5953"/>
      <w:bookmarkEnd w:id="5954"/>
      <w:bookmarkEnd w:id="5955"/>
      <w:bookmarkEnd w:id="5956"/>
      <w:bookmarkEnd w:id="5957"/>
      <w:bookmarkEnd w:id="5958"/>
      <w:bookmarkEnd w:id="5959"/>
      <w:bookmarkEnd w:id="5960"/>
      <w:bookmarkEnd w:id="5961"/>
      <w:bookmarkEnd w:id="5962"/>
      <w:bookmarkEnd w:id="5963"/>
    </w:p>
    <w:p w14:paraId="2979A8E8">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承包人在收到监理人通知14天内仍不提交竣工结算书及结算资料的，发包人选择以下方式处理（注：可多选，在选定的方式前的“□”内打“√”）：</w:t>
      </w:r>
    </w:p>
    <w:p w14:paraId="5B427568">
      <w:pPr>
        <w:spacing w:line="360" w:lineRule="auto"/>
        <w:ind w:left="178" w:firstLine="480"/>
        <w:rPr>
          <w:rFonts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(1)</w:t>
      </w:r>
      <w:r>
        <w:rPr>
          <w:rFonts w:hint="eastAsia" w:ascii="宋体" w:hAnsi="宋体" w:eastAsia="宋体" w:cs="Times New Roman"/>
          <w:sz w:val="24"/>
          <w:szCs w:val="24"/>
        </w:rPr>
        <w:t>发包人根据已有资料审查、核实确定竣工结算价款；</w:t>
      </w:r>
    </w:p>
    <w:p w14:paraId="62F03618">
      <w:pPr>
        <w:spacing w:line="360" w:lineRule="auto"/>
        <w:ind w:left="178" w:firstLine="480"/>
        <w:rPr>
          <w:rFonts w:ascii="宋体" w:hAnsi="宋体" w:eastAsia="宋体" w:cs="Times New Roman"/>
          <w:sz w:val="24"/>
          <w:szCs w:val="24"/>
        </w:rPr>
      </w:pPr>
      <w:r>
        <w:rPr>
          <w:rFonts w:hint="eastAsia" w:ascii="宋体" w:hAnsi="宋体" w:eastAsia="宋体" w:cs="Times New Roman"/>
          <w:sz w:val="24"/>
          <w:szCs w:val="24"/>
        </w:rPr>
        <w:t>□(2)延期一天处以承包人签约合同价</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％的罚款，罚款金额不超过签约合同价</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bookmarkEnd w:id="5964"/>
    <w:p w14:paraId="699D333B">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5965" w:name="_Toc201735640"/>
      <w:bookmarkStart w:id="5966" w:name="_Toc270557289"/>
      <w:bookmarkStart w:id="5967" w:name="_Toc208587864"/>
      <w:bookmarkStart w:id="5968" w:name="_Toc3886"/>
      <w:bookmarkStart w:id="5969" w:name="_Toc2081"/>
      <w:bookmarkStart w:id="5970" w:name="_Toc3582"/>
      <w:bookmarkStart w:id="5971" w:name="_Toc19692"/>
      <w:bookmarkStart w:id="5972" w:name="_Toc2457"/>
      <w:bookmarkStart w:id="5973" w:name="_Toc18097"/>
      <w:bookmarkStart w:id="5974" w:name="_Toc24728"/>
      <w:bookmarkStart w:id="5975" w:name="_Toc20636"/>
      <w:bookmarkStart w:id="5976" w:name="_Toc29531"/>
      <w:bookmarkStart w:id="5977" w:name="_Toc24964"/>
      <w:bookmarkStart w:id="5978" w:name="_Toc302636044"/>
      <w:r>
        <w:rPr>
          <w:rFonts w:hint="eastAsia" w:ascii="宋体" w:hAnsi="宋体" w:eastAsia="宋体" w:cs="Times New Roman"/>
          <w:b/>
          <w:bCs/>
          <w:kern w:val="0"/>
          <w:sz w:val="24"/>
          <w:szCs w:val="32"/>
          <w:lang w:val="en-US" w:eastAsia="zh-CN" w:bidi="ar-SA"/>
        </w:rPr>
        <w:t>28.6 竣工结算评审或审核</w:t>
      </w:r>
      <w:bookmarkEnd w:id="5965"/>
      <w:bookmarkEnd w:id="5966"/>
      <w:bookmarkEnd w:id="5967"/>
      <w:bookmarkEnd w:id="5968"/>
      <w:bookmarkEnd w:id="5969"/>
      <w:bookmarkEnd w:id="5970"/>
      <w:bookmarkEnd w:id="5971"/>
      <w:bookmarkEnd w:id="5972"/>
      <w:bookmarkEnd w:id="5973"/>
      <w:bookmarkEnd w:id="5974"/>
      <w:bookmarkEnd w:id="5975"/>
      <w:bookmarkEnd w:id="5976"/>
      <w:bookmarkEnd w:id="5977"/>
    </w:p>
    <w:p w14:paraId="29EDCD56">
      <w:pPr>
        <w:spacing w:line="360" w:lineRule="auto"/>
        <w:ind w:firstLine="480"/>
        <w:rPr>
          <w:rFonts w:ascii="宋体" w:hAnsi="宋体" w:eastAsia="宋体" w:cs="Times New Roman"/>
          <w:sz w:val="24"/>
          <w:szCs w:val="24"/>
        </w:rPr>
      </w:pPr>
      <w:r>
        <w:rPr>
          <w:rFonts w:ascii="宋体" w:hAnsi="宋体" w:eastAsia="宋体" w:cs="Times New Roman"/>
          <w:sz w:val="24"/>
          <w:szCs w:val="24"/>
        </w:rPr>
        <w:t>(1)</w:t>
      </w:r>
      <w:r>
        <w:rPr>
          <w:rFonts w:hint="eastAsia" w:ascii="宋体" w:hAnsi="宋体" w:eastAsia="宋体" w:cs="Times New Roman"/>
          <w:sz w:val="24"/>
          <w:szCs w:val="24"/>
        </w:rPr>
        <w:t>在以下情况下，发包人可启动强制结算机制，将其单方编制的结算文件送评审或审核：</w:t>
      </w:r>
      <w:r>
        <w:rPr>
          <w:rFonts w:ascii="Times New Roman" w:hAnsi="Times New Roman" w:eastAsia="仿宋_GB2312" w:cs="Times New Roman"/>
          <w:sz w:val="24"/>
          <w:szCs w:val="24"/>
          <w:u w:val="single"/>
        </w:rPr>
        <w:t xml:space="preserve">             </w:t>
      </w:r>
      <w:r>
        <w:rPr>
          <w:rFonts w:hint="eastAsia" w:ascii="Times New Roman" w:hAnsi="Times New Roman" w:eastAsia="仿宋_GB2312" w:cs="Times New Roman"/>
          <w:sz w:val="24"/>
          <w:szCs w:val="24"/>
          <w:u w:val="single"/>
        </w:rPr>
        <w:t xml:space="preserve"> </w:t>
      </w:r>
      <w:r>
        <w:rPr>
          <w:rFonts w:ascii="Times New Roman" w:hAnsi="Times New Roman" w:eastAsia="仿宋_GB2312" w:cs="Times New Roman"/>
          <w:sz w:val="24"/>
          <w:szCs w:val="24"/>
          <w:u w:val="single"/>
        </w:rPr>
        <w:t xml:space="preserve"> </w:t>
      </w:r>
      <w:r>
        <w:rPr>
          <w:rFonts w:hint="eastAsia" w:ascii="Times New Roman" w:hAnsi="Times New Roman" w:eastAsia="仿宋_GB2312" w:cs="Times New Roman"/>
          <w:sz w:val="24"/>
          <w:szCs w:val="24"/>
          <w:u w:val="single"/>
        </w:rPr>
        <w:t xml:space="preserve"> </w:t>
      </w:r>
      <w:r>
        <w:rPr>
          <w:rFonts w:ascii="Times New Roman" w:hAnsi="Times New Roman" w:eastAsia="仿宋_GB2312" w:cs="Times New Roman"/>
          <w:sz w:val="24"/>
          <w:szCs w:val="24"/>
          <w:u w:val="single"/>
        </w:rPr>
        <w:t xml:space="preserve">                 </w:t>
      </w:r>
      <w:r>
        <w:rPr>
          <w:rFonts w:hint="eastAsia" w:ascii="Times New Roman" w:hAnsi="Times New Roman" w:eastAsia="仿宋_GB2312" w:cs="Times New Roman"/>
          <w:sz w:val="24"/>
          <w:szCs w:val="24"/>
          <w:u w:val="single"/>
        </w:rPr>
        <w:t xml:space="preserve"> </w:t>
      </w:r>
      <w:r>
        <w:rPr>
          <w:rFonts w:ascii="Times New Roman" w:hAnsi="Times New Roman" w:eastAsia="仿宋_GB2312" w:cs="Times New Roman"/>
          <w:sz w:val="24"/>
          <w:szCs w:val="24"/>
          <w:u w:val="single"/>
        </w:rPr>
        <w:t xml:space="preserve"> </w:t>
      </w:r>
      <w:r>
        <w:rPr>
          <w:rFonts w:hint="eastAsia" w:ascii="Times New Roman" w:hAnsi="Times New Roman" w:eastAsia="仿宋_GB2312" w:cs="Times New Roman"/>
          <w:sz w:val="24"/>
          <w:szCs w:val="24"/>
          <w:u w:val="single"/>
        </w:rPr>
        <w:t xml:space="preserve">       </w:t>
      </w:r>
      <w:r>
        <w:rPr>
          <w:rFonts w:ascii="Times New Roman" w:hAnsi="Times New Roman" w:eastAsia="仿宋_GB2312" w:cs="Times New Roman"/>
          <w:sz w:val="24"/>
          <w:szCs w:val="24"/>
          <w:u w:val="single"/>
        </w:rPr>
        <w:t xml:space="preserve">            </w:t>
      </w:r>
      <w:r>
        <w:rPr>
          <w:rFonts w:hint="eastAsia" w:ascii="Times New Roman" w:hAnsi="Times New Roman" w:eastAsia="仿宋_GB2312" w:cs="Times New Roman"/>
          <w:sz w:val="24"/>
          <w:szCs w:val="24"/>
          <w:u w:val="single"/>
        </w:rPr>
        <w:t xml:space="preserve"> </w:t>
      </w:r>
      <w:r>
        <w:rPr>
          <w:rFonts w:ascii="Times New Roman" w:hAnsi="Times New Roman" w:eastAsia="仿宋_GB2312" w:cs="Times New Roman"/>
          <w:sz w:val="24"/>
          <w:szCs w:val="24"/>
          <w:u w:val="single"/>
        </w:rPr>
        <w:t xml:space="preserve">      </w:t>
      </w:r>
      <w:r>
        <w:rPr>
          <w:rFonts w:hint="eastAsia" w:ascii="宋体" w:hAnsi="宋体" w:eastAsia="宋体" w:cs="Times New Roman"/>
          <w:bCs/>
          <w:sz w:val="24"/>
          <w:szCs w:val="24"/>
          <w:u w:val="single"/>
        </w:rPr>
        <w:t xml:space="preserve">           </w:t>
      </w:r>
    </w:p>
    <w:p w14:paraId="04677D53">
      <w:pPr>
        <w:rPr>
          <w:rFonts w:hint="eastAsia" w:ascii="宋体" w:hAnsi="宋体" w:eastAsia="宋体" w:cs="Times New Roman"/>
          <w:sz w:val="24"/>
          <w:szCs w:val="24"/>
        </w:rPr>
      </w:pPr>
      <w:r>
        <w:rPr>
          <w:rFonts w:ascii="Times New Roman" w:hAnsi="Times New Roman" w:eastAsia="仿宋_GB2312" w:cs="Times New Roman"/>
          <w:sz w:val="24"/>
          <w:szCs w:val="24"/>
          <w:u w:val="single"/>
        </w:rPr>
        <w:t xml:space="preserve">                    </w:t>
      </w:r>
      <w:r>
        <w:rPr>
          <w:rFonts w:hint="eastAsia" w:ascii="Times New Roman" w:hAnsi="Times New Roman" w:eastAsia="仿宋_GB2312" w:cs="Times New Roman"/>
          <w:sz w:val="24"/>
          <w:szCs w:val="24"/>
          <w:u w:val="single"/>
        </w:rPr>
        <w:t xml:space="preserve"> </w:t>
      </w:r>
      <w:r>
        <w:rPr>
          <w:rFonts w:ascii="Times New Roman" w:hAnsi="Times New Roman" w:eastAsia="仿宋_GB2312" w:cs="Times New Roman"/>
          <w:sz w:val="24"/>
          <w:szCs w:val="24"/>
          <w:u w:val="single"/>
        </w:rPr>
        <w:t xml:space="preserve">        </w:t>
      </w:r>
      <w:r>
        <w:rPr>
          <w:rFonts w:hint="eastAsia" w:ascii="Times New Roman" w:hAnsi="Times New Roman" w:eastAsia="仿宋_GB2312" w:cs="Times New Roman"/>
          <w:sz w:val="24"/>
          <w:szCs w:val="24"/>
          <w:u w:val="single"/>
        </w:rPr>
        <w:t xml:space="preserve">     </w:t>
      </w:r>
      <w:r>
        <w:rPr>
          <w:rFonts w:ascii="Times New Roman" w:hAnsi="Times New Roman" w:eastAsia="仿宋_GB2312" w:cs="Times New Roman"/>
          <w:sz w:val="24"/>
          <w:szCs w:val="24"/>
          <w:u w:val="single"/>
        </w:rPr>
        <w:t xml:space="preserve">  </w:t>
      </w:r>
      <w:r>
        <w:rPr>
          <w:rFonts w:hint="eastAsia" w:ascii="Times New Roman" w:hAnsi="Times New Roman" w:eastAsia="仿宋_GB2312" w:cs="Times New Roman"/>
          <w:sz w:val="24"/>
          <w:szCs w:val="24"/>
          <w:u w:val="single"/>
        </w:rPr>
        <w:t xml:space="preserve">                     </w:t>
      </w:r>
      <w:r>
        <w:rPr>
          <w:rFonts w:ascii="Times New Roman" w:hAnsi="Times New Roman" w:eastAsia="仿宋_GB2312" w:cs="Times New Roman"/>
          <w:sz w:val="24"/>
          <w:szCs w:val="24"/>
          <w:u w:val="single"/>
        </w:rPr>
        <w:t xml:space="preserve">      </w:t>
      </w:r>
      <w:r>
        <w:rPr>
          <w:rFonts w:hint="eastAsia" w:ascii="Times New Roman" w:hAnsi="Times New Roman" w:eastAsia="仿宋_GB2312" w:cs="Times New Roman"/>
          <w:sz w:val="24"/>
          <w:szCs w:val="24"/>
          <w:u w:val="single"/>
        </w:rPr>
        <w:t xml:space="preserve">  </w:t>
      </w:r>
      <w:r>
        <w:rPr>
          <w:rFonts w:hint="eastAsia" w:ascii="宋体" w:hAnsi="宋体" w:eastAsia="宋体" w:cs="Times New Roman"/>
          <w:bCs/>
          <w:sz w:val="24"/>
          <w:szCs w:val="24"/>
          <w:u w:val="single"/>
        </w:rPr>
        <w:t xml:space="preserve">     </w:t>
      </w:r>
      <w:r>
        <w:rPr>
          <w:rFonts w:hint="eastAsia" w:ascii="Times New Roman" w:hAnsi="Times New Roman" w:eastAsia="仿宋_GB2312" w:cs="Times New Roman"/>
          <w:sz w:val="24"/>
          <w:szCs w:val="24"/>
          <w:u w:val="single"/>
        </w:rPr>
        <w:t xml:space="preserve">   </w:t>
      </w:r>
      <w:r>
        <w:rPr>
          <w:rFonts w:ascii="Times New Roman" w:hAnsi="Times New Roman" w:eastAsia="仿宋_GB2312" w:cs="Times New Roman"/>
          <w:sz w:val="24"/>
          <w:szCs w:val="24"/>
          <w:u w:val="single"/>
        </w:rPr>
        <w:t xml:space="preserve">  </w:t>
      </w:r>
      <w:r>
        <w:rPr>
          <w:rFonts w:hint="eastAsia" w:ascii="Times New Roman" w:hAnsi="Times New Roman" w:eastAsia="仿宋_GB2312" w:cs="Times New Roman"/>
          <w:sz w:val="24"/>
          <w:szCs w:val="24"/>
          <w:u w:val="single"/>
        </w:rPr>
        <w:t xml:space="preserve"> </w:t>
      </w:r>
      <w:r>
        <w:rPr>
          <w:rFonts w:hint="eastAsia" w:ascii="Times New Roman" w:hAnsi="Times New Roman" w:eastAsia="仿宋_GB2312" w:cs="Times New Roman"/>
          <w:sz w:val="24"/>
          <w:szCs w:val="24"/>
        </w:rPr>
        <w:t xml:space="preserve"> </w:t>
      </w:r>
    </w:p>
    <w:p w14:paraId="5234D3C3">
      <w:pPr>
        <w:spacing w:before="156" w:beforeLines="50"/>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(2)</w:t>
      </w:r>
      <w:r>
        <w:rPr>
          <w:rFonts w:ascii="宋体" w:hAnsi="宋体" w:eastAsia="宋体" w:cs="Times New Roman"/>
          <w:sz w:val="24"/>
          <w:szCs w:val="24"/>
        </w:rPr>
        <w:t>本合同</w:t>
      </w:r>
      <w:r>
        <w:rPr>
          <w:rFonts w:hint="eastAsia" w:ascii="宋体" w:hAnsi="宋体" w:eastAsia="宋体" w:cs="Times New Roman"/>
          <w:sz w:val="24"/>
          <w:szCs w:val="24"/>
        </w:rPr>
        <w:t>以</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作为最终的竣工结算和支付依据。</w:t>
      </w:r>
    </w:p>
    <w:p w14:paraId="07476D1F">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kern w:val="0"/>
          <w:sz w:val="24"/>
          <w:szCs w:val="32"/>
          <w:lang w:val="en-US" w:eastAsia="zh-CN" w:bidi="ar-SA"/>
        </w:rPr>
      </w:pPr>
      <w:bookmarkStart w:id="5979" w:name="_Toc27497"/>
      <w:bookmarkStart w:id="5980" w:name="_Toc157590084"/>
      <w:bookmarkStart w:id="5981" w:name="_Toc28942"/>
      <w:bookmarkStart w:id="5982" w:name="_Toc26604"/>
      <w:bookmarkStart w:id="5983" w:name="_Toc208587865"/>
      <w:bookmarkStart w:id="5984" w:name="_Toc16586"/>
      <w:bookmarkStart w:id="5985" w:name="_Toc201735641"/>
      <w:bookmarkStart w:id="5986" w:name="_Toc9835"/>
      <w:bookmarkStart w:id="5987" w:name="_Toc15715"/>
      <w:bookmarkStart w:id="5988" w:name="_Toc32001"/>
      <w:bookmarkStart w:id="5989" w:name="_Toc28721"/>
      <w:bookmarkStart w:id="5990" w:name="_Toc13033"/>
      <w:bookmarkStart w:id="5991" w:name="_Toc1286"/>
      <w:r>
        <w:rPr>
          <w:rFonts w:hint="eastAsia" w:ascii="宋体" w:hAnsi="宋体" w:eastAsia="宋体" w:cs="Times New Roman"/>
          <w:b/>
          <w:bCs/>
          <w:kern w:val="0"/>
          <w:sz w:val="24"/>
          <w:szCs w:val="32"/>
          <w:lang w:val="en-US" w:eastAsia="zh-CN" w:bidi="ar-SA"/>
        </w:rPr>
        <w:t>28.</w:t>
      </w:r>
      <w:r>
        <w:rPr>
          <w:rFonts w:ascii="宋体" w:hAnsi="宋体" w:eastAsia="宋体" w:cs="Times New Roman"/>
          <w:b/>
          <w:bCs/>
          <w:kern w:val="0"/>
          <w:sz w:val="24"/>
          <w:szCs w:val="32"/>
          <w:lang w:val="en-US" w:eastAsia="zh-CN" w:bidi="ar-SA"/>
        </w:rPr>
        <w:t>7</w:t>
      </w:r>
      <w:r>
        <w:rPr>
          <w:rFonts w:hint="eastAsia" w:ascii="宋体" w:hAnsi="宋体" w:eastAsia="宋体" w:cs="Times New Roman"/>
          <w:b/>
          <w:bCs/>
          <w:kern w:val="0"/>
          <w:sz w:val="24"/>
          <w:szCs w:val="32"/>
          <w:lang w:val="en-US" w:eastAsia="zh-CN" w:bidi="ar-SA"/>
        </w:rPr>
        <w:t xml:space="preserve"> 竣工结算支付</w:t>
      </w:r>
      <w:bookmarkEnd w:id="5979"/>
      <w:bookmarkEnd w:id="5980"/>
      <w:bookmarkEnd w:id="5981"/>
      <w:bookmarkEnd w:id="5982"/>
      <w:bookmarkEnd w:id="5983"/>
      <w:bookmarkEnd w:id="5984"/>
    </w:p>
    <w:p w14:paraId="7F205200">
      <w:pPr>
        <w:spacing w:line="360" w:lineRule="auto"/>
        <w:ind w:firstLine="480" w:firstLineChars="200"/>
        <w:jc w:val="left"/>
        <w:rPr>
          <w:rFonts w:hint="eastAsia" w:ascii="宋体" w:hAnsi="宋体" w:eastAsia="宋体" w:cs="Times New Roman"/>
          <w:sz w:val="24"/>
          <w:szCs w:val="24"/>
        </w:rPr>
      </w:pPr>
      <w:r>
        <w:rPr>
          <w:rFonts w:ascii="宋体" w:hAnsi="宋体" w:eastAsia="宋体" w:cs="Times New Roman"/>
          <w:sz w:val="24"/>
          <w:szCs w:val="24"/>
        </w:rPr>
        <w:t>(5)</w:t>
      </w:r>
      <w:r>
        <w:rPr>
          <w:rFonts w:hint="eastAsia" w:ascii="宋体" w:hAnsi="宋体" w:eastAsia="宋体" w:cs="Times New Roman"/>
          <w:sz w:val="24"/>
          <w:szCs w:val="24"/>
        </w:rPr>
        <w:t>发包人完成竣工结算支付的期限为</w:t>
      </w:r>
      <w:r>
        <w:rPr>
          <w:rFonts w:ascii="宋体" w:hAnsi="宋体" w:eastAsia="宋体" w:cs="Times New Roman"/>
          <w:sz w:val="24"/>
          <w:szCs w:val="24"/>
        </w:rPr>
        <w:t>：</w:t>
      </w:r>
      <w:r>
        <w:rPr>
          <w:rFonts w:ascii="宋体" w:hAnsi="宋体" w:eastAsia="宋体" w:cs="Times New Roman"/>
          <w:sz w:val="24"/>
          <w:szCs w:val="24"/>
          <w:u w:val="single"/>
        </w:rPr>
        <w:t xml:space="preserve">    </w:t>
      </w:r>
      <w:r>
        <w:rPr>
          <w:rFonts w:hint="eastAsia" w:ascii="宋体" w:hAnsi="宋体" w:eastAsia="宋体" w:cs="Times New Roman"/>
          <w:sz w:val="24"/>
          <w:szCs w:val="24"/>
        </w:rPr>
        <w:t>天</w:t>
      </w:r>
      <w:r>
        <w:rPr>
          <w:rFonts w:ascii="宋体" w:hAnsi="宋体" w:eastAsia="宋体" w:cs="Times New Roman"/>
          <w:sz w:val="24"/>
          <w:szCs w:val="24"/>
        </w:rPr>
        <w:t>。</w:t>
      </w:r>
    </w:p>
    <w:p w14:paraId="54BA78FD">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kern w:val="0"/>
          <w:sz w:val="24"/>
          <w:szCs w:val="32"/>
          <w:lang w:val="en-US" w:eastAsia="zh-CN" w:bidi="ar-SA"/>
        </w:rPr>
      </w:pPr>
      <w:bookmarkStart w:id="5992" w:name="_Toc1031"/>
      <w:bookmarkStart w:id="5993" w:name="_Toc9571"/>
      <w:bookmarkStart w:id="5994" w:name="_Toc208587866"/>
      <w:bookmarkStart w:id="5995" w:name="_Toc763898825"/>
      <w:bookmarkStart w:id="5996" w:name="_Toc8772"/>
      <w:bookmarkStart w:id="5997" w:name="_Toc16286"/>
      <w:r>
        <w:rPr>
          <w:rFonts w:hint="eastAsia" w:ascii="宋体" w:hAnsi="宋体" w:eastAsia="宋体" w:cs="Times New Roman"/>
          <w:b/>
          <w:bCs/>
          <w:kern w:val="0"/>
          <w:sz w:val="24"/>
          <w:szCs w:val="32"/>
          <w:lang w:val="en-US" w:eastAsia="zh-CN" w:bidi="ar-SA"/>
        </w:rPr>
        <w:t>28.8 最终结清申请</w:t>
      </w:r>
      <w:bookmarkEnd w:id="5978"/>
      <w:bookmarkEnd w:id="5985"/>
      <w:bookmarkEnd w:id="5986"/>
      <w:bookmarkEnd w:id="5987"/>
      <w:bookmarkEnd w:id="5988"/>
      <w:bookmarkEnd w:id="5989"/>
      <w:bookmarkEnd w:id="5990"/>
      <w:bookmarkEnd w:id="5991"/>
      <w:bookmarkEnd w:id="5992"/>
      <w:bookmarkEnd w:id="5993"/>
      <w:bookmarkEnd w:id="5994"/>
      <w:bookmarkEnd w:id="5995"/>
      <w:bookmarkEnd w:id="5996"/>
      <w:bookmarkEnd w:id="5997"/>
    </w:p>
    <w:p w14:paraId="09501E9D">
      <w:pPr>
        <w:spacing w:line="360" w:lineRule="auto"/>
        <w:ind w:firstLine="480" w:firstLineChars="200"/>
        <w:jc w:val="left"/>
        <w:rPr>
          <w:rFonts w:ascii="Times New Roman" w:hAnsi="Times New Roman" w:eastAsia="仿宋_GB2312" w:cs="Times New Roman"/>
          <w:kern w:val="0"/>
          <w:sz w:val="30"/>
          <w:szCs w:val="32"/>
        </w:rPr>
      </w:pPr>
      <w:r>
        <w:rPr>
          <w:rFonts w:ascii="宋体" w:hAnsi="宋体" w:eastAsia="宋体" w:cs="Times New Roman"/>
          <w:sz w:val="24"/>
          <w:szCs w:val="24"/>
        </w:rPr>
        <w:t>(1)承包人提交最终结清申请单的份数：</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rPr>
        <w:t>。</w:t>
      </w:r>
    </w:p>
    <w:p w14:paraId="1C871BDA">
      <w:pPr>
        <w:spacing w:line="360" w:lineRule="auto"/>
        <w:ind w:firstLine="480" w:firstLineChars="200"/>
        <w:jc w:val="left"/>
        <w:rPr>
          <w:rFonts w:ascii="宋体" w:hAnsi="宋体" w:eastAsia="宋体" w:cs="Times New Roman"/>
          <w:sz w:val="24"/>
          <w:szCs w:val="24"/>
        </w:rPr>
      </w:pPr>
      <w:r>
        <w:rPr>
          <w:rFonts w:ascii="宋体" w:hAnsi="宋体" w:eastAsia="宋体" w:cs="Times New Roman"/>
          <w:sz w:val="24"/>
          <w:szCs w:val="24"/>
        </w:rPr>
        <w:t>最终结清申请单</w:t>
      </w:r>
      <w:r>
        <w:rPr>
          <w:rFonts w:hint="eastAsia" w:ascii="宋体" w:hAnsi="宋体" w:eastAsia="宋体" w:cs="Times New Roman"/>
          <w:sz w:val="24"/>
          <w:szCs w:val="24"/>
        </w:rPr>
        <w:t>关于</w:t>
      </w:r>
      <w:r>
        <w:rPr>
          <w:rFonts w:ascii="宋体" w:hAnsi="宋体" w:eastAsia="宋体" w:cs="Times New Roman"/>
          <w:sz w:val="24"/>
          <w:szCs w:val="24"/>
        </w:rPr>
        <w:t>质量保证金、应扣除的质量保证金、缺陷责任期内发生的增减费用</w:t>
      </w:r>
      <w:r>
        <w:rPr>
          <w:rFonts w:hint="eastAsia" w:ascii="宋体" w:hAnsi="宋体" w:eastAsia="宋体" w:cs="Times New Roman"/>
          <w:sz w:val="24"/>
          <w:szCs w:val="24"/>
        </w:rPr>
        <w:t>的约定：</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2BBC54E2">
      <w:pPr>
        <w:widowControl w:val="0"/>
        <w:numPr>
          <w:ilvl w:val="0"/>
          <w:numId w:val="0"/>
        </w:numPr>
        <w:tabs>
          <w:tab w:val="left" w:pos="540"/>
          <w:tab w:val="left" w:pos="900"/>
          <w:tab w:val="left" w:pos="2340"/>
          <w:tab w:val="left" w:pos="4032"/>
        </w:tabs>
        <w:spacing w:before="120" w:after="156"/>
        <w:ind w:left="359"/>
        <w:jc w:val="left"/>
        <w:outlineLvl w:val="1"/>
        <w:rPr>
          <w:rFonts w:ascii="宋体" w:hAnsi="宋体" w:eastAsia="宋体" w:cs="Times New Roman"/>
          <w:b/>
          <w:bCs/>
          <w:kern w:val="0"/>
          <w:sz w:val="24"/>
          <w:szCs w:val="32"/>
          <w:lang w:val="en-US" w:eastAsia="zh-CN" w:bidi="ar-SA"/>
        </w:rPr>
      </w:pPr>
      <w:bookmarkStart w:id="5998" w:name="_Toc884304141"/>
      <w:bookmarkStart w:id="5999" w:name="_Toc8069"/>
      <w:bookmarkStart w:id="6000" w:name="_Toc25310"/>
      <w:bookmarkStart w:id="6001" w:name="_Toc26594"/>
      <w:bookmarkStart w:id="6002" w:name="_Toc14217"/>
      <w:bookmarkStart w:id="6003" w:name="_Toc19363"/>
      <w:bookmarkStart w:id="6004" w:name="_Toc6087"/>
      <w:bookmarkStart w:id="6005" w:name="_Toc8123"/>
      <w:bookmarkStart w:id="6006" w:name="_Toc2513"/>
      <w:bookmarkStart w:id="6007" w:name="_Toc201735642"/>
      <w:bookmarkStart w:id="6008" w:name="_Toc3715"/>
      <w:bookmarkStart w:id="6009" w:name="_Toc8573"/>
      <w:bookmarkStart w:id="6010" w:name="_Toc208587867"/>
      <w:bookmarkStart w:id="6011" w:name="_Toc302636045"/>
      <w:r>
        <w:rPr>
          <w:rFonts w:hint="eastAsia" w:ascii="宋体" w:hAnsi="宋体" w:eastAsia="宋体" w:cs="Times New Roman"/>
          <w:b/>
          <w:bCs/>
          <w:kern w:val="0"/>
          <w:sz w:val="24"/>
          <w:szCs w:val="32"/>
          <w:lang w:val="en-US" w:eastAsia="zh-CN" w:bidi="ar-SA"/>
        </w:rPr>
        <w:t>28.9 最终结清证书和支付</w:t>
      </w:r>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p>
    <w:p w14:paraId="05E58540">
      <w:pPr>
        <w:spacing w:line="360" w:lineRule="auto"/>
        <w:ind w:firstLine="480" w:firstLineChars="200"/>
        <w:jc w:val="left"/>
        <w:rPr>
          <w:rFonts w:ascii="Times New Roman" w:hAnsi="Times New Roman" w:eastAsia="仿宋_GB2312" w:cs="Times New Roman"/>
          <w:sz w:val="30"/>
          <w:szCs w:val="32"/>
        </w:rPr>
      </w:pPr>
      <w:r>
        <w:rPr>
          <w:rFonts w:ascii="宋体" w:hAnsi="宋体" w:eastAsia="宋体" w:cs="Times New Roman"/>
          <w:sz w:val="24"/>
          <w:szCs w:val="24"/>
        </w:rPr>
        <w:t>(1)发包人完成最终结清申请的</w:t>
      </w:r>
      <w:r>
        <w:rPr>
          <w:rFonts w:hint="eastAsia" w:ascii="宋体" w:hAnsi="宋体" w:eastAsia="宋体" w:cs="Times New Roman"/>
          <w:sz w:val="24"/>
          <w:szCs w:val="24"/>
        </w:rPr>
        <w:t>审批</w:t>
      </w:r>
      <w:r>
        <w:rPr>
          <w:rFonts w:ascii="宋体" w:hAnsi="宋体" w:eastAsia="宋体" w:cs="Times New Roman"/>
          <w:sz w:val="24"/>
          <w:szCs w:val="24"/>
        </w:rPr>
        <w:t>并颁发最终结清证书的期限：</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rPr>
        <w:t>。</w:t>
      </w:r>
    </w:p>
    <w:p w14:paraId="3B5CE691">
      <w:pPr>
        <w:spacing w:line="360" w:lineRule="auto"/>
        <w:ind w:firstLine="480" w:firstLineChars="200"/>
        <w:jc w:val="left"/>
        <w:rPr>
          <w:rFonts w:ascii="Times New Roman" w:hAnsi="Times New Roman" w:eastAsia="仿宋_GB2312" w:cs="Times New Roman"/>
          <w:sz w:val="30"/>
          <w:szCs w:val="32"/>
        </w:rPr>
      </w:pPr>
      <w:r>
        <w:rPr>
          <w:rFonts w:ascii="宋体" w:hAnsi="宋体" w:eastAsia="宋体" w:cs="Times New Roman"/>
          <w:sz w:val="24"/>
          <w:szCs w:val="24"/>
        </w:rPr>
        <w:t>(2)发包人完成支付的期限：</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hint="eastAsia"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u w:val="single"/>
        </w:rPr>
        <w:t xml:space="preserve">    </w:t>
      </w:r>
      <w:r>
        <w:rPr>
          <w:rFonts w:ascii="Times New Roman" w:hAnsi="Times New Roman" w:eastAsia="仿宋_GB2312" w:cs="Times New Roman"/>
          <w:sz w:val="30"/>
          <w:szCs w:val="32"/>
        </w:rPr>
        <w:t>。</w:t>
      </w:r>
    </w:p>
    <w:p w14:paraId="45FC73B9">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bookmarkStart w:id="6012" w:name="_Toc302636046"/>
      <w:bookmarkStart w:id="6013" w:name="_Toc29685"/>
      <w:bookmarkStart w:id="6014" w:name="_Toc17759"/>
      <w:bookmarkStart w:id="6015" w:name="_Toc31189"/>
      <w:bookmarkStart w:id="6016" w:name="_Toc305331520"/>
      <w:bookmarkStart w:id="6017" w:name="_Toc10585"/>
      <w:bookmarkStart w:id="6018" w:name="_Toc35656549"/>
      <w:bookmarkStart w:id="6019" w:name="_Toc10112"/>
      <w:bookmarkStart w:id="6020" w:name="_Toc13338"/>
      <w:bookmarkStart w:id="6021" w:name="_Toc208587868"/>
      <w:bookmarkStart w:id="6022" w:name="_Toc201735643"/>
      <w:bookmarkStart w:id="6023" w:name="_Toc177601281"/>
      <w:bookmarkStart w:id="6024" w:name="_Toc32358"/>
      <w:bookmarkStart w:id="6025" w:name="_Toc32750"/>
      <w:bookmarkStart w:id="6026" w:name="_Toc20148"/>
      <w:r>
        <w:rPr>
          <w:rFonts w:hint="eastAsia" w:ascii="华文细黑" w:hAnsi="宋体" w:eastAsia="宋体" w:cs="Times New Roman"/>
          <w:b/>
          <w:bCs/>
          <w:snapToGrid w:val="0"/>
          <w:kern w:val="0"/>
          <w:sz w:val="28"/>
          <w:szCs w:val="44"/>
          <w:lang w:val="en-US" w:eastAsia="zh-CN" w:bidi="ar-SA"/>
        </w:rPr>
        <w:t>29 违约</w:t>
      </w:r>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p>
    <w:p w14:paraId="739596DC">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6027" w:name="_Toc15199"/>
      <w:bookmarkStart w:id="6028" w:name="_Toc27305"/>
      <w:bookmarkStart w:id="6029" w:name="_Toc474691837"/>
      <w:bookmarkStart w:id="6030" w:name="_Toc19923"/>
      <w:bookmarkStart w:id="6031" w:name="_Toc305331521"/>
      <w:bookmarkStart w:id="6032" w:name="_Toc20973"/>
      <w:bookmarkStart w:id="6033" w:name="_Toc208587869"/>
      <w:bookmarkStart w:id="6034" w:name="_Toc201735644"/>
      <w:bookmarkStart w:id="6035" w:name="_Toc29095"/>
      <w:bookmarkStart w:id="6036" w:name="_Toc3519"/>
      <w:bookmarkStart w:id="6037" w:name="_Toc27889"/>
      <w:bookmarkStart w:id="6038" w:name="_Toc302636047"/>
      <w:bookmarkStart w:id="6039" w:name="_Toc30622"/>
      <w:bookmarkStart w:id="6040" w:name="_Toc6773"/>
      <w:bookmarkStart w:id="6041" w:name="_Toc6068"/>
      <w:r>
        <w:rPr>
          <w:rFonts w:hint="eastAsia" w:ascii="宋体" w:hAnsi="宋体" w:eastAsia="宋体" w:cs="Times New Roman"/>
          <w:b/>
          <w:bCs/>
          <w:kern w:val="0"/>
          <w:sz w:val="24"/>
          <w:szCs w:val="32"/>
          <w:lang w:val="en-US" w:eastAsia="zh-CN" w:bidi="ar-SA"/>
        </w:rPr>
        <w:t>29.1 发包人违约</w:t>
      </w:r>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p>
    <w:p w14:paraId="600C81A8">
      <w:pPr>
        <w:spacing w:line="360" w:lineRule="auto"/>
        <w:ind w:firstLine="480" w:firstLineChars="200"/>
        <w:jc w:val="left"/>
        <w:rPr>
          <w:rFonts w:ascii="宋体" w:hAnsi="宋体" w:eastAsia="宋体" w:cs="Times New Roman"/>
          <w:sz w:val="24"/>
          <w:szCs w:val="24"/>
        </w:rPr>
      </w:pPr>
      <w:bookmarkStart w:id="6042" w:name="_Toc305331522"/>
      <w:r>
        <w:rPr>
          <w:rFonts w:ascii="宋体" w:hAnsi="宋体" w:eastAsia="宋体" w:cs="Times New Roman"/>
          <w:sz w:val="24"/>
          <w:szCs w:val="24"/>
        </w:rPr>
        <w:t>发包人违约责任的承担方式和计算方法：</w:t>
      </w:r>
    </w:p>
    <w:p w14:paraId="54243487">
      <w:pPr>
        <w:spacing w:line="360" w:lineRule="auto"/>
        <w:ind w:firstLine="480" w:firstLineChars="200"/>
        <w:jc w:val="left"/>
        <w:rPr>
          <w:rFonts w:ascii="Times New Roman" w:hAnsi="Times New Roman" w:eastAsia="仿宋_GB2312" w:cs="Times New Roman"/>
          <w:kern w:val="0"/>
          <w:sz w:val="30"/>
          <w:szCs w:val="32"/>
          <w:u w:val="single"/>
        </w:rPr>
      </w:pPr>
      <w:r>
        <w:rPr>
          <w:rFonts w:ascii="宋体" w:hAnsi="宋体" w:eastAsia="宋体" w:cs="Times New Roman"/>
          <w:sz w:val="24"/>
          <w:szCs w:val="24"/>
        </w:rPr>
        <w:t>(1)因发包人原因未能在计划开工日期前7天内下达开工通知的违约责任：</w:t>
      </w: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rPr>
        <w:t>。</w:t>
      </w:r>
    </w:p>
    <w:p w14:paraId="1BAE6874">
      <w:pPr>
        <w:spacing w:line="360" w:lineRule="auto"/>
        <w:ind w:firstLine="480" w:firstLineChars="200"/>
        <w:jc w:val="left"/>
        <w:rPr>
          <w:rFonts w:hint="eastAsia" w:ascii="Times New Roman" w:hAnsi="Times New Roman" w:eastAsia="仿宋_GB2312" w:cs="Times New Roman"/>
          <w:kern w:val="0"/>
          <w:sz w:val="30"/>
          <w:szCs w:val="32"/>
        </w:rPr>
      </w:pPr>
      <w:r>
        <w:rPr>
          <w:rFonts w:ascii="宋体" w:hAnsi="宋体" w:eastAsia="宋体" w:cs="Times New Roman"/>
          <w:sz w:val="24"/>
          <w:szCs w:val="24"/>
        </w:rPr>
        <w:t>(2)因发包人原因未能按合同约定支付合同价款的违约责任：</w:t>
      </w:r>
      <w:r>
        <w:rPr>
          <w:rFonts w:ascii="Times New Roman" w:hAnsi="Times New Roman" w:eastAsia="仿宋_GB2312" w:cs="Times New Roman"/>
          <w:kern w:val="0"/>
          <w:sz w:val="30"/>
          <w:szCs w:val="32"/>
          <w:u w:val="single"/>
        </w:rPr>
        <w:t xml:space="preserve">                 </w:t>
      </w:r>
    </w:p>
    <w:p w14:paraId="026406E6">
      <w:pPr>
        <w:spacing w:line="360" w:lineRule="auto"/>
        <w:jc w:val="left"/>
        <w:rPr>
          <w:rFonts w:ascii="Times New Roman" w:hAnsi="Times New Roman" w:eastAsia="仿宋_GB2312" w:cs="Times New Roman"/>
          <w:kern w:val="0"/>
          <w:sz w:val="30"/>
          <w:szCs w:val="32"/>
        </w:rPr>
      </w:pP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rPr>
        <w:t>。</w:t>
      </w:r>
    </w:p>
    <w:p w14:paraId="69C7837D">
      <w:pPr>
        <w:spacing w:line="360" w:lineRule="auto"/>
        <w:ind w:firstLine="480" w:firstLineChars="200"/>
        <w:jc w:val="left"/>
        <w:rPr>
          <w:rFonts w:ascii="Times New Roman" w:hAnsi="Times New Roman" w:eastAsia="仿宋_GB2312" w:cs="Times New Roman"/>
          <w:kern w:val="0"/>
          <w:sz w:val="30"/>
          <w:szCs w:val="32"/>
        </w:rPr>
      </w:pPr>
      <w:r>
        <w:rPr>
          <w:rFonts w:ascii="宋体" w:hAnsi="宋体" w:eastAsia="宋体" w:cs="Times New Roman"/>
          <w:sz w:val="24"/>
          <w:szCs w:val="24"/>
        </w:rPr>
        <w:t>(</w:t>
      </w:r>
      <w:r>
        <w:rPr>
          <w:rFonts w:hint="eastAsia" w:ascii="宋体" w:hAnsi="宋体" w:eastAsia="宋体" w:cs="Times New Roman"/>
          <w:sz w:val="24"/>
          <w:szCs w:val="24"/>
        </w:rPr>
        <w:t>3</w:t>
      </w:r>
      <w:r>
        <w:rPr>
          <w:rFonts w:ascii="宋体" w:hAnsi="宋体" w:eastAsia="宋体" w:cs="Times New Roman"/>
          <w:sz w:val="24"/>
          <w:szCs w:val="24"/>
        </w:rPr>
        <w:t>)发包人提供的材料、工程设备的规格、数量或质量不符合合同约定，或因发包人原因导致交货日期延误或交货地点变更等情况的违约责任：</w:t>
      </w: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p>
    <w:p w14:paraId="3FB84A50">
      <w:pPr>
        <w:spacing w:line="360" w:lineRule="auto"/>
        <w:jc w:val="left"/>
        <w:rPr>
          <w:rFonts w:ascii="Times New Roman" w:hAnsi="Times New Roman" w:eastAsia="仿宋_GB2312" w:cs="Times New Roman"/>
          <w:kern w:val="0"/>
          <w:sz w:val="30"/>
          <w:szCs w:val="32"/>
        </w:rPr>
      </w:pP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rPr>
        <w:t>。</w:t>
      </w:r>
    </w:p>
    <w:p w14:paraId="0F4FD1E3">
      <w:pPr>
        <w:spacing w:line="360" w:lineRule="auto"/>
        <w:ind w:firstLine="480" w:firstLineChars="200"/>
        <w:jc w:val="left"/>
        <w:rPr>
          <w:rFonts w:hint="eastAsia" w:ascii="Times New Roman" w:hAnsi="Times New Roman" w:eastAsia="仿宋_GB2312" w:cs="Times New Roman"/>
          <w:kern w:val="0"/>
          <w:sz w:val="30"/>
          <w:szCs w:val="32"/>
          <w:u w:val="single"/>
        </w:rPr>
      </w:pPr>
      <w:r>
        <w:rPr>
          <w:rFonts w:ascii="宋体" w:hAnsi="宋体" w:eastAsia="宋体" w:cs="Times New Roman"/>
          <w:sz w:val="24"/>
          <w:szCs w:val="24"/>
        </w:rPr>
        <w:t>(</w:t>
      </w:r>
      <w:r>
        <w:rPr>
          <w:rFonts w:hint="eastAsia" w:ascii="宋体" w:hAnsi="宋体" w:eastAsia="宋体" w:cs="Times New Roman"/>
          <w:sz w:val="24"/>
          <w:szCs w:val="24"/>
        </w:rPr>
        <w:t>4</w:t>
      </w:r>
      <w:r>
        <w:rPr>
          <w:rFonts w:ascii="宋体" w:hAnsi="宋体" w:eastAsia="宋体" w:cs="Times New Roman"/>
          <w:sz w:val="24"/>
          <w:szCs w:val="24"/>
        </w:rPr>
        <w:t>)因发包人违反合同约定造成暂停施工的违约责任：</w:t>
      </w: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u w:val="single"/>
        </w:rPr>
        <w:t xml:space="preserve"> </w:t>
      </w:r>
    </w:p>
    <w:p w14:paraId="1B69437A">
      <w:pPr>
        <w:spacing w:line="360" w:lineRule="auto"/>
        <w:jc w:val="left"/>
        <w:rPr>
          <w:rFonts w:ascii="Times New Roman" w:hAnsi="Times New Roman" w:eastAsia="仿宋_GB2312" w:cs="Times New Roman"/>
          <w:kern w:val="0"/>
          <w:sz w:val="30"/>
          <w:szCs w:val="32"/>
        </w:rPr>
      </w:pP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rPr>
        <w:t>。</w:t>
      </w:r>
    </w:p>
    <w:p w14:paraId="5A4FE6F2">
      <w:pPr>
        <w:spacing w:line="360" w:lineRule="auto"/>
        <w:ind w:firstLine="480" w:firstLineChars="200"/>
        <w:jc w:val="left"/>
        <w:rPr>
          <w:rFonts w:ascii="Times New Roman" w:hAnsi="Times New Roman" w:eastAsia="仿宋_GB2312" w:cs="Times New Roman"/>
          <w:kern w:val="0"/>
          <w:sz w:val="30"/>
          <w:szCs w:val="32"/>
        </w:rPr>
      </w:pPr>
      <w:r>
        <w:rPr>
          <w:rFonts w:ascii="宋体" w:hAnsi="宋体" w:eastAsia="宋体" w:cs="Times New Roman"/>
          <w:sz w:val="24"/>
          <w:szCs w:val="24"/>
        </w:rPr>
        <w:t>(</w:t>
      </w:r>
      <w:r>
        <w:rPr>
          <w:rFonts w:hint="eastAsia" w:ascii="宋体" w:hAnsi="宋体" w:eastAsia="宋体" w:cs="Times New Roman"/>
          <w:sz w:val="24"/>
          <w:szCs w:val="24"/>
        </w:rPr>
        <w:t>5</w:t>
      </w:r>
      <w:r>
        <w:rPr>
          <w:rFonts w:ascii="宋体" w:hAnsi="宋体" w:eastAsia="宋体" w:cs="Times New Roman"/>
          <w:sz w:val="24"/>
          <w:szCs w:val="24"/>
        </w:rPr>
        <w:t>)发包人无正当理由没有在约定期限内发出复工指示，导致承包人无法复工的违约责任：</w:t>
      </w: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rPr>
        <w:t>。</w:t>
      </w:r>
    </w:p>
    <w:p w14:paraId="1B0BFBE2">
      <w:pPr>
        <w:spacing w:line="360" w:lineRule="auto"/>
        <w:ind w:firstLine="480" w:firstLineChars="200"/>
        <w:jc w:val="left"/>
        <w:rPr>
          <w:rFonts w:hint="eastAsia" w:ascii="Times New Roman" w:hAnsi="Times New Roman" w:eastAsia="仿宋_GB2312" w:cs="Times New Roman"/>
          <w:kern w:val="0"/>
          <w:sz w:val="30"/>
          <w:szCs w:val="32"/>
          <w:u w:val="single"/>
        </w:rPr>
      </w:pPr>
      <w:r>
        <w:rPr>
          <w:rFonts w:ascii="宋体" w:hAnsi="宋体" w:eastAsia="宋体" w:cs="Times New Roman"/>
          <w:sz w:val="24"/>
          <w:szCs w:val="24"/>
        </w:rPr>
        <w:t>(</w:t>
      </w:r>
      <w:r>
        <w:rPr>
          <w:rFonts w:hint="eastAsia" w:ascii="宋体" w:hAnsi="宋体" w:eastAsia="宋体" w:cs="Times New Roman"/>
          <w:sz w:val="24"/>
          <w:szCs w:val="24"/>
        </w:rPr>
        <w:t>6</w:t>
      </w:r>
      <w:r>
        <w:rPr>
          <w:rFonts w:ascii="宋体" w:hAnsi="宋体" w:eastAsia="宋体" w:cs="Times New Roman"/>
          <w:sz w:val="24"/>
          <w:szCs w:val="24"/>
        </w:rPr>
        <w:t>)</w:t>
      </w:r>
      <w:r>
        <w:rPr>
          <w:rFonts w:hint="eastAsia" w:ascii="宋体" w:hAnsi="宋体" w:eastAsia="宋体" w:cs="Times New Roman"/>
          <w:sz w:val="24"/>
          <w:szCs w:val="24"/>
        </w:rPr>
        <w:t>发包人明确表示或其行为表明不履行合同主要义务的违约责任：</w:t>
      </w: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p>
    <w:p w14:paraId="77E9FFE7">
      <w:pPr>
        <w:spacing w:line="360" w:lineRule="auto"/>
        <w:jc w:val="left"/>
        <w:rPr>
          <w:rFonts w:ascii="Times New Roman" w:hAnsi="Times New Roman" w:eastAsia="仿宋_GB2312" w:cs="Times New Roman"/>
          <w:kern w:val="0"/>
          <w:sz w:val="30"/>
          <w:szCs w:val="32"/>
        </w:rPr>
      </w:pP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p>
    <w:p w14:paraId="624F9A98">
      <w:pPr>
        <w:spacing w:line="360" w:lineRule="auto"/>
        <w:ind w:firstLine="480" w:firstLineChars="200"/>
        <w:jc w:val="left"/>
        <w:rPr>
          <w:rFonts w:ascii="Times New Roman" w:hAnsi="Times New Roman" w:eastAsia="仿宋_GB2312" w:cs="Times New Roman"/>
          <w:kern w:val="0"/>
          <w:sz w:val="30"/>
          <w:szCs w:val="32"/>
        </w:rPr>
      </w:pPr>
      <w:r>
        <w:rPr>
          <w:rFonts w:ascii="宋体" w:hAnsi="宋体" w:eastAsia="宋体" w:cs="Times New Roman"/>
          <w:sz w:val="24"/>
          <w:szCs w:val="24"/>
        </w:rPr>
        <w:t>(7)</w:t>
      </w:r>
      <w:r>
        <w:rPr>
          <w:rFonts w:hint="eastAsia" w:ascii="宋体" w:hAnsi="宋体" w:eastAsia="宋体" w:cs="Times New Roman"/>
          <w:sz w:val="24"/>
          <w:szCs w:val="24"/>
        </w:rPr>
        <w:t>其他：</w:t>
      </w: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u w:val="single"/>
        </w:rPr>
        <w:t xml:space="preserve">               </w:t>
      </w:r>
      <w:r>
        <w:rPr>
          <w:rFonts w:hint="eastAsia" w:ascii="Times New Roman" w:hAnsi="Times New Roman" w:eastAsia="仿宋_GB2312" w:cs="Times New Roman"/>
          <w:kern w:val="0"/>
          <w:sz w:val="30"/>
          <w:szCs w:val="32"/>
          <w:u w:val="single"/>
        </w:rPr>
        <w:t xml:space="preserve"> </w:t>
      </w:r>
      <w:r>
        <w:rPr>
          <w:rFonts w:ascii="Times New Roman" w:hAnsi="Times New Roman" w:eastAsia="仿宋_GB2312" w:cs="Times New Roman"/>
          <w:kern w:val="0"/>
          <w:sz w:val="30"/>
          <w:szCs w:val="32"/>
        </w:rPr>
        <w:t>。</w:t>
      </w:r>
    </w:p>
    <w:p w14:paraId="7A08AE7E">
      <w:pPr>
        <w:spacing w:line="360" w:lineRule="auto"/>
        <w:ind w:firstLine="480" w:firstLineChars="200"/>
        <w:jc w:val="left"/>
        <w:rPr>
          <w:rFonts w:hint="eastAsia" w:ascii="Times New Roman" w:hAnsi="Times New Roman" w:eastAsia="仿宋_GB2312" w:cs="Times New Roman"/>
          <w:kern w:val="0"/>
          <w:sz w:val="30"/>
          <w:szCs w:val="32"/>
          <w:u w:val="single"/>
        </w:rPr>
      </w:pPr>
      <w:r>
        <w:rPr>
          <w:rFonts w:ascii="宋体" w:hAnsi="宋体" w:eastAsia="宋体" w:cs="Times New Roman"/>
          <w:sz w:val="24"/>
          <w:szCs w:val="24"/>
        </w:rPr>
        <w:t>发包人违约</w:t>
      </w:r>
      <w:r>
        <w:rPr>
          <w:rFonts w:hint="eastAsia" w:ascii="宋体" w:hAnsi="宋体" w:eastAsia="宋体" w:cs="Times New Roman"/>
          <w:sz w:val="24"/>
          <w:szCs w:val="24"/>
        </w:rPr>
        <w:t>金上限为：</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p>
    <w:p w14:paraId="62694131">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6043" w:name="_Toc25483"/>
      <w:bookmarkStart w:id="6044" w:name="_Toc201735645"/>
      <w:bookmarkStart w:id="6045" w:name="_Toc4322"/>
      <w:bookmarkStart w:id="6046" w:name="_Toc20620"/>
      <w:bookmarkStart w:id="6047" w:name="_Toc13835"/>
      <w:bookmarkStart w:id="6048" w:name="_Toc302636048"/>
      <w:bookmarkStart w:id="6049" w:name="_Toc16543"/>
      <w:bookmarkStart w:id="6050" w:name="_Toc8572"/>
      <w:bookmarkStart w:id="6051" w:name="_Toc208587870"/>
      <w:bookmarkStart w:id="6052" w:name="_Toc29107"/>
      <w:bookmarkStart w:id="6053" w:name="_Toc18058"/>
      <w:bookmarkStart w:id="6054" w:name="_Toc3806"/>
      <w:bookmarkStart w:id="6055" w:name="_Toc1550506471"/>
      <w:bookmarkStart w:id="6056" w:name="_Toc26539"/>
      <w:r>
        <w:rPr>
          <w:rFonts w:hint="eastAsia" w:ascii="宋体" w:hAnsi="宋体" w:eastAsia="宋体" w:cs="Times New Roman"/>
          <w:b/>
          <w:bCs/>
          <w:kern w:val="0"/>
          <w:sz w:val="24"/>
          <w:szCs w:val="32"/>
          <w:lang w:val="en-US" w:eastAsia="zh-CN" w:bidi="ar-SA"/>
        </w:rPr>
        <w:t>29.2 承包人违约</w:t>
      </w:r>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p>
    <w:p w14:paraId="155FEEEF">
      <w:pPr>
        <w:spacing w:line="360" w:lineRule="auto"/>
        <w:ind w:firstLine="480" w:firstLineChars="200"/>
        <w:jc w:val="left"/>
        <w:rPr>
          <w:rFonts w:hint="eastAsia" w:ascii="Times New Roman" w:hAnsi="Times New Roman" w:eastAsia="仿宋_GB2312" w:cs="Times New Roman"/>
          <w:kern w:val="0"/>
          <w:sz w:val="24"/>
          <w:szCs w:val="24"/>
          <w:u w:val="single"/>
        </w:rPr>
      </w:pPr>
      <w:r>
        <w:rPr>
          <w:rFonts w:hint="eastAsia" w:ascii="宋体" w:hAnsi="宋体" w:eastAsia="宋体" w:cs="Times New Roman"/>
          <w:sz w:val="24"/>
          <w:szCs w:val="24"/>
        </w:rPr>
        <w:t>(1)</w:t>
      </w:r>
      <w:r>
        <w:rPr>
          <w:rFonts w:ascii="宋体" w:hAnsi="宋体" w:eastAsia="宋体" w:cs="Times New Roman"/>
          <w:sz w:val="24"/>
          <w:szCs w:val="24"/>
        </w:rPr>
        <w:t>承包人违反合同约定进行转包或违法分包的违约责任：</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p>
    <w:p w14:paraId="29602018">
      <w:pPr>
        <w:spacing w:line="360" w:lineRule="auto"/>
        <w:jc w:val="left"/>
        <w:rPr>
          <w:rFonts w:hint="eastAsia" w:ascii="Times New Roman" w:hAnsi="Times New Roman" w:eastAsia="仿宋_GB2312" w:cs="Times New Roman"/>
          <w:kern w:val="0"/>
          <w:sz w:val="24"/>
          <w:szCs w:val="24"/>
        </w:rPr>
      </w:pPr>
      <w:r>
        <w:rPr>
          <w:rFonts w:ascii="宋体" w:hAnsi="宋体" w:eastAsia="宋体" w:cs="Times New Roman"/>
          <w:sz w:val="24"/>
          <w:szCs w:val="24"/>
          <w:u w:val="single"/>
        </w:rPr>
        <w:t xml:space="preserve">                                                                          </w:t>
      </w:r>
      <w:r>
        <w:rPr>
          <w:rFonts w:hint="eastAsia" w:ascii="Times New Roman" w:hAnsi="Times New Roman" w:eastAsia="仿宋_GB2312" w:cs="Times New Roman"/>
          <w:kern w:val="0"/>
          <w:sz w:val="24"/>
          <w:szCs w:val="24"/>
        </w:rPr>
        <w:t>。</w:t>
      </w:r>
    </w:p>
    <w:p w14:paraId="576C2973">
      <w:pPr>
        <w:spacing w:line="360" w:lineRule="auto"/>
        <w:ind w:firstLine="480" w:firstLineChars="200"/>
        <w:jc w:val="left"/>
        <w:rPr>
          <w:rFonts w:hint="eastAsia" w:ascii="Times New Roman" w:hAnsi="Times New Roman" w:eastAsia="仿宋_GB2312" w:cs="Times New Roman"/>
          <w:kern w:val="0"/>
          <w:sz w:val="24"/>
          <w:szCs w:val="24"/>
          <w:u w:val="single"/>
        </w:rPr>
      </w:pPr>
      <w:r>
        <w:rPr>
          <w:rFonts w:hint="eastAsia" w:ascii="宋体" w:hAnsi="宋体" w:eastAsia="宋体" w:cs="Times New Roman"/>
          <w:sz w:val="24"/>
          <w:szCs w:val="24"/>
        </w:rPr>
        <w:t>(2)</w:t>
      </w:r>
      <w:r>
        <w:rPr>
          <w:rFonts w:ascii="宋体" w:hAnsi="宋体" w:eastAsia="宋体" w:cs="Times New Roman"/>
          <w:sz w:val="24"/>
          <w:szCs w:val="24"/>
        </w:rPr>
        <w:t>承包人违反合同约定采购和使用不合格的材料和工程设备的违约责任：</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Times New Roman" w:hAnsi="Times New Roman" w:eastAsia="仿宋_GB2312" w:cs="Times New Roman"/>
          <w:kern w:val="0"/>
          <w:sz w:val="24"/>
          <w:szCs w:val="24"/>
          <w:u w:val="single"/>
        </w:rPr>
        <w:t xml:space="preserve">    </w:t>
      </w:r>
      <w:r>
        <w:rPr>
          <w:rFonts w:ascii="Times New Roman" w:hAnsi="Times New Roman" w:eastAsia="仿宋_GB2312" w:cs="Times New Roman"/>
          <w:kern w:val="0"/>
          <w:sz w:val="24"/>
          <w:szCs w:val="24"/>
          <w:u w:val="single"/>
        </w:rPr>
        <w:t xml:space="preserve">    </w:t>
      </w:r>
    </w:p>
    <w:p w14:paraId="368FF1EA">
      <w:pPr>
        <w:spacing w:line="360" w:lineRule="auto"/>
        <w:jc w:val="left"/>
        <w:rPr>
          <w:rFonts w:ascii="Times New Roman" w:hAnsi="Times New Roman" w:eastAsia="仿宋_GB2312" w:cs="Times New Roman"/>
          <w:kern w:val="0"/>
          <w:sz w:val="24"/>
          <w:szCs w:val="24"/>
        </w:rPr>
      </w:pPr>
      <w:r>
        <w:rPr>
          <w:rFonts w:ascii="宋体" w:hAnsi="宋体" w:eastAsia="宋体" w:cs="Times New Roman"/>
          <w:sz w:val="24"/>
          <w:szCs w:val="24"/>
          <w:u w:val="single"/>
        </w:rPr>
        <w:t xml:space="preserve">                                                                          </w:t>
      </w:r>
      <w:r>
        <w:rPr>
          <w:rFonts w:hint="eastAsia" w:ascii="Times New Roman" w:hAnsi="Times New Roman" w:eastAsia="仿宋_GB2312" w:cs="Times New Roman"/>
          <w:kern w:val="0"/>
          <w:sz w:val="24"/>
          <w:szCs w:val="24"/>
        </w:rPr>
        <w:t>。</w:t>
      </w:r>
    </w:p>
    <w:p w14:paraId="3D61FC24">
      <w:pPr>
        <w:spacing w:line="360" w:lineRule="auto"/>
        <w:ind w:firstLine="480" w:firstLineChars="200"/>
        <w:jc w:val="left"/>
        <w:rPr>
          <w:rFonts w:hint="eastAsia" w:ascii="Times New Roman" w:hAnsi="Times New Roman" w:eastAsia="仿宋_GB2312" w:cs="Times New Roman"/>
          <w:kern w:val="0"/>
          <w:sz w:val="24"/>
          <w:szCs w:val="24"/>
          <w:u w:val="single"/>
        </w:rPr>
      </w:pPr>
      <w:r>
        <w:rPr>
          <w:rFonts w:hint="eastAsia" w:ascii="宋体" w:hAnsi="宋体" w:eastAsia="宋体" w:cs="Times New Roman"/>
          <w:sz w:val="24"/>
          <w:szCs w:val="24"/>
        </w:rPr>
        <w:t>(3)</w:t>
      </w:r>
      <w:r>
        <w:rPr>
          <w:rFonts w:ascii="宋体" w:hAnsi="宋体" w:eastAsia="宋体" w:cs="Times New Roman"/>
          <w:sz w:val="24"/>
          <w:szCs w:val="24"/>
        </w:rPr>
        <w:t>因承包人原因导致工程质量不符合合同要求的违约责任：</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p>
    <w:p w14:paraId="04D5A408">
      <w:pPr>
        <w:spacing w:line="360" w:lineRule="auto"/>
        <w:jc w:val="left"/>
        <w:rPr>
          <w:rFonts w:hint="eastAsia" w:ascii="Times New Roman" w:hAnsi="Times New Roman" w:eastAsia="仿宋_GB2312" w:cs="Times New Roman"/>
          <w:kern w:val="0"/>
          <w:sz w:val="24"/>
          <w:szCs w:val="24"/>
        </w:rPr>
      </w:pPr>
      <w:r>
        <w:rPr>
          <w:rFonts w:ascii="宋体" w:hAnsi="宋体" w:eastAsia="宋体" w:cs="Times New Roman"/>
          <w:sz w:val="24"/>
          <w:szCs w:val="24"/>
          <w:u w:val="single"/>
        </w:rPr>
        <w:t xml:space="preserve">                                                                          </w:t>
      </w:r>
      <w:r>
        <w:rPr>
          <w:rFonts w:hint="eastAsia" w:ascii="Times New Roman" w:hAnsi="Times New Roman" w:eastAsia="仿宋_GB2312" w:cs="Times New Roman"/>
          <w:kern w:val="0"/>
          <w:sz w:val="24"/>
          <w:szCs w:val="24"/>
        </w:rPr>
        <w:t>。</w:t>
      </w:r>
    </w:p>
    <w:p w14:paraId="1FF8145D">
      <w:pPr>
        <w:spacing w:line="360" w:lineRule="auto"/>
        <w:ind w:firstLine="480" w:firstLineChars="200"/>
        <w:jc w:val="left"/>
        <w:rPr>
          <w:rFonts w:hint="eastAsia" w:ascii="Times New Roman" w:hAnsi="Times New Roman" w:eastAsia="仿宋_GB2312" w:cs="Times New Roman"/>
          <w:kern w:val="0"/>
          <w:sz w:val="24"/>
          <w:szCs w:val="24"/>
          <w:u w:val="single"/>
        </w:rPr>
      </w:pPr>
      <w:r>
        <w:rPr>
          <w:rFonts w:hint="eastAsia" w:ascii="宋体" w:hAnsi="宋体" w:eastAsia="宋体" w:cs="Times New Roman"/>
          <w:sz w:val="24"/>
          <w:szCs w:val="24"/>
        </w:rPr>
        <w:t>(4)</w:t>
      </w:r>
      <w:r>
        <w:rPr>
          <w:rFonts w:ascii="宋体" w:hAnsi="宋体" w:eastAsia="宋体" w:cs="Times New Roman"/>
          <w:sz w:val="24"/>
          <w:szCs w:val="24"/>
        </w:rPr>
        <w:t>承包人未经批准，私自将已按照合同约定进入施工现场的材料或设备撤离施工现场的违约责任：</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p>
    <w:p w14:paraId="5BDD26C7">
      <w:pPr>
        <w:spacing w:line="360" w:lineRule="auto"/>
        <w:jc w:val="left"/>
        <w:rPr>
          <w:rFonts w:hint="eastAsia" w:ascii="Times New Roman" w:hAnsi="Times New Roman" w:eastAsia="仿宋_GB2312" w:cs="Times New Roman"/>
          <w:kern w:val="0"/>
          <w:sz w:val="24"/>
          <w:szCs w:val="24"/>
        </w:rPr>
      </w:pPr>
      <w:r>
        <w:rPr>
          <w:rFonts w:ascii="宋体" w:hAnsi="宋体" w:eastAsia="宋体" w:cs="Times New Roman"/>
          <w:sz w:val="24"/>
          <w:szCs w:val="24"/>
          <w:u w:val="single"/>
        </w:rPr>
        <w:t xml:space="preserve">                                                                          </w:t>
      </w:r>
      <w:r>
        <w:rPr>
          <w:rFonts w:hint="eastAsia" w:ascii="Times New Roman" w:hAnsi="Times New Roman" w:eastAsia="仿宋_GB2312" w:cs="Times New Roman"/>
          <w:kern w:val="0"/>
          <w:sz w:val="24"/>
          <w:szCs w:val="24"/>
        </w:rPr>
        <w:t>。</w:t>
      </w:r>
    </w:p>
    <w:p w14:paraId="31D8943D">
      <w:pPr>
        <w:spacing w:line="360" w:lineRule="auto"/>
        <w:ind w:firstLine="480" w:firstLineChars="200"/>
        <w:jc w:val="left"/>
        <w:rPr>
          <w:rFonts w:hint="eastAsia" w:ascii="Times New Roman" w:hAnsi="Times New Roman" w:eastAsia="仿宋_GB2312" w:cs="Times New Roman"/>
          <w:kern w:val="0"/>
          <w:sz w:val="24"/>
          <w:szCs w:val="24"/>
          <w:u w:val="single"/>
        </w:rPr>
      </w:pPr>
      <w:r>
        <w:rPr>
          <w:rFonts w:hint="eastAsia" w:ascii="宋体" w:hAnsi="宋体" w:eastAsia="宋体" w:cs="Times New Roman"/>
          <w:sz w:val="24"/>
          <w:szCs w:val="24"/>
        </w:rPr>
        <w:t>(5)</w:t>
      </w:r>
      <w:r>
        <w:rPr>
          <w:rFonts w:ascii="宋体" w:hAnsi="宋体" w:eastAsia="宋体" w:cs="Times New Roman"/>
          <w:sz w:val="24"/>
          <w:szCs w:val="24"/>
        </w:rPr>
        <w:t>承包人未能按施工进度计划及时完成合同约定的工作，造成工期延误的违约责任：</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p>
    <w:p w14:paraId="77A89D12">
      <w:pPr>
        <w:spacing w:line="360" w:lineRule="auto"/>
        <w:jc w:val="left"/>
        <w:rPr>
          <w:rFonts w:hint="eastAsia" w:ascii="Times New Roman" w:hAnsi="Times New Roman" w:eastAsia="仿宋_GB2312" w:cs="Times New Roman"/>
          <w:kern w:val="0"/>
          <w:sz w:val="24"/>
          <w:szCs w:val="24"/>
        </w:rPr>
      </w:pPr>
      <w:r>
        <w:rPr>
          <w:rFonts w:ascii="宋体" w:hAnsi="宋体" w:eastAsia="宋体" w:cs="Times New Roman"/>
          <w:sz w:val="24"/>
          <w:szCs w:val="24"/>
          <w:u w:val="single"/>
        </w:rPr>
        <w:t xml:space="preserve">                                                                          </w:t>
      </w:r>
      <w:r>
        <w:rPr>
          <w:rFonts w:hint="eastAsia" w:ascii="Times New Roman" w:hAnsi="Times New Roman" w:eastAsia="仿宋_GB2312" w:cs="Times New Roman"/>
          <w:kern w:val="0"/>
          <w:sz w:val="24"/>
          <w:szCs w:val="24"/>
        </w:rPr>
        <w:t>。</w:t>
      </w:r>
    </w:p>
    <w:p w14:paraId="1EF95BD9">
      <w:pPr>
        <w:spacing w:line="360" w:lineRule="auto"/>
        <w:ind w:firstLine="480" w:firstLineChars="200"/>
        <w:jc w:val="left"/>
        <w:rPr>
          <w:rFonts w:ascii="宋体" w:hAnsi="宋体" w:eastAsia="宋体" w:cs="Times New Roman"/>
          <w:sz w:val="24"/>
          <w:szCs w:val="24"/>
          <w:u w:val="single"/>
        </w:rPr>
      </w:pPr>
      <w:r>
        <w:rPr>
          <w:rFonts w:hint="eastAsia" w:ascii="宋体" w:hAnsi="宋体" w:eastAsia="宋体" w:cs="Times New Roman"/>
          <w:sz w:val="24"/>
          <w:szCs w:val="24"/>
        </w:rPr>
        <w:t>(6)</w:t>
      </w:r>
      <w:r>
        <w:rPr>
          <w:rFonts w:ascii="宋体" w:hAnsi="宋体" w:eastAsia="宋体" w:cs="Times New Roman"/>
          <w:sz w:val="24"/>
          <w:szCs w:val="24"/>
        </w:rPr>
        <w:t>承包人在缺陷责任期及保修期内，未能在合理期限对工程缺陷进行修复，或拒绝按发包人要求进行修复的违约责任：</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p>
    <w:p w14:paraId="32069C3F">
      <w:pPr>
        <w:spacing w:line="360" w:lineRule="auto"/>
        <w:ind w:firstLine="0" w:firstLineChars="0"/>
        <w:jc w:val="left"/>
        <w:rPr>
          <w:rFonts w:hint="eastAsia" w:ascii="Times New Roman" w:hAnsi="Times New Roman" w:eastAsia="仿宋_GB2312" w:cs="Times New Roman"/>
          <w:kern w:val="0"/>
          <w:sz w:val="24"/>
          <w:szCs w:val="24"/>
        </w:rPr>
      </w:pPr>
      <w:r>
        <w:rPr>
          <w:rFonts w:ascii="宋体" w:hAnsi="宋体" w:eastAsia="宋体" w:cs="Times New Roman"/>
          <w:sz w:val="24"/>
          <w:szCs w:val="24"/>
          <w:u w:val="single"/>
        </w:rPr>
        <w:t xml:space="preserve">                                                                          </w:t>
      </w:r>
      <w:r>
        <w:rPr>
          <w:rFonts w:hint="eastAsia" w:ascii="Times New Roman" w:hAnsi="Times New Roman" w:eastAsia="仿宋_GB2312" w:cs="Times New Roman"/>
          <w:kern w:val="0"/>
          <w:sz w:val="24"/>
          <w:szCs w:val="24"/>
        </w:rPr>
        <w:t>。</w:t>
      </w:r>
    </w:p>
    <w:p w14:paraId="416162ED">
      <w:pPr>
        <w:spacing w:line="360" w:lineRule="auto"/>
        <w:ind w:firstLine="480" w:firstLineChars="200"/>
        <w:jc w:val="left"/>
        <w:rPr>
          <w:rFonts w:hint="eastAsia" w:ascii="Times New Roman" w:hAnsi="Times New Roman" w:eastAsia="仿宋_GB2312" w:cs="Times New Roman"/>
          <w:kern w:val="0"/>
          <w:sz w:val="24"/>
          <w:szCs w:val="24"/>
        </w:rPr>
      </w:pPr>
      <w:r>
        <w:rPr>
          <w:rFonts w:hint="eastAsia" w:ascii="宋体" w:hAnsi="宋体" w:eastAsia="宋体" w:cs="Times New Roman"/>
          <w:sz w:val="24"/>
          <w:szCs w:val="24"/>
        </w:rPr>
        <w:t>(7)承包人未按合同约定的时间提交BIM成果的违约责任：</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Times New Roman" w:hAnsi="Times New Roman" w:eastAsia="仿宋_GB2312" w:cs="Times New Roman"/>
          <w:kern w:val="0"/>
          <w:sz w:val="24"/>
          <w:szCs w:val="24"/>
        </w:rPr>
        <w:t>；</w:t>
      </w:r>
    </w:p>
    <w:p w14:paraId="2B9B7AEA">
      <w:pPr>
        <w:spacing w:line="360" w:lineRule="auto"/>
        <w:ind w:firstLine="480" w:firstLineChars="200"/>
        <w:jc w:val="left"/>
        <w:rPr>
          <w:rFonts w:hint="eastAsia" w:ascii="Times New Roman" w:hAnsi="Times New Roman" w:eastAsia="仿宋_GB2312" w:cs="Times New Roman"/>
          <w:kern w:val="0"/>
          <w:sz w:val="24"/>
          <w:szCs w:val="24"/>
        </w:rPr>
      </w:pPr>
      <w:r>
        <w:rPr>
          <w:rFonts w:hint="eastAsia" w:ascii="宋体" w:hAnsi="宋体" w:eastAsia="宋体" w:cs="Times New Roman"/>
          <w:sz w:val="24"/>
          <w:szCs w:val="24"/>
        </w:rPr>
        <w:t>承包人未按合同约定的实施要求、执行标准提交BIM成果的违约责任：</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Times New Roman" w:hAnsi="Times New Roman" w:eastAsia="仿宋_GB2312" w:cs="Times New Roman"/>
          <w:kern w:val="0"/>
          <w:sz w:val="24"/>
          <w:szCs w:val="24"/>
        </w:rPr>
        <w:t>；</w:t>
      </w:r>
    </w:p>
    <w:p w14:paraId="00514AA5">
      <w:pPr>
        <w:spacing w:line="360" w:lineRule="auto"/>
        <w:ind w:firstLine="480" w:firstLineChars="200"/>
        <w:jc w:val="left"/>
        <w:rPr>
          <w:rFonts w:hint="eastAsia" w:ascii="宋体" w:hAnsi="宋体" w:eastAsia="宋体" w:cs="Times New Roman"/>
          <w:sz w:val="24"/>
          <w:szCs w:val="24"/>
        </w:rPr>
      </w:pPr>
      <w:r>
        <w:rPr>
          <w:rFonts w:hint="eastAsia" w:ascii="宋体" w:hAnsi="宋体" w:eastAsia="宋体" w:cs="Times New Roman"/>
          <w:sz w:val="24"/>
          <w:szCs w:val="24"/>
        </w:rPr>
        <w:t>其他情形的违约责任：</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Times New Roman" w:hAnsi="Times New Roman" w:eastAsia="仿宋_GB2312" w:cs="Times New Roman"/>
          <w:kern w:val="0"/>
          <w:sz w:val="24"/>
          <w:szCs w:val="24"/>
        </w:rPr>
        <w:t>。</w:t>
      </w:r>
    </w:p>
    <w:p w14:paraId="77F92761">
      <w:pPr>
        <w:spacing w:line="360" w:lineRule="auto"/>
        <w:ind w:firstLine="480" w:firstLineChars="200"/>
        <w:jc w:val="left"/>
        <w:rPr>
          <w:rFonts w:ascii="Times New Roman" w:hAnsi="Times New Roman" w:eastAsia="仿宋_GB2312" w:cs="Times New Roman"/>
          <w:kern w:val="0"/>
          <w:sz w:val="24"/>
          <w:szCs w:val="24"/>
        </w:rPr>
      </w:pPr>
      <w:r>
        <w:rPr>
          <w:rFonts w:hint="eastAsia" w:ascii="宋体" w:hAnsi="宋体" w:eastAsia="宋体" w:cs="Times New Roman"/>
          <w:sz w:val="24"/>
          <w:szCs w:val="24"/>
        </w:rPr>
        <w:t>(8)</w:t>
      </w:r>
      <w:r>
        <w:rPr>
          <w:rFonts w:ascii="宋体" w:hAnsi="宋体" w:eastAsia="宋体" w:cs="Times New Roman"/>
          <w:sz w:val="24"/>
          <w:szCs w:val="24"/>
        </w:rPr>
        <w:t>承包人明确表示或其行为表明不履行合同主要义务的违约责任：</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ascii="Times New Roman" w:hAnsi="Times New Roman" w:eastAsia="仿宋_GB2312" w:cs="Times New Roman"/>
          <w:kern w:val="0"/>
          <w:sz w:val="24"/>
          <w:szCs w:val="24"/>
        </w:rPr>
        <w:t>。</w:t>
      </w:r>
    </w:p>
    <w:p w14:paraId="5DD8D42C">
      <w:pPr>
        <w:spacing w:line="360" w:lineRule="auto"/>
        <w:ind w:firstLine="480" w:firstLineChars="200"/>
        <w:jc w:val="left"/>
        <w:rPr>
          <w:rFonts w:ascii="Times New Roman" w:hAnsi="Times New Roman" w:eastAsia="仿宋_GB2312" w:cs="Times New Roman"/>
          <w:kern w:val="0"/>
          <w:sz w:val="24"/>
          <w:szCs w:val="24"/>
        </w:rPr>
      </w:pPr>
      <w:r>
        <w:rPr>
          <w:rFonts w:hint="eastAsia" w:ascii="宋体" w:hAnsi="宋体" w:eastAsia="宋体" w:cs="Times New Roman"/>
          <w:sz w:val="24"/>
          <w:szCs w:val="24"/>
        </w:rPr>
        <w:t>(9)其他：</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ascii="Times New Roman" w:hAnsi="Times New Roman" w:eastAsia="仿宋_GB2312" w:cs="Times New Roman"/>
          <w:kern w:val="0"/>
          <w:sz w:val="24"/>
          <w:szCs w:val="24"/>
        </w:rPr>
        <w:t>。</w:t>
      </w:r>
    </w:p>
    <w:p w14:paraId="5EC10DD3">
      <w:pPr>
        <w:spacing w:line="360" w:lineRule="auto"/>
        <w:ind w:firstLine="480" w:firstLineChars="200"/>
        <w:jc w:val="left"/>
        <w:rPr>
          <w:rFonts w:hint="eastAsia" w:ascii="Times New Roman" w:hAnsi="Times New Roman" w:eastAsia="仿宋_GB2312" w:cs="Times New Roman"/>
          <w:kern w:val="0"/>
          <w:sz w:val="24"/>
          <w:szCs w:val="24"/>
          <w:u w:val="single"/>
        </w:rPr>
      </w:pPr>
      <w:r>
        <w:rPr>
          <w:rFonts w:hint="eastAsia" w:ascii="宋体" w:hAnsi="宋体" w:eastAsia="宋体" w:cs="Times New Roman"/>
          <w:sz w:val="24"/>
          <w:szCs w:val="24"/>
        </w:rPr>
        <w:t>承</w:t>
      </w:r>
      <w:r>
        <w:rPr>
          <w:rFonts w:ascii="宋体" w:hAnsi="宋体" w:eastAsia="宋体" w:cs="Times New Roman"/>
          <w:sz w:val="24"/>
          <w:szCs w:val="24"/>
        </w:rPr>
        <w:t>包人违约</w:t>
      </w:r>
      <w:r>
        <w:rPr>
          <w:rFonts w:hint="eastAsia" w:ascii="宋体" w:hAnsi="宋体" w:eastAsia="宋体" w:cs="Times New Roman"/>
          <w:sz w:val="24"/>
          <w:szCs w:val="24"/>
        </w:rPr>
        <w:t>金上限为：</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p>
    <w:p w14:paraId="537C9F95">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bookmarkStart w:id="6057" w:name="_Toc35656550"/>
      <w:bookmarkStart w:id="6058" w:name="_Toc305331523"/>
      <w:bookmarkStart w:id="6059" w:name="_Toc1734181352"/>
      <w:bookmarkStart w:id="6060" w:name="_Toc26058"/>
      <w:bookmarkStart w:id="6061" w:name="_Toc8996"/>
      <w:bookmarkStart w:id="6062" w:name="_Toc208587871"/>
      <w:bookmarkStart w:id="6063" w:name="_Toc13947"/>
      <w:bookmarkStart w:id="6064" w:name="_Toc302636049"/>
      <w:bookmarkStart w:id="6065" w:name="_Toc4405"/>
      <w:bookmarkStart w:id="6066" w:name="_Toc4557"/>
      <w:bookmarkStart w:id="6067" w:name="_Toc12119"/>
      <w:bookmarkStart w:id="6068" w:name="_Toc20750"/>
      <w:bookmarkStart w:id="6069" w:name="_Toc12821"/>
      <w:bookmarkStart w:id="6070" w:name="_Toc22292"/>
      <w:bookmarkStart w:id="6071" w:name="_Toc29963"/>
      <w:bookmarkStart w:id="6072" w:name="_Toc201735649"/>
      <w:r>
        <w:rPr>
          <w:rFonts w:hint="eastAsia" w:ascii="华文细黑" w:hAnsi="宋体" w:eastAsia="宋体" w:cs="Times New Roman"/>
          <w:b/>
          <w:bCs/>
          <w:snapToGrid w:val="0"/>
          <w:kern w:val="0"/>
          <w:sz w:val="28"/>
          <w:szCs w:val="44"/>
          <w:lang w:val="en-US" w:eastAsia="zh-CN" w:bidi="ar-SA"/>
        </w:rPr>
        <w:t>31 争议</w:t>
      </w:r>
      <w:bookmarkEnd w:id="6057"/>
      <w:bookmarkEnd w:id="6058"/>
      <w:r>
        <w:rPr>
          <w:rFonts w:hint="eastAsia" w:ascii="华文细黑" w:hAnsi="宋体" w:eastAsia="宋体" w:cs="Times New Roman"/>
          <w:b/>
          <w:bCs/>
          <w:snapToGrid w:val="0"/>
          <w:kern w:val="0"/>
          <w:sz w:val="28"/>
          <w:szCs w:val="44"/>
          <w:lang w:val="en-US" w:eastAsia="zh-CN" w:bidi="ar-SA"/>
        </w:rPr>
        <w:t>解决</w:t>
      </w:r>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p>
    <w:p w14:paraId="5E127A69">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6073" w:name="_Toc28775"/>
      <w:bookmarkStart w:id="6074" w:name="_Toc6157"/>
      <w:bookmarkStart w:id="6075" w:name="_Toc305331524"/>
      <w:bookmarkStart w:id="6076" w:name="_Toc208587872"/>
      <w:bookmarkStart w:id="6077" w:name="_Toc7910"/>
      <w:bookmarkStart w:id="6078" w:name="_Toc23008"/>
      <w:bookmarkStart w:id="6079" w:name="_Toc2043"/>
      <w:bookmarkStart w:id="6080" w:name="_Toc452462785"/>
      <w:bookmarkStart w:id="6081" w:name="_Toc349"/>
      <w:bookmarkStart w:id="6082" w:name="_Toc2197"/>
      <w:bookmarkStart w:id="6083" w:name="_Toc5777"/>
      <w:bookmarkStart w:id="6084" w:name="_Toc201735650"/>
      <w:bookmarkStart w:id="6085" w:name="_Toc27159"/>
      <w:bookmarkStart w:id="6086" w:name="_Toc17300"/>
      <w:bookmarkStart w:id="6087" w:name="_Toc302636050"/>
      <w:r>
        <w:rPr>
          <w:rFonts w:hint="eastAsia" w:ascii="宋体" w:hAnsi="宋体" w:eastAsia="宋体" w:cs="Times New Roman"/>
          <w:b/>
          <w:bCs/>
          <w:kern w:val="0"/>
          <w:sz w:val="24"/>
          <w:szCs w:val="32"/>
          <w:lang w:val="en-US" w:eastAsia="zh-CN" w:bidi="ar-SA"/>
        </w:rPr>
        <w:t>31.1 争议的解决方式</w:t>
      </w:r>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p>
    <w:p w14:paraId="71B10B0F">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(2)</w:t>
      </w:r>
      <w:r>
        <w:rPr>
          <w:rFonts w:ascii="宋体" w:hAnsi="宋体" w:eastAsia="宋体" w:cs="Times New Roman"/>
          <w:sz w:val="24"/>
          <w:szCs w:val="24"/>
        </w:rPr>
        <w:t>发承包双方是否同意将工程争议提交争议评审小组决</w:t>
      </w:r>
      <w:r>
        <w:rPr>
          <w:rFonts w:hint="eastAsia" w:ascii="宋体" w:hAnsi="宋体" w:eastAsia="宋体" w:cs="Times New Roman"/>
          <w:sz w:val="24"/>
          <w:szCs w:val="24"/>
        </w:rPr>
        <w:t>定：</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p>
    <w:p w14:paraId="52000D95">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 xml:space="preserve">。  </w:t>
      </w:r>
    </w:p>
    <w:p w14:paraId="6ED91E2C">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①</w:t>
      </w:r>
      <w:r>
        <w:rPr>
          <w:rFonts w:ascii="宋体" w:hAnsi="宋体" w:eastAsia="宋体" w:cs="Times New Roman"/>
          <w:sz w:val="24"/>
          <w:szCs w:val="24"/>
        </w:rPr>
        <w:t>争议评审小组的确定</w:t>
      </w:r>
    </w:p>
    <w:p w14:paraId="67B488F9">
      <w:pPr>
        <w:spacing w:line="360" w:lineRule="auto"/>
        <w:ind w:firstLine="480"/>
        <w:rPr>
          <w:rFonts w:ascii="宋体" w:hAnsi="宋体" w:eastAsia="宋体" w:cs="Times New Roman"/>
          <w:sz w:val="24"/>
          <w:szCs w:val="24"/>
        </w:rPr>
      </w:pPr>
      <w:r>
        <w:rPr>
          <w:rFonts w:ascii="宋体" w:hAnsi="宋体" w:eastAsia="宋体" w:cs="Times New Roman"/>
          <w:sz w:val="24"/>
          <w:szCs w:val="24"/>
        </w:rPr>
        <w:t>争议评审小组成员的确定：</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ascii="宋体" w:hAnsi="宋体" w:eastAsia="宋体" w:cs="Times New Roman"/>
          <w:sz w:val="24"/>
          <w:szCs w:val="24"/>
        </w:rPr>
        <w:t>。</w:t>
      </w:r>
    </w:p>
    <w:p w14:paraId="690BF40A">
      <w:pPr>
        <w:spacing w:line="360" w:lineRule="auto"/>
        <w:ind w:firstLine="480"/>
        <w:rPr>
          <w:rFonts w:ascii="宋体" w:hAnsi="宋体" w:eastAsia="宋体" w:cs="Times New Roman"/>
          <w:sz w:val="24"/>
          <w:szCs w:val="24"/>
        </w:rPr>
      </w:pPr>
      <w:r>
        <w:rPr>
          <w:rFonts w:ascii="宋体" w:hAnsi="宋体" w:eastAsia="宋体" w:cs="Times New Roman"/>
          <w:sz w:val="24"/>
          <w:szCs w:val="24"/>
        </w:rPr>
        <w:t>选定争议评审员的期限：</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ascii="宋体" w:hAnsi="宋体" w:eastAsia="宋体" w:cs="Times New Roman"/>
          <w:sz w:val="24"/>
          <w:szCs w:val="24"/>
        </w:rPr>
        <w:t>。</w:t>
      </w:r>
    </w:p>
    <w:p w14:paraId="59EC034C">
      <w:pPr>
        <w:spacing w:line="360" w:lineRule="auto"/>
        <w:ind w:firstLine="480"/>
        <w:rPr>
          <w:rFonts w:ascii="宋体" w:hAnsi="宋体" w:eastAsia="宋体" w:cs="Times New Roman"/>
          <w:sz w:val="24"/>
          <w:szCs w:val="24"/>
        </w:rPr>
      </w:pPr>
      <w:r>
        <w:rPr>
          <w:rFonts w:ascii="宋体" w:hAnsi="宋体" w:eastAsia="宋体" w:cs="Times New Roman"/>
          <w:sz w:val="24"/>
          <w:szCs w:val="24"/>
        </w:rPr>
        <w:t>争议评审小组成员的报酬承担方式：</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ascii="宋体" w:hAnsi="宋体" w:eastAsia="宋体" w:cs="Times New Roman"/>
          <w:sz w:val="24"/>
          <w:szCs w:val="24"/>
        </w:rPr>
        <w:t>。</w:t>
      </w:r>
    </w:p>
    <w:p w14:paraId="1A74185F">
      <w:pPr>
        <w:spacing w:line="360" w:lineRule="auto"/>
        <w:ind w:firstLine="480"/>
        <w:rPr>
          <w:rFonts w:ascii="宋体" w:hAnsi="宋体" w:eastAsia="宋体" w:cs="Times New Roman"/>
          <w:sz w:val="24"/>
          <w:szCs w:val="24"/>
        </w:rPr>
      </w:pPr>
      <w:r>
        <w:rPr>
          <w:rFonts w:ascii="宋体" w:hAnsi="宋体" w:eastAsia="宋体" w:cs="Times New Roman"/>
          <w:sz w:val="24"/>
          <w:szCs w:val="24"/>
        </w:rPr>
        <w:t>其他事项的约定：</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ascii="宋体" w:hAnsi="宋体" w:eastAsia="宋体" w:cs="Times New Roman"/>
          <w:sz w:val="24"/>
          <w:szCs w:val="24"/>
        </w:rPr>
        <w:t>。</w:t>
      </w:r>
    </w:p>
    <w:p w14:paraId="0AE3A5EA">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②</w:t>
      </w:r>
      <w:r>
        <w:rPr>
          <w:rFonts w:ascii="宋体" w:hAnsi="宋体" w:eastAsia="宋体" w:cs="Times New Roman"/>
          <w:sz w:val="24"/>
          <w:szCs w:val="24"/>
        </w:rPr>
        <w:t>争议评审小组的决定</w:t>
      </w:r>
    </w:p>
    <w:p w14:paraId="2BE6332D">
      <w:pPr>
        <w:spacing w:line="360" w:lineRule="auto"/>
        <w:ind w:firstLine="480"/>
        <w:rPr>
          <w:rFonts w:ascii="宋体" w:hAnsi="宋体" w:eastAsia="宋体" w:cs="Times New Roman"/>
          <w:sz w:val="24"/>
          <w:szCs w:val="24"/>
        </w:rPr>
      </w:pPr>
      <w:r>
        <w:rPr>
          <w:rFonts w:ascii="宋体" w:hAnsi="宋体" w:eastAsia="宋体" w:cs="Times New Roman"/>
          <w:sz w:val="24"/>
          <w:szCs w:val="24"/>
        </w:rPr>
        <w:t>发承包双方关于本</w:t>
      </w:r>
      <w:r>
        <w:rPr>
          <w:rFonts w:hint="eastAsia" w:ascii="宋体" w:hAnsi="宋体" w:eastAsia="宋体" w:cs="Times New Roman"/>
          <w:sz w:val="24"/>
          <w:szCs w:val="24"/>
        </w:rPr>
        <w:t>事</w:t>
      </w:r>
      <w:r>
        <w:rPr>
          <w:rFonts w:ascii="宋体" w:hAnsi="宋体" w:eastAsia="宋体" w:cs="Times New Roman"/>
          <w:sz w:val="24"/>
          <w:szCs w:val="24"/>
        </w:rPr>
        <w:t>项的约定：</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ascii="宋体" w:hAnsi="宋体" w:eastAsia="宋体" w:cs="Times New Roman"/>
          <w:sz w:val="24"/>
          <w:szCs w:val="24"/>
        </w:rPr>
        <w:t>。</w:t>
      </w:r>
    </w:p>
    <w:p w14:paraId="5E4F903A">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(3)</w:t>
      </w:r>
      <w:r>
        <w:rPr>
          <w:rFonts w:ascii="宋体" w:hAnsi="宋体" w:eastAsia="宋体" w:cs="Times New Roman"/>
          <w:sz w:val="24"/>
          <w:szCs w:val="24"/>
        </w:rPr>
        <w:t>发承包双方</w:t>
      </w:r>
      <w:r>
        <w:rPr>
          <w:rFonts w:hint="eastAsia" w:ascii="宋体" w:hAnsi="宋体" w:eastAsia="宋体" w:cs="Times New Roman"/>
          <w:sz w:val="24"/>
          <w:szCs w:val="24"/>
        </w:rPr>
        <w:t>共同指定的调解机构为：</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u w:val="none"/>
        </w:rPr>
        <w:t>。</w:t>
      </w:r>
    </w:p>
    <w:p w14:paraId="16725AD7">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4</w:t>
      </w:r>
      <w:r>
        <w:rPr>
          <w:rFonts w:hint="eastAsia" w:ascii="宋体" w:hAnsi="宋体" w:eastAsia="宋体" w:cs="Times New Roman"/>
          <w:sz w:val="24"/>
          <w:szCs w:val="24"/>
        </w:rPr>
        <w:t>)经和解、争议评审、调解仍无法解决，或者未就前述争议解决方式达成一致的，应采用下列方式之一解决争议(注：只能选择一种方式，在选定的方式前的“□”内打“</w:t>
      </w:r>
      <w:r>
        <w:rPr>
          <w:rFonts w:hint="eastAsia" w:ascii="宋体" w:hAnsi="宋体" w:eastAsia="宋体" w:cs="Times New Roman"/>
          <w:sz w:val="24"/>
          <w:szCs w:val="24"/>
        </w:rPr>
        <w:sym w:font="Symbol" w:char="F0D6"/>
      </w:r>
      <w:r>
        <w:rPr>
          <w:rFonts w:hint="eastAsia" w:ascii="宋体" w:hAnsi="宋体" w:eastAsia="宋体" w:cs="Times New Roman"/>
          <w:sz w:val="24"/>
          <w:szCs w:val="24"/>
        </w:rPr>
        <w:t>”)：</w:t>
      </w:r>
    </w:p>
    <w:p w14:paraId="78E375AA">
      <w:pPr>
        <w:spacing w:line="360" w:lineRule="auto"/>
        <w:ind w:left="178" w:firstLine="480"/>
        <w:rPr>
          <w:rFonts w:hint="eastAsia" w:ascii="宋体" w:hAnsi="宋体" w:eastAsia="宋体" w:cs="Times New Roman"/>
          <w:sz w:val="24"/>
          <w:szCs w:val="24"/>
        </w:rPr>
      </w:pPr>
      <w:r>
        <w:rPr>
          <w:rFonts w:hint="eastAsia" w:ascii="宋体" w:hAnsi="宋体" w:eastAsia="宋体" w:cs="Times New Roman"/>
          <w:sz w:val="24"/>
          <w:szCs w:val="24"/>
        </w:rPr>
        <w:t>□提交深圳国际仲裁院仲裁；</w:t>
      </w:r>
    </w:p>
    <w:p w14:paraId="660188BB">
      <w:pPr>
        <w:spacing w:line="360" w:lineRule="auto"/>
        <w:ind w:left="178" w:firstLine="480"/>
        <w:rPr>
          <w:rFonts w:ascii="宋体" w:hAnsi="宋体" w:eastAsia="宋体" w:cs="Times New Roman"/>
          <w:sz w:val="24"/>
          <w:szCs w:val="24"/>
        </w:rPr>
      </w:pPr>
      <w:r>
        <w:rPr>
          <w:rFonts w:hint="eastAsia" w:ascii="宋体" w:hAnsi="宋体" w:eastAsia="宋体" w:cs="Times New Roman"/>
          <w:sz w:val="24"/>
          <w:szCs w:val="24"/>
        </w:rPr>
        <w:t>□向有管辖权的人民法院提起诉讼。</w:t>
      </w:r>
    </w:p>
    <w:p w14:paraId="5825932D">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bookmarkStart w:id="6088" w:name="_Toc1637305476"/>
      <w:bookmarkStart w:id="6089" w:name="_Toc4074"/>
      <w:bookmarkStart w:id="6090" w:name="_Toc24637"/>
      <w:bookmarkStart w:id="6091" w:name="_Toc201735651"/>
      <w:bookmarkStart w:id="6092" w:name="_Toc29014"/>
      <w:bookmarkStart w:id="6093" w:name="_Toc31691"/>
      <w:bookmarkStart w:id="6094" w:name="_Toc18670"/>
      <w:bookmarkStart w:id="6095" w:name="_Toc5416"/>
      <w:bookmarkStart w:id="6096" w:name="_Toc4692"/>
      <w:bookmarkStart w:id="6097" w:name="_Toc208587873"/>
      <w:bookmarkStart w:id="6098" w:name="_Toc24312"/>
      <w:bookmarkStart w:id="6099" w:name="_Toc12223"/>
      <w:bookmarkStart w:id="6100" w:name="_Toc27434"/>
      <w:bookmarkStart w:id="6101" w:name="_Toc35656553"/>
      <w:bookmarkStart w:id="6102" w:name="_Toc305331525"/>
      <w:bookmarkStart w:id="6103" w:name="_Toc302636051"/>
      <w:r>
        <w:rPr>
          <w:rFonts w:hint="eastAsia" w:ascii="华文细黑" w:hAnsi="宋体" w:eastAsia="宋体" w:cs="Times New Roman"/>
          <w:b/>
          <w:bCs/>
          <w:snapToGrid w:val="0"/>
          <w:kern w:val="0"/>
          <w:sz w:val="28"/>
          <w:szCs w:val="44"/>
          <w:lang w:val="en-US" w:eastAsia="zh-CN" w:bidi="ar-SA"/>
        </w:rPr>
        <w:t>32 工程缺陷责任与保修</w:t>
      </w:r>
      <w:bookmarkEnd w:id="6088"/>
      <w:bookmarkEnd w:id="6089"/>
      <w:bookmarkEnd w:id="6090"/>
      <w:bookmarkEnd w:id="6091"/>
      <w:bookmarkEnd w:id="6092"/>
      <w:bookmarkEnd w:id="6093"/>
      <w:bookmarkEnd w:id="6094"/>
      <w:bookmarkEnd w:id="6095"/>
      <w:bookmarkEnd w:id="6096"/>
      <w:bookmarkEnd w:id="6097"/>
      <w:bookmarkEnd w:id="6098"/>
      <w:bookmarkEnd w:id="6099"/>
      <w:bookmarkEnd w:id="6100"/>
    </w:p>
    <w:p w14:paraId="7D158343">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6104" w:name="_Toc405"/>
      <w:bookmarkStart w:id="6105" w:name="_Toc15857"/>
      <w:bookmarkStart w:id="6106" w:name="_Toc21468"/>
      <w:bookmarkStart w:id="6107" w:name="_Toc11864"/>
      <w:bookmarkStart w:id="6108" w:name="_Toc1042582435"/>
      <w:bookmarkStart w:id="6109" w:name="_Toc23860"/>
      <w:bookmarkStart w:id="6110" w:name="_Toc20084"/>
      <w:bookmarkStart w:id="6111" w:name="_Toc201735652"/>
      <w:bookmarkStart w:id="6112" w:name="_Toc1906"/>
      <w:bookmarkStart w:id="6113" w:name="_Toc208587874"/>
      <w:bookmarkStart w:id="6114" w:name="_Toc236"/>
      <w:bookmarkStart w:id="6115" w:name="_Toc26675"/>
      <w:bookmarkStart w:id="6116" w:name="_Toc21586"/>
      <w:r>
        <w:rPr>
          <w:rFonts w:hint="eastAsia" w:ascii="宋体" w:hAnsi="宋体" w:eastAsia="宋体" w:cs="Times New Roman"/>
          <w:b/>
          <w:bCs/>
          <w:kern w:val="0"/>
          <w:sz w:val="24"/>
          <w:szCs w:val="32"/>
          <w:lang w:val="en-US" w:eastAsia="zh-CN" w:bidi="ar-SA"/>
        </w:rPr>
        <w:t>32.2 缺陷责任期</w:t>
      </w:r>
      <w:bookmarkEnd w:id="6104"/>
      <w:bookmarkEnd w:id="6105"/>
      <w:bookmarkEnd w:id="6106"/>
      <w:bookmarkEnd w:id="6107"/>
      <w:bookmarkEnd w:id="6108"/>
      <w:bookmarkEnd w:id="6109"/>
      <w:bookmarkEnd w:id="6110"/>
      <w:bookmarkEnd w:id="6111"/>
      <w:bookmarkEnd w:id="6112"/>
      <w:bookmarkEnd w:id="6113"/>
      <w:bookmarkEnd w:id="6114"/>
      <w:bookmarkEnd w:id="6115"/>
      <w:bookmarkEnd w:id="6116"/>
    </w:p>
    <w:p w14:paraId="56DFDFE4">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1</w:t>
      </w:r>
      <w:r>
        <w:rPr>
          <w:rFonts w:hint="eastAsia" w:ascii="宋体" w:hAnsi="宋体" w:eastAsia="宋体" w:cs="Times New Roman"/>
          <w:sz w:val="24"/>
          <w:szCs w:val="24"/>
        </w:rPr>
        <w:t>)本工程缺陷责任期期限为：</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12E0271A">
      <w:pPr>
        <w:spacing w:line="360" w:lineRule="auto"/>
        <w:ind w:firstLine="480"/>
        <w:rPr>
          <w:rFonts w:hint="eastAsia" w:ascii="宋体" w:hAnsi="宋体" w:eastAsia="宋体" w:cs="Times New Roman"/>
          <w:sz w:val="24"/>
          <w:szCs w:val="24"/>
        </w:rPr>
      </w:pPr>
      <w:r>
        <w:rPr>
          <w:rFonts w:ascii="宋体" w:hAnsi="宋体" w:eastAsia="宋体" w:cs="Times New Roman"/>
          <w:sz w:val="24"/>
          <w:szCs w:val="24"/>
        </w:rPr>
        <w:t>(4)</w:t>
      </w:r>
      <w:r>
        <w:rPr>
          <w:rFonts w:hint="eastAsia" w:ascii="宋体" w:hAnsi="宋体" w:eastAsia="宋体" w:cs="Times New Roman"/>
          <w:sz w:val="24"/>
          <w:szCs w:val="24"/>
        </w:rPr>
        <w:t>承包人向发包人发出缺陷责任期届满通知的时间：</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39C66715">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6117" w:name="_Toc3937"/>
      <w:bookmarkStart w:id="6118" w:name="_Toc15738"/>
      <w:bookmarkStart w:id="6119" w:name="_Toc31463"/>
      <w:bookmarkStart w:id="6120" w:name="_Toc21004"/>
      <w:bookmarkStart w:id="6121" w:name="_Toc6868"/>
      <w:bookmarkStart w:id="6122" w:name="_Toc27462"/>
      <w:bookmarkStart w:id="6123" w:name="_Toc27885"/>
      <w:bookmarkStart w:id="6124" w:name="_Toc1212434857"/>
      <w:bookmarkStart w:id="6125" w:name="_Toc201735653"/>
      <w:bookmarkStart w:id="6126" w:name="_Toc16493"/>
      <w:bookmarkStart w:id="6127" w:name="_Toc208587875"/>
      <w:bookmarkStart w:id="6128" w:name="_Toc27635"/>
      <w:bookmarkStart w:id="6129" w:name="_Toc3542"/>
      <w:r>
        <w:rPr>
          <w:rFonts w:hint="eastAsia" w:ascii="宋体" w:hAnsi="宋体" w:eastAsia="宋体" w:cs="Times New Roman"/>
          <w:b/>
          <w:bCs/>
          <w:kern w:val="0"/>
          <w:sz w:val="24"/>
          <w:szCs w:val="32"/>
          <w:lang w:val="en-US" w:eastAsia="zh-CN" w:bidi="ar-SA"/>
        </w:rPr>
        <w:t>32.3 质量保证金</w:t>
      </w:r>
      <w:bookmarkEnd w:id="6117"/>
      <w:bookmarkEnd w:id="6118"/>
      <w:bookmarkEnd w:id="6119"/>
      <w:bookmarkEnd w:id="6120"/>
      <w:bookmarkEnd w:id="6121"/>
      <w:bookmarkEnd w:id="6122"/>
      <w:bookmarkEnd w:id="6123"/>
      <w:bookmarkEnd w:id="6124"/>
      <w:bookmarkEnd w:id="6125"/>
      <w:bookmarkEnd w:id="6126"/>
      <w:bookmarkEnd w:id="6127"/>
      <w:bookmarkEnd w:id="6128"/>
      <w:bookmarkEnd w:id="6129"/>
    </w:p>
    <w:p w14:paraId="139F836D">
      <w:pPr>
        <w:spacing w:line="360" w:lineRule="auto"/>
        <w:ind w:firstLine="480"/>
        <w:rPr>
          <w:rFonts w:hint="eastAsia" w:ascii="宋体" w:hAnsi="宋体" w:eastAsia="宋体" w:cs="Times New Roman"/>
          <w:sz w:val="24"/>
          <w:szCs w:val="24"/>
        </w:rPr>
      </w:pPr>
      <w:r>
        <w:rPr>
          <w:rFonts w:ascii="宋体" w:hAnsi="宋体" w:eastAsia="宋体" w:cs="Times New Roman"/>
          <w:sz w:val="24"/>
          <w:szCs w:val="24"/>
        </w:rPr>
        <w:t>(1)</w:t>
      </w:r>
      <w:r>
        <w:rPr>
          <w:rFonts w:hint="eastAsia" w:ascii="宋体" w:hAnsi="宋体" w:eastAsia="宋体" w:cs="Times New Roman"/>
          <w:sz w:val="24"/>
          <w:szCs w:val="24"/>
        </w:rPr>
        <w:t>承包人提供质量保证金的方式约定：</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1697AEA6">
      <w:pPr>
        <w:adjustRightInd w:val="0"/>
        <w:spacing w:line="360" w:lineRule="auto"/>
        <w:ind w:firstLine="360" w:firstLineChars="150"/>
        <w:rPr>
          <w:rFonts w:hint="eastAsia" w:ascii="宋体" w:hAnsi="宋体" w:eastAsia="宋体" w:cs="Times New Roman"/>
          <w:sz w:val="24"/>
          <w:szCs w:val="24"/>
        </w:rPr>
      </w:pPr>
      <w:r>
        <w:rPr>
          <w:rFonts w:hint="eastAsia" w:ascii="宋体" w:hAnsi="宋体" w:eastAsia="宋体" w:cs="Times New Roman"/>
          <w:sz w:val="24"/>
          <w:szCs w:val="24"/>
        </w:rPr>
        <w:t xml:space="preserve"> </w:t>
      </w:r>
      <w:r>
        <w:rPr>
          <w:rFonts w:ascii="宋体" w:hAnsi="宋体" w:eastAsia="宋体" w:cs="Times New Roman"/>
          <w:sz w:val="24"/>
          <w:szCs w:val="24"/>
        </w:rPr>
        <w:t>(2)</w:t>
      </w:r>
      <w:r>
        <w:rPr>
          <w:rFonts w:hint="eastAsia" w:ascii="宋体" w:hAnsi="宋体" w:eastAsia="宋体" w:cs="Times New Roman"/>
          <w:sz w:val="24"/>
          <w:szCs w:val="24"/>
        </w:rPr>
        <w:t>质量保证金的金额约定为：</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1FD80DA3">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6130" w:name="_Toc6017"/>
      <w:bookmarkStart w:id="6131" w:name="_Toc5159"/>
      <w:bookmarkStart w:id="6132" w:name="_Toc201735655"/>
      <w:bookmarkStart w:id="6133" w:name="_Toc2825"/>
      <w:bookmarkStart w:id="6134" w:name="_Toc22005"/>
      <w:bookmarkStart w:id="6135" w:name="_Toc24300"/>
      <w:bookmarkStart w:id="6136" w:name="_Toc12483"/>
      <w:bookmarkStart w:id="6137" w:name="_Toc208587876"/>
      <w:bookmarkStart w:id="6138" w:name="_Toc31502"/>
      <w:bookmarkStart w:id="6139" w:name="_Toc1808591875"/>
      <w:bookmarkStart w:id="6140" w:name="_Toc6603"/>
      <w:bookmarkStart w:id="6141" w:name="_Toc18664"/>
      <w:bookmarkStart w:id="6142" w:name="_Toc13387"/>
      <w:r>
        <w:rPr>
          <w:rFonts w:hint="eastAsia" w:ascii="宋体" w:hAnsi="宋体" w:eastAsia="宋体" w:cs="Times New Roman"/>
          <w:b/>
          <w:bCs/>
          <w:kern w:val="0"/>
          <w:sz w:val="24"/>
          <w:szCs w:val="32"/>
          <w:lang w:val="en-US" w:eastAsia="zh-CN" w:bidi="ar-SA"/>
        </w:rPr>
        <w:t>32.6 修复通知</w:t>
      </w:r>
      <w:bookmarkEnd w:id="6130"/>
      <w:bookmarkEnd w:id="6131"/>
      <w:bookmarkEnd w:id="6132"/>
      <w:bookmarkEnd w:id="6133"/>
      <w:bookmarkEnd w:id="6134"/>
      <w:bookmarkEnd w:id="6135"/>
      <w:bookmarkEnd w:id="6136"/>
      <w:bookmarkEnd w:id="6137"/>
      <w:bookmarkEnd w:id="6138"/>
      <w:bookmarkEnd w:id="6139"/>
      <w:bookmarkEnd w:id="6140"/>
      <w:bookmarkEnd w:id="6141"/>
      <w:bookmarkEnd w:id="6142"/>
    </w:p>
    <w:p w14:paraId="75BE2082">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承包人收到保修通知并到达工程现场的合理时间为：</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582996AF">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bookmarkStart w:id="6143" w:name="_Toc21469"/>
      <w:bookmarkStart w:id="6144" w:name="_Toc201735656"/>
      <w:bookmarkStart w:id="6145" w:name="_Toc15951"/>
      <w:bookmarkStart w:id="6146" w:name="_Toc8308"/>
      <w:bookmarkStart w:id="6147" w:name="_Toc8057"/>
      <w:bookmarkStart w:id="6148" w:name="_Toc22566"/>
      <w:bookmarkStart w:id="6149" w:name="_Toc31058"/>
      <w:bookmarkStart w:id="6150" w:name="_Toc18012"/>
      <w:bookmarkStart w:id="6151" w:name="_Toc31396"/>
      <w:bookmarkStart w:id="6152" w:name="_Toc32343"/>
      <w:bookmarkStart w:id="6153" w:name="_Toc9280"/>
      <w:bookmarkStart w:id="6154" w:name="_Toc208587877"/>
      <w:bookmarkStart w:id="6155" w:name="_Toc1080058543"/>
      <w:r>
        <w:rPr>
          <w:rFonts w:hint="eastAsia" w:ascii="华文细黑" w:hAnsi="宋体" w:eastAsia="宋体" w:cs="Times New Roman"/>
          <w:b/>
          <w:bCs/>
          <w:snapToGrid w:val="0"/>
          <w:kern w:val="0"/>
          <w:sz w:val="28"/>
          <w:szCs w:val="44"/>
          <w:lang w:val="en-US" w:eastAsia="zh-CN" w:bidi="ar-SA"/>
        </w:rPr>
        <w:t>33 不可抗力</w:t>
      </w:r>
      <w:bookmarkEnd w:id="6101"/>
      <w:bookmarkEnd w:id="6102"/>
      <w:bookmarkEnd w:id="6103"/>
      <w:bookmarkEnd w:id="6143"/>
      <w:bookmarkEnd w:id="6144"/>
      <w:bookmarkEnd w:id="6145"/>
      <w:bookmarkEnd w:id="6146"/>
      <w:bookmarkEnd w:id="6147"/>
      <w:bookmarkEnd w:id="6148"/>
      <w:bookmarkEnd w:id="6149"/>
      <w:r>
        <w:rPr>
          <w:rFonts w:hint="eastAsia" w:ascii="华文细黑" w:hAnsi="宋体" w:eastAsia="宋体" w:cs="Times New Roman"/>
          <w:b/>
          <w:bCs/>
          <w:snapToGrid w:val="0"/>
          <w:kern w:val="0"/>
          <w:sz w:val="28"/>
          <w:szCs w:val="44"/>
          <w:lang w:val="en-US" w:eastAsia="zh-CN" w:bidi="ar-SA"/>
        </w:rPr>
        <w:t>及其他</w:t>
      </w:r>
      <w:bookmarkEnd w:id="6150"/>
      <w:bookmarkEnd w:id="6151"/>
      <w:bookmarkEnd w:id="6152"/>
      <w:bookmarkEnd w:id="6153"/>
      <w:bookmarkEnd w:id="6154"/>
      <w:bookmarkEnd w:id="6155"/>
    </w:p>
    <w:p w14:paraId="375D1D20">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6156" w:name="_Toc5393"/>
      <w:bookmarkStart w:id="6157" w:name="_Toc3245"/>
      <w:bookmarkStart w:id="6158" w:name="_Toc7422"/>
      <w:bookmarkStart w:id="6159" w:name="_Toc78292488"/>
      <w:bookmarkStart w:id="6160" w:name="_Toc17228"/>
      <w:bookmarkStart w:id="6161" w:name="_Toc208587878"/>
      <w:bookmarkStart w:id="6162" w:name="_Toc201735657"/>
      <w:bookmarkStart w:id="6163" w:name="_Toc26922"/>
      <w:bookmarkStart w:id="6164" w:name="_Toc302636052"/>
      <w:bookmarkStart w:id="6165" w:name="_Toc10495"/>
      <w:bookmarkStart w:id="6166" w:name="_Toc305331526"/>
      <w:bookmarkStart w:id="6167" w:name="_Toc26025"/>
      <w:bookmarkStart w:id="6168" w:name="_Toc28078"/>
      <w:bookmarkStart w:id="6169" w:name="_Toc747"/>
      <w:bookmarkStart w:id="6170" w:name="_Toc6970"/>
      <w:r>
        <w:rPr>
          <w:rFonts w:hint="eastAsia" w:ascii="宋体" w:hAnsi="宋体" w:eastAsia="宋体" w:cs="Times New Roman"/>
          <w:b/>
          <w:bCs/>
          <w:kern w:val="0"/>
          <w:sz w:val="24"/>
          <w:szCs w:val="32"/>
          <w:lang w:val="en-US" w:eastAsia="zh-CN" w:bidi="ar-SA"/>
        </w:rPr>
        <w:t>33.1 不可抗力包括范围</w:t>
      </w:r>
      <w:bookmarkEnd w:id="6156"/>
      <w:bookmarkEnd w:id="6157"/>
      <w:bookmarkEnd w:id="6158"/>
      <w:bookmarkEnd w:id="6159"/>
      <w:bookmarkEnd w:id="6160"/>
      <w:bookmarkEnd w:id="6161"/>
    </w:p>
    <w:p w14:paraId="140B4117">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发包人与承包人约定的其他不可抗力：</w:t>
      </w:r>
    </w:p>
    <w:p w14:paraId="5FA06251">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(1)平均风力</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级以上的大风；</w:t>
      </w:r>
    </w:p>
    <w:p w14:paraId="614CF72E">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(2)3个小时内降雨量为</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以上的暴雨；</w:t>
      </w:r>
    </w:p>
    <w:p w14:paraId="088166CB">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(3)</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摄氏度以上的高温天气；</w:t>
      </w:r>
    </w:p>
    <w:p w14:paraId="7A90535F">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(4)其它情形：</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 xml:space="preserve">。                                   </w:t>
      </w:r>
    </w:p>
    <w:p w14:paraId="5497B86A">
      <w:pPr>
        <w:widowControl w:val="0"/>
        <w:numPr>
          <w:ilvl w:val="0"/>
          <w:numId w:val="0"/>
        </w:numPr>
        <w:tabs>
          <w:tab w:val="left" w:pos="540"/>
          <w:tab w:val="left" w:pos="900"/>
          <w:tab w:val="left" w:pos="2340"/>
        </w:tabs>
        <w:spacing w:before="120" w:after="156"/>
        <w:ind w:left="359"/>
        <w:jc w:val="left"/>
        <w:outlineLvl w:val="1"/>
        <w:rPr>
          <w:rFonts w:ascii="宋体" w:hAnsi="宋体" w:eastAsia="宋体" w:cs="Times New Roman"/>
          <w:b/>
          <w:bCs/>
          <w:kern w:val="0"/>
          <w:sz w:val="24"/>
          <w:szCs w:val="32"/>
          <w:lang w:val="en-US" w:eastAsia="zh-CN" w:bidi="ar-SA"/>
        </w:rPr>
      </w:pPr>
      <w:bookmarkStart w:id="6171" w:name="_Toc15793"/>
      <w:bookmarkStart w:id="6172" w:name="_Toc902465783"/>
      <w:bookmarkStart w:id="6173" w:name="_Toc208587879"/>
      <w:bookmarkStart w:id="6174" w:name="_Toc24211"/>
      <w:bookmarkStart w:id="6175" w:name="_Toc2646"/>
      <w:bookmarkStart w:id="6176" w:name="_Toc5063"/>
      <w:r>
        <w:rPr>
          <w:rFonts w:ascii="宋体" w:hAnsi="宋体" w:eastAsia="宋体" w:cs="Times New Roman"/>
          <w:b/>
          <w:bCs/>
          <w:kern w:val="0"/>
          <w:sz w:val="24"/>
          <w:szCs w:val="32"/>
          <w:lang w:val="en-US" w:eastAsia="zh-CN" w:bidi="ar-SA"/>
        </w:rPr>
        <w:t>33</w:t>
      </w:r>
      <w:r>
        <w:rPr>
          <w:rFonts w:hint="eastAsia" w:ascii="宋体" w:hAnsi="宋体" w:eastAsia="宋体" w:cs="Times New Roman"/>
          <w:b/>
          <w:bCs/>
          <w:kern w:val="0"/>
          <w:sz w:val="24"/>
          <w:szCs w:val="32"/>
          <w:lang w:val="en-US" w:eastAsia="zh-CN" w:bidi="ar-SA"/>
        </w:rPr>
        <w:t>.</w:t>
      </w:r>
      <w:r>
        <w:rPr>
          <w:rFonts w:ascii="宋体" w:hAnsi="宋体" w:eastAsia="宋体" w:cs="Times New Roman"/>
          <w:b/>
          <w:bCs/>
          <w:kern w:val="0"/>
          <w:sz w:val="24"/>
          <w:szCs w:val="32"/>
          <w:lang w:val="en-US" w:eastAsia="zh-CN" w:bidi="ar-SA"/>
        </w:rPr>
        <w:t>5</w:t>
      </w:r>
      <w:r>
        <w:rPr>
          <w:rFonts w:hint="eastAsia" w:ascii="宋体" w:hAnsi="宋体" w:eastAsia="宋体" w:cs="Times New Roman"/>
          <w:b/>
          <w:bCs/>
          <w:kern w:val="0"/>
          <w:sz w:val="24"/>
          <w:szCs w:val="32"/>
          <w:lang w:val="en-US" w:eastAsia="zh-CN" w:bidi="ar-SA"/>
        </w:rPr>
        <w:t xml:space="preserve"> 例外事件</w:t>
      </w:r>
      <w:bookmarkEnd w:id="6162"/>
      <w:bookmarkEnd w:id="6171"/>
      <w:bookmarkEnd w:id="6172"/>
      <w:bookmarkEnd w:id="6173"/>
      <w:bookmarkEnd w:id="6174"/>
      <w:bookmarkEnd w:id="6175"/>
      <w:bookmarkEnd w:id="6176"/>
    </w:p>
    <w:p w14:paraId="3D9EAD37">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本合同约定的其他情形例外事件包括：</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rPr>
        <w:t>。</w:t>
      </w:r>
    </w:p>
    <w:bookmarkEnd w:id="6163"/>
    <w:bookmarkEnd w:id="6164"/>
    <w:bookmarkEnd w:id="6165"/>
    <w:bookmarkEnd w:id="6166"/>
    <w:bookmarkEnd w:id="6167"/>
    <w:bookmarkEnd w:id="6168"/>
    <w:bookmarkEnd w:id="6169"/>
    <w:bookmarkEnd w:id="6170"/>
    <w:p w14:paraId="6719DC06">
      <w:pPr>
        <w:widowControl w:val="0"/>
        <w:numPr>
          <w:ilvl w:val="0"/>
          <w:numId w:val="0"/>
        </w:numPr>
        <w:tabs>
          <w:tab w:val="left" w:pos="540"/>
          <w:tab w:val="left" w:pos="900"/>
          <w:tab w:val="left" w:pos="2340"/>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6177" w:name="_Toc26459"/>
      <w:bookmarkStart w:id="6178" w:name="_Toc1014345157"/>
      <w:bookmarkStart w:id="6179" w:name="_Toc4422"/>
      <w:bookmarkStart w:id="6180" w:name="_Toc208587880"/>
      <w:bookmarkStart w:id="6181" w:name="_Toc201735658"/>
      <w:bookmarkStart w:id="6182" w:name="_Toc32321"/>
      <w:bookmarkStart w:id="6183" w:name="_Toc3922"/>
      <w:r>
        <w:rPr>
          <w:rFonts w:ascii="宋体" w:hAnsi="宋体" w:eastAsia="宋体" w:cs="Times New Roman"/>
          <w:b/>
          <w:bCs/>
          <w:kern w:val="0"/>
          <w:sz w:val="24"/>
          <w:szCs w:val="32"/>
          <w:lang w:val="en-US" w:eastAsia="zh-CN" w:bidi="ar-SA"/>
        </w:rPr>
        <w:t>33</w:t>
      </w:r>
      <w:r>
        <w:rPr>
          <w:rFonts w:hint="eastAsia" w:ascii="宋体" w:hAnsi="宋体" w:eastAsia="宋体" w:cs="Times New Roman"/>
          <w:b/>
          <w:bCs/>
          <w:kern w:val="0"/>
          <w:sz w:val="24"/>
          <w:szCs w:val="32"/>
          <w:lang w:val="en-US" w:eastAsia="zh-CN" w:bidi="ar-SA"/>
        </w:rPr>
        <w:t>.</w:t>
      </w:r>
      <w:r>
        <w:rPr>
          <w:rFonts w:ascii="宋体" w:hAnsi="宋体" w:eastAsia="宋体" w:cs="Times New Roman"/>
          <w:b/>
          <w:bCs/>
          <w:kern w:val="0"/>
          <w:sz w:val="24"/>
          <w:szCs w:val="32"/>
          <w:lang w:val="en-US" w:eastAsia="zh-CN" w:bidi="ar-SA"/>
        </w:rPr>
        <w:t>6</w:t>
      </w:r>
      <w:r>
        <w:rPr>
          <w:rFonts w:hint="eastAsia" w:ascii="宋体" w:hAnsi="宋体" w:eastAsia="宋体" w:cs="Times New Roman"/>
          <w:b/>
          <w:bCs/>
          <w:kern w:val="0"/>
          <w:sz w:val="24"/>
          <w:szCs w:val="32"/>
          <w:lang w:val="en-US" w:eastAsia="zh-CN" w:bidi="ar-SA"/>
        </w:rPr>
        <w:t xml:space="preserve"> 不利的物质条件</w:t>
      </w:r>
      <w:bookmarkEnd w:id="6177"/>
      <w:bookmarkEnd w:id="6178"/>
      <w:bookmarkEnd w:id="6179"/>
      <w:bookmarkEnd w:id="6180"/>
      <w:bookmarkEnd w:id="6181"/>
      <w:bookmarkEnd w:id="6182"/>
      <w:bookmarkEnd w:id="6183"/>
    </w:p>
    <w:p w14:paraId="15DB3C40">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1</w:t>
      </w:r>
      <w:r>
        <w:rPr>
          <w:rFonts w:hint="eastAsia" w:ascii="宋体" w:hAnsi="宋体" w:eastAsia="宋体" w:cs="Times New Roman"/>
          <w:sz w:val="24"/>
          <w:szCs w:val="24"/>
        </w:rPr>
        <w:t>)本合同可能产生的不利的物质条件包括（注：可多选，在选定的内容前的“□”内打“√”）：</w:t>
      </w:r>
    </w:p>
    <w:p w14:paraId="33792025">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□不良地质条件：</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rPr>
        <w:t>；</w:t>
      </w:r>
    </w:p>
    <w:p w14:paraId="2FB4F542">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□异常水文条件：</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rPr>
        <w:t>；</w:t>
      </w:r>
    </w:p>
    <w:p w14:paraId="6E8A19CD">
      <w:pPr>
        <w:spacing w:line="360" w:lineRule="auto"/>
        <w:ind w:firstLine="480"/>
        <w:rPr>
          <w:rFonts w:ascii="宋体" w:hAnsi="宋体" w:eastAsia="宋体" w:cs="Times New Roman"/>
          <w:sz w:val="24"/>
          <w:szCs w:val="24"/>
          <w:u w:val="single"/>
        </w:rPr>
      </w:pPr>
      <w:r>
        <w:rPr>
          <w:rFonts w:hint="eastAsia" w:ascii="宋体" w:hAnsi="宋体" w:eastAsia="宋体" w:cs="Times New Roman"/>
          <w:sz w:val="24"/>
          <w:szCs w:val="24"/>
        </w:rPr>
        <w:t>□非自然的物质障碍和污染物：</w:t>
      </w: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rPr>
        <w:t>；</w:t>
      </w:r>
    </w:p>
    <w:p w14:paraId="18B7353B">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□其他：</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1E4D119A">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w:t>
      </w:r>
      <w:r>
        <w:rPr>
          <w:rFonts w:ascii="宋体" w:hAnsi="宋体" w:eastAsia="宋体" w:cs="Times New Roman"/>
          <w:sz w:val="24"/>
          <w:szCs w:val="24"/>
        </w:rPr>
        <w:t>2</w:t>
      </w:r>
      <w:r>
        <w:rPr>
          <w:rFonts w:hint="eastAsia" w:ascii="宋体" w:hAnsi="宋体" w:eastAsia="宋体" w:cs="Times New Roman"/>
          <w:sz w:val="24"/>
          <w:szCs w:val="24"/>
        </w:rPr>
        <w:t>)关于承包人因采取合理措施而增加的费用和（或）延误的工期承担的约定：</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w:t>
      </w:r>
    </w:p>
    <w:p w14:paraId="018C7A35">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bookmarkStart w:id="6184" w:name="_Toc35656556"/>
      <w:bookmarkStart w:id="6185" w:name="_Toc302636053"/>
      <w:bookmarkStart w:id="6186" w:name="_Toc208587881"/>
      <w:bookmarkStart w:id="6187" w:name="_Toc27792"/>
      <w:bookmarkStart w:id="6188" w:name="_Toc28878"/>
      <w:bookmarkStart w:id="6189" w:name="_Toc31533"/>
      <w:bookmarkStart w:id="6190" w:name="_Toc201735660"/>
      <w:bookmarkStart w:id="6191" w:name="_Toc22283"/>
      <w:bookmarkStart w:id="6192" w:name="_Toc16820"/>
      <w:bookmarkStart w:id="6193" w:name="_Toc305331527"/>
      <w:bookmarkStart w:id="6194" w:name="_Toc1224320511"/>
      <w:bookmarkStart w:id="6195" w:name="_Toc7761"/>
      <w:bookmarkStart w:id="6196" w:name="_Toc1298"/>
      <w:bookmarkStart w:id="6197" w:name="_Toc12913"/>
      <w:bookmarkStart w:id="6198" w:name="_Toc8896"/>
      <w:bookmarkStart w:id="6199" w:name="_Toc9993"/>
      <w:r>
        <w:rPr>
          <w:rFonts w:hint="eastAsia" w:ascii="华文细黑" w:hAnsi="宋体" w:eastAsia="宋体" w:cs="Times New Roman"/>
          <w:b/>
          <w:bCs/>
          <w:snapToGrid w:val="0"/>
          <w:kern w:val="0"/>
          <w:sz w:val="28"/>
          <w:szCs w:val="44"/>
          <w:lang w:val="en-US" w:eastAsia="zh-CN" w:bidi="ar-SA"/>
        </w:rPr>
        <w:t>34 保险</w:t>
      </w:r>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p>
    <w:p w14:paraId="10779C6F">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6200" w:name="_Toc1510"/>
      <w:bookmarkStart w:id="6201" w:name="_Toc31494"/>
      <w:bookmarkStart w:id="6202" w:name="_Toc12344"/>
      <w:bookmarkStart w:id="6203" w:name="_Toc13198"/>
      <w:bookmarkStart w:id="6204" w:name="_Toc201735661"/>
      <w:bookmarkStart w:id="6205" w:name="_Toc305331528"/>
      <w:bookmarkStart w:id="6206" w:name="_Toc6089"/>
      <w:bookmarkStart w:id="6207" w:name="_Toc208587882"/>
      <w:bookmarkStart w:id="6208" w:name="_Toc22043"/>
      <w:bookmarkStart w:id="6209" w:name="_Toc23468"/>
      <w:bookmarkStart w:id="6210" w:name="_Toc302636054"/>
      <w:bookmarkStart w:id="6211" w:name="_Toc25980"/>
      <w:bookmarkStart w:id="6212" w:name="_Toc18090"/>
      <w:bookmarkStart w:id="6213" w:name="_Toc2033"/>
      <w:bookmarkStart w:id="6214" w:name="_Toc1864963877"/>
      <w:r>
        <w:rPr>
          <w:rFonts w:hint="eastAsia" w:ascii="宋体" w:hAnsi="宋体" w:eastAsia="宋体" w:cs="Times New Roman"/>
          <w:b/>
          <w:bCs/>
          <w:kern w:val="0"/>
          <w:sz w:val="24"/>
          <w:szCs w:val="32"/>
          <w:lang w:val="en-US" w:eastAsia="zh-CN" w:bidi="ar-SA"/>
        </w:rPr>
        <w:t>34.1 发包人办理的保险</w:t>
      </w:r>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p>
    <w:p w14:paraId="5643F1D4">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发包人委托承包人办理的保险事项的约定：</w:t>
      </w:r>
      <w:r>
        <w:rPr>
          <w:rFonts w:hint="eastAsia" w:ascii="宋体" w:hAnsi="宋体" w:eastAsia="宋体" w:cs="Times New Roman"/>
          <w:sz w:val="24"/>
          <w:szCs w:val="24"/>
          <w:u w:val="single"/>
        </w:rPr>
        <w:t xml:space="preserve">                                   </w:t>
      </w:r>
    </w:p>
    <w:p w14:paraId="62EAF991">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62585B7A">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1094F8AD">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本工程发包人委托承包人办理的保险事项：</w:t>
      </w:r>
    </w:p>
    <w:p w14:paraId="0546F1AF">
      <w:pPr>
        <w:spacing w:line="360" w:lineRule="auto"/>
        <w:rPr>
          <w:rFonts w:hint="eastAsia" w:ascii="宋体" w:hAnsi="宋体" w:eastAsia="宋体" w:cs="Times New Roman"/>
          <w:sz w:val="24"/>
          <w:szCs w:val="24"/>
        </w:rPr>
      </w:pPr>
      <w:r>
        <w:rPr>
          <w:rFonts w:hint="eastAsia" w:ascii="宋体" w:hAnsi="宋体" w:eastAsia="宋体" w:cs="Times New Roman"/>
          <w:sz w:val="24"/>
          <w:szCs w:val="24"/>
        </w:rPr>
        <w:t xml:space="preserve">    □建筑工程一切险；</w:t>
      </w:r>
    </w:p>
    <w:p w14:paraId="130DABA7">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该项保险保险费：□已包含在投标报价(签约合同价)中，结算时不予调整；</w:t>
      </w:r>
    </w:p>
    <w:p w14:paraId="25713C8F">
      <w:pPr>
        <w:spacing w:line="360" w:lineRule="auto"/>
        <w:ind w:firstLine="2400"/>
        <w:rPr>
          <w:rFonts w:hint="eastAsia" w:ascii="宋体" w:hAnsi="宋体" w:eastAsia="宋体" w:cs="Times New Roman"/>
          <w:sz w:val="24"/>
          <w:szCs w:val="24"/>
        </w:rPr>
      </w:pPr>
      <w:r>
        <w:rPr>
          <w:rFonts w:hint="eastAsia" w:ascii="宋体" w:hAnsi="宋体" w:eastAsia="宋体" w:cs="Times New Roman"/>
          <w:sz w:val="24"/>
          <w:szCs w:val="24"/>
        </w:rPr>
        <w:t>□未包含在投标报价(签约合同价)中，由发包人另行支付；</w:t>
      </w:r>
    </w:p>
    <w:p w14:paraId="4E16C5BB">
      <w:pPr>
        <w:spacing w:line="360" w:lineRule="auto"/>
        <w:rPr>
          <w:rFonts w:hint="eastAsia" w:ascii="宋体" w:hAnsi="宋体" w:eastAsia="宋体" w:cs="Times New Roman"/>
          <w:sz w:val="24"/>
          <w:szCs w:val="24"/>
        </w:rPr>
      </w:pPr>
      <w:r>
        <w:rPr>
          <w:rFonts w:hint="eastAsia" w:ascii="宋体" w:hAnsi="宋体" w:eastAsia="宋体" w:cs="Times New Roman"/>
          <w:sz w:val="24"/>
          <w:szCs w:val="24"/>
        </w:rPr>
        <w:t xml:space="preserve">    □安装工程一切险；</w:t>
      </w:r>
    </w:p>
    <w:p w14:paraId="4B95CD6A">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该项保险保险费：□已包含在投标报价中(签约合同价)，结算时不予调整；</w:t>
      </w:r>
    </w:p>
    <w:p w14:paraId="19E77F32">
      <w:pPr>
        <w:spacing w:line="360" w:lineRule="auto"/>
        <w:ind w:firstLine="2400"/>
        <w:rPr>
          <w:rFonts w:hint="eastAsia" w:ascii="宋体" w:hAnsi="宋体" w:eastAsia="宋体" w:cs="Times New Roman"/>
          <w:sz w:val="24"/>
          <w:szCs w:val="24"/>
        </w:rPr>
      </w:pPr>
      <w:r>
        <w:rPr>
          <w:rFonts w:hint="eastAsia" w:ascii="宋体" w:hAnsi="宋体" w:eastAsia="宋体" w:cs="Times New Roman"/>
          <w:sz w:val="24"/>
          <w:szCs w:val="24"/>
        </w:rPr>
        <w:t>□未包含在投标报价中(签约合同价)，由发包人另行支付；</w:t>
      </w:r>
    </w:p>
    <w:p w14:paraId="510E33E5">
      <w:pPr>
        <w:spacing w:line="360" w:lineRule="auto"/>
        <w:rPr>
          <w:rFonts w:hint="eastAsia" w:ascii="宋体" w:hAnsi="宋体" w:eastAsia="宋体" w:cs="Times New Roman"/>
          <w:sz w:val="24"/>
          <w:szCs w:val="24"/>
        </w:rPr>
      </w:pPr>
      <w:r>
        <w:rPr>
          <w:rFonts w:hint="eastAsia" w:ascii="宋体" w:hAnsi="宋体" w:eastAsia="宋体" w:cs="Times New Roman"/>
          <w:sz w:val="24"/>
          <w:szCs w:val="24"/>
        </w:rPr>
        <w:t xml:space="preserve">    □第三者责任险；</w:t>
      </w:r>
    </w:p>
    <w:p w14:paraId="0CD2F63F">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该项保险保险费：□已包含在投标报价中(签约合同价)，结算时不予调整；</w:t>
      </w:r>
    </w:p>
    <w:p w14:paraId="08EB9C4D">
      <w:pPr>
        <w:spacing w:line="360" w:lineRule="auto"/>
        <w:ind w:firstLine="2400"/>
        <w:rPr>
          <w:rFonts w:hint="eastAsia" w:ascii="宋体" w:hAnsi="宋体" w:eastAsia="宋体" w:cs="Times New Roman"/>
          <w:sz w:val="24"/>
          <w:szCs w:val="24"/>
        </w:rPr>
      </w:pPr>
      <w:r>
        <w:rPr>
          <w:rFonts w:hint="eastAsia" w:ascii="宋体" w:hAnsi="宋体" w:eastAsia="宋体" w:cs="Times New Roman"/>
          <w:sz w:val="24"/>
          <w:szCs w:val="24"/>
        </w:rPr>
        <w:t>□未包含在投标报价中(签约合同价)，由发包人另行支付；</w:t>
      </w:r>
    </w:p>
    <w:p w14:paraId="2E7B6C30">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□其他：</w:t>
      </w:r>
      <w:r>
        <w:rPr>
          <w:rFonts w:hint="eastAsia" w:ascii="宋体" w:hAnsi="宋体" w:eastAsia="宋体" w:cs="Times New Roman"/>
          <w:kern w:val="0"/>
          <w:sz w:val="24"/>
          <w:szCs w:val="24"/>
          <w:u w:val="single"/>
        </w:rPr>
        <w:t xml:space="preserve">                                                        </w:t>
      </w:r>
      <w:r>
        <w:rPr>
          <w:rFonts w:hint="eastAsia" w:ascii="宋体" w:hAnsi="宋体" w:eastAsia="宋体" w:cs="Times New Roman"/>
          <w:sz w:val="24"/>
          <w:szCs w:val="24"/>
          <w:u w:val="single"/>
        </w:rPr>
        <w:t xml:space="preserve">        </w:t>
      </w:r>
    </w:p>
    <w:p w14:paraId="43C06E48">
      <w:pPr>
        <w:keepNext w:val="0"/>
        <w:keepLines w:val="0"/>
        <w:widowControl/>
        <w:numPr>
          <w:ilvl w:val="0"/>
          <w:numId w:val="0"/>
        </w:numPr>
        <w:tabs>
          <w:tab w:val="left" w:pos="540"/>
          <w:tab w:val="left" w:pos="720"/>
          <w:tab w:val="left" w:pos="1620"/>
          <w:tab w:val="left" w:pos="2340"/>
        </w:tabs>
        <w:spacing w:before="120" w:after="120"/>
        <w:ind w:left="178"/>
        <w:jc w:val="left"/>
        <w:outlineLvl w:val="0"/>
        <w:rPr>
          <w:rFonts w:ascii="华文细黑" w:hAnsi="宋体" w:eastAsia="宋体" w:cs="Times New Roman"/>
          <w:b/>
          <w:bCs/>
          <w:snapToGrid w:val="0"/>
          <w:kern w:val="0"/>
          <w:sz w:val="28"/>
          <w:szCs w:val="44"/>
          <w:lang w:val="en-US" w:eastAsia="zh-CN" w:bidi="ar-SA"/>
        </w:rPr>
      </w:pPr>
      <w:bookmarkStart w:id="6215" w:name="_Toc27218"/>
      <w:bookmarkStart w:id="6216" w:name="_Toc28214"/>
      <w:bookmarkStart w:id="6217" w:name="_Toc20670"/>
      <w:bookmarkStart w:id="6218" w:name="_Toc30468"/>
      <w:bookmarkStart w:id="6219" w:name="_Toc2135"/>
      <w:bookmarkStart w:id="6220" w:name="_Toc24864"/>
      <w:bookmarkStart w:id="6221" w:name="_Toc21245"/>
      <w:bookmarkStart w:id="6222" w:name="_Toc704425296"/>
      <w:bookmarkStart w:id="6223" w:name="_Toc18243"/>
      <w:bookmarkStart w:id="6224" w:name="_Toc208587883"/>
      <w:bookmarkStart w:id="6225" w:name="_Toc201735662"/>
      <w:bookmarkStart w:id="6226" w:name="_Toc35656557"/>
      <w:bookmarkStart w:id="6227" w:name="_Toc305331529"/>
      <w:bookmarkStart w:id="6228" w:name="_Toc8791"/>
      <w:bookmarkStart w:id="6229" w:name="_Toc12070"/>
      <w:bookmarkStart w:id="6230" w:name="_Toc302636055"/>
      <w:r>
        <w:rPr>
          <w:rFonts w:hint="eastAsia" w:ascii="华文细黑" w:hAnsi="宋体" w:eastAsia="宋体" w:cs="Times New Roman"/>
          <w:b/>
          <w:bCs/>
          <w:snapToGrid w:val="0"/>
          <w:kern w:val="0"/>
          <w:sz w:val="28"/>
          <w:szCs w:val="44"/>
          <w:lang w:val="en-US" w:eastAsia="zh-CN" w:bidi="ar-SA"/>
        </w:rPr>
        <w:t>35 工程担保</w:t>
      </w:r>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p>
    <w:p w14:paraId="35073953">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6231" w:name="_Toc302636056"/>
      <w:bookmarkStart w:id="6232" w:name="_Toc13623"/>
      <w:bookmarkStart w:id="6233" w:name="_Toc8117"/>
      <w:bookmarkStart w:id="6234" w:name="_Toc31436"/>
      <w:bookmarkStart w:id="6235" w:name="_Toc201735663"/>
      <w:bookmarkStart w:id="6236" w:name="_Toc20784"/>
      <w:bookmarkStart w:id="6237" w:name="_Toc18268"/>
      <w:bookmarkStart w:id="6238" w:name="_Toc11586"/>
      <w:bookmarkStart w:id="6239" w:name="_Toc305331530"/>
      <w:bookmarkStart w:id="6240" w:name="_Toc281303283"/>
      <w:bookmarkStart w:id="6241" w:name="_Toc208587884"/>
      <w:bookmarkStart w:id="6242" w:name="_Toc32381"/>
      <w:bookmarkStart w:id="6243" w:name="_Toc21025"/>
      <w:bookmarkStart w:id="6244" w:name="_Toc7979"/>
      <w:bookmarkStart w:id="6245" w:name="_Toc16988"/>
      <w:r>
        <w:rPr>
          <w:rFonts w:hint="eastAsia" w:ascii="宋体" w:hAnsi="宋体" w:eastAsia="宋体" w:cs="Times New Roman"/>
          <w:b/>
          <w:bCs/>
          <w:kern w:val="0"/>
          <w:sz w:val="24"/>
          <w:szCs w:val="32"/>
          <w:lang w:val="en-US" w:eastAsia="zh-CN" w:bidi="ar-SA"/>
        </w:rPr>
        <w:t>35.1 履约担保</w:t>
      </w:r>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r>
        <w:rPr>
          <w:rFonts w:hint="eastAsia" w:ascii="宋体" w:hAnsi="宋体" w:eastAsia="宋体" w:cs="Times New Roman"/>
          <w:b/>
          <w:bCs/>
          <w:kern w:val="0"/>
          <w:sz w:val="24"/>
          <w:szCs w:val="32"/>
          <w:lang w:val="en-US" w:eastAsia="zh-CN" w:bidi="ar-SA"/>
        </w:rPr>
        <w:t xml:space="preserve"> </w:t>
      </w:r>
    </w:p>
    <w:p w14:paraId="58901978">
      <w:pPr>
        <w:spacing w:line="360" w:lineRule="auto"/>
        <w:ind w:firstLine="480"/>
        <w:rPr>
          <w:rFonts w:ascii="宋体" w:hAnsi="宋体" w:eastAsia="宋体" w:cs="Times New Roman"/>
          <w:sz w:val="24"/>
          <w:szCs w:val="24"/>
          <w:u w:val="single"/>
        </w:rPr>
      </w:pPr>
      <w:r>
        <w:rPr>
          <w:rFonts w:hint="eastAsia" w:ascii="宋体" w:hAnsi="宋体" w:eastAsia="宋体" w:cs="Times New Roman"/>
          <w:sz w:val="24"/>
          <w:szCs w:val="24"/>
        </w:rPr>
        <w:t>(1)本工程履约担保应采用</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的形式，金额为：</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 xml:space="preserve"> </w:t>
      </w:r>
    </w:p>
    <w:p w14:paraId="7B8FFC0A">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2D766BC1">
      <w:pPr>
        <w:widowControl w:val="0"/>
        <w:numPr>
          <w:ilvl w:val="0"/>
          <w:numId w:val="0"/>
        </w:numPr>
        <w:tabs>
          <w:tab w:val="left" w:pos="540"/>
          <w:tab w:val="left" w:pos="900"/>
          <w:tab w:val="left" w:pos="2340"/>
          <w:tab w:val="left" w:pos="4032"/>
        </w:tabs>
        <w:spacing w:before="120" w:after="156"/>
        <w:ind w:left="359"/>
        <w:jc w:val="left"/>
        <w:outlineLvl w:val="1"/>
        <w:rPr>
          <w:rFonts w:hint="eastAsia" w:ascii="宋体" w:hAnsi="宋体" w:eastAsia="宋体" w:cs="Times New Roman"/>
          <w:b/>
          <w:bCs/>
          <w:kern w:val="0"/>
          <w:sz w:val="24"/>
          <w:szCs w:val="32"/>
          <w:lang w:val="en-US" w:eastAsia="zh-CN" w:bidi="ar-SA"/>
        </w:rPr>
      </w:pPr>
      <w:bookmarkStart w:id="6246" w:name="_Toc32745"/>
      <w:bookmarkStart w:id="6247" w:name="_Toc16873"/>
      <w:bookmarkStart w:id="6248" w:name="_Toc653603632"/>
      <w:bookmarkStart w:id="6249" w:name="_Toc14391"/>
      <w:bookmarkStart w:id="6250" w:name="_Toc305331531"/>
      <w:bookmarkStart w:id="6251" w:name="_Toc3068"/>
      <w:bookmarkStart w:id="6252" w:name="_Toc201735664"/>
      <w:bookmarkStart w:id="6253" w:name="_Toc361"/>
      <w:bookmarkStart w:id="6254" w:name="_Toc14585"/>
      <w:bookmarkStart w:id="6255" w:name="_Toc302636057"/>
      <w:bookmarkStart w:id="6256" w:name="_Toc208587885"/>
      <w:bookmarkStart w:id="6257" w:name="_Toc29832"/>
      <w:bookmarkStart w:id="6258" w:name="_Toc3118"/>
      <w:bookmarkStart w:id="6259" w:name="_Toc28689"/>
      <w:bookmarkStart w:id="6260" w:name="_Toc5008"/>
      <w:r>
        <w:rPr>
          <w:rFonts w:hint="eastAsia" w:ascii="宋体" w:hAnsi="宋体" w:eastAsia="宋体" w:cs="Times New Roman"/>
          <w:b/>
          <w:bCs/>
          <w:kern w:val="0"/>
          <w:sz w:val="24"/>
          <w:szCs w:val="32"/>
          <w:lang w:val="en-US" w:eastAsia="zh-CN" w:bidi="ar-SA"/>
        </w:rPr>
        <w:t>35.2 支付担保</w:t>
      </w:r>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r>
        <w:rPr>
          <w:rFonts w:hint="eastAsia" w:ascii="宋体" w:hAnsi="宋体" w:eastAsia="宋体" w:cs="Times New Roman"/>
          <w:b/>
          <w:bCs/>
          <w:kern w:val="0"/>
          <w:sz w:val="24"/>
          <w:szCs w:val="32"/>
          <w:lang w:val="en-US" w:eastAsia="zh-CN" w:bidi="ar-SA"/>
        </w:rPr>
        <w:t xml:space="preserve"> </w:t>
      </w:r>
    </w:p>
    <w:p w14:paraId="7D93A0C1">
      <w:pPr>
        <w:spacing w:line="360" w:lineRule="auto"/>
        <w:ind w:firstLine="480"/>
        <w:rPr>
          <w:rFonts w:ascii="宋体" w:hAnsi="宋体" w:eastAsia="宋体" w:cs="Times New Roman"/>
          <w:sz w:val="24"/>
          <w:szCs w:val="24"/>
          <w:u w:val="single"/>
        </w:rPr>
      </w:pPr>
      <w:r>
        <w:rPr>
          <w:rFonts w:hint="eastAsia" w:ascii="宋体" w:hAnsi="宋体" w:eastAsia="宋体" w:cs="Times New Roman"/>
          <w:sz w:val="24"/>
          <w:szCs w:val="24"/>
        </w:rPr>
        <w:t>(1)本工程支付担保应采用</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的形式，金额为：</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 xml:space="preserve"> </w:t>
      </w:r>
    </w:p>
    <w:p w14:paraId="4395D374">
      <w:pPr>
        <w:spacing w:line="360" w:lineRule="auto"/>
        <w:rPr>
          <w:rFonts w:hint="eastAsia" w:ascii="宋体" w:hAnsi="宋体" w:eastAsia="宋体" w:cs="Times New Roman"/>
          <w:sz w:val="24"/>
          <w:szCs w:val="24"/>
          <w:u w:val="single"/>
        </w:rPr>
      </w:pPr>
      <w:r>
        <w:rPr>
          <w:rFonts w:hint="eastAsia" w:ascii="宋体" w:hAnsi="宋体" w:eastAsia="宋体" w:cs="Times New Roman"/>
          <w:sz w:val="24"/>
          <w:szCs w:val="24"/>
          <w:u w:val="single"/>
        </w:rPr>
        <w:t xml:space="preserve">                                                                            </w:t>
      </w:r>
    </w:p>
    <w:p w14:paraId="3EF4CC0A">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 xml:space="preserve">                  </w:t>
      </w:r>
    </w:p>
    <w:p w14:paraId="04DCEE4E">
      <w:pPr>
        <w:keepNext w:val="0"/>
        <w:keepLines/>
        <w:widowControl/>
        <w:numPr>
          <w:ilvl w:val="0"/>
          <w:numId w:val="0"/>
        </w:numPr>
        <w:spacing w:before="340" w:after="330"/>
        <w:jc w:val="center"/>
        <w:outlineLvl w:val="0"/>
        <w:rPr>
          <w:rFonts w:hint="eastAsia" w:ascii="宋体" w:hAnsi="宋体" w:eastAsia="宋体" w:cs="Times New Roman"/>
          <w:b/>
          <w:bCs/>
          <w:snapToGrid w:val="0"/>
          <w:kern w:val="0"/>
          <w:sz w:val="32"/>
          <w:szCs w:val="44"/>
          <w:lang w:val="en-US" w:eastAsia="zh-CN" w:bidi="ar-SA"/>
        </w:rPr>
      </w:pPr>
      <w:bookmarkStart w:id="6261" w:name="_Toc35656560"/>
      <w:r>
        <w:rPr>
          <w:rFonts w:ascii="宋体" w:hAnsi="宋体" w:eastAsia="宋体" w:cs="Times New Roman"/>
          <w:b w:val="0"/>
          <w:bCs/>
          <w:snapToGrid w:val="0"/>
          <w:kern w:val="0"/>
          <w:sz w:val="32"/>
          <w:szCs w:val="32"/>
          <w:lang w:val="en-US" w:eastAsia="zh-CN" w:bidi="ar-SA"/>
        </w:rPr>
        <w:br w:type="page"/>
      </w:r>
      <w:bookmarkStart w:id="6262" w:name="_Toc8746"/>
      <w:bookmarkStart w:id="6263" w:name="_Toc11709"/>
      <w:bookmarkStart w:id="6264" w:name="_Toc716"/>
      <w:bookmarkStart w:id="6265" w:name="_Toc3189"/>
      <w:bookmarkStart w:id="6266" w:name="_Toc9538"/>
      <w:bookmarkStart w:id="6267" w:name="_Toc21820"/>
      <w:bookmarkStart w:id="6268" w:name="_Toc208587886"/>
      <w:bookmarkStart w:id="6269" w:name="_Toc201735665"/>
      <w:bookmarkStart w:id="6270" w:name="_Toc12157"/>
      <w:bookmarkStart w:id="6271" w:name="_Toc19131"/>
      <w:bookmarkStart w:id="6272" w:name="_Toc302636060"/>
      <w:bookmarkStart w:id="6273" w:name="_Toc305331534"/>
      <w:bookmarkStart w:id="6274" w:name="_Toc5435"/>
      <w:bookmarkStart w:id="6275" w:name="_Toc17601"/>
      <w:bookmarkStart w:id="6276" w:name="_Toc179727182"/>
      <w:r>
        <w:rPr>
          <w:rFonts w:hint="eastAsia" w:ascii="宋体" w:hAnsi="宋体" w:eastAsia="宋体" w:cs="Times New Roman"/>
          <w:b/>
          <w:bCs/>
          <w:snapToGrid w:val="0"/>
          <w:kern w:val="0"/>
          <w:sz w:val="32"/>
          <w:szCs w:val="32"/>
          <w:lang w:val="en-US" w:eastAsia="zh-CN" w:bidi="ar-SA"/>
        </w:rPr>
        <w:t xml:space="preserve">第四部分 </w:t>
      </w:r>
      <w:r>
        <w:rPr>
          <w:rFonts w:hint="eastAsia" w:ascii="宋体" w:hAnsi="宋体" w:eastAsia="宋体" w:cs="Times New Roman"/>
          <w:b/>
          <w:bCs/>
          <w:snapToGrid w:val="0"/>
          <w:kern w:val="0"/>
          <w:sz w:val="32"/>
          <w:szCs w:val="44"/>
          <w:lang w:val="en-US" w:eastAsia="zh-CN" w:bidi="ar-SA"/>
        </w:rPr>
        <w:t>补充条款</w:t>
      </w:r>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p>
    <w:p w14:paraId="0A23C819">
      <w:pPr>
        <w:rPr>
          <w:rFonts w:hint="eastAsia" w:ascii="Times New Roman" w:hAnsi="Times New Roman" w:eastAsia="宋体" w:cs="Times New Roman"/>
          <w:szCs w:val="24"/>
        </w:rPr>
      </w:pPr>
    </w:p>
    <w:p w14:paraId="593EF791">
      <w:pPr>
        <w:adjustRightInd w:val="0"/>
        <w:snapToGrid w:val="0"/>
        <w:spacing w:line="360" w:lineRule="auto"/>
        <w:jc w:val="center"/>
        <w:outlineLvl w:val="0"/>
        <w:rPr>
          <w:rFonts w:hint="eastAsia" w:ascii="黑体" w:hAnsi="黑体" w:eastAsia="黑体" w:cs="黑体"/>
          <w:bCs/>
          <w:color w:val="auto"/>
          <w:sz w:val="32"/>
          <w:szCs w:val="32"/>
          <w:highlight w:val="none"/>
          <w:lang w:eastAsia="zh-CN"/>
        </w:rPr>
      </w:pPr>
      <w:r>
        <w:rPr>
          <w:rFonts w:ascii="宋体" w:hAnsi="宋体" w:eastAsia="宋体" w:cs="Times New Roman"/>
          <w:sz w:val="24"/>
          <w:szCs w:val="24"/>
        </w:rPr>
        <w:br w:type="page"/>
      </w:r>
      <w:bookmarkStart w:id="6277" w:name="_Toc31038"/>
      <w:bookmarkStart w:id="6278" w:name="_Toc2854"/>
      <w:bookmarkStart w:id="6279" w:name="_Toc29172"/>
      <w:bookmarkStart w:id="6280" w:name="_Toc17066"/>
      <w:bookmarkStart w:id="6281" w:name="_Toc1883"/>
      <w:r>
        <w:rPr>
          <w:rFonts w:hint="eastAsia" w:ascii="黑体" w:hAnsi="黑体" w:eastAsia="黑体" w:cs="黑体"/>
          <w:b w:val="0"/>
          <w:bCs/>
          <w:color w:val="auto"/>
          <w:sz w:val="32"/>
          <w:szCs w:val="32"/>
          <w:highlight w:val="none"/>
        </w:rPr>
        <w:t>第</w:t>
      </w:r>
      <w:r>
        <w:rPr>
          <w:rFonts w:hint="eastAsia" w:ascii="黑体" w:hAnsi="黑体" w:eastAsia="黑体" w:cs="黑体"/>
          <w:b w:val="0"/>
          <w:bCs/>
          <w:color w:val="auto"/>
          <w:sz w:val="32"/>
          <w:szCs w:val="32"/>
          <w:highlight w:val="none"/>
          <w:lang w:eastAsia="zh-CN"/>
        </w:rPr>
        <w:t>五</w:t>
      </w:r>
      <w:r>
        <w:rPr>
          <w:rFonts w:hint="eastAsia" w:ascii="黑体" w:hAnsi="黑体" w:eastAsia="黑体" w:cs="黑体"/>
          <w:b w:val="0"/>
          <w:bCs/>
          <w:color w:val="auto"/>
          <w:sz w:val="32"/>
          <w:szCs w:val="32"/>
          <w:highlight w:val="none"/>
        </w:rPr>
        <w:t xml:space="preserve">章  </w:t>
      </w:r>
      <w:r>
        <w:rPr>
          <w:rFonts w:hint="eastAsia" w:ascii="黑体" w:hAnsi="黑体" w:eastAsia="黑体" w:cs="黑体"/>
          <w:b w:val="0"/>
          <w:bCs/>
          <w:color w:val="auto"/>
          <w:sz w:val="32"/>
          <w:szCs w:val="32"/>
          <w:highlight w:val="none"/>
          <w:lang w:eastAsia="zh-CN"/>
        </w:rPr>
        <w:t>合同附件格式</w:t>
      </w:r>
      <w:bookmarkEnd w:id="6277"/>
      <w:bookmarkEnd w:id="6278"/>
      <w:bookmarkEnd w:id="6279"/>
      <w:bookmarkEnd w:id="6280"/>
      <w:bookmarkEnd w:id="6281"/>
    </w:p>
    <w:p w14:paraId="723360BB">
      <w:pPr>
        <w:keepNext w:val="0"/>
        <w:keepLines w:val="0"/>
        <w:widowControl/>
        <w:numPr>
          <w:ilvl w:val="0"/>
          <w:numId w:val="0"/>
        </w:numPr>
        <w:spacing w:before="120" w:after="120"/>
        <w:jc w:val="center"/>
        <w:outlineLvl w:val="0"/>
        <w:rPr>
          <w:rFonts w:ascii="宋体" w:hAnsi="宋体" w:eastAsia="宋体" w:cs="Times New Roman"/>
          <w:b/>
          <w:bCs w:val="0"/>
          <w:snapToGrid w:val="0"/>
          <w:kern w:val="0"/>
          <w:sz w:val="32"/>
          <w:szCs w:val="32"/>
          <w:lang w:val="en-US" w:eastAsia="zh-CN" w:bidi="ar-SA"/>
        </w:rPr>
      </w:pPr>
      <w:bookmarkStart w:id="6282" w:name="_Toc201735666"/>
      <w:bookmarkStart w:id="6283" w:name="_Toc1128265660"/>
      <w:bookmarkStart w:id="6284" w:name="_Toc208587887"/>
      <w:bookmarkStart w:id="6285" w:name="_Toc21153"/>
      <w:bookmarkStart w:id="6286" w:name="_Toc20582"/>
      <w:bookmarkStart w:id="6287" w:name="_Toc12107"/>
      <w:bookmarkStart w:id="6288" w:name="_Toc12453"/>
      <w:bookmarkStart w:id="6289" w:name="_Toc16605"/>
      <w:bookmarkStart w:id="6290" w:name="_Toc302636061"/>
      <w:bookmarkStart w:id="6291" w:name="_Toc7947"/>
      <w:bookmarkStart w:id="6292" w:name="_Toc30218"/>
      <w:bookmarkStart w:id="6293" w:name="_Toc67327371"/>
      <w:bookmarkStart w:id="6294" w:name="_Toc14500"/>
      <w:bookmarkStart w:id="6295" w:name="_Toc27921"/>
      <w:bookmarkStart w:id="6296" w:name="_Toc21144"/>
      <w:bookmarkStart w:id="6297" w:name="_Toc15969"/>
      <w:bookmarkStart w:id="6298" w:name="_Toc453616673"/>
      <w:bookmarkStart w:id="6299" w:name="_Toc31510"/>
      <w:bookmarkStart w:id="6300" w:name="_Toc67418424"/>
      <w:bookmarkStart w:id="6301" w:name="_Toc30276"/>
      <w:bookmarkStart w:id="6302" w:name="_Toc16942"/>
      <w:r>
        <w:rPr>
          <w:rFonts w:hint="eastAsia" w:ascii="宋体" w:hAnsi="宋体" w:eastAsia="宋体" w:cs="Times New Roman"/>
          <w:b/>
          <w:bCs w:val="0"/>
          <w:snapToGrid w:val="0"/>
          <w:kern w:val="0"/>
          <w:sz w:val="32"/>
          <w:szCs w:val="32"/>
          <w:lang w:val="en-US" w:eastAsia="zh-CN" w:bidi="ar-SA"/>
        </w:rPr>
        <w:t>工程质量保修书</w:t>
      </w:r>
      <w:bookmarkEnd w:id="6282"/>
      <w:bookmarkEnd w:id="6283"/>
      <w:bookmarkEnd w:id="6284"/>
      <w:bookmarkEnd w:id="6285"/>
      <w:bookmarkEnd w:id="6286"/>
      <w:bookmarkEnd w:id="6287"/>
      <w:bookmarkEnd w:id="6288"/>
      <w:bookmarkEnd w:id="6289"/>
    </w:p>
    <w:p w14:paraId="181B2917">
      <w:pPr>
        <w:spacing w:line="360" w:lineRule="auto"/>
        <w:rPr>
          <w:rFonts w:ascii="宋体" w:hAnsi="宋体" w:eastAsia="宋体" w:cs="Times New Roman"/>
          <w:sz w:val="24"/>
          <w:szCs w:val="24"/>
        </w:rPr>
      </w:pPr>
    </w:p>
    <w:p w14:paraId="1C2D942D">
      <w:pPr>
        <w:spacing w:line="360" w:lineRule="auto"/>
        <w:rPr>
          <w:rFonts w:ascii="宋体" w:hAnsi="宋体" w:eastAsia="宋体" w:cs="Times New Roman"/>
          <w:sz w:val="24"/>
          <w:szCs w:val="24"/>
        </w:rPr>
      </w:pPr>
      <w:r>
        <w:rPr>
          <w:rFonts w:hint="eastAsia" w:ascii="宋体" w:hAnsi="宋体" w:eastAsia="宋体" w:cs="Times New Roman"/>
          <w:sz w:val="24"/>
          <w:szCs w:val="24"/>
        </w:rPr>
        <w:t>发包人(全称)：</w:t>
      </w:r>
      <w:r>
        <w:rPr>
          <w:rFonts w:hint="eastAsia" w:ascii="宋体" w:hAnsi="宋体" w:eastAsia="宋体" w:cs="Times New Roman"/>
          <w:b/>
          <w:sz w:val="24"/>
          <w:szCs w:val="24"/>
          <w:u w:val="single"/>
        </w:rPr>
        <w:t xml:space="preserve">                                </w:t>
      </w:r>
    </w:p>
    <w:p w14:paraId="0CF03C12">
      <w:pPr>
        <w:spacing w:line="360" w:lineRule="auto"/>
        <w:rPr>
          <w:rFonts w:ascii="宋体" w:hAnsi="宋体" w:eastAsia="宋体" w:cs="Times New Roman"/>
          <w:sz w:val="24"/>
          <w:szCs w:val="24"/>
        </w:rPr>
      </w:pPr>
      <w:r>
        <w:rPr>
          <w:rFonts w:hint="eastAsia" w:ascii="宋体" w:hAnsi="宋体" w:eastAsia="宋体" w:cs="Times New Roman"/>
          <w:sz w:val="24"/>
          <w:szCs w:val="24"/>
        </w:rPr>
        <w:t>承包人(全称)：</w:t>
      </w:r>
      <w:r>
        <w:rPr>
          <w:rFonts w:hint="eastAsia" w:ascii="宋体" w:hAnsi="宋体" w:eastAsia="宋体" w:cs="Times New Roman"/>
          <w:sz w:val="24"/>
          <w:szCs w:val="24"/>
          <w:u w:val="single"/>
        </w:rPr>
        <w:t xml:space="preserve">                                </w:t>
      </w:r>
    </w:p>
    <w:p w14:paraId="1AFC1DFC">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为保证</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工程名称)在合理使用期限内正常使用，发包人和承包人根据《中华人民共和国建筑法》、《建设工程质量管理条例》、《深圳市建设工程质量管理条例》，经协商一致，签订工程质量保修书。承包人在质量保修期内按照有关规定及双方约定承担工程质量保修责任。</w:t>
      </w:r>
    </w:p>
    <w:p w14:paraId="39157BA3">
      <w:pPr>
        <w:spacing w:line="360" w:lineRule="auto"/>
        <w:ind w:firstLine="607"/>
        <w:rPr>
          <w:rFonts w:ascii="宋体" w:hAnsi="宋体" w:eastAsia="宋体" w:cs="Times New Roman"/>
          <w:b/>
          <w:sz w:val="28"/>
          <w:szCs w:val="24"/>
        </w:rPr>
      </w:pPr>
      <w:bookmarkStart w:id="6303" w:name="_Toc453616674"/>
      <w:bookmarkStart w:id="6304" w:name="_Toc448494344"/>
      <w:bookmarkStart w:id="6305" w:name="_Toc22340"/>
      <w:bookmarkStart w:id="6306" w:name="_Toc22189"/>
      <w:bookmarkStart w:id="6307" w:name="_Toc31554"/>
      <w:bookmarkStart w:id="6308" w:name="_Toc67418858"/>
      <w:bookmarkStart w:id="6309" w:name="_Toc3872"/>
      <w:bookmarkStart w:id="6310" w:name="_Toc67327372"/>
      <w:bookmarkStart w:id="6311" w:name="_Toc67418425"/>
      <w:bookmarkStart w:id="6312" w:name="_Toc492905339"/>
      <w:bookmarkStart w:id="6313" w:name="_Toc16979"/>
      <w:bookmarkStart w:id="6314" w:name="_Toc11079"/>
      <w:bookmarkStart w:id="6315" w:name="_Toc17922"/>
      <w:bookmarkStart w:id="6316" w:name="_Toc448841341"/>
      <w:r>
        <w:rPr>
          <w:rFonts w:hint="eastAsia" w:ascii="宋体" w:hAnsi="宋体" w:eastAsia="宋体" w:cs="Times New Roman"/>
          <w:b/>
          <w:sz w:val="28"/>
          <w:szCs w:val="24"/>
        </w:rPr>
        <w:t>一、工程质量保修范围</w:t>
      </w:r>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p>
    <w:p w14:paraId="5D2ED184">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质量保修范围包括地基基础工程、主体结构工程、屋面防水工程、有防水要求的卫生间/房间和外墙面的防渗漏工程、电气管线工程、给排水管道工程、设备安装工程、供热和供冷系统工程、装饰装修工程以及双方约定的其他项目。</w:t>
      </w:r>
    </w:p>
    <w:p w14:paraId="5A9409AE">
      <w:pPr>
        <w:spacing w:line="360" w:lineRule="auto"/>
        <w:ind w:firstLine="480"/>
        <w:rPr>
          <w:rFonts w:hint="eastAsia" w:ascii="宋体" w:hAnsi="宋体" w:eastAsia="宋体" w:cs="Times New Roman"/>
          <w:sz w:val="24"/>
          <w:szCs w:val="24"/>
          <w:u w:val="single"/>
        </w:rPr>
      </w:pPr>
      <w:r>
        <w:rPr>
          <w:rFonts w:hint="eastAsia" w:ascii="宋体" w:hAnsi="宋体" w:eastAsia="宋体" w:cs="Times New Roman"/>
          <w:sz w:val="24"/>
          <w:szCs w:val="24"/>
        </w:rPr>
        <w:t>具体质量保修范围，双方约定如下：</w:t>
      </w:r>
      <w:r>
        <w:rPr>
          <w:rFonts w:hint="eastAsia" w:ascii="宋体" w:hAnsi="宋体" w:eastAsia="宋体" w:cs="Times New Roman"/>
          <w:sz w:val="24"/>
          <w:szCs w:val="24"/>
          <w:u w:val="single"/>
        </w:rPr>
        <w:t xml:space="preserve">                                   </w:t>
      </w:r>
    </w:p>
    <w:p w14:paraId="0C9B664B">
      <w:pPr>
        <w:spacing w:line="360" w:lineRule="auto"/>
        <w:rPr>
          <w:rFonts w:ascii="宋体" w:hAnsi="宋体" w:eastAsia="宋体" w:cs="Times New Roman"/>
          <w:sz w:val="24"/>
          <w:szCs w:val="24"/>
        </w:rPr>
      </w:pPr>
      <w:r>
        <w:rPr>
          <w:rFonts w:hint="eastAsia" w:ascii="宋体" w:hAnsi="宋体" w:eastAsia="宋体" w:cs="Times New Roman"/>
          <w:sz w:val="24"/>
          <w:szCs w:val="24"/>
          <w:u w:val="single"/>
        </w:rPr>
        <w:t xml:space="preserve">                                                                       </w:t>
      </w:r>
    </w:p>
    <w:p w14:paraId="43C8F680">
      <w:pPr>
        <w:spacing w:line="360" w:lineRule="auto"/>
        <w:rPr>
          <w:rFonts w:ascii="宋体" w:hAnsi="宋体" w:eastAsia="宋体" w:cs="Times New Roman"/>
          <w:sz w:val="24"/>
          <w:szCs w:val="24"/>
        </w:rPr>
      </w:pPr>
      <w:r>
        <w:rPr>
          <w:rFonts w:hint="eastAsia" w:ascii="宋体" w:hAnsi="宋体" w:eastAsia="宋体" w:cs="Times New Roman"/>
          <w:sz w:val="24"/>
          <w:szCs w:val="24"/>
          <w:u w:val="single"/>
        </w:rPr>
        <w:t xml:space="preserve">                                                                       </w:t>
      </w:r>
    </w:p>
    <w:p w14:paraId="77CF99CC">
      <w:pPr>
        <w:spacing w:line="360" w:lineRule="auto"/>
        <w:rPr>
          <w:rFonts w:ascii="宋体" w:hAnsi="宋体" w:eastAsia="宋体" w:cs="Times New Roman"/>
          <w:sz w:val="24"/>
          <w:szCs w:val="24"/>
        </w:rPr>
      </w:pPr>
      <w:r>
        <w:rPr>
          <w:rFonts w:hint="eastAsia" w:ascii="宋体" w:hAnsi="宋体" w:eastAsia="宋体" w:cs="Times New Roman"/>
          <w:sz w:val="24"/>
          <w:szCs w:val="24"/>
          <w:u w:val="single"/>
        </w:rPr>
        <w:t xml:space="preserve">                                                                       </w:t>
      </w:r>
    </w:p>
    <w:p w14:paraId="4BAC5D52">
      <w:pPr>
        <w:spacing w:line="360" w:lineRule="auto"/>
        <w:rPr>
          <w:rFonts w:ascii="宋体" w:hAnsi="宋体" w:eastAsia="宋体" w:cs="Times New Roman"/>
          <w:sz w:val="24"/>
          <w:szCs w:val="24"/>
        </w:rPr>
      </w:pPr>
      <w:r>
        <w:rPr>
          <w:rFonts w:hint="eastAsia" w:ascii="宋体" w:hAnsi="宋体" w:eastAsia="宋体" w:cs="Times New Roman"/>
          <w:sz w:val="24"/>
          <w:szCs w:val="24"/>
          <w:u w:val="single"/>
        </w:rPr>
        <w:t xml:space="preserve">                                                                       </w:t>
      </w:r>
    </w:p>
    <w:p w14:paraId="524E0A6E">
      <w:pPr>
        <w:spacing w:line="360" w:lineRule="auto"/>
        <w:ind w:firstLine="561"/>
        <w:rPr>
          <w:rFonts w:ascii="宋体" w:hAnsi="宋体" w:eastAsia="宋体" w:cs="Times New Roman"/>
          <w:b/>
          <w:bCs/>
          <w:sz w:val="28"/>
          <w:szCs w:val="24"/>
        </w:rPr>
      </w:pPr>
      <w:bookmarkStart w:id="6317" w:name="_Toc11083"/>
      <w:bookmarkStart w:id="6318" w:name="_Toc453616675"/>
      <w:bookmarkStart w:id="6319" w:name="_Toc27834"/>
      <w:bookmarkStart w:id="6320" w:name="_Toc448841342"/>
      <w:bookmarkStart w:id="6321" w:name="_Toc818"/>
      <w:bookmarkStart w:id="6322" w:name="_Toc4831"/>
      <w:bookmarkStart w:id="6323" w:name="_Toc492905340"/>
      <w:bookmarkStart w:id="6324" w:name="_Toc14046"/>
      <w:bookmarkStart w:id="6325" w:name="_Toc67327373"/>
      <w:bookmarkStart w:id="6326" w:name="_Toc7144"/>
      <w:bookmarkStart w:id="6327" w:name="_Toc67418426"/>
      <w:bookmarkStart w:id="6328" w:name="_Toc67418859"/>
      <w:bookmarkStart w:id="6329" w:name="_Toc30277"/>
      <w:bookmarkStart w:id="6330" w:name="_Toc448494345"/>
      <w:r>
        <w:rPr>
          <w:rFonts w:hint="eastAsia" w:ascii="宋体" w:hAnsi="宋体" w:eastAsia="宋体" w:cs="Times New Roman"/>
          <w:b/>
          <w:bCs/>
          <w:sz w:val="28"/>
          <w:szCs w:val="24"/>
        </w:rPr>
        <w:t>二、工程质量保修期</w:t>
      </w:r>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p>
    <w:p w14:paraId="4E833FE8">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质量保修期从工程竣工验收合格之日算起。</w:t>
      </w:r>
    </w:p>
    <w:p w14:paraId="0B94519B">
      <w:pPr>
        <w:widowControl w:val="0"/>
        <w:snapToGrid w:val="0"/>
        <w:spacing w:line="346" w:lineRule="auto"/>
        <w:ind w:firstLine="480"/>
        <w:jc w:val="both"/>
        <w:rPr>
          <w:rFonts w:ascii="宋体" w:hAnsi="宋体" w:eastAsia="宋体" w:cs="Courier New"/>
          <w:kern w:val="2"/>
          <w:sz w:val="24"/>
          <w:szCs w:val="24"/>
          <w:lang w:val="en-US" w:eastAsia="zh-CN" w:bidi="ar-SA"/>
        </w:rPr>
      </w:pPr>
      <w:r>
        <w:rPr>
          <w:rFonts w:hint="eastAsia" w:ascii="宋体" w:hAnsi="宋体" w:eastAsia="宋体" w:cs="Courier New"/>
          <w:kern w:val="2"/>
          <w:sz w:val="24"/>
          <w:szCs w:val="24"/>
          <w:lang w:val="en-US" w:eastAsia="zh-CN" w:bidi="ar-SA"/>
        </w:rPr>
        <w:t>双方约定本工程质量保修期如下：</w:t>
      </w:r>
    </w:p>
    <w:p w14:paraId="12FC503C">
      <w:pPr>
        <w:widowControl w:val="0"/>
        <w:snapToGrid w:val="0"/>
        <w:spacing w:line="346" w:lineRule="auto"/>
        <w:ind w:firstLine="396"/>
        <w:jc w:val="both"/>
        <w:rPr>
          <w:rFonts w:ascii="宋体" w:hAnsi="宋体" w:eastAsia="宋体" w:cs="Courier New"/>
          <w:kern w:val="2"/>
          <w:sz w:val="24"/>
          <w:szCs w:val="24"/>
          <w:lang w:val="en-US" w:eastAsia="zh-CN" w:bidi="ar-SA"/>
        </w:rPr>
      </w:pPr>
      <w:r>
        <w:rPr>
          <w:rFonts w:hint="eastAsia" w:ascii="宋体" w:hAnsi="宋体" w:eastAsia="宋体" w:cs="Courier New"/>
          <w:kern w:val="2"/>
          <w:sz w:val="24"/>
          <w:szCs w:val="21"/>
          <w:lang w:val="en-US" w:eastAsia="zh-CN" w:bidi="ar-SA"/>
        </w:rPr>
        <w:t>□</w:t>
      </w:r>
      <w:r>
        <w:rPr>
          <w:rFonts w:hint="eastAsia" w:ascii="宋体" w:hAnsi="宋体" w:eastAsia="宋体" w:cs="Courier New"/>
          <w:kern w:val="2"/>
          <w:sz w:val="24"/>
          <w:szCs w:val="24"/>
          <w:lang w:val="en-US" w:eastAsia="zh-CN" w:bidi="ar-SA"/>
        </w:rPr>
        <w:t>地基基础工程、主体结构工程为设计文件规定的合理使用年限；</w:t>
      </w:r>
    </w:p>
    <w:p w14:paraId="309659DF">
      <w:pPr>
        <w:widowControl w:val="0"/>
        <w:snapToGrid w:val="0"/>
        <w:spacing w:line="346" w:lineRule="auto"/>
        <w:ind w:firstLine="396"/>
        <w:jc w:val="both"/>
        <w:rPr>
          <w:rFonts w:ascii="宋体" w:hAnsi="宋体" w:eastAsia="宋体" w:cs="Courier New"/>
          <w:kern w:val="2"/>
          <w:sz w:val="24"/>
          <w:szCs w:val="24"/>
          <w:lang w:val="en-US" w:eastAsia="zh-CN" w:bidi="ar-SA"/>
        </w:rPr>
      </w:pPr>
      <w:r>
        <w:rPr>
          <w:rFonts w:hint="eastAsia" w:ascii="宋体" w:hAnsi="宋体" w:eastAsia="宋体" w:cs="Courier New"/>
          <w:kern w:val="2"/>
          <w:sz w:val="24"/>
          <w:szCs w:val="21"/>
          <w:lang w:val="en-US" w:eastAsia="zh-CN" w:bidi="ar-SA"/>
        </w:rPr>
        <w:t>□</w:t>
      </w:r>
      <w:r>
        <w:rPr>
          <w:rFonts w:hint="eastAsia" w:ascii="宋体" w:hAnsi="宋体" w:eastAsia="宋体" w:cs="Courier New"/>
          <w:kern w:val="2"/>
          <w:sz w:val="24"/>
          <w:szCs w:val="24"/>
          <w:lang w:val="en-US" w:eastAsia="zh-CN" w:bidi="ar-SA"/>
        </w:rPr>
        <w:t>屋面防水工程、有防水要求的卫生间/房间和外墙面的防渗漏工程为</w:t>
      </w:r>
      <w:r>
        <w:rPr>
          <w:rFonts w:hint="eastAsia" w:ascii="宋体" w:hAnsi="宋体" w:eastAsia="宋体" w:cs="Courier New"/>
          <w:kern w:val="2"/>
          <w:sz w:val="24"/>
          <w:szCs w:val="21"/>
          <w:u w:val="single"/>
          <w:lang w:val="en-US" w:eastAsia="zh-CN" w:bidi="ar-SA"/>
        </w:rPr>
        <w:t xml:space="preserve">     </w:t>
      </w:r>
      <w:r>
        <w:rPr>
          <w:rFonts w:hint="eastAsia" w:ascii="宋体" w:hAnsi="宋体" w:eastAsia="宋体" w:cs="Courier New"/>
          <w:kern w:val="2"/>
          <w:sz w:val="24"/>
          <w:szCs w:val="24"/>
          <w:lang w:val="en-US" w:eastAsia="zh-CN" w:bidi="ar-SA"/>
        </w:rPr>
        <w:t>年(最低为5年)；</w:t>
      </w:r>
    </w:p>
    <w:p w14:paraId="410B9D74">
      <w:pPr>
        <w:widowControl w:val="0"/>
        <w:snapToGrid w:val="0"/>
        <w:spacing w:line="346" w:lineRule="auto"/>
        <w:ind w:firstLine="396"/>
        <w:jc w:val="both"/>
        <w:rPr>
          <w:rFonts w:ascii="宋体" w:hAnsi="宋体" w:eastAsia="宋体" w:cs="Courier New"/>
          <w:kern w:val="2"/>
          <w:sz w:val="24"/>
          <w:szCs w:val="24"/>
          <w:lang w:val="en-US" w:eastAsia="zh-CN" w:bidi="ar-SA"/>
        </w:rPr>
      </w:pPr>
      <w:r>
        <w:rPr>
          <w:rFonts w:hint="eastAsia" w:ascii="宋体" w:hAnsi="宋体" w:eastAsia="宋体" w:cs="Courier New"/>
          <w:kern w:val="2"/>
          <w:sz w:val="24"/>
          <w:szCs w:val="21"/>
          <w:lang w:val="en-US" w:eastAsia="zh-CN" w:bidi="ar-SA"/>
        </w:rPr>
        <w:t>□</w:t>
      </w:r>
      <w:r>
        <w:rPr>
          <w:rFonts w:hint="eastAsia" w:ascii="宋体" w:hAnsi="宋体" w:eastAsia="宋体" w:cs="Courier New"/>
          <w:kern w:val="2"/>
          <w:sz w:val="24"/>
          <w:szCs w:val="24"/>
          <w:lang w:val="en-US" w:eastAsia="zh-CN" w:bidi="ar-SA"/>
        </w:rPr>
        <w:t>电气管线工程、给排水管道工程、设备安装工程为</w:t>
      </w:r>
      <w:r>
        <w:rPr>
          <w:rFonts w:hint="eastAsia" w:ascii="宋体" w:hAnsi="宋体" w:eastAsia="宋体" w:cs="Courier New"/>
          <w:kern w:val="2"/>
          <w:sz w:val="24"/>
          <w:szCs w:val="21"/>
          <w:u w:val="single"/>
          <w:lang w:val="en-US" w:eastAsia="zh-CN" w:bidi="ar-SA"/>
        </w:rPr>
        <w:t xml:space="preserve">     </w:t>
      </w:r>
      <w:r>
        <w:rPr>
          <w:rFonts w:hint="eastAsia" w:ascii="宋体" w:hAnsi="宋体" w:eastAsia="宋体" w:cs="Courier New"/>
          <w:kern w:val="2"/>
          <w:sz w:val="24"/>
          <w:szCs w:val="24"/>
          <w:lang w:val="en-US" w:eastAsia="zh-CN" w:bidi="ar-SA"/>
        </w:rPr>
        <w:t>年(最低为2年)；</w:t>
      </w:r>
    </w:p>
    <w:p w14:paraId="270C1498">
      <w:pPr>
        <w:widowControl w:val="0"/>
        <w:snapToGrid w:val="0"/>
        <w:spacing w:line="346" w:lineRule="auto"/>
        <w:ind w:firstLine="396"/>
        <w:jc w:val="both"/>
        <w:rPr>
          <w:rFonts w:ascii="宋体" w:hAnsi="宋体" w:eastAsia="宋体" w:cs="Courier New"/>
          <w:kern w:val="2"/>
          <w:sz w:val="24"/>
          <w:szCs w:val="24"/>
          <w:lang w:val="en-US" w:eastAsia="zh-CN" w:bidi="ar-SA"/>
        </w:rPr>
      </w:pPr>
      <w:r>
        <w:rPr>
          <w:rFonts w:hint="eastAsia" w:ascii="宋体" w:hAnsi="宋体" w:eastAsia="宋体" w:cs="Courier New"/>
          <w:kern w:val="2"/>
          <w:sz w:val="24"/>
          <w:szCs w:val="21"/>
          <w:lang w:val="en-US" w:eastAsia="zh-CN" w:bidi="ar-SA"/>
        </w:rPr>
        <w:t>□供热和供冷系统工程</w:t>
      </w:r>
      <w:r>
        <w:rPr>
          <w:rFonts w:hint="eastAsia" w:ascii="宋体" w:hAnsi="宋体" w:eastAsia="宋体" w:cs="Courier New"/>
          <w:kern w:val="2"/>
          <w:sz w:val="24"/>
          <w:szCs w:val="24"/>
          <w:lang w:val="en-US" w:eastAsia="zh-CN" w:bidi="ar-SA"/>
        </w:rPr>
        <w:t>为</w:t>
      </w:r>
      <w:r>
        <w:rPr>
          <w:rFonts w:hint="eastAsia" w:ascii="宋体" w:hAnsi="宋体" w:eastAsia="宋体" w:cs="Courier New"/>
          <w:kern w:val="2"/>
          <w:sz w:val="24"/>
          <w:szCs w:val="21"/>
          <w:u w:val="single"/>
          <w:lang w:val="en-US" w:eastAsia="zh-CN" w:bidi="ar-SA"/>
        </w:rPr>
        <w:t xml:space="preserve">     </w:t>
      </w:r>
      <w:r>
        <w:rPr>
          <w:rFonts w:hint="eastAsia" w:ascii="宋体" w:hAnsi="宋体" w:eastAsia="宋体" w:cs="Courier New"/>
          <w:kern w:val="2"/>
          <w:sz w:val="24"/>
          <w:szCs w:val="24"/>
          <w:lang w:val="en-US" w:eastAsia="zh-CN" w:bidi="ar-SA"/>
        </w:rPr>
        <w:t>个(最低为2个)采暖期、供冷期；</w:t>
      </w:r>
    </w:p>
    <w:p w14:paraId="54306D7E">
      <w:pPr>
        <w:widowControl w:val="0"/>
        <w:snapToGrid w:val="0"/>
        <w:spacing w:line="346" w:lineRule="auto"/>
        <w:ind w:firstLine="396"/>
        <w:jc w:val="both"/>
        <w:rPr>
          <w:rFonts w:ascii="宋体" w:hAnsi="宋体" w:eastAsia="宋体" w:cs="Courier New"/>
          <w:kern w:val="2"/>
          <w:sz w:val="24"/>
          <w:szCs w:val="24"/>
          <w:lang w:val="en-US" w:eastAsia="zh-CN" w:bidi="ar-SA"/>
        </w:rPr>
      </w:pPr>
      <w:r>
        <w:rPr>
          <w:rFonts w:hint="eastAsia" w:ascii="宋体" w:hAnsi="宋体" w:eastAsia="宋体" w:cs="Courier New"/>
          <w:kern w:val="2"/>
          <w:sz w:val="24"/>
          <w:szCs w:val="21"/>
          <w:lang w:val="en-US" w:eastAsia="zh-CN" w:bidi="ar-SA"/>
        </w:rPr>
        <w:t>□装饰装修工程为</w:t>
      </w:r>
      <w:r>
        <w:rPr>
          <w:rFonts w:hint="eastAsia" w:ascii="宋体" w:hAnsi="宋体" w:eastAsia="宋体" w:cs="Courier New"/>
          <w:kern w:val="2"/>
          <w:sz w:val="24"/>
          <w:szCs w:val="21"/>
          <w:u w:val="single"/>
          <w:lang w:val="en-US" w:eastAsia="zh-CN" w:bidi="ar-SA"/>
        </w:rPr>
        <w:t xml:space="preserve">     </w:t>
      </w:r>
      <w:r>
        <w:rPr>
          <w:rFonts w:hint="eastAsia" w:ascii="宋体" w:hAnsi="宋体" w:eastAsia="宋体" w:cs="Courier New"/>
          <w:kern w:val="2"/>
          <w:sz w:val="24"/>
          <w:szCs w:val="21"/>
          <w:lang w:val="en-US" w:eastAsia="zh-CN" w:bidi="ar-SA"/>
        </w:rPr>
        <w:t>年；</w:t>
      </w:r>
    </w:p>
    <w:p w14:paraId="472066B9">
      <w:pPr>
        <w:widowControl w:val="0"/>
        <w:snapToGrid w:val="0"/>
        <w:spacing w:line="346" w:lineRule="auto"/>
        <w:ind w:firstLine="396"/>
        <w:jc w:val="both"/>
        <w:rPr>
          <w:rFonts w:ascii="宋体" w:hAnsi="宋体" w:eastAsia="宋体" w:cs="Courier New"/>
          <w:kern w:val="2"/>
          <w:sz w:val="24"/>
          <w:szCs w:val="24"/>
          <w:u w:val="single"/>
          <w:lang w:val="en-US" w:eastAsia="zh-CN" w:bidi="ar-SA"/>
        </w:rPr>
      </w:pPr>
      <w:r>
        <w:rPr>
          <w:rFonts w:hint="eastAsia" w:ascii="宋体" w:hAnsi="宋体" w:eastAsia="宋体" w:cs="Courier New"/>
          <w:kern w:val="2"/>
          <w:sz w:val="24"/>
          <w:szCs w:val="21"/>
          <w:lang w:val="en-US" w:eastAsia="zh-CN" w:bidi="ar-SA"/>
        </w:rPr>
        <w:t>□其他项目保修期约定：</w:t>
      </w:r>
      <w:r>
        <w:rPr>
          <w:rFonts w:hint="eastAsia" w:ascii="宋体" w:hAnsi="宋体" w:eastAsia="宋体" w:cs="Courier New"/>
          <w:kern w:val="2"/>
          <w:sz w:val="24"/>
          <w:szCs w:val="21"/>
          <w:u w:val="single"/>
          <w:lang w:val="en-US" w:eastAsia="zh-CN" w:bidi="ar-SA"/>
        </w:rPr>
        <w:t xml:space="preserve">       </w:t>
      </w:r>
      <w:r>
        <w:rPr>
          <w:rFonts w:hint="eastAsia" w:ascii="宋体" w:hAnsi="宋体" w:eastAsia="宋体" w:cs="Courier New"/>
          <w:kern w:val="2"/>
          <w:sz w:val="24"/>
          <w:szCs w:val="24"/>
          <w:u w:val="single"/>
          <w:lang w:val="en-US" w:eastAsia="zh-CN" w:bidi="ar-SA"/>
        </w:rPr>
        <w:t xml:space="preserve">                                        </w:t>
      </w:r>
    </w:p>
    <w:p w14:paraId="2DA8704F">
      <w:pPr>
        <w:spacing w:line="360" w:lineRule="auto"/>
        <w:rPr>
          <w:rFonts w:ascii="宋体" w:hAnsi="宋体" w:eastAsia="宋体" w:cs="Times New Roman"/>
          <w:sz w:val="24"/>
          <w:szCs w:val="24"/>
        </w:rPr>
      </w:pPr>
      <w:r>
        <w:rPr>
          <w:rFonts w:hint="eastAsia" w:ascii="宋体" w:hAnsi="宋体" w:eastAsia="宋体" w:cs="Times New Roman"/>
          <w:sz w:val="24"/>
          <w:szCs w:val="24"/>
          <w:u w:val="single"/>
        </w:rPr>
        <w:t xml:space="preserve">                                                                       </w:t>
      </w:r>
    </w:p>
    <w:p w14:paraId="09D97D1D">
      <w:pPr>
        <w:spacing w:line="360" w:lineRule="auto"/>
        <w:rPr>
          <w:rFonts w:ascii="宋体" w:hAnsi="宋体" w:eastAsia="宋体" w:cs="Times New Roman"/>
          <w:sz w:val="24"/>
          <w:szCs w:val="24"/>
        </w:rPr>
      </w:pPr>
      <w:r>
        <w:rPr>
          <w:rFonts w:hint="eastAsia" w:ascii="宋体" w:hAnsi="宋体" w:eastAsia="宋体" w:cs="Times New Roman"/>
          <w:sz w:val="24"/>
          <w:szCs w:val="24"/>
          <w:u w:val="single"/>
        </w:rPr>
        <w:t xml:space="preserve">                                                                       </w:t>
      </w:r>
    </w:p>
    <w:p w14:paraId="64B083C9">
      <w:pPr>
        <w:spacing w:line="360" w:lineRule="auto"/>
        <w:rPr>
          <w:rFonts w:ascii="宋体" w:hAnsi="宋体" w:eastAsia="宋体" w:cs="Times New Roman"/>
          <w:sz w:val="24"/>
          <w:szCs w:val="24"/>
        </w:rPr>
      </w:pPr>
      <w:r>
        <w:rPr>
          <w:rFonts w:hint="eastAsia" w:ascii="宋体" w:hAnsi="宋体" w:eastAsia="宋体" w:cs="Times New Roman"/>
          <w:sz w:val="24"/>
          <w:szCs w:val="24"/>
          <w:u w:val="single"/>
        </w:rPr>
        <w:t xml:space="preserve">                                                                       </w:t>
      </w:r>
    </w:p>
    <w:p w14:paraId="03313777">
      <w:pPr>
        <w:spacing w:line="360" w:lineRule="auto"/>
        <w:rPr>
          <w:rFonts w:ascii="宋体" w:hAnsi="宋体" w:eastAsia="宋体" w:cs="Times New Roman"/>
          <w:sz w:val="24"/>
          <w:szCs w:val="24"/>
        </w:rPr>
      </w:pPr>
      <w:r>
        <w:rPr>
          <w:rFonts w:hint="eastAsia" w:ascii="宋体" w:hAnsi="宋体" w:eastAsia="宋体" w:cs="Times New Roman"/>
          <w:sz w:val="24"/>
          <w:szCs w:val="24"/>
          <w:u w:val="single"/>
        </w:rPr>
        <w:t xml:space="preserve">                                                                       </w:t>
      </w:r>
    </w:p>
    <w:p w14:paraId="43762A5A">
      <w:pPr>
        <w:spacing w:line="360" w:lineRule="auto"/>
        <w:ind w:firstLine="607"/>
        <w:rPr>
          <w:rFonts w:ascii="宋体" w:hAnsi="宋体" w:eastAsia="宋体" w:cs="Times New Roman"/>
          <w:b/>
          <w:sz w:val="28"/>
          <w:szCs w:val="24"/>
        </w:rPr>
      </w:pPr>
      <w:bookmarkStart w:id="6331" w:name="_Toc67327374"/>
      <w:bookmarkStart w:id="6332" w:name="_Toc31566"/>
      <w:bookmarkStart w:id="6333" w:name="_Toc448841343"/>
      <w:bookmarkStart w:id="6334" w:name="_Toc453616676"/>
      <w:bookmarkStart w:id="6335" w:name="_Toc448494346"/>
      <w:bookmarkStart w:id="6336" w:name="_Toc492905341"/>
      <w:bookmarkStart w:id="6337" w:name="_Toc67418860"/>
      <w:bookmarkStart w:id="6338" w:name="_Toc15955"/>
      <w:bookmarkStart w:id="6339" w:name="_Toc26473"/>
      <w:bookmarkStart w:id="6340" w:name="_Toc30681"/>
      <w:bookmarkStart w:id="6341" w:name="_Toc67418427"/>
      <w:bookmarkStart w:id="6342" w:name="_Toc15642"/>
      <w:bookmarkStart w:id="6343" w:name="_Toc31802"/>
      <w:bookmarkStart w:id="6344" w:name="_Toc19127"/>
      <w:r>
        <w:rPr>
          <w:rFonts w:hint="eastAsia" w:ascii="宋体" w:hAnsi="宋体" w:eastAsia="宋体" w:cs="Times New Roman"/>
          <w:b/>
          <w:sz w:val="28"/>
          <w:szCs w:val="24"/>
        </w:rPr>
        <w:t>三、工程质量保修责任</w:t>
      </w:r>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p>
    <w:p w14:paraId="266BFBE1">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1.属于保修范围内的项目，在保修期内，承包人应在接到保修通知之日后７天内派人修理。承包人不在约定期限内派人修理，发包人可委托其他人员修理。</w:t>
      </w:r>
    </w:p>
    <w:p w14:paraId="04D75EB9">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2.发生紧急抢修事故的，承包人接到事故通知后，应立即到达事故现场抢修。</w:t>
      </w:r>
    </w:p>
    <w:p w14:paraId="6420A574">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EF1B15E">
      <w:pPr>
        <w:spacing w:line="360" w:lineRule="auto"/>
        <w:ind w:firstLine="480"/>
        <w:rPr>
          <w:rFonts w:hint="eastAsia" w:ascii="宋体" w:hAnsi="宋体" w:eastAsia="宋体" w:cs="Times New Roman"/>
          <w:sz w:val="24"/>
          <w:szCs w:val="24"/>
        </w:rPr>
      </w:pPr>
      <w:r>
        <w:rPr>
          <w:rFonts w:hint="eastAsia" w:ascii="宋体" w:hAnsi="宋体" w:eastAsia="宋体" w:cs="Times New Roman"/>
          <w:sz w:val="24"/>
          <w:szCs w:val="24"/>
        </w:rPr>
        <w:t>4．质量保修完成后，由发包人组织验收。</w:t>
      </w:r>
    </w:p>
    <w:p w14:paraId="33E83BDF">
      <w:pPr>
        <w:spacing w:line="360" w:lineRule="auto"/>
        <w:ind w:firstLine="607"/>
        <w:rPr>
          <w:rFonts w:ascii="宋体" w:hAnsi="宋体" w:eastAsia="宋体" w:cs="Times New Roman"/>
          <w:b/>
          <w:sz w:val="28"/>
          <w:szCs w:val="24"/>
        </w:rPr>
      </w:pPr>
      <w:bookmarkStart w:id="6345" w:name="_Toc25270"/>
      <w:bookmarkStart w:id="6346" w:name="_Toc6170"/>
      <w:bookmarkStart w:id="6347" w:name="_Toc67327375"/>
      <w:bookmarkStart w:id="6348" w:name="_Toc30787"/>
      <w:bookmarkStart w:id="6349" w:name="_Toc67418861"/>
      <w:bookmarkStart w:id="6350" w:name="_Toc6109"/>
      <w:bookmarkStart w:id="6351" w:name="_Toc453616677"/>
      <w:bookmarkStart w:id="6352" w:name="_Toc32668"/>
      <w:bookmarkStart w:id="6353" w:name="_Toc16644"/>
      <w:bookmarkStart w:id="6354" w:name="_Toc448494347"/>
      <w:bookmarkStart w:id="6355" w:name="_Toc492905342"/>
      <w:bookmarkStart w:id="6356" w:name="_Toc448841344"/>
      <w:bookmarkStart w:id="6357" w:name="_Toc67418428"/>
      <w:bookmarkStart w:id="6358" w:name="_Toc2474"/>
      <w:r>
        <w:rPr>
          <w:rFonts w:hint="eastAsia" w:ascii="宋体" w:hAnsi="宋体" w:eastAsia="宋体" w:cs="Times New Roman"/>
          <w:b/>
          <w:sz w:val="28"/>
          <w:szCs w:val="24"/>
        </w:rPr>
        <w:t>四、工程质量保修费用</w:t>
      </w:r>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p>
    <w:p w14:paraId="1083C44A">
      <w:pPr>
        <w:spacing w:line="360" w:lineRule="auto"/>
        <w:ind w:firstLine="480"/>
        <w:rPr>
          <w:rFonts w:ascii="宋体" w:hAnsi="宋体" w:eastAsia="宋体" w:cs="Times New Roman"/>
          <w:sz w:val="24"/>
          <w:szCs w:val="24"/>
        </w:rPr>
      </w:pPr>
      <w:r>
        <w:rPr>
          <w:rFonts w:hint="eastAsia" w:ascii="宋体" w:hAnsi="宋体" w:eastAsia="宋体" w:cs="Times New Roman"/>
          <w:sz w:val="24"/>
          <w:szCs w:val="24"/>
        </w:rPr>
        <w:t>工程质量保修费用及相关的损害赔偿责任由造成质量缺陷的责任方承担。</w:t>
      </w:r>
    </w:p>
    <w:p w14:paraId="5CDBDBA7">
      <w:pPr>
        <w:spacing w:line="360" w:lineRule="auto"/>
        <w:ind w:firstLine="607"/>
        <w:rPr>
          <w:rFonts w:ascii="宋体" w:hAnsi="宋体" w:eastAsia="宋体" w:cs="Times New Roman"/>
          <w:b/>
          <w:sz w:val="28"/>
          <w:szCs w:val="24"/>
        </w:rPr>
      </w:pPr>
      <w:bookmarkStart w:id="6359" w:name="_Toc67327376"/>
      <w:bookmarkStart w:id="6360" w:name="_Toc7167"/>
      <w:bookmarkStart w:id="6361" w:name="_Toc67418429"/>
      <w:bookmarkStart w:id="6362" w:name="_Toc25362"/>
      <w:bookmarkStart w:id="6363" w:name="_Toc448841345"/>
      <w:bookmarkStart w:id="6364" w:name="_Toc453616678"/>
      <w:bookmarkStart w:id="6365" w:name="_Toc67418862"/>
      <w:bookmarkStart w:id="6366" w:name="_Toc6044"/>
      <w:bookmarkStart w:id="6367" w:name="_Toc448494348"/>
      <w:bookmarkStart w:id="6368" w:name="_Toc12430"/>
      <w:bookmarkStart w:id="6369" w:name="_Toc17054"/>
      <w:bookmarkStart w:id="6370" w:name="_Toc8792"/>
      <w:bookmarkStart w:id="6371" w:name="_Toc17298"/>
      <w:bookmarkStart w:id="6372" w:name="_Toc492905343"/>
      <w:r>
        <w:rPr>
          <w:rFonts w:hint="eastAsia" w:ascii="宋体" w:hAnsi="宋体" w:eastAsia="宋体" w:cs="Times New Roman"/>
          <w:b/>
          <w:sz w:val="28"/>
          <w:szCs w:val="24"/>
        </w:rPr>
        <w:t>五、</w:t>
      </w:r>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Start w:id="6373" w:name="_Toc448841347"/>
      <w:bookmarkStart w:id="6374" w:name="_Toc24167"/>
      <w:bookmarkStart w:id="6375" w:name="_Toc4442"/>
      <w:bookmarkStart w:id="6376" w:name="_Toc492905345"/>
      <w:bookmarkStart w:id="6377" w:name="_Toc229"/>
      <w:bookmarkStart w:id="6378" w:name="_Toc67418431"/>
      <w:bookmarkStart w:id="6379" w:name="_Toc453616680"/>
      <w:bookmarkStart w:id="6380" w:name="_Toc29549"/>
      <w:bookmarkStart w:id="6381" w:name="_Toc67327378"/>
      <w:bookmarkStart w:id="6382" w:name="_Toc67418864"/>
      <w:bookmarkStart w:id="6383" w:name="_Toc4822"/>
      <w:bookmarkStart w:id="6384" w:name="_Toc448494350"/>
      <w:bookmarkStart w:id="6385" w:name="_Toc16319"/>
      <w:bookmarkStart w:id="6386" w:name="_Toc6432"/>
      <w:r>
        <w:rPr>
          <w:rFonts w:hint="eastAsia" w:ascii="宋体" w:hAnsi="宋体" w:eastAsia="宋体" w:cs="Times New Roman"/>
          <w:b/>
          <w:sz w:val="28"/>
          <w:szCs w:val="24"/>
        </w:rPr>
        <w:t>其他</w:t>
      </w:r>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p>
    <w:p w14:paraId="5BAA6751">
      <w:pPr>
        <w:widowControl w:val="0"/>
        <w:snapToGrid w:val="0"/>
        <w:spacing w:line="346" w:lineRule="auto"/>
        <w:ind w:firstLine="480"/>
        <w:jc w:val="both"/>
        <w:rPr>
          <w:rFonts w:ascii="宋体" w:hAnsi="宋体" w:eastAsia="宋体" w:cs="Courier New"/>
          <w:kern w:val="2"/>
          <w:sz w:val="24"/>
          <w:szCs w:val="24"/>
          <w:u w:val="single"/>
          <w:lang w:val="en-US" w:eastAsia="zh-CN" w:bidi="ar-SA"/>
        </w:rPr>
      </w:pPr>
      <w:r>
        <w:rPr>
          <w:rFonts w:hint="eastAsia" w:ascii="宋体" w:hAnsi="宋体" w:eastAsia="宋体" w:cs="Courier New"/>
          <w:kern w:val="2"/>
          <w:sz w:val="24"/>
          <w:szCs w:val="21"/>
          <w:lang w:val="en-US" w:eastAsia="zh-CN" w:bidi="ar-SA"/>
        </w:rPr>
        <w:t>发包人和承包人约定的其他工程质量保修事项：</w:t>
      </w:r>
      <w:r>
        <w:rPr>
          <w:rFonts w:hint="eastAsia" w:ascii="宋体" w:hAnsi="宋体" w:eastAsia="宋体" w:cs="Courier New"/>
          <w:kern w:val="2"/>
          <w:sz w:val="24"/>
          <w:szCs w:val="21"/>
          <w:u w:val="single"/>
          <w:lang w:val="en-US" w:eastAsia="zh-CN" w:bidi="ar-SA"/>
        </w:rPr>
        <w:t xml:space="preserve">  </w:t>
      </w:r>
      <w:r>
        <w:rPr>
          <w:rFonts w:hint="eastAsia" w:ascii="宋体" w:hAnsi="宋体" w:eastAsia="宋体" w:cs="Courier New"/>
          <w:kern w:val="2"/>
          <w:sz w:val="24"/>
          <w:szCs w:val="24"/>
          <w:u w:val="single"/>
          <w:lang w:val="en-US" w:eastAsia="zh-CN" w:bidi="ar-SA"/>
        </w:rPr>
        <w:t xml:space="preserve">                 </w:t>
      </w:r>
      <w:r>
        <w:rPr>
          <w:rFonts w:ascii="宋体" w:hAnsi="宋体" w:eastAsia="宋体" w:cs="Courier New"/>
          <w:kern w:val="2"/>
          <w:sz w:val="24"/>
          <w:szCs w:val="24"/>
          <w:u w:val="single"/>
          <w:lang w:val="en-US" w:eastAsia="zh-CN" w:bidi="ar-SA"/>
        </w:rPr>
        <w:t xml:space="preserve">        </w:t>
      </w:r>
      <w:r>
        <w:rPr>
          <w:rFonts w:hint="eastAsia" w:ascii="宋体" w:hAnsi="宋体" w:eastAsia="宋体" w:cs="Courier New"/>
          <w:kern w:val="2"/>
          <w:sz w:val="24"/>
          <w:szCs w:val="24"/>
          <w:u w:val="single"/>
          <w:lang w:val="en-US" w:eastAsia="zh-CN" w:bidi="ar-SA"/>
        </w:rPr>
        <w:t xml:space="preserve">    </w:t>
      </w:r>
    </w:p>
    <w:p w14:paraId="50BE2F35">
      <w:pPr>
        <w:spacing w:line="360" w:lineRule="auto"/>
        <w:rPr>
          <w:rFonts w:ascii="宋体" w:hAnsi="宋体" w:eastAsia="宋体" w:cs="Times New Roman"/>
          <w:sz w:val="24"/>
          <w:szCs w:val="24"/>
        </w:rPr>
      </w:pP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3CFD190A">
      <w:pPr>
        <w:spacing w:line="360" w:lineRule="auto"/>
        <w:rPr>
          <w:rFonts w:ascii="宋体" w:hAnsi="宋体" w:eastAsia="宋体" w:cs="Times New Roman"/>
          <w:sz w:val="24"/>
          <w:szCs w:val="24"/>
        </w:rPr>
      </w:pP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28184899">
      <w:pPr>
        <w:spacing w:line="360" w:lineRule="auto"/>
        <w:rPr>
          <w:rFonts w:ascii="宋体" w:hAnsi="宋体" w:eastAsia="宋体" w:cs="Times New Roman"/>
          <w:sz w:val="24"/>
          <w:szCs w:val="24"/>
        </w:rPr>
      </w:pP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5BB39BF6">
      <w:pPr>
        <w:spacing w:line="360" w:lineRule="auto"/>
        <w:rPr>
          <w:rFonts w:ascii="宋体" w:hAnsi="宋体" w:eastAsia="宋体" w:cs="Times New Roman"/>
          <w:sz w:val="24"/>
          <w:szCs w:val="24"/>
        </w:rPr>
      </w:pPr>
      <w:r>
        <w:rPr>
          <w:rFonts w:hint="eastAsia" w:ascii="宋体" w:hAnsi="宋体" w:eastAsia="宋体" w:cs="Times New Roman"/>
          <w:sz w:val="24"/>
          <w:szCs w:val="24"/>
          <w:u w:val="single"/>
        </w:rPr>
        <w:t xml:space="preserve">                                                                     </w:t>
      </w:r>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14:paraId="2D98EE2D">
      <w:pPr>
        <w:widowControl w:val="0"/>
        <w:snapToGrid w:val="0"/>
        <w:spacing w:line="346" w:lineRule="auto"/>
        <w:ind w:firstLine="644"/>
        <w:jc w:val="both"/>
        <w:rPr>
          <w:rFonts w:hint="eastAsia" w:ascii="宋体" w:hAnsi="宋体" w:eastAsia="宋体" w:cs="Courier New"/>
          <w:kern w:val="2"/>
          <w:sz w:val="24"/>
          <w:szCs w:val="24"/>
          <w:lang w:val="en-US" w:eastAsia="zh-CN" w:bidi="ar-SA"/>
        </w:rPr>
      </w:pPr>
    </w:p>
    <w:p w14:paraId="7A4F2905">
      <w:pPr>
        <w:widowControl w:val="0"/>
        <w:snapToGrid w:val="0"/>
        <w:spacing w:line="346" w:lineRule="auto"/>
        <w:ind w:firstLine="644"/>
        <w:jc w:val="both"/>
        <w:rPr>
          <w:rFonts w:ascii="宋体" w:hAnsi="宋体" w:eastAsia="宋体" w:cs="Courier New"/>
          <w:kern w:val="2"/>
          <w:sz w:val="24"/>
          <w:szCs w:val="24"/>
          <w:lang w:val="en-US" w:eastAsia="zh-CN" w:bidi="ar-SA"/>
        </w:rPr>
      </w:pPr>
      <w:r>
        <w:rPr>
          <w:rFonts w:hint="eastAsia" w:ascii="宋体" w:hAnsi="宋体" w:eastAsia="宋体" w:cs="Courier New"/>
          <w:kern w:val="2"/>
          <w:sz w:val="24"/>
          <w:szCs w:val="24"/>
          <w:lang w:val="en-US" w:eastAsia="zh-CN" w:bidi="ar-SA"/>
        </w:rPr>
        <w:t>本</w:t>
      </w:r>
      <w:r>
        <w:rPr>
          <w:rFonts w:hint="eastAsia" w:ascii="宋体" w:hAnsi="宋体" w:eastAsia="宋体" w:cs="Courier New"/>
          <w:kern w:val="2"/>
          <w:sz w:val="24"/>
          <w:szCs w:val="21"/>
          <w:lang w:val="en-US" w:eastAsia="zh-CN" w:bidi="ar-SA"/>
        </w:rPr>
        <w:t>《</w:t>
      </w:r>
      <w:r>
        <w:rPr>
          <w:rFonts w:hint="eastAsia" w:ascii="宋体" w:hAnsi="宋体" w:eastAsia="宋体" w:cs="Courier New"/>
          <w:kern w:val="2"/>
          <w:sz w:val="24"/>
          <w:szCs w:val="24"/>
          <w:lang w:val="en-US" w:eastAsia="zh-CN" w:bidi="ar-SA"/>
        </w:rPr>
        <w:t>工程质量保修书</w:t>
      </w:r>
      <w:r>
        <w:rPr>
          <w:rFonts w:hint="eastAsia" w:ascii="宋体" w:hAnsi="宋体" w:eastAsia="宋体" w:cs="Courier New"/>
          <w:kern w:val="2"/>
          <w:sz w:val="24"/>
          <w:szCs w:val="21"/>
          <w:lang w:val="en-US" w:eastAsia="zh-CN" w:bidi="ar-SA"/>
        </w:rPr>
        <w:t>》</w:t>
      </w:r>
      <w:r>
        <w:rPr>
          <w:rFonts w:hint="eastAsia" w:ascii="宋体" w:hAnsi="宋体" w:eastAsia="宋体" w:cs="Courier New"/>
          <w:kern w:val="2"/>
          <w:sz w:val="24"/>
          <w:szCs w:val="24"/>
          <w:lang w:val="en-US" w:eastAsia="zh-CN" w:bidi="ar-SA"/>
        </w:rPr>
        <w:t>作为施工合同附件由发包人和承包人双方共同签署。</w:t>
      </w:r>
    </w:p>
    <w:p w14:paraId="0A31E845">
      <w:pPr>
        <w:widowControl w:val="0"/>
        <w:snapToGrid w:val="0"/>
        <w:spacing w:line="346" w:lineRule="auto"/>
        <w:ind w:firstLine="644"/>
        <w:jc w:val="both"/>
        <w:rPr>
          <w:rFonts w:ascii="宋体" w:hAnsi="宋体" w:eastAsia="宋体" w:cs="Courier New"/>
          <w:spacing w:val="14"/>
          <w:kern w:val="2"/>
          <w:sz w:val="30"/>
          <w:szCs w:val="21"/>
          <w:lang w:val="en-US" w:eastAsia="zh-CN" w:bidi="ar-SA"/>
        </w:rPr>
      </w:pPr>
    </w:p>
    <w:p w14:paraId="44FFB632">
      <w:pPr>
        <w:widowControl w:val="0"/>
        <w:snapToGrid w:val="0"/>
        <w:spacing w:line="346" w:lineRule="auto"/>
        <w:ind w:left="420" w:firstLine="120"/>
        <w:jc w:val="both"/>
        <w:rPr>
          <w:rFonts w:hint="eastAsia" w:ascii="宋体" w:hAnsi="宋体" w:eastAsia="宋体" w:cs="Courier New"/>
          <w:kern w:val="2"/>
          <w:sz w:val="24"/>
          <w:szCs w:val="24"/>
          <w:lang w:val="en-US" w:eastAsia="zh-CN" w:bidi="ar-SA"/>
        </w:rPr>
      </w:pPr>
    </w:p>
    <w:p w14:paraId="1D8FFF17">
      <w:pPr>
        <w:widowControl w:val="0"/>
        <w:snapToGrid w:val="0"/>
        <w:spacing w:line="346" w:lineRule="auto"/>
        <w:ind w:left="420" w:firstLine="120"/>
        <w:jc w:val="both"/>
        <w:rPr>
          <w:rFonts w:ascii="宋体" w:hAnsi="宋体" w:eastAsia="宋体" w:cs="Courier New"/>
          <w:kern w:val="2"/>
          <w:sz w:val="24"/>
          <w:szCs w:val="24"/>
          <w:lang w:val="en-US" w:eastAsia="zh-CN" w:bidi="ar-SA"/>
        </w:rPr>
      </w:pPr>
      <w:r>
        <w:rPr>
          <w:rFonts w:hint="eastAsia" w:ascii="宋体" w:hAnsi="宋体" w:eastAsia="宋体" w:cs="Courier New"/>
          <w:kern w:val="2"/>
          <w:sz w:val="24"/>
          <w:szCs w:val="24"/>
          <w:lang w:val="en-US" w:eastAsia="zh-CN" w:bidi="ar-SA"/>
        </w:rPr>
        <w:t>发  包  人(公章) ：                   承  包  人(公章)：</w:t>
      </w:r>
    </w:p>
    <w:p w14:paraId="2CDDE8E4">
      <w:pPr>
        <w:widowControl w:val="0"/>
        <w:snapToGrid w:val="0"/>
        <w:spacing w:line="346" w:lineRule="auto"/>
        <w:jc w:val="both"/>
        <w:rPr>
          <w:rFonts w:ascii="宋体" w:hAnsi="宋体" w:eastAsia="宋体" w:cs="Courier New"/>
          <w:kern w:val="2"/>
          <w:sz w:val="24"/>
          <w:szCs w:val="24"/>
          <w:lang w:val="en-US" w:eastAsia="zh-CN" w:bidi="ar-SA"/>
        </w:rPr>
      </w:pPr>
    </w:p>
    <w:p w14:paraId="002CDBD7">
      <w:pPr>
        <w:widowControl w:val="0"/>
        <w:snapToGrid w:val="0"/>
        <w:spacing w:line="346" w:lineRule="auto"/>
        <w:ind w:firstLine="480"/>
        <w:jc w:val="both"/>
        <w:rPr>
          <w:rFonts w:ascii="宋体" w:hAnsi="宋体" w:eastAsia="宋体" w:cs="Courier New"/>
          <w:kern w:val="2"/>
          <w:sz w:val="24"/>
          <w:szCs w:val="24"/>
          <w:lang w:val="en-US" w:eastAsia="zh-CN" w:bidi="ar-SA"/>
        </w:rPr>
      </w:pPr>
      <w:r>
        <w:rPr>
          <w:rFonts w:hint="eastAsia" w:ascii="宋体" w:hAnsi="宋体" w:eastAsia="宋体" w:cs="Courier New"/>
          <w:kern w:val="2"/>
          <w:sz w:val="24"/>
          <w:szCs w:val="24"/>
          <w:lang w:val="en-US" w:eastAsia="zh-CN" w:bidi="ar-SA"/>
        </w:rPr>
        <w:t>法定代表人(签字) ：                   法定代表人(签字)：</w:t>
      </w:r>
    </w:p>
    <w:p w14:paraId="405B058A">
      <w:pPr>
        <w:widowControl w:val="0"/>
        <w:snapToGrid w:val="0"/>
        <w:spacing w:line="346" w:lineRule="auto"/>
        <w:jc w:val="both"/>
        <w:rPr>
          <w:rFonts w:ascii="宋体" w:hAnsi="宋体" w:eastAsia="宋体" w:cs="Courier New"/>
          <w:kern w:val="2"/>
          <w:sz w:val="24"/>
          <w:szCs w:val="24"/>
          <w:lang w:val="en-US" w:eastAsia="zh-CN" w:bidi="ar-SA"/>
        </w:rPr>
      </w:pPr>
    </w:p>
    <w:p w14:paraId="64F60FEF">
      <w:pPr>
        <w:widowControl w:val="0"/>
        <w:snapToGrid w:val="0"/>
        <w:spacing w:line="346" w:lineRule="auto"/>
        <w:ind w:firstLine="644"/>
        <w:jc w:val="both"/>
        <w:rPr>
          <w:rFonts w:hint="eastAsia" w:ascii="宋体" w:hAnsi="宋体" w:eastAsia="宋体" w:cs="Courier New"/>
          <w:kern w:val="2"/>
          <w:sz w:val="24"/>
          <w:szCs w:val="21"/>
          <w:lang w:val="en-US" w:eastAsia="zh-CN" w:bidi="ar-SA"/>
        </w:rPr>
      </w:pPr>
      <w:r>
        <w:rPr>
          <w:rFonts w:hint="eastAsia" w:ascii="宋体" w:hAnsi="宋体" w:eastAsia="宋体" w:cs="Courier New"/>
          <w:kern w:val="2"/>
          <w:sz w:val="24"/>
          <w:szCs w:val="24"/>
          <w:lang w:val="en-US" w:eastAsia="zh-CN" w:bidi="ar-SA"/>
        </w:rPr>
        <w:t xml:space="preserve">      年    月   日                        年   月    日</w:t>
      </w:r>
    </w:p>
    <w:p w14:paraId="70E5D27B">
      <w:pPr>
        <w:keepNext w:val="0"/>
        <w:keepLines w:val="0"/>
        <w:widowControl/>
        <w:numPr>
          <w:ilvl w:val="-1"/>
          <w:numId w:val="0"/>
        </w:numPr>
        <w:spacing w:before="0" w:after="0"/>
        <w:jc w:val="left"/>
        <w:outlineLvl w:val="9"/>
        <w:rPr>
          <w:rFonts w:hint="default" w:asciiTheme="minorHAnsi" w:hAnsiTheme="minorHAnsi" w:eastAsiaTheme="minorEastAsia" w:cstheme="minorBidi"/>
          <w:b w:val="0"/>
          <w:bCs w:val="0"/>
          <w:snapToGrid/>
          <w:color w:val="auto"/>
          <w:kern w:val="2"/>
          <w:sz w:val="21"/>
          <w:szCs w:val="22"/>
          <w:highlight w:val="none"/>
          <w:lang w:val="en-US" w:eastAsia="zh-CN" w:bidi="ar-SA"/>
        </w:rPr>
      </w:pPr>
    </w:p>
    <w:bookmarkEnd w:id="115"/>
    <w:bookmarkEnd w:id="6290"/>
    <w:bookmarkEnd w:id="6291"/>
    <w:bookmarkEnd w:id="6292"/>
    <w:bookmarkEnd w:id="6293"/>
    <w:bookmarkEnd w:id="6294"/>
    <w:bookmarkEnd w:id="6295"/>
    <w:bookmarkEnd w:id="6296"/>
    <w:bookmarkEnd w:id="6297"/>
    <w:bookmarkEnd w:id="6298"/>
    <w:bookmarkEnd w:id="6299"/>
    <w:bookmarkEnd w:id="6300"/>
    <w:bookmarkEnd w:id="6301"/>
    <w:bookmarkEnd w:id="6302"/>
    <w:p w14:paraId="2CE5CC98">
      <w:pPr>
        <w:adjustRightInd w:val="0"/>
        <w:snapToGrid w:val="0"/>
        <w:spacing w:line="360" w:lineRule="auto"/>
        <w:jc w:val="center"/>
        <w:outlineLvl w:val="0"/>
        <w:rPr>
          <w:rFonts w:ascii="黑体" w:hAnsi="黑体" w:eastAsia="黑体" w:cs="黑体"/>
          <w:bCs/>
          <w:color w:val="auto"/>
          <w:sz w:val="32"/>
          <w:szCs w:val="32"/>
          <w:highlight w:val="none"/>
        </w:rPr>
      </w:pPr>
      <w:bookmarkStart w:id="6387" w:name="_Toc32256"/>
      <w:bookmarkStart w:id="6388" w:name="_Toc1777"/>
      <w:bookmarkStart w:id="6389" w:name="_Toc14514"/>
      <w:bookmarkStart w:id="6390" w:name="_Toc4197"/>
      <w:bookmarkStart w:id="6391" w:name="_Toc21821"/>
      <w:bookmarkStart w:id="6392" w:name="_Toc12794"/>
      <w:r>
        <w:rPr>
          <w:rFonts w:hint="eastAsia" w:ascii="黑体" w:hAnsi="黑体" w:eastAsia="黑体" w:cs="黑体"/>
          <w:bCs/>
          <w:color w:val="auto"/>
          <w:sz w:val="32"/>
          <w:szCs w:val="32"/>
          <w:highlight w:val="none"/>
        </w:rPr>
        <w:t>第六章  标准、规范和技术要求</w:t>
      </w:r>
      <w:bookmarkEnd w:id="6387"/>
      <w:bookmarkEnd w:id="6388"/>
      <w:bookmarkEnd w:id="6389"/>
      <w:bookmarkEnd w:id="6390"/>
      <w:bookmarkEnd w:id="6391"/>
      <w:bookmarkEnd w:id="6392"/>
    </w:p>
    <w:p w14:paraId="5B807920">
      <w:pPr>
        <w:spacing w:line="360" w:lineRule="auto"/>
        <w:jc w:val="center"/>
        <w:outlineLvl w:val="1"/>
        <w:rPr>
          <w:b/>
          <w:color w:val="auto"/>
          <w:sz w:val="44"/>
          <w:highlight w:val="none"/>
        </w:rPr>
      </w:pPr>
      <w:bookmarkStart w:id="6393" w:name="_Toc24551"/>
      <w:bookmarkStart w:id="6394" w:name="_Toc9098"/>
      <w:bookmarkStart w:id="6395" w:name="_Toc19162"/>
      <w:bookmarkStart w:id="6396" w:name="_Toc21838"/>
      <w:bookmarkStart w:id="6397" w:name="_Toc16207"/>
      <w:bookmarkStart w:id="6398" w:name="_Toc28580"/>
      <w:r>
        <w:rPr>
          <w:rFonts w:hint="eastAsia" w:ascii="黑体" w:hAnsi="黑体" w:eastAsia="黑体" w:cs="黑体"/>
          <w:bCs/>
          <w:color w:val="auto"/>
          <w:sz w:val="32"/>
          <w:szCs w:val="32"/>
          <w:highlight w:val="none"/>
        </w:rPr>
        <w:t>一、一般标准和技术规范</w:t>
      </w:r>
      <w:bookmarkEnd w:id="6393"/>
      <w:bookmarkEnd w:id="6394"/>
      <w:bookmarkEnd w:id="6395"/>
      <w:bookmarkEnd w:id="6396"/>
      <w:bookmarkEnd w:id="6397"/>
      <w:bookmarkEnd w:id="6398"/>
    </w:p>
    <w:p w14:paraId="2D87E4DA">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1.一般标准和技术规范</w:t>
      </w:r>
    </w:p>
    <w:p w14:paraId="5E35A4C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1.1本招标工程的材料、设备、施工必须符合现行国家、行业及工程所在地地方标准和技术规范的要求。</w:t>
      </w:r>
    </w:p>
    <w:p w14:paraId="02135566">
      <w:pPr>
        <w:spacing w:line="360" w:lineRule="auto"/>
        <w:jc w:val="center"/>
        <w:outlineLvl w:val="1"/>
        <w:rPr>
          <w:b/>
          <w:color w:val="auto"/>
          <w:sz w:val="44"/>
          <w:highlight w:val="none"/>
        </w:rPr>
      </w:pPr>
      <w:bookmarkStart w:id="6399" w:name="_Toc23021"/>
      <w:bookmarkStart w:id="6400" w:name="_Toc13031"/>
      <w:bookmarkStart w:id="6401" w:name="_Toc6918"/>
      <w:bookmarkStart w:id="6402" w:name="_Toc1017"/>
      <w:bookmarkStart w:id="6403" w:name="_Toc19484"/>
      <w:bookmarkStart w:id="6404" w:name="_Toc5154"/>
      <w:r>
        <w:rPr>
          <w:rFonts w:hint="eastAsia" w:ascii="黑体" w:hAnsi="黑体" w:eastAsia="黑体" w:cs="黑体"/>
          <w:bCs/>
          <w:color w:val="auto"/>
          <w:sz w:val="32"/>
          <w:szCs w:val="32"/>
          <w:highlight w:val="none"/>
        </w:rPr>
        <w:t>二、特殊标准和技术规范</w:t>
      </w:r>
      <w:bookmarkEnd w:id="6399"/>
      <w:bookmarkEnd w:id="6400"/>
      <w:bookmarkEnd w:id="6401"/>
      <w:bookmarkEnd w:id="6402"/>
      <w:bookmarkEnd w:id="6403"/>
      <w:bookmarkEnd w:id="6404"/>
    </w:p>
    <w:p w14:paraId="31A7174B">
      <w:pPr>
        <w:adjustRightInd w:val="0"/>
        <w:snapToGrid w:val="0"/>
        <w:spacing w:line="360" w:lineRule="auto"/>
        <w:ind w:firstLine="422" w:firstLineChars="200"/>
        <w:rPr>
          <w:rFonts w:ascii="宋体" w:hAnsi="宋体" w:eastAsia="宋体" w:cs="宋体"/>
          <w:b/>
          <w:color w:val="auto"/>
          <w:szCs w:val="21"/>
          <w:highlight w:val="none"/>
        </w:rPr>
      </w:pPr>
      <w:r>
        <w:rPr>
          <w:rFonts w:hint="eastAsia" w:ascii="宋体" w:hAnsi="宋体" w:eastAsia="宋体" w:cs="宋体"/>
          <w:b/>
          <w:color w:val="auto"/>
          <w:szCs w:val="21"/>
          <w:highlight w:val="none"/>
        </w:rPr>
        <w:t>2.特殊标准和技术规范</w:t>
      </w:r>
    </w:p>
    <w:p w14:paraId="4BEAC44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2.1根据设计要求，本招标工程中下列材料、设备、施工必须相应符合下列标准和技术规范的要求（列出特殊的材料、设备、施工及相应标准和技术规范名称）：</w:t>
      </w:r>
    </w:p>
    <w:p w14:paraId="45DDFE38">
      <w:pPr>
        <w:adjustRightInd w:val="0"/>
        <w:snapToGrid w:val="0"/>
        <w:spacing w:line="360" w:lineRule="auto"/>
        <w:rPr>
          <w:color w:val="auto"/>
          <w:szCs w:val="21"/>
          <w:highlight w:val="none"/>
          <w:u w:val="single"/>
        </w:rPr>
      </w:pPr>
      <w:r>
        <w:rPr>
          <w:rFonts w:hint="eastAsia" w:ascii="宋体" w:hAnsi="宋体" w:eastAsia="宋体" w:cs="宋体"/>
          <w:color w:val="auto"/>
          <w:highlight w:val="none"/>
        </w:rPr>
        <w:t>特殊标准和技术规范</w:t>
      </w:r>
      <w:r>
        <w:rPr>
          <w:color w:val="auto"/>
          <w:highlight w:val="none"/>
        </w:rPr>
        <w:br w:type="page"/>
      </w:r>
    </w:p>
    <w:p w14:paraId="16AF5E00">
      <w:pPr>
        <w:spacing w:line="360" w:lineRule="auto"/>
        <w:jc w:val="center"/>
        <w:outlineLvl w:val="1"/>
        <w:rPr>
          <w:rFonts w:ascii="黑体" w:hAnsi="黑体" w:eastAsia="黑体" w:cs="黑体"/>
          <w:bCs/>
          <w:color w:val="auto"/>
          <w:sz w:val="32"/>
          <w:szCs w:val="32"/>
          <w:highlight w:val="none"/>
        </w:rPr>
      </w:pPr>
      <w:bookmarkStart w:id="6405" w:name="_Toc20792"/>
      <w:bookmarkStart w:id="6406" w:name="_Toc21379"/>
      <w:bookmarkStart w:id="6407" w:name="_Toc16977"/>
      <w:bookmarkStart w:id="6408" w:name="_Toc22470"/>
      <w:bookmarkStart w:id="6409" w:name="_Toc4598"/>
      <w:bookmarkStart w:id="6410" w:name="_Toc9573"/>
      <w:r>
        <w:rPr>
          <w:rFonts w:hint="eastAsia" w:ascii="黑体" w:hAnsi="黑体" w:eastAsia="黑体" w:cs="黑体"/>
          <w:bCs/>
          <w:color w:val="auto"/>
          <w:sz w:val="32"/>
          <w:szCs w:val="32"/>
          <w:highlight w:val="none"/>
        </w:rPr>
        <w:t>三、工程技术要求</w:t>
      </w:r>
      <w:bookmarkEnd w:id="6405"/>
      <w:bookmarkEnd w:id="6406"/>
      <w:bookmarkEnd w:id="6407"/>
      <w:bookmarkEnd w:id="6408"/>
      <w:bookmarkEnd w:id="6409"/>
      <w:bookmarkEnd w:id="6410"/>
    </w:p>
    <w:p w14:paraId="78C97B8D">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工程技术要求</w:t>
      </w:r>
      <w:r>
        <w:rPr>
          <w:color w:val="auto"/>
          <w:highlight w:val="none"/>
        </w:rPr>
        <w:br w:type="page"/>
      </w:r>
    </w:p>
    <w:p w14:paraId="60768B60">
      <w:pPr>
        <w:adjustRightInd w:val="0"/>
        <w:snapToGrid w:val="0"/>
        <w:spacing w:line="360" w:lineRule="auto"/>
        <w:jc w:val="center"/>
        <w:outlineLvl w:val="0"/>
        <w:rPr>
          <w:rFonts w:ascii="黑体" w:hAnsi="黑体" w:eastAsia="黑体" w:cs="黑体"/>
          <w:b/>
          <w:color w:val="auto"/>
          <w:sz w:val="32"/>
          <w:szCs w:val="32"/>
          <w:highlight w:val="none"/>
        </w:rPr>
      </w:pPr>
      <w:bookmarkStart w:id="6411" w:name="_Toc22286"/>
      <w:bookmarkStart w:id="6412" w:name="_Toc9826"/>
      <w:bookmarkStart w:id="6413" w:name="_Toc15927"/>
      <w:bookmarkStart w:id="6414" w:name="_Toc28885"/>
      <w:bookmarkStart w:id="6415" w:name="_Toc27841"/>
      <w:bookmarkStart w:id="6416" w:name="_Toc28631"/>
      <w:r>
        <w:rPr>
          <w:rFonts w:hint="eastAsia" w:ascii="黑体" w:hAnsi="黑体" w:eastAsia="黑体" w:cs="黑体"/>
          <w:b/>
          <w:color w:val="auto"/>
          <w:sz w:val="32"/>
          <w:szCs w:val="32"/>
          <w:highlight w:val="none"/>
        </w:rPr>
        <w:t>第七章  图纸</w:t>
      </w:r>
      <w:bookmarkEnd w:id="6411"/>
      <w:bookmarkEnd w:id="6412"/>
      <w:bookmarkEnd w:id="6413"/>
      <w:bookmarkEnd w:id="6414"/>
      <w:bookmarkEnd w:id="6415"/>
      <w:bookmarkEnd w:id="6416"/>
    </w:p>
    <w:p w14:paraId="72CCE2D2">
      <w:pPr>
        <w:spacing w:line="360" w:lineRule="auto"/>
        <w:jc w:val="center"/>
        <w:outlineLvl w:val="1"/>
        <w:rPr>
          <w:rFonts w:ascii="黑体" w:hAnsi="黑体" w:eastAsia="黑体" w:cs="黑体"/>
          <w:b/>
          <w:color w:val="auto"/>
          <w:sz w:val="32"/>
          <w:szCs w:val="32"/>
          <w:highlight w:val="none"/>
        </w:rPr>
      </w:pPr>
      <w:bookmarkStart w:id="6417" w:name="_Toc1803"/>
      <w:bookmarkStart w:id="6418" w:name="_Toc4802"/>
      <w:bookmarkStart w:id="6419" w:name="_Toc32512"/>
      <w:bookmarkStart w:id="6420" w:name="_Toc26963"/>
      <w:bookmarkStart w:id="6421" w:name="_Toc26237"/>
      <w:bookmarkStart w:id="6422" w:name="_Toc29501"/>
      <w:r>
        <w:rPr>
          <w:rFonts w:hint="eastAsia" w:ascii="黑体" w:hAnsi="黑体" w:eastAsia="黑体" w:cs="黑体"/>
          <w:b/>
          <w:color w:val="auto"/>
          <w:sz w:val="32"/>
          <w:szCs w:val="32"/>
          <w:highlight w:val="none"/>
        </w:rPr>
        <w:t>一、图纸清单</w:t>
      </w:r>
      <w:bookmarkEnd w:id="6417"/>
      <w:bookmarkEnd w:id="6418"/>
      <w:bookmarkEnd w:id="6419"/>
      <w:bookmarkEnd w:id="6420"/>
      <w:bookmarkEnd w:id="6421"/>
      <w:bookmarkEnd w:id="6422"/>
    </w:p>
    <w:p w14:paraId="2C30F240">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图纸清单</w:t>
      </w:r>
      <w:r>
        <w:rPr>
          <w:color w:val="auto"/>
          <w:highlight w:val="none"/>
        </w:rPr>
        <w:br w:type="page"/>
      </w:r>
    </w:p>
    <w:p w14:paraId="112D90DE">
      <w:pPr>
        <w:spacing w:line="360" w:lineRule="auto"/>
        <w:jc w:val="center"/>
        <w:outlineLvl w:val="1"/>
        <w:rPr>
          <w:rFonts w:ascii="黑体" w:hAnsi="黑体" w:eastAsia="黑体" w:cs="黑体"/>
          <w:bCs/>
          <w:color w:val="auto"/>
          <w:sz w:val="32"/>
          <w:szCs w:val="32"/>
          <w:highlight w:val="none"/>
        </w:rPr>
      </w:pPr>
      <w:bookmarkStart w:id="6423" w:name="_Toc20106"/>
      <w:bookmarkStart w:id="6424" w:name="_Toc25177"/>
      <w:bookmarkStart w:id="6425" w:name="_Toc19817"/>
      <w:bookmarkStart w:id="6426" w:name="_Toc29236"/>
      <w:bookmarkStart w:id="6427" w:name="_Toc24305"/>
      <w:bookmarkStart w:id="6428" w:name="_Toc12287"/>
      <w:r>
        <w:rPr>
          <w:rFonts w:hint="eastAsia" w:ascii="黑体" w:hAnsi="黑体" w:eastAsia="黑体" w:cs="黑体"/>
          <w:bCs/>
          <w:color w:val="auto"/>
          <w:sz w:val="32"/>
          <w:szCs w:val="32"/>
          <w:highlight w:val="none"/>
        </w:rPr>
        <w:t>二、标准图集清单</w:t>
      </w:r>
      <w:bookmarkEnd w:id="6423"/>
      <w:bookmarkEnd w:id="6424"/>
      <w:bookmarkEnd w:id="6425"/>
      <w:bookmarkEnd w:id="6426"/>
      <w:bookmarkEnd w:id="6427"/>
      <w:bookmarkEnd w:id="6428"/>
    </w:p>
    <w:p w14:paraId="1BFE979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以下标准图集，限于招标文件中指明的章节和内容，构成图纸的一部分。</w:t>
      </w:r>
    </w:p>
    <w:p w14:paraId="2931EEE2">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标准图集清单</w:t>
      </w:r>
      <w:r>
        <w:rPr>
          <w:rFonts w:hint="eastAsia" w:ascii="宋体" w:hAnsi="宋体" w:eastAsia="宋体" w:cs="宋体"/>
          <w:color w:val="auto"/>
          <w:highlight w:val="none"/>
        </w:rPr>
        <w:br w:type="page"/>
      </w:r>
    </w:p>
    <w:p w14:paraId="1CD1B454">
      <w:pPr>
        <w:adjustRightInd w:val="0"/>
        <w:snapToGrid w:val="0"/>
        <w:spacing w:line="360" w:lineRule="auto"/>
        <w:jc w:val="center"/>
        <w:outlineLvl w:val="0"/>
        <w:rPr>
          <w:rFonts w:ascii="黑体" w:hAnsi="黑体" w:eastAsia="黑体" w:cs="黑体"/>
          <w:bCs/>
          <w:color w:val="auto"/>
          <w:sz w:val="32"/>
          <w:szCs w:val="32"/>
          <w:highlight w:val="none"/>
        </w:rPr>
      </w:pPr>
      <w:bookmarkStart w:id="6429" w:name="_Toc5243"/>
      <w:bookmarkStart w:id="6430" w:name="_Toc2198"/>
      <w:bookmarkStart w:id="6431" w:name="_Toc27494"/>
      <w:bookmarkStart w:id="6432" w:name="_Toc28685"/>
      <w:bookmarkStart w:id="6433" w:name="_Toc10843"/>
      <w:bookmarkStart w:id="6434" w:name="_Toc25330"/>
      <w:r>
        <w:rPr>
          <w:rFonts w:hint="eastAsia" w:ascii="黑体" w:hAnsi="黑体" w:eastAsia="黑体" w:cs="黑体"/>
          <w:bCs/>
          <w:color w:val="auto"/>
          <w:sz w:val="32"/>
          <w:szCs w:val="32"/>
          <w:highlight w:val="none"/>
        </w:rPr>
        <w:t>第八章  工程量清单</w:t>
      </w:r>
      <w:bookmarkEnd w:id="6429"/>
      <w:bookmarkEnd w:id="6430"/>
      <w:bookmarkEnd w:id="6431"/>
      <w:bookmarkEnd w:id="6432"/>
      <w:bookmarkEnd w:id="6433"/>
      <w:bookmarkEnd w:id="6434"/>
    </w:p>
    <w:p w14:paraId="133F74A5">
      <w:pPr>
        <w:adjustRightInd w:val="0"/>
        <w:snapToGrid w:val="0"/>
        <w:spacing w:line="360" w:lineRule="auto"/>
        <w:jc w:val="center"/>
        <w:outlineLvl w:val="1"/>
        <w:rPr>
          <w:rFonts w:ascii="黑体" w:hAnsi="黑体" w:eastAsia="黑体" w:cs="黑体"/>
          <w:bCs/>
          <w:color w:val="auto"/>
          <w:sz w:val="32"/>
          <w:szCs w:val="32"/>
          <w:highlight w:val="none"/>
        </w:rPr>
      </w:pPr>
      <w:bookmarkStart w:id="6435" w:name="_Toc32656"/>
      <w:bookmarkStart w:id="6436" w:name="_Toc16720"/>
      <w:bookmarkStart w:id="6437" w:name="_Toc30457"/>
      <w:bookmarkStart w:id="6438" w:name="_Toc3891"/>
      <w:bookmarkStart w:id="6439" w:name="_Toc2822"/>
      <w:bookmarkStart w:id="6440" w:name="_Toc9301"/>
      <w:r>
        <w:rPr>
          <w:rFonts w:hint="eastAsia" w:ascii="黑体" w:hAnsi="黑体" w:eastAsia="黑体" w:cs="黑体"/>
          <w:bCs/>
          <w:color w:val="auto"/>
          <w:sz w:val="32"/>
          <w:szCs w:val="32"/>
          <w:highlight w:val="none"/>
        </w:rPr>
        <w:t>一、工程量清单的说明及投标报价要求</w:t>
      </w:r>
      <w:bookmarkEnd w:id="6435"/>
      <w:bookmarkEnd w:id="6436"/>
      <w:bookmarkEnd w:id="6437"/>
      <w:bookmarkEnd w:id="6438"/>
      <w:bookmarkEnd w:id="6439"/>
      <w:bookmarkEnd w:id="6440"/>
    </w:p>
    <w:p w14:paraId="4C76783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1.工程量清单应与投标须知、合同条件、工程建设标准及技术要求和图纸等文件结合起来理解或解释。</w:t>
      </w:r>
    </w:p>
    <w:p w14:paraId="230C9C92">
      <w:pPr>
        <w:adjustRightInd/>
        <w:snapToGrid/>
        <w:spacing w:line="24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施工发承包及实施阶段计价活动应按深圳市住房和建设局印发《关于贯彻实施《建设工程工程量清单计价标准》及九项专业工程工程量计算标准的通知》有关规定执行，具体文件详见深圳市住房和建设局官网，相关文件培训资料可前往深圳市造价工程师协会官网学习。</w:t>
      </w:r>
    </w:p>
    <w:p w14:paraId="4A40CC2B">
      <w:pPr>
        <w:adjustRightInd/>
        <w:snapToGrid/>
        <w:spacing w:line="24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本招标文件中的最高投标限价是指发包人根据国家法律法规及相关标准、本市建设行政主管部门颁发的有关规定，以及拟定的招标文件和招标工程量清单，并结合工程实际情况，按照《深圳市建设工程工程量清单计价与计算标准应用指引》规定编制的，限定投标人投标报价的最高价格。</w:t>
      </w:r>
    </w:p>
    <w:p w14:paraId="2082D25A">
      <w:pPr>
        <w:adjustRightInd/>
        <w:snapToGrid/>
        <w:spacing w:line="24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招标人对投标人的投标报价下浮比例有具体要求的，可在“第二章  投标须知 一、投标须知前附表 第16项”投标报价其他要求中进行明确。</w:t>
      </w:r>
    </w:p>
    <w:p w14:paraId="4D13ECA2">
      <w:pPr>
        <w:adjustRightInd/>
        <w:snapToGrid/>
        <w:spacing w:line="240" w:lineRule="auto"/>
        <w:ind w:firstLine="420" w:firstLineChars="200"/>
        <w:jc w:val="left"/>
        <w:rPr>
          <w:rFonts w:hint="eastAsia" w:ascii="宋体" w:hAnsi="宋体" w:eastAsia="宋体" w:cs="宋体"/>
          <w:strike/>
          <w:color w:val="auto"/>
          <w:szCs w:val="21"/>
          <w:highlight w:val="none"/>
        </w:rPr>
      </w:pPr>
      <w:r>
        <w:rPr>
          <w:rFonts w:hint="eastAsia" w:ascii="宋体" w:hAnsi="宋体" w:eastAsia="宋体" w:cs="宋体"/>
          <w:color w:val="auto"/>
          <w:szCs w:val="21"/>
          <w:highlight w:val="none"/>
        </w:rPr>
        <w:t>4.工程量清单有关格式样表可按照《建设工程工程量清单计价标准》(GB/T 50500-2024)及《深圳市建设工程工程量清单计价与计算标准应用指引》的规定执行，详见“第八章 工程量清单 二、工程量清单格式”。</w:t>
      </w:r>
    </w:p>
    <w:p w14:paraId="490E76A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.本工程量清单是根据</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（设计院名称）设计的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（工程项目名称）图号为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的设计文件编制的。</w:t>
      </w:r>
    </w:p>
    <w:p w14:paraId="49AE785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.本工程要求采用的工程量计算规则，应作为本工程招投标双方进行工程招投标和结算计量、计价的共同依据。</w:t>
      </w:r>
    </w:p>
    <w:p w14:paraId="3ED5D6F2">
      <w:pPr>
        <w:adjustRightInd w:val="0"/>
        <w:snapToGrid w:val="0"/>
        <w:spacing w:line="360" w:lineRule="auto"/>
        <w:ind w:firstLine="420" w:firstLineChars="200"/>
        <w:rPr>
          <w:rFonts w:ascii="宋体" w:hAnsi="宋体" w:eastAsia="宋体" w:cs="宋体"/>
          <w:strike/>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.本工程要求采用的工程量计算规则是</w:t>
      </w:r>
      <w:r>
        <w:rPr>
          <w:rFonts w:hint="eastAsia" w:ascii="Times New Roman" w:hAnsi="Times New Roman" w:eastAsia="宋体" w:cs="宋体"/>
          <w:sz w:val="21"/>
          <w:szCs w:val="21"/>
          <w:highlight w:val="none"/>
          <w:lang w:val="en-US" w:eastAsia="zh-CN"/>
        </w:rPr>
        <w:t>国家</w:t>
      </w:r>
      <w:r>
        <w:rPr>
          <w:rFonts w:hint="eastAsia" w:cs="宋体"/>
          <w:sz w:val="21"/>
          <w:szCs w:val="21"/>
          <w:highlight w:val="none"/>
          <w:lang w:val="en-US" w:eastAsia="zh-CN"/>
        </w:rPr>
        <w:t>各</w:t>
      </w:r>
      <w:r>
        <w:rPr>
          <w:rFonts w:hint="eastAsia" w:ascii="Times New Roman" w:hAnsi="Times New Roman" w:eastAsia="宋体" w:cs="宋体"/>
          <w:sz w:val="21"/>
          <w:szCs w:val="21"/>
          <w:highlight w:val="none"/>
        </w:rPr>
        <w:t>专业工程工程量计算标准</w:t>
      </w:r>
      <w:r>
        <w:rPr>
          <w:rFonts w:hint="eastAsia" w:ascii="Times New Roman" w:hAnsi="Times New Roman" w:eastAsia="宋体" w:cs="宋体"/>
          <w:sz w:val="21"/>
          <w:szCs w:val="21"/>
          <w:highlight w:val="none"/>
          <w:lang w:eastAsia="zh-CN"/>
        </w:rPr>
        <w:t>及</w:t>
      </w:r>
      <w:r>
        <w:rPr>
          <w:rFonts w:hint="eastAsia" w:ascii="宋体" w:hAnsi="宋体" w:eastAsia="宋体" w:cs="宋体"/>
          <w:color w:val="auto"/>
          <w:szCs w:val="21"/>
          <w:highlight w:val="none"/>
          <w:lang w:eastAsia="zh-CN"/>
        </w:rPr>
        <w:t>《深圳市建设工程工程量清单计价与计算标准应用指引》</w:t>
      </w:r>
    </w:p>
    <w:p w14:paraId="58D62B2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.对“分部分项工程量清单”的说明和报价要求：</w:t>
      </w:r>
    </w:p>
    <w:p w14:paraId="0F74577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⑴.该清单所列的工程量系招标人的估算，是临时的，是投标人报价的共同基础。不被理解为是对招标人要求工作内容的全部定义，也不能作为投标人应完成的实际工程量。结算时，应以由发、承包双方在合同中约定应予计量且实际完成的工程量确定。</w:t>
      </w:r>
    </w:p>
    <w:p w14:paraId="55D1DE9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⑵.该清单中所填入的综合单价和合价应包括人工费、材料费、施工机械使用费和企业管理费与利润，以及一定范围内的风险费用。招标人计划自行采购的材料设备单价不计入综合单价报价中。</w:t>
      </w:r>
    </w:p>
    <w:p w14:paraId="6C0DE7B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⑶.该清单中的每一单项均需填写综合单价和合价，对没有填写综合单价和合价的项目，其费用视为已包括在清单的其他综合单价或合价之中，同时投标人应清楚地加以说明。</w:t>
      </w:r>
    </w:p>
    <w:p w14:paraId="1F1ED37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⑷.该清单中不再重复或概括工程及材料的一般说明，在编制和填写工程量清单的每一项的综合单价和合价时应参考投标须知和合同条件的有关条款。</w:t>
      </w:r>
    </w:p>
    <w:p w14:paraId="5B631D6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⑸.针对该清单，要求投标人报价时提供“</w:t>
      </w:r>
      <w:r>
        <w:rPr>
          <w:rFonts w:hint="eastAsia"/>
          <w:kern w:val="0"/>
          <w:szCs w:val="21"/>
          <w:highlight w:val="none"/>
          <w:lang w:val="en-US" w:eastAsia="zh-CN"/>
        </w:rPr>
        <w:t>工程量</w:t>
      </w:r>
      <w:r>
        <w:rPr>
          <w:kern w:val="0"/>
          <w:szCs w:val="21"/>
          <w:highlight w:val="none"/>
        </w:rPr>
        <w:t>清单综合单价分析表</w:t>
      </w:r>
      <w:r>
        <w:rPr>
          <w:rFonts w:hint="eastAsia" w:ascii="宋体" w:hAnsi="宋体" w:eastAsia="宋体" w:cs="宋体"/>
          <w:color w:val="auto"/>
          <w:szCs w:val="21"/>
          <w:highlight w:val="none"/>
        </w:rPr>
        <w:t>”。</w:t>
      </w:r>
    </w:p>
    <w:p w14:paraId="167CDCB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.对“措施项目清单”的说明和报价要求：</w:t>
      </w:r>
    </w:p>
    <w:p w14:paraId="454CD0C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⑴.该清单所列项目是招标人根据一般情况估计的项目，投标人实际措施项目不同的，可以对具体列项内容进行调整或补充。增补的内容列在措施项目清单“其他”项目中。</w:t>
      </w:r>
    </w:p>
    <w:p w14:paraId="25F2B11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⑵.投标人应根据招标人提供的工程量填报综合单价和合价。该清单所列的工程量系招标人的估算，是临时的，是投标人报价的共同基础。不被理解为是对招标人要求工作内容的全部定义，也不能作为投标人应完成的实际工程量。所填入的综合单价和合价应包括人工费、材料费、施工机械使用费和企业管理费与利润，以及一定范围内的风险费用。</w:t>
      </w:r>
    </w:p>
    <w:p w14:paraId="798574B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⑶.针对该清单，要求投标人报价时提供“</w:t>
      </w:r>
      <w:r>
        <w:rPr>
          <w:rFonts w:hint="eastAsia"/>
          <w:kern w:val="0"/>
          <w:szCs w:val="21"/>
          <w:highlight w:val="none"/>
        </w:rPr>
        <w:t>措施项目清单计价表</w:t>
      </w:r>
      <w:r>
        <w:rPr>
          <w:rFonts w:hint="eastAsia" w:ascii="宋体" w:hAnsi="宋体" w:eastAsia="宋体" w:cs="宋体"/>
          <w:color w:val="auto"/>
          <w:szCs w:val="21"/>
          <w:highlight w:val="none"/>
        </w:rPr>
        <w:t>”。</w:t>
      </w:r>
    </w:p>
    <w:p w14:paraId="20810CA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⑷.该清单中列入了“安全文明施工费”。编制</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时，招标人将按</w:t>
      </w:r>
      <w:r>
        <w:rPr>
          <w:rFonts w:hint="eastAsia" w:ascii="宋体" w:hAnsi="宋体" w:eastAsia="宋体" w:cs="宋体"/>
          <w:color w:val="auto"/>
          <w:szCs w:val="21"/>
          <w:highlight w:val="none"/>
          <w:lang w:eastAsia="zh-CN"/>
        </w:rPr>
        <w:t>《深圳市建设工程工程量清单计价与计算标准应用指引》</w:t>
      </w:r>
      <w:r>
        <w:rPr>
          <w:rFonts w:hint="eastAsia" w:ascii="宋体" w:hAnsi="宋体" w:eastAsia="宋体" w:cs="宋体"/>
          <w:color w:val="auto"/>
          <w:szCs w:val="21"/>
          <w:highlight w:val="none"/>
        </w:rPr>
        <w:t>《深圳市建设工程计价费率标准》</w:t>
      </w:r>
      <w:r>
        <w:rPr>
          <w:rFonts w:hint="eastAsia" w:ascii="宋体" w:hAnsi="宋体" w:eastAsia="宋体" w:cs="宋体"/>
          <w:color w:val="auto"/>
          <w:szCs w:val="21"/>
          <w:highlight w:val="none"/>
          <w:lang w:val="en-US" w:eastAsia="zh-CN"/>
        </w:rPr>
        <w:t>规定的列项和</w:t>
      </w:r>
      <w:r>
        <w:rPr>
          <w:rFonts w:hint="eastAsia" w:ascii="宋体" w:hAnsi="宋体" w:eastAsia="宋体" w:cs="宋体"/>
          <w:color w:val="auto"/>
          <w:szCs w:val="21"/>
          <w:highlight w:val="none"/>
        </w:rPr>
        <w:t>费率确定“安全文明施工费”费用，计入</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，并在公布</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时明确该项费用的具体金额，作为</w:t>
      </w:r>
      <w:r>
        <w:rPr>
          <w:rFonts w:hint="eastAsia" w:ascii="Times New Roman" w:hAnsi="Times New Roman" w:eastAsia="宋体" w:cs="宋体"/>
          <w:sz w:val="21"/>
          <w:szCs w:val="21"/>
          <w:highlight w:val="none"/>
          <w:lang w:val="en-US" w:eastAsia="zh-CN"/>
        </w:rPr>
        <w:t>不可竞争</w:t>
      </w:r>
      <w:r>
        <w:rPr>
          <w:rFonts w:hint="eastAsia" w:cs="宋体"/>
          <w:sz w:val="21"/>
          <w:szCs w:val="21"/>
          <w:highlight w:val="none"/>
          <w:lang w:val="en-US" w:eastAsia="zh-CN"/>
        </w:rPr>
        <w:t>费</w:t>
      </w:r>
      <w:r>
        <w:rPr>
          <w:rFonts w:hint="eastAsia" w:ascii="宋体" w:hAnsi="宋体" w:eastAsia="宋体" w:cs="宋体"/>
          <w:color w:val="auto"/>
          <w:szCs w:val="21"/>
          <w:highlight w:val="none"/>
        </w:rPr>
        <w:t>。不编制</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时，招标人按现行《深圳市建设工程计价费率标准》中的费率确定“安全文明施工费”费用。</w:t>
      </w:r>
    </w:p>
    <w:p w14:paraId="764BD16A">
      <w:pPr>
        <w:adjustRightInd w:val="0"/>
        <w:snapToGrid w:val="0"/>
        <w:spacing w:line="360" w:lineRule="auto"/>
        <w:ind w:firstLine="420" w:firstLineChars="200"/>
        <w:rPr>
          <w:rFonts w:ascii="宋体" w:hAnsi="宋体" w:eastAsia="宋体" w:cs="宋体"/>
          <w:color w:val="auto"/>
          <w:szCs w:val="21"/>
          <w:highlight w:val="none"/>
        </w:rPr>
      </w:pPr>
      <w:r>
        <w:rPr>
          <w:rFonts w:hint="eastAsia" w:ascii="Times New Roman" w:hAnsi="Times New Roman" w:eastAsia="宋体" w:cs="宋体"/>
          <w:sz w:val="21"/>
          <w:szCs w:val="21"/>
          <w:highlight w:val="none"/>
          <w:lang w:val="en-US" w:eastAsia="zh-CN"/>
        </w:rPr>
        <w:t>投标时，安全文明施工费属于不可竞争</w:t>
      </w:r>
      <w:r>
        <w:rPr>
          <w:rFonts w:hint="eastAsia" w:cs="宋体"/>
          <w:sz w:val="21"/>
          <w:szCs w:val="21"/>
          <w:highlight w:val="none"/>
          <w:lang w:val="en-US" w:eastAsia="zh-CN"/>
        </w:rPr>
        <w:t>费</w:t>
      </w:r>
      <w:r>
        <w:rPr>
          <w:rFonts w:hint="eastAsia" w:ascii="Times New Roman" w:hAnsi="Times New Roman" w:eastAsia="宋体" w:cs="宋体"/>
          <w:sz w:val="21"/>
          <w:szCs w:val="21"/>
          <w:highlight w:val="none"/>
          <w:lang w:val="en-US" w:eastAsia="zh-CN"/>
        </w:rPr>
        <w:t>，</w:t>
      </w:r>
      <w:r>
        <w:rPr>
          <w:rFonts w:hint="eastAsia" w:ascii="宋体" w:hAnsi="宋体" w:eastAsia="宋体" w:cs="宋体"/>
          <w:color w:val="auto"/>
          <w:szCs w:val="21"/>
          <w:highlight w:val="none"/>
        </w:rPr>
        <w:t>投标人应当按照本招标文件</w:t>
      </w:r>
      <w:r>
        <w:rPr>
          <w:rFonts w:hint="eastAsia" w:ascii="宋体" w:hAnsi="宋体" w:eastAsia="宋体" w:cs="宋体"/>
          <w:color w:val="auto"/>
          <w:szCs w:val="21"/>
          <w:highlight w:val="none"/>
          <w:lang w:val="en-US" w:eastAsia="zh-CN"/>
        </w:rPr>
        <w:t>以及</w:t>
      </w:r>
      <w:r>
        <w:rPr>
          <w:rFonts w:hint="eastAsia" w:ascii="宋体" w:hAnsi="宋体" w:eastAsia="宋体" w:cs="宋体"/>
          <w:color w:val="auto"/>
          <w:szCs w:val="21"/>
          <w:highlight w:val="none"/>
          <w:lang w:eastAsia="zh-CN"/>
        </w:rPr>
        <w:t>《深圳市建设工程工程量清单计价与计算标准应用指引》</w:t>
      </w:r>
      <w:r>
        <w:rPr>
          <w:rFonts w:hint="eastAsia" w:ascii="宋体" w:hAnsi="宋体" w:eastAsia="宋体" w:cs="宋体"/>
          <w:color w:val="auto"/>
          <w:szCs w:val="21"/>
          <w:highlight w:val="none"/>
        </w:rPr>
        <w:t>《深圳市建设工程计价费率标准》</w:t>
      </w:r>
      <w:r>
        <w:rPr>
          <w:rFonts w:hint="eastAsia" w:ascii="宋体" w:hAnsi="宋体" w:eastAsia="宋体" w:cs="宋体"/>
          <w:color w:val="auto"/>
          <w:szCs w:val="21"/>
          <w:highlight w:val="none"/>
          <w:lang w:val="en-US" w:eastAsia="zh-CN"/>
        </w:rPr>
        <w:t>有关规定，</w:t>
      </w:r>
      <w:r>
        <w:rPr>
          <w:rFonts w:hint="eastAsia" w:ascii="Times New Roman" w:hAnsi="Times New Roman" w:eastAsia="宋体" w:cs="宋体"/>
          <w:sz w:val="21"/>
          <w:szCs w:val="21"/>
          <w:highlight w:val="none"/>
          <w:lang w:val="en-US" w:eastAsia="zh-CN"/>
        </w:rPr>
        <w:t>按招标工程量清单中提供的金额填报</w:t>
      </w:r>
      <w:r>
        <w:rPr>
          <w:rFonts w:hint="eastAsia" w:ascii="宋体" w:hAnsi="宋体" w:eastAsia="宋体" w:cs="宋体"/>
          <w:color w:val="auto"/>
          <w:szCs w:val="21"/>
          <w:highlight w:val="none"/>
        </w:rPr>
        <w:t>，并将合价合计金额计入投标总价。</w:t>
      </w:r>
    </w:p>
    <w:p w14:paraId="5FD0B54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⑸.编制</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时，</w:t>
      </w:r>
      <w:r>
        <w:rPr>
          <w:rFonts w:hint="eastAsia" w:cs="宋体"/>
          <w:sz w:val="21"/>
          <w:szCs w:val="21"/>
          <w:highlight w:val="none"/>
          <w:lang w:val="en-US" w:eastAsia="zh-CN"/>
        </w:rPr>
        <w:t>发包人</w:t>
      </w:r>
      <w:r>
        <w:rPr>
          <w:rFonts w:hint="eastAsia" w:ascii="Times New Roman" w:hAnsi="Times New Roman" w:eastAsia="宋体" w:cs="宋体"/>
          <w:sz w:val="21"/>
          <w:szCs w:val="21"/>
          <w:highlight w:val="none"/>
          <w:lang w:val="en-US" w:eastAsia="zh-CN"/>
        </w:rPr>
        <w:t>要求的</w:t>
      </w:r>
      <w:r>
        <w:rPr>
          <w:rFonts w:hint="eastAsia" w:ascii="Times New Roman" w:hAnsi="Times New Roman" w:cs="宋体"/>
          <w:sz w:val="21"/>
          <w:szCs w:val="21"/>
          <w:highlight w:val="none"/>
          <w:lang w:val="en-US" w:eastAsia="zh-CN"/>
        </w:rPr>
        <w:t>合同</w:t>
      </w:r>
      <w:r>
        <w:rPr>
          <w:rFonts w:hint="eastAsia" w:ascii="Times New Roman" w:hAnsi="Times New Roman" w:eastAsia="宋体" w:cs="宋体"/>
          <w:sz w:val="21"/>
          <w:szCs w:val="21"/>
          <w:highlight w:val="none"/>
          <w:lang w:val="en-US" w:eastAsia="zh-CN"/>
        </w:rPr>
        <w:t>工期少于</w:t>
      </w:r>
      <w:r>
        <w:rPr>
          <w:rFonts w:hint="eastAsia" w:ascii="Times New Roman" w:hAnsi="Times New Roman" w:cs="宋体"/>
          <w:sz w:val="21"/>
          <w:szCs w:val="21"/>
          <w:highlight w:val="none"/>
          <w:lang w:val="en-US" w:eastAsia="zh-CN"/>
        </w:rPr>
        <w:t>定额（标准）</w:t>
      </w:r>
      <w:r>
        <w:rPr>
          <w:rFonts w:hint="eastAsia" w:ascii="Times New Roman" w:hAnsi="Times New Roman" w:eastAsia="宋体" w:cs="宋体"/>
          <w:sz w:val="21"/>
          <w:szCs w:val="21"/>
          <w:highlight w:val="none"/>
          <w:lang w:val="en-US" w:eastAsia="zh-CN"/>
        </w:rPr>
        <w:t>工期</w:t>
      </w:r>
      <w:r>
        <w:rPr>
          <w:rFonts w:hint="eastAsia" w:cs="宋体"/>
          <w:sz w:val="21"/>
          <w:szCs w:val="21"/>
          <w:highlight w:val="none"/>
          <w:lang w:val="en-US" w:eastAsia="zh-CN"/>
        </w:rPr>
        <w:t>80%</w:t>
      </w:r>
      <w:r>
        <w:rPr>
          <w:rFonts w:hint="eastAsia" w:ascii="Times New Roman" w:hAnsi="Times New Roman" w:eastAsia="宋体" w:cs="宋体"/>
          <w:sz w:val="21"/>
          <w:szCs w:val="21"/>
          <w:highlight w:val="none"/>
          <w:lang w:val="en-US" w:eastAsia="zh-CN"/>
        </w:rPr>
        <w:t>时</w:t>
      </w:r>
      <w:r>
        <w:rPr>
          <w:rFonts w:hint="eastAsia" w:ascii="Times New Roman" w:hAnsi="Times New Roman" w:eastAsia="宋体" w:cs="宋体"/>
          <w:b w:val="0"/>
          <w:bCs/>
          <w:sz w:val="21"/>
          <w:szCs w:val="21"/>
          <w:highlight w:val="none"/>
          <w:lang w:val="en-US" w:eastAsia="zh-CN"/>
        </w:rPr>
        <w:t>，应</w:t>
      </w:r>
      <w:r>
        <w:rPr>
          <w:rFonts w:hint="eastAsia" w:cs="宋体"/>
          <w:b w:val="0"/>
          <w:bCs/>
          <w:sz w:val="21"/>
          <w:szCs w:val="21"/>
          <w:highlight w:val="none"/>
          <w:lang w:val="en-US" w:eastAsia="zh-CN"/>
        </w:rPr>
        <w:t>按</w:t>
      </w:r>
      <w:r>
        <w:rPr>
          <w:rFonts w:hint="eastAsia" w:ascii="Times New Roman" w:hAnsi="Times New Roman" w:eastAsia="宋体" w:cs="宋体"/>
          <w:b w:val="0"/>
          <w:bCs/>
          <w:sz w:val="21"/>
          <w:szCs w:val="21"/>
          <w:highlight w:val="none"/>
          <w:lang w:val="en-US" w:eastAsia="zh-CN"/>
        </w:rPr>
        <w:t>《深圳市建设工程计价费率标准》</w:t>
      </w:r>
      <w:r>
        <w:rPr>
          <w:rFonts w:hint="eastAsia" w:cs="宋体"/>
          <w:b w:val="0"/>
          <w:bCs/>
          <w:sz w:val="21"/>
          <w:szCs w:val="21"/>
          <w:highlight w:val="none"/>
          <w:lang w:val="en-US" w:eastAsia="zh-CN"/>
        </w:rPr>
        <w:t>有关规定，</w:t>
      </w:r>
      <w:r>
        <w:rPr>
          <w:rFonts w:hint="eastAsia" w:ascii="Times New Roman" w:hAnsi="Times New Roman" w:eastAsia="宋体" w:cs="宋体"/>
          <w:b w:val="0"/>
          <w:bCs/>
          <w:sz w:val="21"/>
          <w:szCs w:val="21"/>
          <w:highlight w:val="none"/>
          <w:lang w:val="en-US" w:eastAsia="zh-CN"/>
        </w:rPr>
        <w:t>在措施项目清单中</w:t>
      </w:r>
      <w:r>
        <w:rPr>
          <w:rFonts w:hint="eastAsia" w:cs="宋体"/>
          <w:b w:val="0"/>
          <w:bCs/>
          <w:sz w:val="21"/>
          <w:szCs w:val="21"/>
          <w:highlight w:val="none"/>
          <w:lang w:val="en-US" w:eastAsia="zh-CN"/>
        </w:rPr>
        <w:t>单列</w:t>
      </w:r>
      <w:r>
        <w:rPr>
          <w:rFonts w:hint="eastAsia" w:ascii="Times New Roman" w:hAnsi="Times New Roman" w:eastAsia="宋体" w:cs="宋体"/>
          <w:b w:val="0"/>
          <w:bCs/>
          <w:sz w:val="21"/>
          <w:szCs w:val="21"/>
          <w:highlight w:val="none"/>
          <w:lang w:val="en-US" w:eastAsia="zh-CN"/>
        </w:rPr>
        <w:t>赶工措施项目，并</w:t>
      </w:r>
      <w:r>
        <w:rPr>
          <w:rFonts w:hint="eastAsia" w:ascii="宋体" w:hAnsi="宋体" w:eastAsia="宋体" w:cs="宋体"/>
          <w:color w:val="auto"/>
          <w:szCs w:val="21"/>
          <w:highlight w:val="none"/>
        </w:rPr>
        <w:t>按现行的《深圳市建设工程计价费率标准》</w:t>
      </w:r>
      <w:r>
        <w:rPr>
          <w:rFonts w:hint="eastAsia" w:ascii="宋体" w:hAnsi="宋体" w:eastAsia="宋体" w:cs="宋体"/>
          <w:color w:val="auto"/>
          <w:szCs w:val="21"/>
          <w:highlight w:val="none"/>
          <w:lang w:eastAsia="zh-CN"/>
        </w:rPr>
        <w:t>有关规定</w:t>
      </w:r>
      <w:r>
        <w:rPr>
          <w:rFonts w:hint="eastAsia" w:ascii="宋体" w:hAnsi="宋体" w:eastAsia="宋体" w:cs="宋体"/>
          <w:color w:val="auto"/>
          <w:szCs w:val="21"/>
          <w:highlight w:val="none"/>
        </w:rPr>
        <w:t>确定赶工措施费，计入</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w:t>
      </w:r>
    </w:p>
    <w:p w14:paraId="60540D2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投标人应当按照本招标文件的规定，结合自身实际及施工组织设计或施工方案，确定投标工期，自主填报赶工措施费，并计入投标总价。</w:t>
      </w:r>
    </w:p>
    <w:p w14:paraId="24E0BD3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.对“其他项目清单”的说明和报价要求：</w:t>
      </w:r>
    </w:p>
    <w:p w14:paraId="29DEDD95">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(1)材料暂估价指招标人提供的用于支付必然发生但暂时不能确定价格的材料、设备的清单。投标时，投标人应将材料设备的暂估单价计入分部分项工程量清单综合单价报价中。结算时，</w:t>
      </w:r>
      <w:r>
        <w:rPr>
          <w:rFonts w:hint="eastAsia" w:ascii="Times New Roman" w:hAnsi="Times New Roman" w:eastAsia="宋体" w:cs="宋体"/>
          <w:sz w:val="21"/>
          <w:szCs w:val="21"/>
          <w:highlight w:val="none"/>
          <w:lang w:val="en-US" w:eastAsia="zh-CN"/>
        </w:rPr>
        <w:t>应按经招标确定或发承包双方共同确认的材料税前价格调整合同价款，价差调整部分应计算增值税，不计利润</w:t>
      </w:r>
      <w:r>
        <w:rPr>
          <w:rFonts w:hint="eastAsia" w:cs="宋体"/>
          <w:sz w:val="21"/>
          <w:szCs w:val="21"/>
          <w:highlight w:val="none"/>
          <w:lang w:val="en-US" w:eastAsia="zh-CN"/>
        </w:rPr>
        <w:t>和安全文明施工费</w:t>
      </w:r>
      <w:r>
        <w:rPr>
          <w:rFonts w:hint="eastAsia" w:ascii="Times New Roman" w:hAnsi="Times New Roman" w:eastAsia="宋体" w:cs="宋体"/>
          <w:sz w:val="21"/>
          <w:szCs w:val="21"/>
          <w:highlight w:val="none"/>
          <w:lang w:val="en-US" w:eastAsia="zh-CN"/>
        </w:rPr>
        <w:t>。</w:t>
      </w:r>
    </w:p>
    <w:p w14:paraId="1A82219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(2)计日工指招标人提出的施工图纸以外的零星项目或工作。投标时，</w:t>
      </w:r>
      <w:r>
        <w:rPr>
          <w:rFonts w:hint="eastAsia" w:ascii="Times New Roman" w:hAnsi="Times New Roman" w:eastAsia="宋体" w:cs="宋体"/>
          <w:sz w:val="21"/>
          <w:szCs w:val="21"/>
          <w:highlight w:val="none"/>
          <w:lang w:val="en-US" w:eastAsia="zh-CN"/>
        </w:rPr>
        <w:t>投标人应按计日工清单中提供的清单项目及其暂定数量，对计日工清单项目进行投标报价</w:t>
      </w:r>
      <w:r>
        <w:rPr>
          <w:rFonts w:hint="eastAsia" w:cs="宋体"/>
          <w:sz w:val="21"/>
          <w:szCs w:val="21"/>
          <w:highlight w:val="none"/>
          <w:lang w:val="en-US" w:eastAsia="zh-CN"/>
        </w:rPr>
        <w:t>，</w:t>
      </w:r>
      <w:r>
        <w:rPr>
          <w:rFonts w:hint="eastAsia" w:ascii="宋体" w:hAnsi="宋体" w:eastAsia="宋体" w:cs="宋体"/>
          <w:color w:val="auto"/>
          <w:szCs w:val="21"/>
          <w:highlight w:val="none"/>
        </w:rPr>
        <w:t>计算汇总后计入其他项目清单汇总表。</w:t>
      </w:r>
      <w:r>
        <w:rPr>
          <w:rFonts w:hint="eastAsia" w:cs="宋体"/>
          <w:sz w:val="21"/>
          <w:szCs w:val="21"/>
          <w:highlight w:val="none"/>
          <w:lang w:val="en-US" w:eastAsia="zh-CN"/>
        </w:rPr>
        <w:t>计日工综合单价应包含相应的管理费及利润。</w:t>
      </w:r>
    </w:p>
    <w:p w14:paraId="6C07831E">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(3)总承包服务费</w:t>
      </w:r>
      <w:r>
        <w:rPr>
          <w:rFonts w:hint="eastAsia" w:ascii="Times New Roman" w:hAnsi="Times New Roman" w:eastAsia="宋体" w:cs="宋体"/>
          <w:sz w:val="21"/>
          <w:szCs w:val="21"/>
          <w:highlight w:val="none"/>
          <w:lang w:val="en-US" w:eastAsia="zh-CN"/>
        </w:rPr>
        <w:t>包括总包管理服务费和发包人供应材料（设备）保管费，是指总承包人对发包人自行采购的材料与设备等进行保管，以及为发包人进行</w:t>
      </w:r>
      <w:r>
        <w:rPr>
          <w:rFonts w:hint="eastAsia" w:cs="宋体"/>
          <w:sz w:val="21"/>
          <w:szCs w:val="21"/>
          <w:highlight w:val="none"/>
          <w:lang w:val="en-US" w:eastAsia="zh-CN"/>
        </w:rPr>
        <w:t>发包</w:t>
      </w:r>
      <w:r>
        <w:rPr>
          <w:rFonts w:hint="eastAsia" w:ascii="Times New Roman" w:hAnsi="Times New Roman" w:eastAsia="宋体" w:cs="宋体"/>
          <w:sz w:val="21"/>
          <w:szCs w:val="21"/>
          <w:highlight w:val="none"/>
          <w:lang w:val="en-US" w:eastAsia="zh-CN"/>
        </w:rPr>
        <w:t>的专业工程提供配合、协调、施工现场管理、已有临时设施使用、竣工资料汇总整理等服务所需的费用。</w:t>
      </w:r>
    </w:p>
    <w:p w14:paraId="2FD21C94">
      <w:pPr>
        <w:adjustRightInd w:val="0"/>
        <w:snapToGrid w:val="0"/>
        <w:spacing w:line="360" w:lineRule="auto"/>
        <w:ind w:firstLine="420" w:firstLineChars="200"/>
        <w:rPr>
          <w:rFonts w:hint="eastAsia" w:ascii="Times New Roman" w:hAnsi="Times New Roman" w:eastAsia="宋体" w:cs="宋体"/>
          <w:sz w:val="21"/>
          <w:szCs w:val="21"/>
          <w:highlight w:val="none"/>
          <w:lang w:val="en-US" w:eastAsia="zh-CN"/>
        </w:rPr>
      </w:pPr>
      <w:r>
        <w:rPr>
          <w:rFonts w:hint="eastAsia" w:ascii="宋体" w:hAnsi="宋体" w:eastAsia="宋体" w:cs="宋体"/>
          <w:color w:val="auto"/>
          <w:szCs w:val="21"/>
          <w:highlight w:val="none"/>
        </w:rPr>
        <w:t>投标时，投标人</w:t>
      </w:r>
      <w:r>
        <w:rPr>
          <w:rFonts w:hint="eastAsia" w:ascii="Times New Roman" w:hAnsi="Times New Roman" w:eastAsia="宋体" w:cs="宋体"/>
          <w:sz w:val="21"/>
          <w:szCs w:val="21"/>
          <w:highlight w:val="none"/>
          <w:lang w:val="en-US" w:eastAsia="zh-CN"/>
        </w:rPr>
        <w:t>应根据招标文件中列出的发包人另行发包的专业工程和发包人自行采购的材料与设备情况，按照招标文件要求</w:t>
      </w:r>
      <w:r>
        <w:rPr>
          <w:rFonts w:hint="eastAsia" w:cs="宋体"/>
          <w:sz w:val="21"/>
          <w:szCs w:val="21"/>
          <w:highlight w:val="none"/>
          <w:lang w:val="en-US" w:eastAsia="zh-CN"/>
        </w:rPr>
        <w:t>履行管理、协调及配合责任的</w:t>
      </w:r>
      <w:r>
        <w:rPr>
          <w:rFonts w:hint="eastAsia" w:ascii="Times New Roman" w:hAnsi="Times New Roman" w:eastAsia="宋体" w:cs="宋体"/>
          <w:sz w:val="21"/>
          <w:szCs w:val="21"/>
          <w:highlight w:val="none"/>
          <w:lang w:val="en-US" w:eastAsia="zh-CN"/>
        </w:rPr>
        <w:t>需要，自主报价。</w:t>
      </w:r>
    </w:p>
    <w:p w14:paraId="56B692B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rPr>
        <w:t>.工程量清单作为本招标文件的组成部分，其准确性和完整性由招标人负责。如发现招标人提供的工程量清单的项目及工程量与图纸实际不符时，除招标文件另有要求外，投标人应在截标前</w:t>
      </w: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天向招标人提出，招标人应进行复核并用书面发出修正，分送所有投标人。如招标人没有做出修正，投标人仍应按原提供的项目及工程量报价。</w:t>
      </w:r>
    </w:p>
    <w:p w14:paraId="3640798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.所有报价应以本招标文件投标须知前附表约定的币种表示。</w:t>
      </w:r>
    </w:p>
    <w:p w14:paraId="3717736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.特别提示：</w:t>
      </w:r>
    </w:p>
    <w:p w14:paraId="0475D0B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暂列金额是招标人在工程量清单中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投标时，投标人按照招标人提供的“暂列金额明细表”中所列项目和金额填报，不得修改，且计入投标总价。</w:t>
      </w:r>
    </w:p>
    <w:p w14:paraId="093E30B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*专业工程暂估价是招标人提供的用于支付必然发生但暂时不能确定的专业工程金额。投标人按招标人所列金额填报并计入投标总价。</w:t>
      </w:r>
    </w:p>
    <w:p w14:paraId="54DC5409">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鼓励承包人提供优质服务、建设优质工程，本招标工程设置优质优价奖励费。招标人按照本招标文件对优质优价工程的评价与奖励标准计算优质优质奖励费。*投标人按本招标文件要求和招标人提供的工程建设其他费项目内容填报价格。结算时，发、承包双方依据合同约定确定。</w:t>
      </w:r>
    </w:p>
    <w:p w14:paraId="7C4E2C3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*投标人按招标人提供的“设备及工器具购置费表”中所列设备名称、型号规格、单位和数量填报价格。结算时，发、承包双方依据合同约定计算。</w:t>
      </w:r>
    </w:p>
    <w:p w14:paraId="5308725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.投标人在投标文件中列明的工程机械、装卸机械应满足国家现阶段非道路移动机械用柴油机排放标准，鼓励使用LNG或电动工程机械、装卸机械。</w:t>
      </w:r>
    </w:p>
    <w:p w14:paraId="128EE52B">
      <w:pPr>
        <w:adjustRightInd w:val="0"/>
        <w:snapToGrid w:val="0"/>
        <w:spacing w:line="360" w:lineRule="auto"/>
        <w:ind w:firstLine="210" w:firstLineChars="100"/>
        <w:jc w:val="left"/>
        <w:outlineLvl w:val="9"/>
        <w:rPr>
          <w:rFonts w:hint="eastAsia" w:ascii="黑体" w:hAnsi="黑体" w:eastAsia="黑体" w:cs="黑体"/>
          <w:bCs/>
          <w:color w:val="auto"/>
          <w:sz w:val="32"/>
          <w:szCs w:val="32"/>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.其他。</w:t>
      </w:r>
      <w:bookmarkStart w:id="6441" w:name="_Toc7121"/>
      <w:bookmarkStart w:id="6442" w:name="_Toc18054"/>
      <w:bookmarkStart w:id="6443" w:name="_Toc27364"/>
      <w:bookmarkStart w:id="6444" w:name="_Toc11872"/>
      <w:bookmarkStart w:id="6445" w:name="_Toc27190"/>
      <w:bookmarkStart w:id="6446" w:name="_Toc30770"/>
    </w:p>
    <w:p w14:paraId="01A16D5E">
      <w:pPr>
        <w:adjustRightInd/>
        <w:snapToGrid/>
        <w:spacing w:line="240" w:lineRule="auto"/>
        <w:jc w:val="left"/>
        <w:outlineLvl w:val="9"/>
        <w:rPr>
          <w:rFonts w:hint="eastAsia"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br w:type="page"/>
      </w:r>
    </w:p>
    <w:p w14:paraId="0F08E65B">
      <w:pPr>
        <w:adjustRightInd w:val="0"/>
        <w:snapToGrid w:val="0"/>
        <w:spacing w:line="360" w:lineRule="auto"/>
        <w:jc w:val="center"/>
        <w:outlineLvl w:val="1"/>
        <w:rPr>
          <w:rFonts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t>二、工程量清单格式</w:t>
      </w:r>
      <w:bookmarkEnd w:id="6441"/>
      <w:bookmarkEnd w:id="6442"/>
      <w:bookmarkEnd w:id="6443"/>
      <w:bookmarkEnd w:id="6444"/>
      <w:bookmarkEnd w:id="6445"/>
      <w:bookmarkEnd w:id="6446"/>
    </w:p>
    <w:p w14:paraId="33FC941C">
      <w:pPr>
        <w:spacing w:line="20" w:lineRule="exact"/>
        <w:rPr>
          <w:color w:val="auto"/>
          <w:highlight w:val="none"/>
        </w:rPr>
      </w:pPr>
    </w:p>
    <w:p w14:paraId="09B03C1E">
      <w:pPr>
        <w:widowControl/>
        <w:ind w:left="-619" w:leftChars="-295" w:firstLine="0" w:firstLineChars="0"/>
        <w:jc w:val="center"/>
        <w:rPr>
          <w:rFonts w:hint="eastAsia"/>
          <w:kern w:val="0"/>
          <w:szCs w:val="21"/>
          <w:highlight w:val="none"/>
          <w:lang w:val="en-US" w:eastAsia="zh-CN"/>
        </w:rPr>
      </w:pPr>
    </w:p>
    <w:p w14:paraId="32DA144E">
      <w:pPr>
        <w:widowControl/>
        <w:ind w:left="-619" w:leftChars="-295" w:firstLine="0" w:firstLineChars="0"/>
        <w:jc w:val="center"/>
        <w:outlineLvl w:val="2"/>
        <w:rPr>
          <w:rFonts w:hint="eastAsia" w:ascii="宋体" w:hAnsi="宋体" w:eastAsia="宋体" w:cs="宋体"/>
          <w:b w:val="0"/>
          <w:bCs w:val="0"/>
          <w:kern w:val="0"/>
          <w:sz w:val="28"/>
          <w:szCs w:val="28"/>
          <w:highlight w:val="none"/>
          <w:lang w:val="en-US" w:eastAsia="zh-CN"/>
        </w:rPr>
      </w:pPr>
      <w:r>
        <w:rPr>
          <w:rFonts w:hint="eastAsia" w:ascii="宋体" w:hAnsi="宋体" w:eastAsia="宋体" w:cs="宋体"/>
          <w:b w:val="0"/>
          <w:bCs w:val="0"/>
          <w:kern w:val="0"/>
          <w:sz w:val="28"/>
          <w:szCs w:val="28"/>
          <w:highlight w:val="none"/>
          <w:lang w:val="en-US" w:eastAsia="zh-CN"/>
        </w:rPr>
        <w:t>招标工程量清单封面</w:t>
      </w:r>
    </w:p>
    <w:p w14:paraId="42CFC72E">
      <w:pPr>
        <w:widowControl/>
        <w:ind w:left="-619" w:leftChars="-295" w:firstLine="0" w:firstLineChars="0"/>
        <w:jc w:val="center"/>
        <w:rPr>
          <w:kern w:val="0"/>
          <w:sz w:val="18"/>
          <w:szCs w:val="18"/>
          <w:highlight w:val="none"/>
        </w:rPr>
      </w:pPr>
    </w:p>
    <w:p w14:paraId="376DC8E7">
      <w:pPr>
        <w:spacing w:line="275" w:lineRule="auto"/>
        <w:ind w:left="-619" w:leftChars="-295" w:firstLine="0" w:firstLineChars="0"/>
        <w:jc w:val="center"/>
        <w:rPr>
          <w:rFonts w:ascii="Arial"/>
          <w:sz w:val="21"/>
          <w:highlight w:val="none"/>
        </w:rPr>
      </w:pPr>
    </w:p>
    <w:p w14:paraId="2AC585A6">
      <w:pPr>
        <w:spacing w:line="275" w:lineRule="auto"/>
        <w:ind w:left="-619" w:leftChars="-295" w:firstLine="0" w:firstLineChars="0"/>
        <w:jc w:val="center"/>
        <w:rPr>
          <w:rFonts w:ascii="Arial"/>
          <w:sz w:val="21"/>
          <w:highlight w:val="none"/>
        </w:rPr>
      </w:pPr>
    </w:p>
    <w:p w14:paraId="6F71E86D">
      <w:pPr>
        <w:spacing w:line="275" w:lineRule="auto"/>
        <w:ind w:left="-619" w:leftChars="-295" w:firstLine="0" w:firstLineChars="0"/>
        <w:jc w:val="center"/>
        <w:rPr>
          <w:rFonts w:ascii="Arial"/>
          <w:sz w:val="21"/>
          <w:highlight w:val="none"/>
        </w:rPr>
      </w:pPr>
    </w:p>
    <w:p w14:paraId="2E8E0EF3">
      <w:pPr>
        <w:spacing w:line="275" w:lineRule="auto"/>
        <w:ind w:left="-619" w:leftChars="-295" w:firstLine="0" w:firstLineChars="0"/>
        <w:jc w:val="center"/>
        <w:rPr>
          <w:rFonts w:ascii="Arial"/>
          <w:sz w:val="21"/>
          <w:highlight w:val="none"/>
        </w:rPr>
      </w:pPr>
    </w:p>
    <w:p w14:paraId="7D18421A">
      <w:pPr>
        <w:spacing w:line="275" w:lineRule="auto"/>
        <w:ind w:left="-619" w:leftChars="-295" w:firstLine="0" w:firstLineChars="0"/>
        <w:jc w:val="center"/>
        <w:rPr>
          <w:rFonts w:ascii="Arial"/>
          <w:sz w:val="21"/>
          <w:highlight w:val="none"/>
        </w:rPr>
      </w:pPr>
    </w:p>
    <w:p w14:paraId="5D318BED">
      <w:pPr>
        <w:pStyle w:val="16"/>
        <w:tabs>
          <w:tab w:val="left" w:pos="5779"/>
        </w:tabs>
        <w:spacing w:before="62" w:line="220" w:lineRule="auto"/>
        <w:ind w:left="-619" w:leftChars="-295" w:firstLine="0" w:firstLineChars="0"/>
        <w:jc w:val="center"/>
        <w:rPr>
          <w:sz w:val="28"/>
          <w:szCs w:val="28"/>
          <w:highlight w:val="none"/>
        </w:rPr>
      </w:pPr>
      <w:r>
        <w:rPr>
          <w:rFonts w:hint="eastAsia"/>
          <w:spacing w:val="-5"/>
          <w:sz w:val="19"/>
          <w:szCs w:val="19"/>
          <w:highlight w:val="none"/>
          <w:u w:val="single"/>
          <w:lang w:val="en-US" w:eastAsia="zh-CN"/>
        </w:rPr>
        <w:t xml:space="preserve">                                   </w:t>
      </w:r>
      <w:r>
        <w:rPr>
          <w:spacing w:val="-5"/>
          <w:sz w:val="28"/>
          <w:szCs w:val="28"/>
          <w:highlight w:val="none"/>
        </w:rPr>
        <w:t>工</w:t>
      </w:r>
      <w:r>
        <w:rPr>
          <w:spacing w:val="8"/>
          <w:sz w:val="28"/>
          <w:szCs w:val="28"/>
          <w:highlight w:val="none"/>
        </w:rPr>
        <w:t xml:space="preserve"> </w:t>
      </w:r>
      <w:r>
        <w:rPr>
          <w:spacing w:val="-5"/>
          <w:sz w:val="28"/>
          <w:szCs w:val="28"/>
          <w:highlight w:val="none"/>
        </w:rPr>
        <w:t>程</w:t>
      </w:r>
    </w:p>
    <w:p w14:paraId="217561FE">
      <w:pPr>
        <w:spacing w:line="262" w:lineRule="auto"/>
        <w:ind w:left="-619" w:leftChars="-295" w:firstLine="0" w:firstLineChars="0"/>
        <w:jc w:val="center"/>
        <w:rPr>
          <w:rFonts w:ascii="Arial"/>
          <w:sz w:val="21"/>
          <w:highlight w:val="none"/>
        </w:rPr>
      </w:pPr>
    </w:p>
    <w:p w14:paraId="40BD846C">
      <w:pPr>
        <w:spacing w:line="262" w:lineRule="auto"/>
        <w:ind w:left="-619" w:leftChars="-295" w:firstLine="0" w:firstLineChars="0"/>
        <w:jc w:val="center"/>
        <w:rPr>
          <w:rFonts w:ascii="Arial"/>
          <w:sz w:val="21"/>
          <w:highlight w:val="none"/>
        </w:rPr>
      </w:pPr>
    </w:p>
    <w:p w14:paraId="6405BB6B">
      <w:pPr>
        <w:spacing w:line="263" w:lineRule="auto"/>
        <w:ind w:left="-619" w:leftChars="-295" w:firstLine="0" w:firstLineChars="0"/>
        <w:jc w:val="center"/>
        <w:rPr>
          <w:rFonts w:ascii="Arial"/>
          <w:sz w:val="21"/>
          <w:highlight w:val="none"/>
        </w:rPr>
      </w:pPr>
    </w:p>
    <w:p w14:paraId="5D5702F2">
      <w:pPr>
        <w:spacing w:line="263" w:lineRule="auto"/>
        <w:ind w:left="-619" w:leftChars="-295" w:firstLine="0" w:firstLineChars="0"/>
        <w:jc w:val="center"/>
        <w:rPr>
          <w:rFonts w:ascii="Arial"/>
          <w:sz w:val="21"/>
          <w:highlight w:val="none"/>
        </w:rPr>
      </w:pPr>
    </w:p>
    <w:p w14:paraId="289067DA">
      <w:pPr>
        <w:spacing w:line="263" w:lineRule="auto"/>
        <w:ind w:left="-619" w:leftChars="-295" w:firstLine="0" w:firstLineChars="0"/>
        <w:jc w:val="center"/>
        <w:rPr>
          <w:rFonts w:ascii="Arial"/>
          <w:sz w:val="21"/>
          <w:highlight w:val="none"/>
        </w:rPr>
      </w:pPr>
    </w:p>
    <w:p w14:paraId="2F315D95">
      <w:pPr>
        <w:spacing w:line="263" w:lineRule="auto"/>
        <w:ind w:left="-619" w:leftChars="-295" w:firstLine="0" w:firstLineChars="0"/>
        <w:jc w:val="center"/>
        <w:rPr>
          <w:rFonts w:ascii="Arial"/>
          <w:sz w:val="21"/>
          <w:highlight w:val="none"/>
        </w:rPr>
      </w:pPr>
    </w:p>
    <w:p w14:paraId="5F6F9476">
      <w:pPr>
        <w:pStyle w:val="16"/>
        <w:spacing w:before="91" w:line="220" w:lineRule="auto"/>
        <w:ind w:left="-619" w:leftChars="-295" w:firstLine="0" w:firstLineChars="0"/>
        <w:jc w:val="center"/>
        <w:rPr>
          <w:sz w:val="28"/>
          <w:szCs w:val="28"/>
          <w:highlight w:val="none"/>
        </w:rPr>
      </w:pPr>
      <w:r>
        <w:rPr>
          <w:spacing w:val="30"/>
          <w:sz w:val="28"/>
          <w:szCs w:val="28"/>
          <w:highlight w:val="none"/>
        </w:rPr>
        <w:t>招标工程量清单</w:t>
      </w:r>
    </w:p>
    <w:p w14:paraId="3E380478">
      <w:pPr>
        <w:spacing w:line="248" w:lineRule="auto"/>
        <w:ind w:left="-619" w:leftChars="-295" w:firstLine="0" w:firstLineChars="0"/>
        <w:jc w:val="center"/>
        <w:rPr>
          <w:rFonts w:ascii="Arial"/>
          <w:sz w:val="21"/>
          <w:highlight w:val="none"/>
        </w:rPr>
      </w:pPr>
    </w:p>
    <w:p w14:paraId="2DD4B510">
      <w:pPr>
        <w:spacing w:line="248" w:lineRule="auto"/>
        <w:ind w:left="-619" w:leftChars="-295" w:firstLine="0" w:firstLineChars="0"/>
        <w:jc w:val="center"/>
        <w:rPr>
          <w:rFonts w:ascii="Arial"/>
          <w:sz w:val="21"/>
          <w:highlight w:val="none"/>
        </w:rPr>
      </w:pPr>
    </w:p>
    <w:p w14:paraId="4FE21C4D">
      <w:pPr>
        <w:spacing w:line="248" w:lineRule="auto"/>
        <w:ind w:left="-619" w:leftChars="-295" w:firstLine="0" w:firstLineChars="0"/>
        <w:jc w:val="center"/>
        <w:rPr>
          <w:rFonts w:ascii="Arial"/>
          <w:sz w:val="21"/>
          <w:highlight w:val="none"/>
        </w:rPr>
      </w:pPr>
    </w:p>
    <w:p w14:paraId="74F35F60">
      <w:pPr>
        <w:spacing w:line="248" w:lineRule="auto"/>
        <w:ind w:left="-619" w:leftChars="-295" w:firstLine="0" w:firstLineChars="0"/>
        <w:jc w:val="center"/>
        <w:rPr>
          <w:rFonts w:ascii="Arial"/>
          <w:sz w:val="21"/>
          <w:highlight w:val="none"/>
        </w:rPr>
      </w:pPr>
    </w:p>
    <w:p w14:paraId="007D7774">
      <w:pPr>
        <w:spacing w:line="248" w:lineRule="auto"/>
        <w:ind w:left="-619" w:leftChars="-295" w:firstLine="0" w:firstLineChars="0"/>
        <w:jc w:val="center"/>
        <w:rPr>
          <w:rFonts w:ascii="Arial"/>
          <w:sz w:val="21"/>
          <w:highlight w:val="none"/>
        </w:rPr>
      </w:pPr>
    </w:p>
    <w:p w14:paraId="29799597">
      <w:pPr>
        <w:spacing w:line="248" w:lineRule="auto"/>
        <w:ind w:left="-619" w:leftChars="-295" w:firstLine="0" w:firstLineChars="0"/>
        <w:jc w:val="center"/>
        <w:rPr>
          <w:rFonts w:ascii="Arial"/>
          <w:sz w:val="21"/>
          <w:highlight w:val="none"/>
        </w:rPr>
      </w:pPr>
    </w:p>
    <w:p w14:paraId="31EEA694">
      <w:pPr>
        <w:spacing w:line="248" w:lineRule="auto"/>
        <w:ind w:left="-619" w:leftChars="-295" w:firstLine="0" w:firstLineChars="0"/>
        <w:jc w:val="center"/>
        <w:rPr>
          <w:rFonts w:ascii="Arial"/>
          <w:sz w:val="21"/>
          <w:highlight w:val="none"/>
        </w:rPr>
      </w:pPr>
    </w:p>
    <w:p w14:paraId="01C33B7A">
      <w:pPr>
        <w:spacing w:line="248" w:lineRule="auto"/>
        <w:ind w:left="-619" w:leftChars="-295" w:firstLine="0" w:firstLineChars="0"/>
        <w:jc w:val="center"/>
        <w:rPr>
          <w:rFonts w:ascii="Arial"/>
          <w:sz w:val="21"/>
          <w:highlight w:val="none"/>
        </w:rPr>
      </w:pPr>
    </w:p>
    <w:p w14:paraId="5382EEB3">
      <w:pPr>
        <w:spacing w:line="249" w:lineRule="auto"/>
        <w:ind w:left="-619" w:leftChars="-295" w:firstLine="0" w:firstLineChars="0"/>
        <w:jc w:val="center"/>
        <w:rPr>
          <w:rFonts w:ascii="Arial"/>
          <w:sz w:val="21"/>
          <w:highlight w:val="none"/>
        </w:rPr>
      </w:pPr>
    </w:p>
    <w:p w14:paraId="789B1F4C">
      <w:pPr>
        <w:spacing w:line="249" w:lineRule="auto"/>
        <w:ind w:left="-619" w:leftChars="-295" w:firstLine="0" w:firstLineChars="0"/>
        <w:jc w:val="center"/>
        <w:rPr>
          <w:rFonts w:ascii="Arial"/>
          <w:sz w:val="21"/>
          <w:highlight w:val="none"/>
        </w:rPr>
      </w:pPr>
    </w:p>
    <w:p w14:paraId="37089C4F">
      <w:pPr>
        <w:spacing w:line="249" w:lineRule="auto"/>
        <w:ind w:left="-619" w:leftChars="-295" w:firstLine="0" w:firstLineChars="0"/>
        <w:jc w:val="center"/>
        <w:rPr>
          <w:rFonts w:ascii="Arial"/>
          <w:sz w:val="21"/>
          <w:highlight w:val="none"/>
        </w:rPr>
      </w:pPr>
    </w:p>
    <w:p w14:paraId="6791DC12">
      <w:pPr>
        <w:pStyle w:val="16"/>
        <w:spacing w:before="62" w:line="219" w:lineRule="auto"/>
        <w:ind w:left="-619" w:leftChars="-295" w:firstLine="0" w:firstLineChars="0"/>
        <w:jc w:val="center"/>
        <w:rPr>
          <w:rFonts w:hint="default" w:eastAsia="宋体"/>
          <w:sz w:val="19"/>
          <w:szCs w:val="19"/>
          <w:highlight w:val="none"/>
          <w:lang w:val="en-US" w:eastAsia="zh-CN"/>
        </w:rPr>
      </w:pPr>
      <w:r>
        <w:rPr>
          <w:rFonts w:hint="eastAsia" w:cs="宋体"/>
          <w:sz w:val="19"/>
          <w:szCs w:val="19"/>
          <w:highlight w:val="none"/>
          <w:lang w:val="en-US" w:eastAsia="zh-CN"/>
        </w:rPr>
        <w:t>发包</w:t>
      </w:r>
      <w:r>
        <w:rPr>
          <w:rFonts w:hint="eastAsia" w:ascii="Times New Roman" w:hAnsi="Times New Roman" w:eastAsia="宋体" w:cs="宋体"/>
          <w:sz w:val="19"/>
          <w:szCs w:val="19"/>
          <w:highlight w:val="none"/>
          <w:lang w:val="en-US" w:eastAsia="zh-CN"/>
        </w:rPr>
        <w:t>人</w:t>
      </w:r>
      <w:r>
        <w:rPr>
          <w:spacing w:val="-13"/>
          <w:sz w:val="19"/>
          <w:szCs w:val="19"/>
          <w:highlight w:val="none"/>
        </w:rPr>
        <w:t>：</w:t>
      </w:r>
      <w:r>
        <w:rPr>
          <w:spacing w:val="7"/>
          <w:sz w:val="19"/>
          <w:szCs w:val="19"/>
          <w:highlight w:val="none"/>
          <w:u w:val="single" w:color="auto"/>
        </w:rPr>
        <w:t xml:space="preserve">         </w:t>
      </w:r>
      <w:r>
        <w:rPr>
          <w:spacing w:val="-13"/>
          <w:sz w:val="19"/>
          <w:szCs w:val="19"/>
          <w:highlight w:val="none"/>
          <w:u w:val="single" w:color="auto"/>
        </w:rPr>
        <w:t>(</w:t>
      </w:r>
      <w:r>
        <w:rPr>
          <w:spacing w:val="40"/>
          <w:sz w:val="19"/>
          <w:szCs w:val="19"/>
          <w:highlight w:val="none"/>
          <w:u w:val="single" w:color="auto"/>
        </w:rPr>
        <w:t xml:space="preserve"> </w:t>
      </w:r>
      <w:r>
        <w:rPr>
          <w:spacing w:val="-13"/>
          <w:sz w:val="19"/>
          <w:szCs w:val="19"/>
          <w:highlight w:val="none"/>
          <w:u w:val="single" w:color="auto"/>
        </w:rPr>
        <w:t>盖</w:t>
      </w:r>
      <w:r>
        <w:rPr>
          <w:spacing w:val="44"/>
          <w:sz w:val="19"/>
          <w:szCs w:val="19"/>
          <w:highlight w:val="none"/>
          <w:u w:val="single" w:color="auto"/>
        </w:rPr>
        <w:t xml:space="preserve"> </w:t>
      </w:r>
      <w:r>
        <w:rPr>
          <w:spacing w:val="-13"/>
          <w:sz w:val="19"/>
          <w:szCs w:val="19"/>
          <w:highlight w:val="none"/>
          <w:u w:val="single" w:color="auto"/>
        </w:rPr>
        <w:t>章</w:t>
      </w:r>
      <w:r>
        <w:rPr>
          <w:spacing w:val="37"/>
          <w:sz w:val="19"/>
          <w:szCs w:val="19"/>
          <w:highlight w:val="none"/>
          <w:u w:val="single" w:color="auto"/>
        </w:rPr>
        <w:t xml:space="preserve"> </w:t>
      </w:r>
      <w:r>
        <w:rPr>
          <w:spacing w:val="-13"/>
          <w:sz w:val="19"/>
          <w:szCs w:val="19"/>
          <w:highlight w:val="none"/>
          <w:u w:val="single" w:color="auto"/>
        </w:rPr>
        <w:t>)</w:t>
      </w:r>
      <w:r>
        <w:rPr>
          <w:rFonts w:hint="eastAsia"/>
          <w:spacing w:val="-13"/>
          <w:sz w:val="19"/>
          <w:szCs w:val="19"/>
          <w:highlight w:val="none"/>
          <w:u w:val="single" w:color="auto"/>
          <w:lang w:val="en-US" w:eastAsia="zh-CN"/>
        </w:rPr>
        <w:t xml:space="preserve">       </w:t>
      </w:r>
    </w:p>
    <w:p w14:paraId="7A02E563">
      <w:pPr>
        <w:spacing w:line="262" w:lineRule="auto"/>
        <w:ind w:left="-619" w:leftChars="-295" w:firstLine="0" w:firstLineChars="0"/>
        <w:jc w:val="center"/>
        <w:rPr>
          <w:rFonts w:ascii="Arial"/>
          <w:sz w:val="21"/>
          <w:highlight w:val="none"/>
        </w:rPr>
      </w:pPr>
    </w:p>
    <w:p w14:paraId="2107A23A">
      <w:pPr>
        <w:pStyle w:val="16"/>
        <w:spacing w:before="63" w:line="219" w:lineRule="auto"/>
        <w:ind w:left="-619" w:leftChars="-295" w:firstLine="0" w:firstLineChars="0"/>
        <w:jc w:val="center"/>
        <w:rPr>
          <w:spacing w:val="-5"/>
          <w:sz w:val="19"/>
          <w:szCs w:val="19"/>
          <w:highlight w:val="none"/>
        </w:rPr>
      </w:pPr>
    </w:p>
    <w:p w14:paraId="59329663">
      <w:pPr>
        <w:pStyle w:val="16"/>
        <w:spacing w:before="63" w:line="219" w:lineRule="auto"/>
        <w:ind w:left="-619" w:leftChars="-295" w:firstLine="0" w:firstLineChars="0"/>
        <w:jc w:val="center"/>
        <w:rPr>
          <w:spacing w:val="-5"/>
          <w:sz w:val="19"/>
          <w:szCs w:val="19"/>
          <w:highlight w:val="none"/>
        </w:rPr>
      </w:pPr>
      <w:r>
        <w:rPr>
          <w:spacing w:val="-5"/>
          <w:sz w:val="19"/>
          <w:szCs w:val="19"/>
          <w:highlight w:val="none"/>
        </w:rPr>
        <w:t>年</w:t>
      </w:r>
      <w:r>
        <w:rPr>
          <w:spacing w:val="15"/>
          <w:sz w:val="19"/>
          <w:szCs w:val="19"/>
          <w:highlight w:val="none"/>
        </w:rPr>
        <w:t xml:space="preserve">    </w:t>
      </w:r>
      <w:r>
        <w:rPr>
          <w:spacing w:val="-5"/>
          <w:sz w:val="19"/>
          <w:szCs w:val="19"/>
          <w:highlight w:val="none"/>
        </w:rPr>
        <w:t>月     日</w:t>
      </w:r>
    </w:p>
    <w:p w14:paraId="1787CED0">
      <w:pPr>
        <w:widowControl/>
        <w:ind w:left="0" w:leftChars="0" w:firstLine="0" w:firstLineChars="0"/>
        <w:jc w:val="left"/>
        <w:rPr>
          <w:rFonts w:hint="eastAsia"/>
          <w:kern w:val="0"/>
          <w:szCs w:val="21"/>
          <w:highlight w:val="none"/>
          <w:lang w:val="en-US" w:eastAsia="zh-CN"/>
        </w:rPr>
      </w:pPr>
      <w:r>
        <w:rPr>
          <w:rFonts w:hint="eastAsia"/>
          <w:kern w:val="0"/>
          <w:szCs w:val="21"/>
          <w:highlight w:val="none"/>
          <w:lang w:val="en-US" w:eastAsia="zh-CN"/>
        </w:rPr>
        <w:br w:type="page"/>
      </w:r>
    </w:p>
    <w:p w14:paraId="2EA314B0">
      <w:pPr>
        <w:widowControl/>
        <w:ind w:left="-619" w:leftChars="-295" w:firstLine="0" w:firstLineChars="0"/>
        <w:jc w:val="center"/>
        <w:outlineLvl w:val="2"/>
        <w:rPr>
          <w:rFonts w:hint="eastAsia" w:ascii="宋体" w:hAnsi="宋体" w:eastAsia="宋体" w:cs="宋体"/>
          <w:b w:val="0"/>
          <w:bCs w:val="0"/>
          <w:kern w:val="0"/>
          <w:sz w:val="28"/>
          <w:szCs w:val="28"/>
          <w:highlight w:val="none"/>
          <w:lang w:val="en-US" w:eastAsia="zh-CN"/>
        </w:rPr>
      </w:pPr>
      <w:r>
        <w:rPr>
          <w:rFonts w:hint="eastAsia" w:ascii="宋体" w:hAnsi="宋体" w:eastAsia="宋体" w:cs="宋体"/>
          <w:b w:val="0"/>
          <w:bCs w:val="0"/>
          <w:kern w:val="0"/>
          <w:sz w:val="28"/>
          <w:szCs w:val="28"/>
          <w:highlight w:val="none"/>
          <w:lang w:val="en-US" w:eastAsia="zh-CN"/>
        </w:rPr>
        <w:t>最高投标限价封面</w:t>
      </w:r>
    </w:p>
    <w:p w14:paraId="06570BE4">
      <w:pPr>
        <w:widowControl/>
        <w:ind w:left="-619" w:leftChars="-295" w:firstLine="0" w:firstLineChars="0"/>
        <w:jc w:val="center"/>
        <w:rPr>
          <w:kern w:val="0"/>
          <w:sz w:val="18"/>
          <w:szCs w:val="18"/>
          <w:highlight w:val="none"/>
        </w:rPr>
      </w:pPr>
    </w:p>
    <w:p w14:paraId="008E1B22">
      <w:pPr>
        <w:spacing w:line="275" w:lineRule="auto"/>
        <w:ind w:left="-619" w:leftChars="-295" w:firstLine="0" w:firstLineChars="0"/>
        <w:jc w:val="center"/>
        <w:rPr>
          <w:rFonts w:ascii="Arial"/>
          <w:sz w:val="21"/>
          <w:highlight w:val="none"/>
        </w:rPr>
      </w:pPr>
    </w:p>
    <w:p w14:paraId="1A1FBDD0">
      <w:pPr>
        <w:spacing w:line="275" w:lineRule="auto"/>
        <w:ind w:left="-619" w:leftChars="-295" w:firstLine="0" w:firstLineChars="0"/>
        <w:jc w:val="center"/>
        <w:rPr>
          <w:rFonts w:ascii="Arial"/>
          <w:sz w:val="21"/>
          <w:highlight w:val="none"/>
        </w:rPr>
      </w:pPr>
    </w:p>
    <w:p w14:paraId="6A155C0D">
      <w:pPr>
        <w:spacing w:line="275" w:lineRule="auto"/>
        <w:ind w:left="-619" w:leftChars="-295" w:firstLine="0" w:firstLineChars="0"/>
        <w:jc w:val="center"/>
        <w:rPr>
          <w:rFonts w:ascii="Arial"/>
          <w:sz w:val="21"/>
          <w:highlight w:val="none"/>
        </w:rPr>
      </w:pPr>
    </w:p>
    <w:p w14:paraId="3FB3B577">
      <w:pPr>
        <w:spacing w:line="275" w:lineRule="auto"/>
        <w:ind w:left="-619" w:leftChars="-295" w:firstLine="0" w:firstLineChars="0"/>
        <w:jc w:val="center"/>
        <w:rPr>
          <w:rFonts w:ascii="Arial"/>
          <w:sz w:val="21"/>
          <w:highlight w:val="none"/>
        </w:rPr>
      </w:pPr>
    </w:p>
    <w:p w14:paraId="2E5E39BD">
      <w:pPr>
        <w:spacing w:line="275" w:lineRule="auto"/>
        <w:ind w:left="-619" w:leftChars="-295" w:firstLine="0" w:firstLineChars="0"/>
        <w:jc w:val="center"/>
        <w:rPr>
          <w:rFonts w:ascii="Arial"/>
          <w:sz w:val="21"/>
          <w:highlight w:val="none"/>
        </w:rPr>
      </w:pPr>
    </w:p>
    <w:p w14:paraId="0FD8045E">
      <w:pPr>
        <w:spacing w:line="275" w:lineRule="auto"/>
        <w:ind w:left="-619" w:leftChars="-295" w:firstLine="0" w:firstLineChars="0"/>
        <w:jc w:val="center"/>
        <w:rPr>
          <w:rFonts w:ascii="Arial"/>
          <w:sz w:val="21"/>
          <w:highlight w:val="none"/>
        </w:rPr>
      </w:pPr>
    </w:p>
    <w:p w14:paraId="44FDF8DB">
      <w:pPr>
        <w:spacing w:line="275" w:lineRule="auto"/>
        <w:ind w:left="-619" w:leftChars="-295" w:firstLine="0" w:firstLineChars="0"/>
        <w:jc w:val="center"/>
        <w:rPr>
          <w:rFonts w:ascii="Arial"/>
          <w:sz w:val="21"/>
          <w:highlight w:val="none"/>
        </w:rPr>
      </w:pPr>
    </w:p>
    <w:p w14:paraId="70EAFB39">
      <w:pPr>
        <w:pStyle w:val="16"/>
        <w:tabs>
          <w:tab w:val="left" w:pos="5779"/>
        </w:tabs>
        <w:spacing w:before="62" w:line="220" w:lineRule="auto"/>
        <w:ind w:left="-619" w:leftChars="-295" w:firstLine="0" w:firstLineChars="0"/>
        <w:jc w:val="center"/>
        <w:rPr>
          <w:sz w:val="19"/>
          <w:szCs w:val="19"/>
          <w:highlight w:val="none"/>
        </w:rPr>
      </w:pPr>
      <w:r>
        <w:rPr>
          <w:rFonts w:hint="eastAsia"/>
          <w:spacing w:val="-5"/>
          <w:sz w:val="19"/>
          <w:szCs w:val="19"/>
          <w:highlight w:val="none"/>
          <w:u w:val="single"/>
          <w:lang w:val="en-US" w:eastAsia="zh-CN"/>
        </w:rPr>
        <w:t xml:space="preserve">                                   </w:t>
      </w:r>
      <w:r>
        <w:rPr>
          <w:spacing w:val="-5"/>
          <w:sz w:val="28"/>
          <w:szCs w:val="28"/>
          <w:highlight w:val="none"/>
        </w:rPr>
        <w:t>工</w:t>
      </w:r>
      <w:r>
        <w:rPr>
          <w:spacing w:val="8"/>
          <w:sz w:val="28"/>
          <w:szCs w:val="28"/>
          <w:highlight w:val="none"/>
        </w:rPr>
        <w:t xml:space="preserve"> </w:t>
      </w:r>
      <w:r>
        <w:rPr>
          <w:spacing w:val="-5"/>
          <w:sz w:val="28"/>
          <w:szCs w:val="28"/>
          <w:highlight w:val="none"/>
        </w:rPr>
        <w:t>程</w:t>
      </w:r>
    </w:p>
    <w:p w14:paraId="0358073C">
      <w:pPr>
        <w:spacing w:line="262" w:lineRule="auto"/>
        <w:ind w:left="-619" w:leftChars="-295" w:firstLine="0" w:firstLineChars="0"/>
        <w:jc w:val="center"/>
        <w:rPr>
          <w:rFonts w:ascii="Arial"/>
          <w:sz w:val="21"/>
          <w:highlight w:val="none"/>
        </w:rPr>
      </w:pPr>
    </w:p>
    <w:p w14:paraId="6CA07163">
      <w:pPr>
        <w:spacing w:line="262" w:lineRule="auto"/>
        <w:ind w:left="-619" w:leftChars="-295" w:firstLine="0" w:firstLineChars="0"/>
        <w:jc w:val="center"/>
        <w:rPr>
          <w:rFonts w:ascii="Arial"/>
          <w:sz w:val="21"/>
          <w:highlight w:val="none"/>
        </w:rPr>
      </w:pPr>
    </w:p>
    <w:p w14:paraId="7A0F7BFE">
      <w:pPr>
        <w:spacing w:line="263" w:lineRule="auto"/>
        <w:ind w:left="-619" w:leftChars="-295" w:firstLine="0" w:firstLineChars="0"/>
        <w:jc w:val="center"/>
        <w:rPr>
          <w:rFonts w:ascii="Arial"/>
          <w:sz w:val="21"/>
          <w:highlight w:val="none"/>
        </w:rPr>
      </w:pPr>
    </w:p>
    <w:p w14:paraId="233A0A83">
      <w:pPr>
        <w:spacing w:line="263" w:lineRule="auto"/>
        <w:ind w:left="-619" w:leftChars="-295" w:firstLine="0" w:firstLineChars="0"/>
        <w:jc w:val="center"/>
        <w:rPr>
          <w:rFonts w:ascii="Arial"/>
          <w:sz w:val="21"/>
          <w:highlight w:val="none"/>
        </w:rPr>
      </w:pPr>
    </w:p>
    <w:p w14:paraId="0A4AB711">
      <w:pPr>
        <w:spacing w:line="263" w:lineRule="auto"/>
        <w:ind w:left="-619" w:leftChars="-295" w:firstLine="0" w:firstLineChars="0"/>
        <w:jc w:val="center"/>
        <w:rPr>
          <w:rFonts w:ascii="Arial"/>
          <w:sz w:val="21"/>
          <w:highlight w:val="none"/>
        </w:rPr>
      </w:pPr>
    </w:p>
    <w:p w14:paraId="35949715">
      <w:pPr>
        <w:spacing w:line="263" w:lineRule="auto"/>
        <w:ind w:left="-619" w:leftChars="-295" w:firstLine="0" w:firstLineChars="0"/>
        <w:jc w:val="center"/>
        <w:rPr>
          <w:rFonts w:ascii="Arial"/>
          <w:sz w:val="21"/>
          <w:highlight w:val="none"/>
        </w:rPr>
      </w:pPr>
    </w:p>
    <w:p w14:paraId="73CE4A15">
      <w:pPr>
        <w:pStyle w:val="16"/>
        <w:spacing w:before="91" w:line="220" w:lineRule="auto"/>
        <w:ind w:left="-619" w:leftChars="-295" w:firstLine="0" w:firstLineChars="0"/>
        <w:jc w:val="center"/>
        <w:rPr>
          <w:sz w:val="28"/>
          <w:szCs w:val="28"/>
          <w:highlight w:val="none"/>
        </w:rPr>
      </w:pPr>
      <w:r>
        <w:rPr>
          <w:rFonts w:hint="eastAsia"/>
          <w:spacing w:val="30"/>
          <w:sz w:val="28"/>
          <w:szCs w:val="28"/>
          <w:highlight w:val="none"/>
          <w:lang w:val="en-US" w:eastAsia="zh-CN"/>
        </w:rPr>
        <w:t>最高投标限价</w:t>
      </w:r>
    </w:p>
    <w:p w14:paraId="28B4AE5C">
      <w:pPr>
        <w:spacing w:line="248" w:lineRule="auto"/>
        <w:ind w:left="-619" w:leftChars="-295" w:firstLine="0" w:firstLineChars="0"/>
        <w:jc w:val="center"/>
        <w:rPr>
          <w:rFonts w:ascii="Arial"/>
          <w:sz w:val="21"/>
          <w:highlight w:val="none"/>
        </w:rPr>
      </w:pPr>
    </w:p>
    <w:p w14:paraId="331C23C6">
      <w:pPr>
        <w:spacing w:line="248" w:lineRule="auto"/>
        <w:ind w:left="-619" w:leftChars="-295" w:firstLine="0" w:firstLineChars="0"/>
        <w:jc w:val="center"/>
        <w:rPr>
          <w:rFonts w:ascii="Arial"/>
          <w:sz w:val="21"/>
          <w:highlight w:val="none"/>
        </w:rPr>
      </w:pPr>
    </w:p>
    <w:p w14:paraId="6E61151E">
      <w:pPr>
        <w:spacing w:line="248" w:lineRule="auto"/>
        <w:ind w:left="-619" w:leftChars="-295" w:firstLine="0" w:firstLineChars="0"/>
        <w:jc w:val="center"/>
        <w:rPr>
          <w:rFonts w:ascii="Arial"/>
          <w:sz w:val="21"/>
          <w:highlight w:val="none"/>
        </w:rPr>
      </w:pPr>
    </w:p>
    <w:p w14:paraId="140FA8C4">
      <w:pPr>
        <w:spacing w:line="248" w:lineRule="auto"/>
        <w:ind w:left="-619" w:leftChars="-295" w:firstLine="0" w:firstLineChars="0"/>
        <w:jc w:val="center"/>
        <w:rPr>
          <w:rFonts w:ascii="Arial"/>
          <w:sz w:val="21"/>
          <w:highlight w:val="none"/>
        </w:rPr>
      </w:pPr>
    </w:p>
    <w:p w14:paraId="4924D13A">
      <w:pPr>
        <w:spacing w:line="248" w:lineRule="auto"/>
        <w:ind w:left="-619" w:leftChars="-295" w:firstLine="0" w:firstLineChars="0"/>
        <w:jc w:val="center"/>
        <w:rPr>
          <w:rFonts w:ascii="Arial"/>
          <w:sz w:val="21"/>
          <w:highlight w:val="none"/>
        </w:rPr>
      </w:pPr>
    </w:p>
    <w:p w14:paraId="20949CB0">
      <w:pPr>
        <w:spacing w:line="248" w:lineRule="auto"/>
        <w:jc w:val="both"/>
        <w:rPr>
          <w:rFonts w:ascii="Arial"/>
          <w:sz w:val="21"/>
          <w:highlight w:val="none"/>
        </w:rPr>
      </w:pPr>
    </w:p>
    <w:p w14:paraId="08B4D07A">
      <w:pPr>
        <w:spacing w:line="248" w:lineRule="auto"/>
        <w:ind w:left="-619" w:leftChars="-295" w:firstLine="0" w:firstLineChars="0"/>
        <w:jc w:val="center"/>
        <w:rPr>
          <w:rFonts w:ascii="Arial"/>
          <w:sz w:val="21"/>
          <w:highlight w:val="none"/>
        </w:rPr>
      </w:pPr>
    </w:p>
    <w:p w14:paraId="28F1843C">
      <w:pPr>
        <w:spacing w:line="249" w:lineRule="auto"/>
        <w:ind w:left="-619" w:leftChars="-295" w:firstLine="0" w:firstLineChars="0"/>
        <w:jc w:val="center"/>
        <w:rPr>
          <w:rFonts w:ascii="Arial"/>
          <w:sz w:val="21"/>
          <w:highlight w:val="none"/>
        </w:rPr>
      </w:pPr>
    </w:p>
    <w:p w14:paraId="49EB2A9C">
      <w:pPr>
        <w:spacing w:line="249" w:lineRule="auto"/>
        <w:ind w:left="-619" w:leftChars="-295" w:firstLine="0" w:firstLineChars="0"/>
        <w:jc w:val="center"/>
        <w:rPr>
          <w:rFonts w:ascii="Arial"/>
          <w:sz w:val="21"/>
          <w:highlight w:val="none"/>
        </w:rPr>
      </w:pPr>
    </w:p>
    <w:p w14:paraId="54116F59">
      <w:pPr>
        <w:spacing w:line="249" w:lineRule="auto"/>
        <w:ind w:left="-619" w:leftChars="-295" w:firstLine="0" w:firstLineChars="0"/>
        <w:jc w:val="center"/>
        <w:rPr>
          <w:rFonts w:ascii="Arial"/>
          <w:sz w:val="21"/>
          <w:highlight w:val="none"/>
        </w:rPr>
      </w:pPr>
    </w:p>
    <w:p w14:paraId="0F38E3F3">
      <w:pPr>
        <w:pStyle w:val="16"/>
        <w:spacing w:before="62" w:line="219" w:lineRule="auto"/>
        <w:ind w:left="-619" w:leftChars="-295" w:firstLine="0" w:firstLineChars="0"/>
        <w:jc w:val="center"/>
        <w:rPr>
          <w:rFonts w:hint="default" w:eastAsia="宋体"/>
          <w:sz w:val="19"/>
          <w:szCs w:val="19"/>
          <w:highlight w:val="none"/>
          <w:lang w:val="en-US" w:eastAsia="zh-CN"/>
        </w:rPr>
      </w:pPr>
      <w:r>
        <w:rPr>
          <w:rFonts w:hint="eastAsia" w:cs="宋体"/>
          <w:sz w:val="19"/>
          <w:szCs w:val="19"/>
          <w:highlight w:val="none"/>
          <w:lang w:val="en-US" w:eastAsia="zh-CN"/>
        </w:rPr>
        <w:t>发包</w:t>
      </w:r>
      <w:r>
        <w:rPr>
          <w:rFonts w:hint="eastAsia" w:ascii="Times New Roman" w:hAnsi="Times New Roman" w:eastAsia="宋体" w:cs="宋体"/>
          <w:sz w:val="19"/>
          <w:szCs w:val="19"/>
          <w:highlight w:val="none"/>
          <w:lang w:val="en-US" w:eastAsia="zh-CN"/>
        </w:rPr>
        <w:t>人</w:t>
      </w:r>
      <w:r>
        <w:rPr>
          <w:spacing w:val="-13"/>
          <w:sz w:val="19"/>
          <w:szCs w:val="19"/>
          <w:highlight w:val="none"/>
        </w:rPr>
        <w:t>：</w:t>
      </w:r>
      <w:r>
        <w:rPr>
          <w:spacing w:val="7"/>
          <w:sz w:val="19"/>
          <w:szCs w:val="19"/>
          <w:highlight w:val="none"/>
          <w:u w:val="single" w:color="auto"/>
        </w:rPr>
        <w:t xml:space="preserve">         </w:t>
      </w:r>
      <w:r>
        <w:rPr>
          <w:spacing w:val="-13"/>
          <w:sz w:val="19"/>
          <w:szCs w:val="19"/>
          <w:highlight w:val="none"/>
          <w:u w:val="single" w:color="auto"/>
        </w:rPr>
        <w:t>(</w:t>
      </w:r>
      <w:r>
        <w:rPr>
          <w:spacing w:val="40"/>
          <w:sz w:val="19"/>
          <w:szCs w:val="19"/>
          <w:highlight w:val="none"/>
          <w:u w:val="single" w:color="auto"/>
        </w:rPr>
        <w:t xml:space="preserve"> </w:t>
      </w:r>
      <w:r>
        <w:rPr>
          <w:spacing w:val="-13"/>
          <w:sz w:val="19"/>
          <w:szCs w:val="19"/>
          <w:highlight w:val="none"/>
          <w:u w:val="single" w:color="auto"/>
        </w:rPr>
        <w:t>盖</w:t>
      </w:r>
      <w:r>
        <w:rPr>
          <w:spacing w:val="44"/>
          <w:sz w:val="19"/>
          <w:szCs w:val="19"/>
          <w:highlight w:val="none"/>
          <w:u w:val="single" w:color="auto"/>
        </w:rPr>
        <w:t xml:space="preserve"> </w:t>
      </w:r>
      <w:r>
        <w:rPr>
          <w:spacing w:val="-13"/>
          <w:sz w:val="19"/>
          <w:szCs w:val="19"/>
          <w:highlight w:val="none"/>
          <w:u w:val="single" w:color="auto"/>
        </w:rPr>
        <w:t>章</w:t>
      </w:r>
      <w:r>
        <w:rPr>
          <w:spacing w:val="37"/>
          <w:sz w:val="19"/>
          <w:szCs w:val="19"/>
          <w:highlight w:val="none"/>
          <w:u w:val="single" w:color="auto"/>
        </w:rPr>
        <w:t xml:space="preserve"> </w:t>
      </w:r>
      <w:r>
        <w:rPr>
          <w:spacing w:val="-13"/>
          <w:sz w:val="19"/>
          <w:szCs w:val="19"/>
          <w:highlight w:val="none"/>
          <w:u w:val="single" w:color="auto"/>
        </w:rPr>
        <w:t>)</w:t>
      </w:r>
      <w:r>
        <w:rPr>
          <w:rFonts w:hint="eastAsia"/>
          <w:spacing w:val="-13"/>
          <w:sz w:val="19"/>
          <w:szCs w:val="19"/>
          <w:highlight w:val="none"/>
          <w:u w:val="single" w:color="auto"/>
          <w:lang w:val="en-US" w:eastAsia="zh-CN"/>
        </w:rPr>
        <w:t xml:space="preserve">       </w:t>
      </w:r>
    </w:p>
    <w:p w14:paraId="015B1DE0">
      <w:pPr>
        <w:spacing w:line="262" w:lineRule="auto"/>
        <w:ind w:left="-619" w:leftChars="-295" w:firstLine="0" w:firstLineChars="0"/>
        <w:jc w:val="center"/>
        <w:rPr>
          <w:rFonts w:ascii="Arial"/>
          <w:sz w:val="21"/>
          <w:highlight w:val="none"/>
        </w:rPr>
      </w:pPr>
    </w:p>
    <w:p w14:paraId="0906A323">
      <w:pPr>
        <w:spacing w:line="262" w:lineRule="auto"/>
        <w:ind w:left="-619" w:leftChars="-295" w:firstLine="0" w:firstLineChars="0"/>
        <w:jc w:val="center"/>
        <w:rPr>
          <w:rFonts w:ascii="Arial"/>
          <w:sz w:val="21"/>
          <w:highlight w:val="none"/>
        </w:rPr>
      </w:pPr>
    </w:p>
    <w:p w14:paraId="796F1B33">
      <w:pPr>
        <w:spacing w:line="262" w:lineRule="auto"/>
        <w:ind w:left="-619" w:leftChars="-295" w:firstLine="0" w:firstLineChars="0"/>
        <w:jc w:val="center"/>
        <w:rPr>
          <w:rFonts w:ascii="Arial"/>
          <w:sz w:val="21"/>
          <w:highlight w:val="none"/>
        </w:rPr>
      </w:pPr>
    </w:p>
    <w:p w14:paraId="5131AD59">
      <w:pPr>
        <w:spacing w:line="263" w:lineRule="auto"/>
        <w:ind w:left="-619" w:leftChars="-295" w:firstLine="0" w:firstLineChars="0"/>
        <w:jc w:val="center"/>
        <w:rPr>
          <w:rFonts w:ascii="Arial"/>
          <w:sz w:val="21"/>
          <w:highlight w:val="none"/>
        </w:rPr>
      </w:pPr>
    </w:p>
    <w:p w14:paraId="3C6CC02B">
      <w:pPr>
        <w:spacing w:line="263" w:lineRule="auto"/>
        <w:ind w:left="-619" w:leftChars="-295" w:firstLine="0" w:firstLineChars="0"/>
        <w:jc w:val="center"/>
        <w:rPr>
          <w:rFonts w:ascii="Arial"/>
          <w:sz w:val="21"/>
          <w:highlight w:val="none"/>
        </w:rPr>
      </w:pPr>
    </w:p>
    <w:p w14:paraId="067EA139">
      <w:pPr>
        <w:pStyle w:val="16"/>
        <w:spacing w:before="63" w:line="219" w:lineRule="auto"/>
        <w:ind w:left="-619" w:leftChars="-295" w:firstLine="0" w:firstLineChars="0"/>
        <w:jc w:val="center"/>
        <w:rPr>
          <w:rFonts w:hint="default" w:ascii="Times New Roman" w:hAnsi="Times New Roman" w:eastAsia="宋体" w:cs="Times New Roman"/>
          <w:b w:val="0"/>
          <w:bCs w:val="0"/>
          <w:kern w:val="0"/>
          <w:sz w:val="28"/>
          <w:szCs w:val="28"/>
          <w:highlight w:val="none"/>
          <w:lang w:val="en-US" w:eastAsia="zh-CN"/>
        </w:rPr>
      </w:pPr>
      <w:r>
        <w:rPr>
          <w:spacing w:val="-5"/>
          <w:sz w:val="19"/>
          <w:szCs w:val="19"/>
          <w:highlight w:val="none"/>
        </w:rPr>
        <w:t>年</w:t>
      </w:r>
      <w:r>
        <w:rPr>
          <w:spacing w:val="15"/>
          <w:sz w:val="19"/>
          <w:szCs w:val="19"/>
          <w:highlight w:val="none"/>
        </w:rPr>
        <w:t xml:space="preserve">    </w:t>
      </w:r>
      <w:r>
        <w:rPr>
          <w:spacing w:val="-5"/>
          <w:sz w:val="19"/>
          <w:szCs w:val="19"/>
          <w:highlight w:val="none"/>
        </w:rPr>
        <w:t>月     日</w:t>
      </w:r>
    </w:p>
    <w:p w14:paraId="5AE1634A">
      <w:pPr>
        <w:widowControl/>
        <w:ind w:left="0" w:leftChars="0" w:firstLine="0" w:firstLineChars="0"/>
        <w:jc w:val="left"/>
        <w:outlineLvl w:val="9"/>
        <w:rPr>
          <w:rFonts w:hint="default" w:ascii="Times New Roman" w:hAnsi="Times New Roman" w:eastAsia="宋体" w:cs="Times New Roman"/>
          <w:b w:val="0"/>
          <w:bCs w:val="0"/>
          <w:kern w:val="0"/>
          <w:sz w:val="28"/>
          <w:szCs w:val="28"/>
          <w:highlight w:val="none"/>
          <w:lang w:val="en-US" w:eastAsia="zh-CN"/>
        </w:rPr>
      </w:pPr>
      <w:r>
        <w:rPr>
          <w:rFonts w:hint="default" w:ascii="Times New Roman" w:hAnsi="Times New Roman" w:eastAsia="宋体" w:cs="Times New Roman"/>
          <w:b w:val="0"/>
          <w:bCs w:val="0"/>
          <w:kern w:val="0"/>
          <w:sz w:val="28"/>
          <w:szCs w:val="28"/>
          <w:highlight w:val="none"/>
          <w:lang w:val="en-US" w:eastAsia="zh-CN"/>
        </w:rPr>
        <w:br w:type="page"/>
      </w:r>
    </w:p>
    <w:p w14:paraId="4D0FF162">
      <w:pPr>
        <w:widowControl/>
        <w:ind w:left="-619" w:leftChars="-295" w:firstLine="0" w:firstLineChars="0"/>
        <w:jc w:val="center"/>
        <w:outlineLvl w:val="2"/>
        <w:rPr>
          <w:rFonts w:hint="eastAsia" w:ascii="宋体" w:hAnsi="宋体" w:eastAsia="宋体" w:cs="宋体"/>
          <w:b/>
          <w:bCs/>
          <w:kern w:val="0"/>
          <w:sz w:val="28"/>
          <w:szCs w:val="28"/>
          <w:highlight w:val="none"/>
          <w:lang w:val="en-US" w:eastAsia="zh-CN"/>
        </w:rPr>
      </w:pPr>
      <w:r>
        <w:rPr>
          <w:rFonts w:hint="eastAsia" w:ascii="宋体" w:hAnsi="宋体" w:eastAsia="宋体" w:cs="宋体"/>
          <w:b w:val="0"/>
          <w:bCs w:val="0"/>
          <w:kern w:val="0"/>
          <w:sz w:val="28"/>
          <w:szCs w:val="28"/>
          <w:highlight w:val="none"/>
          <w:lang w:val="en-US" w:eastAsia="zh-CN"/>
        </w:rPr>
        <w:t>投标总价封面</w:t>
      </w:r>
    </w:p>
    <w:p w14:paraId="4F1FEBB6">
      <w:pPr>
        <w:widowControl/>
        <w:ind w:left="-619" w:leftChars="-295" w:firstLine="0" w:firstLineChars="0"/>
        <w:jc w:val="center"/>
        <w:rPr>
          <w:kern w:val="0"/>
          <w:sz w:val="18"/>
          <w:szCs w:val="18"/>
          <w:highlight w:val="none"/>
        </w:rPr>
      </w:pPr>
    </w:p>
    <w:p w14:paraId="2C81C2A8">
      <w:pPr>
        <w:spacing w:line="275" w:lineRule="auto"/>
        <w:ind w:left="-619" w:leftChars="-295" w:firstLine="0" w:firstLineChars="0"/>
        <w:jc w:val="center"/>
        <w:rPr>
          <w:rFonts w:ascii="Arial"/>
          <w:sz w:val="21"/>
          <w:highlight w:val="none"/>
        </w:rPr>
      </w:pPr>
    </w:p>
    <w:p w14:paraId="163FCB76">
      <w:pPr>
        <w:spacing w:line="275" w:lineRule="auto"/>
        <w:ind w:left="-619" w:leftChars="-295" w:firstLine="0" w:firstLineChars="0"/>
        <w:jc w:val="center"/>
        <w:rPr>
          <w:rFonts w:ascii="Arial"/>
          <w:sz w:val="21"/>
          <w:highlight w:val="none"/>
        </w:rPr>
      </w:pPr>
    </w:p>
    <w:p w14:paraId="250F363D">
      <w:pPr>
        <w:spacing w:line="275" w:lineRule="auto"/>
        <w:ind w:left="-619" w:leftChars="-295" w:firstLine="0" w:firstLineChars="0"/>
        <w:jc w:val="center"/>
        <w:rPr>
          <w:rFonts w:ascii="Arial"/>
          <w:sz w:val="21"/>
          <w:highlight w:val="none"/>
        </w:rPr>
      </w:pPr>
    </w:p>
    <w:p w14:paraId="1609D792">
      <w:pPr>
        <w:spacing w:line="275" w:lineRule="auto"/>
        <w:ind w:left="-619" w:leftChars="-295" w:firstLine="0" w:firstLineChars="0"/>
        <w:jc w:val="center"/>
        <w:rPr>
          <w:rFonts w:ascii="Arial"/>
          <w:sz w:val="21"/>
          <w:highlight w:val="none"/>
        </w:rPr>
      </w:pPr>
    </w:p>
    <w:p w14:paraId="33ABE1DE">
      <w:pPr>
        <w:spacing w:line="275" w:lineRule="auto"/>
        <w:ind w:left="-619" w:leftChars="-295" w:firstLine="0" w:firstLineChars="0"/>
        <w:jc w:val="center"/>
        <w:rPr>
          <w:rFonts w:ascii="Arial"/>
          <w:sz w:val="21"/>
          <w:highlight w:val="none"/>
        </w:rPr>
      </w:pPr>
    </w:p>
    <w:p w14:paraId="4BDFAFE0">
      <w:pPr>
        <w:spacing w:line="275" w:lineRule="auto"/>
        <w:ind w:left="-619" w:leftChars="-295" w:firstLine="0" w:firstLineChars="0"/>
        <w:jc w:val="center"/>
        <w:rPr>
          <w:rFonts w:ascii="Arial"/>
          <w:sz w:val="21"/>
          <w:highlight w:val="none"/>
        </w:rPr>
      </w:pPr>
    </w:p>
    <w:p w14:paraId="4E5550F9">
      <w:pPr>
        <w:spacing w:line="275" w:lineRule="auto"/>
        <w:ind w:left="-619" w:leftChars="-295" w:firstLine="0" w:firstLineChars="0"/>
        <w:jc w:val="center"/>
        <w:rPr>
          <w:rFonts w:ascii="Arial"/>
          <w:sz w:val="21"/>
          <w:highlight w:val="none"/>
        </w:rPr>
      </w:pPr>
    </w:p>
    <w:p w14:paraId="07E46A6B">
      <w:pPr>
        <w:pStyle w:val="16"/>
        <w:tabs>
          <w:tab w:val="left" w:pos="5779"/>
        </w:tabs>
        <w:spacing w:before="62" w:line="220" w:lineRule="auto"/>
        <w:ind w:left="-619" w:leftChars="-295" w:firstLine="0" w:firstLineChars="0"/>
        <w:jc w:val="center"/>
        <w:rPr>
          <w:sz w:val="19"/>
          <w:szCs w:val="19"/>
          <w:highlight w:val="none"/>
        </w:rPr>
      </w:pPr>
      <w:r>
        <w:rPr>
          <w:rFonts w:hint="eastAsia"/>
          <w:spacing w:val="-5"/>
          <w:sz w:val="19"/>
          <w:szCs w:val="19"/>
          <w:highlight w:val="none"/>
          <w:u w:val="single"/>
          <w:lang w:val="en-US" w:eastAsia="zh-CN"/>
        </w:rPr>
        <w:t xml:space="preserve">                                   </w:t>
      </w:r>
      <w:r>
        <w:rPr>
          <w:spacing w:val="-5"/>
          <w:sz w:val="28"/>
          <w:szCs w:val="28"/>
          <w:highlight w:val="none"/>
        </w:rPr>
        <w:t>工</w:t>
      </w:r>
      <w:r>
        <w:rPr>
          <w:spacing w:val="8"/>
          <w:sz w:val="28"/>
          <w:szCs w:val="28"/>
          <w:highlight w:val="none"/>
        </w:rPr>
        <w:t xml:space="preserve"> </w:t>
      </w:r>
      <w:r>
        <w:rPr>
          <w:spacing w:val="-5"/>
          <w:sz w:val="28"/>
          <w:szCs w:val="28"/>
          <w:highlight w:val="none"/>
        </w:rPr>
        <w:t>程</w:t>
      </w:r>
    </w:p>
    <w:p w14:paraId="5A9D3E27">
      <w:pPr>
        <w:spacing w:line="262" w:lineRule="auto"/>
        <w:ind w:left="-619" w:leftChars="-295" w:firstLine="0" w:firstLineChars="0"/>
        <w:jc w:val="center"/>
        <w:rPr>
          <w:rFonts w:ascii="Arial"/>
          <w:sz w:val="21"/>
          <w:highlight w:val="none"/>
        </w:rPr>
      </w:pPr>
    </w:p>
    <w:p w14:paraId="15B0BEEA">
      <w:pPr>
        <w:spacing w:line="262" w:lineRule="auto"/>
        <w:ind w:left="-619" w:leftChars="-295" w:firstLine="0" w:firstLineChars="0"/>
        <w:jc w:val="center"/>
        <w:rPr>
          <w:rFonts w:ascii="Arial"/>
          <w:sz w:val="21"/>
          <w:highlight w:val="none"/>
        </w:rPr>
      </w:pPr>
    </w:p>
    <w:p w14:paraId="7EB1F3AC">
      <w:pPr>
        <w:spacing w:line="263" w:lineRule="auto"/>
        <w:ind w:left="-619" w:leftChars="-295" w:firstLine="0" w:firstLineChars="0"/>
        <w:jc w:val="center"/>
        <w:rPr>
          <w:rFonts w:ascii="Arial"/>
          <w:sz w:val="21"/>
          <w:highlight w:val="none"/>
        </w:rPr>
      </w:pPr>
    </w:p>
    <w:p w14:paraId="68DA67BE">
      <w:pPr>
        <w:spacing w:line="263" w:lineRule="auto"/>
        <w:ind w:left="-619" w:leftChars="-295" w:firstLine="0" w:firstLineChars="0"/>
        <w:jc w:val="center"/>
        <w:rPr>
          <w:rFonts w:ascii="Arial"/>
          <w:sz w:val="21"/>
          <w:highlight w:val="none"/>
        </w:rPr>
      </w:pPr>
    </w:p>
    <w:p w14:paraId="585EC929">
      <w:pPr>
        <w:spacing w:line="263" w:lineRule="auto"/>
        <w:ind w:left="-619" w:leftChars="-295" w:firstLine="0" w:firstLineChars="0"/>
        <w:jc w:val="center"/>
        <w:rPr>
          <w:rFonts w:ascii="Arial"/>
          <w:sz w:val="21"/>
          <w:highlight w:val="none"/>
        </w:rPr>
      </w:pPr>
    </w:p>
    <w:p w14:paraId="6741888F">
      <w:pPr>
        <w:spacing w:line="263" w:lineRule="auto"/>
        <w:ind w:left="-619" w:leftChars="-295" w:firstLine="0" w:firstLineChars="0"/>
        <w:jc w:val="center"/>
        <w:rPr>
          <w:rFonts w:ascii="Arial"/>
          <w:sz w:val="21"/>
          <w:highlight w:val="none"/>
        </w:rPr>
      </w:pPr>
    </w:p>
    <w:p w14:paraId="5504C5BD">
      <w:pPr>
        <w:pStyle w:val="16"/>
        <w:spacing w:before="91" w:line="220" w:lineRule="auto"/>
        <w:ind w:left="-619" w:leftChars="-295" w:firstLine="0" w:firstLineChars="0"/>
        <w:jc w:val="center"/>
        <w:rPr>
          <w:sz w:val="28"/>
          <w:szCs w:val="28"/>
          <w:highlight w:val="none"/>
        </w:rPr>
      </w:pPr>
      <w:r>
        <w:rPr>
          <w:rFonts w:hint="eastAsia"/>
          <w:spacing w:val="30"/>
          <w:sz w:val="28"/>
          <w:szCs w:val="28"/>
          <w:highlight w:val="none"/>
          <w:lang w:val="en-US" w:eastAsia="zh-CN"/>
        </w:rPr>
        <w:t>投标总价</w:t>
      </w:r>
    </w:p>
    <w:p w14:paraId="6E76985C">
      <w:pPr>
        <w:spacing w:line="248" w:lineRule="auto"/>
        <w:ind w:left="-619" w:leftChars="-295" w:firstLine="0" w:firstLineChars="0"/>
        <w:jc w:val="center"/>
        <w:rPr>
          <w:rFonts w:ascii="Arial"/>
          <w:sz w:val="21"/>
          <w:highlight w:val="none"/>
        </w:rPr>
      </w:pPr>
    </w:p>
    <w:p w14:paraId="66C00AB9">
      <w:pPr>
        <w:spacing w:line="248" w:lineRule="auto"/>
        <w:ind w:left="-619" w:leftChars="-295" w:firstLine="0" w:firstLineChars="0"/>
        <w:jc w:val="center"/>
        <w:rPr>
          <w:rFonts w:ascii="Arial"/>
          <w:sz w:val="21"/>
          <w:highlight w:val="none"/>
        </w:rPr>
      </w:pPr>
    </w:p>
    <w:p w14:paraId="69468075">
      <w:pPr>
        <w:spacing w:line="248" w:lineRule="auto"/>
        <w:ind w:left="-619" w:leftChars="-295" w:firstLine="0" w:firstLineChars="0"/>
        <w:jc w:val="center"/>
        <w:rPr>
          <w:rFonts w:ascii="Arial"/>
          <w:sz w:val="21"/>
          <w:highlight w:val="none"/>
        </w:rPr>
      </w:pPr>
    </w:p>
    <w:p w14:paraId="2E5AC057">
      <w:pPr>
        <w:spacing w:line="248" w:lineRule="auto"/>
        <w:ind w:left="-619" w:leftChars="-295" w:firstLine="0" w:firstLineChars="0"/>
        <w:jc w:val="center"/>
        <w:rPr>
          <w:rFonts w:ascii="Arial"/>
          <w:sz w:val="21"/>
          <w:highlight w:val="none"/>
        </w:rPr>
      </w:pPr>
    </w:p>
    <w:p w14:paraId="58DB2894">
      <w:pPr>
        <w:spacing w:line="248" w:lineRule="auto"/>
        <w:ind w:left="-619" w:leftChars="-295" w:firstLine="0" w:firstLineChars="0"/>
        <w:jc w:val="center"/>
        <w:rPr>
          <w:rFonts w:ascii="Arial"/>
          <w:sz w:val="21"/>
          <w:highlight w:val="none"/>
        </w:rPr>
      </w:pPr>
    </w:p>
    <w:p w14:paraId="7F74729D">
      <w:pPr>
        <w:spacing w:line="248" w:lineRule="auto"/>
        <w:ind w:left="-619" w:leftChars="-295" w:firstLine="0" w:firstLineChars="0"/>
        <w:jc w:val="center"/>
        <w:rPr>
          <w:rFonts w:ascii="Arial"/>
          <w:sz w:val="21"/>
          <w:highlight w:val="none"/>
        </w:rPr>
      </w:pPr>
    </w:p>
    <w:p w14:paraId="55048B7D">
      <w:pPr>
        <w:spacing w:line="248" w:lineRule="auto"/>
        <w:ind w:left="-619" w:leftChars="-295" w:firstLine="0" w:firstLineChars="0"/>
        <w:jc w:val="center"/>
        <w:rPr>
          <w:rFonts w:ascii="Arial"/>
          <w:sz w:val="21"/>
          <w:highlight w:val="none"/>
        </w:rPr>
      </w:pPr>
    </w:p>
    <w:p w14:paraId="5A9189B9">
      <w:pPr>
        <w:spacing w:line="248" w:lineRule="auto"/>
        <w:ind w:left="-619" w:leftChars="-295" w:firstLine="0" w:firstLineChars="0"/>
        <w:jc w:val="center"/>
        <w:rPr>
          <w:rFonts w:ascii="Arial"/>
          <w:sz w:val="21"/>
          <w:highlight w:val="none"/>
        </w:rPr>
      </w:pPr>
    </w:p>
    <w:p w14:paraId="6FA2758D">
      <w:pPr>
        <w:spacing w:line="248" w:lineRule="auto"/>
        <w:ind w:left="-619" w:leftChars="-295" w:firstLine="0" w:firstLineChars="0"/>
        <w:jc w:val="center"/>
        <w:rPr>
          <w:rFonts w:ascii="Arial"/>
          <w:sz w:val="21"/>
          <w:highlight w:val="none"/>
        </w:rPr>
      </w:pPr>
    </w:p>
    <w:p w14:paraId="1B5E6E68">
      <w:pPr>
        <w:spacing w:line="248" w:lineRule="auto"/>
        <w:ind w:left="-619" w:leftChars="-295" w:firstLine="0" w:firstLineChars="0"/>
        <w:jc w:val="center"/>
        <w:rPr>
          <w:rFonts w:ascii="Arial"/>
          <w:sz w:val="21"/>
          <w:highlight w:val="none"/>
        </w:rPr>
      </w:pPr>
    </w:p>
    <w:p w14:paraId="7AE6CB75">
      <w:pPr>
        <w:spacing w:line="248" w:lineRule="auto"/>
        <w:ind w:left="-619" w:leftChars="-295" w:firstLine="0" w:firstLineChars="0"/>
        <w:jc w:val="center"/>
        <w:rPr>
          <w:rFonts w:ascii="Arial"/>
          <w:sz w:val="21"/>
          <w:highlight w:val="none"/>
        </w:rPr>
      </w:pPr>
    </w:p>
    <w:p w14:paraId="18895100">
      <w:pPr>
        <w:spacing w:line="249" w:lineRule="auto"/>
        <w:ind w:left="-619" w:leftChars="-295" w:firstLine="0" w:firstLineChars="0"/>
        <w:jc w:val="center"/>
        <w:rPr>
          <w:rFonts w:ascii="Arial"/>
          <w:sz w:val="21"/>
          <w:highlight w:val="none"/>
        </w:rPr>
      </w:pPr>
    </w:p>
    <w:p w14:paraId="0CCD2FD3">
      <w:pPr>
        <w:spacing w:line="249" w:lineRule="auto"/>
        <w:ind w:left="-619" w:leftChars="-295" w:firstLine="0" w:firstLineChars="0"/>
        <w:jc w:val="center"/>
        <w:rPr>
          <w:rFonts w:ascii="Arial"/>
          <w:sz w:val="21"/>
          <w:highlight w:val="none"/>
        </w:rPr>
      </w:pPr>
    </w:p>
    <w:p w14:paraId="30366179">
      <w:pPr>
        <w:spacing w:line="249" w:lineRule="auto"/>
        <w:ind w:left="-619" w:leftChars="-295" w:firstLine="0" w:firstLineChars="0"/>
        <w:jc w:val="center"/>
        <w:rPr>
          <w:rFonts w:ascii="Arial"/>
          <w:sz w:val="21"/>
          <w:highlight w:val="none"/>
        </w:rPr>
      </w:pPr>
    </w:p>
    <w:p w14:paraId="7A3DE1BB">
      <w:pPr>
        <w:pStyle w:val="16"/>
        <w:spacing w:before="62" w:line="219" w:lineRule="auto"/>
        <w:ind w:left="-619" w:leftChars="-295" w:firstLine="0" w:firstLineChars="0"/>
        <w:jc w:val="center"/>
        <w:rPr>
          <w:rFonts w:hint="default" w:eastAsia="宋体"/>
          <w:sz w:val="19"/>
          <w:szCs w:val="19"/>
          <w:highlight w:val="none"/>
          <w:lang w:val="en-US" w:eastAsia="zh-CN"/>
        </w:rPr>
      </w:pPr>
      <w:r>
        <w:rPr>
          <w:rFonts w:hint="eastAsia"/>
          <w:spacing w:val="-13"/>
          <w:sz w:val="19"/>
          <w:szCs w:val="19"/>
          <w:highlight w:val="none"/>
          <w:lang w:val="en-US" w:eastAsia="zh-CN"/>
        </w:rPr>
        <w:t>投</w:t>
      </w:r>
      <w:r>
        <w:rPr>
          <w:spacing w:val="-13"/>
          <w:sz w:val="19"/>
          <w:szCs w:val="19"/>
          <w:highlight w:val="none"/>
        </w:rPr>
        <w:t>标人：</w:t>
      </w:r>
      <w:r>
        <w:rPr>
          <w:spacing w:val="7"/>
          <w:sz w:val="19"/>
          <w:szCs w:val="19"/>
          <w:highlight w:val="none"/>
          <w:u w:val="single" w:color="auto"/>
        </w:rPr>
        <w:t xml:space="preserve">         </w:t>
      </w:r>
      <w:r>
        <w:rPr>
          <w:spacing w:val="-13"/>
          <w:sz w:val="19"/>
          <w:szCs w:val="19"/>
          <w:highlight w:val="none"/>
          <w:u w:val="single" w:color="auto"/>
        </w:rPr>
        <w:t>(</w:t>
      </w:r>
      <w:r>
        <w:rPr>
          <w:spacing w:val="40"/>
          <w:sz w:val="19"/>
          <w:szCs w:val="19"/>
          <w:highlight w:val="none"/>
          <w:u w:val="single" w:color="auto"/>
        </w:rPr>
        <w:t xml:space="preserve"> </w:t>
      </w:r>
      <w:r>
        <w:rPr>
          <w:spacing w:val="-13"/>
          <w:sz w:val="19"/>
          <w:szCs w:val="19"/>
          <w:highlight w:val="none"/>
          <w:u w:val="single" w:color="auto"/>
        </w:rPr>
        <w:t>盖</w:t>
      </w:r>
      <w:r>
        <w:rPr>
          <w:spacing w:val="44"/>
          <w:sz w:val="19"/>
          <w:szCs w:val="19"/>
          <w:highlight w:val="none"/>
          <w:u w:val="single" w:color="auto"/>
        </w:rPr>
        <w:t xml:space="preserve"> </w:t>
      </w:r>
      <w:r>
        <w:rPr>
          <w:spacing w:val="-13"/>
          <w:sz w:val="19"/>
          <w:szCs w:val="19"/>
          <w:highlight w:val="none"/>
          <w:u w:val="single" w:color="auto"/>
        </w:rPr>
        <w:t>章</w:t>
      </w:r>
      <w:r>
        <w:rPr>
          <w:spacing w:val="37"/>
          <w:sz w:val="19"/>
          <w:szCs w:val="19"/>
          <w:highlight w:val="none"/>
          <w:u w:val="single" w:color="auto"/>
        </w:rPr>
        <w:t xml:space="preserve"> </w:t>
      </w:r>
      <w:r>
        <w:rPr>
          <w:spacing w:val="-13"/>
          <w:sz w:val="19"/>
          <w:szCs w:val="19"/>
          <w:highlight w:val="none"/>
          <w:u w:val="single" w:color="auto"/>
        </w:rPr>
        <w:t>)</w:t>
      </w:r>
      <w:r>
        <w:rPr>
          <w:rFonts w:hint="eastAsia"/>
          <w:spacing w:val="-13"/>
          <w:sz w:val="19"/>
          <w:szCs w:val="19"/>
          <w:highlight w:val="none"/>
          <w:u w:val="single" w:color="auto"/>
          <w:lang w:val="en-US" w:eastAsia="zh-CN"/>
        </w:rPr>
        <w:t xml:space="preserve">       </w:t>
      </w:r>
    </w:p>
    <w:p w14:paraId="6DC4411C">
      <w:pPr>
        <w:spacing w:line="262" w:lineRule="auto"/>
        <w:ind w:left="-619" w:leftChars="-295" w:firstLine="0" w:firstLineChars="0"/>
        <w:jc w:val="center"/>
        <w:rPr>
          <w:rFonts w:ascii="Arial"/>
          <w:sz w:val="21"/>
          <w:highlight w:val="none"/>
        </w:rPr>
      </w:pPr>
    </w:p>
    <w:p w14:paraId="75BBFEDC">
      <w:pPr>
        <w:spacing w:line="262" w:lineRule="auto"/>
        <w:ind w:left="-619" w:leftChars="-295" w:firstLine="0" w:firstLineChars="0"/>
        <w:jc w:val="center"/>
        <w:rPr>
          <w:rFonts w:ascii="Arial"/>
          <w:sz w:val="21"/>
          <w:highlight w:val="none"/>
        </w:rPr>
      </w:pPr>
    </w:p>
    <w:p w14:paraId="046B7CEE">
      <w:pPr>
        <w:spacing w:line="262" w:lineRule="auto"/>
        <w:ind w:left="-619" w:leftChars="-295" w:firstLine="0" w:firstLineChars="0"/>
        <w:jc w:val="center"/>
        <w:rPr>
          <w:rFonts w:ascii="Arial"/>
          <w:sz w:val="21"/>
          <w:highlight w:val="none"/>
        </w:rPr>
      </w:pPr>
    </w:p>
    <w:p w14:paraId="25256215">
      <w:pPr>
        <w:spacing w:line="263" w:lineRule="auto"/>
        <w:ind w:left="-619" w:leftChars="-295" w:firstLine="0" w:firstLineChars="0"/>
        <w:jc w:val="center"/>
        <w:rPr>
          <w:rFonts w:ascii="Arial"/>
          <w:sz w:val="21"/>
          <w:highlight w:val="none"/>
        </w:rPr>
      </w:pPr>
    </w:p>
    <w:p w14:paraId="377FAA8C">
      <w:pPr>
        <w:spacing w:line="263" w:lineRule="auto"/>
        <w:ind w:left="-619" w:leftChars="-295" w:firstLine="0" w:firstLineChars="0"/>
        <w:jc w:val="center"/>
        <w:rPr>
          <w:rFonts w:ascii="Arial"/>
          <w:sz w:val="21"/>
          <w:highlight w:val="none"/>
        </w:rPr>
      </w:pPr>
    </w:p>
    <w:p w14:paraId="56CA63CC">
      <w:pPr>
        <w:pStyle w:val="16"/>
        <w:spacing w:before="63" w:line="219" w:lineRule="auto"/>
        <w:ind w:left="-619" w:leftChars="-295" w:firstLine="0" w:firstLineChars="0"/>
        <w:jc w:val="center"/>
        <w:rPr>
          <w:spacing w:val="-5"/>
          <w:sz w:val="19"/>
          <w:szCs w:val="19"/>
          <w:highlight w:val="none"/>
        </w:rPr>
      </w:pPr>
      <w:r>
        <w:rPr>
          <w:spacing w:val="-5"/>
          <w:sz w:val="19"/>
          <w:szCs w:val="19"/>
          <w:highlight w:val="none"/>
        </w:rPr>
        <w:t>年</w:t>
      </w:r>
      <w:r>
        <w:rPr>
          <w:spacing w:val="15"/>
          <w:sz w:val="19"/>
          <w:szCs w:val="19"/>
          <w:highlight w:val="none"/>
        </w:rPr>
        <w:t xml:space="preserve">    </w:t>
      </w:r>
      <w:r>
        <w:rPr>
          <w:spacing w:val="-5"/>
          <w:sz w:val="19"/>
          <w:szCs w:val="19"/>
          <w:highlight w:val="none"/>
        </w:rPr>
        <w:t>月     日</w:t>
      </w:r>
    </w:p>
    <w:p w14:paraId="0BE4DBE7">
      <w:pPr>
        <w:rPr>
          <w:b w:val="0"/>
          <w:bCs w:val="0"/>
          <w:spacing w:val="0"/>
          <w:sz w:val="21"/>
          <w:szCs w:val="22"/>
          <w:highlight w:val="none"/>
        </w:rPr>
      </w:pPr>
      <w:r>
        <w:rPr>
          <w:b w:val="0"/>
          <w:bCs w:val="0"/>
          <w:spacing w:val="0"/>
          <w:sz w:val="21"/>
          <w:szCs w:val="22"/>
          <w:highlight w:val="none"/>
        </w:rPr>
        <w:br w:type="page"/>
      </w:r>
    </w:p>
    <w:p w14:paraId="5CBBC615">
      <w:pPr>
        <w:spacing w:line="316" w:lineRule="auto"/>
        <w:rPr>
          <w:rFonts w:ascii="Arial"/>
          <w:sz w:val="21"/>
          <w:highlight w:val="none"/>
        </w:rPr>
      </w:pPr>
    </w:p>
    <w:p w14:paraId="540ACA2D">
      <w:pPr>
        <w:spacing w:line="240" w:lineRule="auto"/>
        <w:rPr>
          <w:rFonts w:asciiTheme="minorHAnsi"/>
          <w:sz w:val="21"/>
          <w:highlight w:val="none"/>
        </w:rPr>
      </w:pPr>
    </w:p>
    <w:p w14:paraId="6E2DD349">
      <w:pPr>
        <w:pStyle w:val="16"/>
        <w:spacing w:before="95" w:line="220" w:lineRule="auto"/>
        <w:ind w:left="0"/>
        <w:jc w:val="center"/>
        <w:outlineLvl w:val="2"/>
        <w:rPr>
          <w:sz w:val="29"/>
          <w:szCs w:val="29"/>
          <w:highlight w:val="none"/>
        </w:rPr>
      </w:pPr>
      <w:bookmarkStart w:id="6447" w:name="bookmark71"/>
      <w:bookmarkEnd w:id="6447"/>
      <w:bookmarkStart w:id="6448" w:name="_Toc14620"/>
      <w:bookmarkStart w:id="6449" w:name="_Toc20566"/>
      <w:r>
        <w:rPr>
          <w:spacing w:val="9"/>
          <w:sz w:val="29"/>
          <w:szCs w:val="29"/>
          <w:highlight w:val="none"/>
        </w:rPr>
        <w:t>招标工程量清单扉页</w:t>
      </w:r>
      <w:bookmarkEnd w:id="6448"/>
      <w:bookmarkEnd w:id="6449"/>
    </w:p>
    <w:p w14:paraId="2984D862">
      <w:pPr>
        <w:spacing w:line="263" w:lineRule="auto"/>
        <w:rPr>
          <w:rFonts w:ascii="Arial"/>
          <w:sz w:val="21"/>
          <w:highlight w:val="none"/>
        </w:rPr>
      </w:pPr>
    </w:p>
    <w:p w14:paraId="5588E49B">
      <w:pPr>
        <w:spacing w:line="319" w:lineRule="auto"/>
        <w:rPr>
          <w:rFonts w:ascii="Arial"/>
          <w:sz w:val="21"/>
          <w:highlight w:val="none"/>
        </w:rPr>
      </w:pPr>
    </w:p>
    <w:p w14:paraId="222DF4BD">
      <w:pPr>
        <w:spacing w:line="319" w:lineRule="auto"/>
        <w:rPr>
          <w:rFonts w:ascii="Arial"/>
          <w:sz w:val="21"/>
          <w:highlight w:val="none"/>
        </w:rPr>
      </w:pPr>
    </w:p>
    <w:p w14:paraId="75CD0B87">
      <w:pPr>
        <w:spacing w:line="319" w:lineRule="auto"/>
        <w:rPr>
          <w:rFonts w:ascii="Arial"/>
          <w:sz w:val="21"/>
          <w:highlight w:val="none"/>
        </w:rPr>
      </w:pPr>
    </w:p>
    <w:p w14:paraId="7C985B86">
      <w:pPr>
        <w:pStyle w:val="16"/>
        <w:spacing w:before="72" w:line="220" w:lineRule="auto"/>
        <w:ind w:left="0" w:firstLine="2078" w:firstLineChars="900"/>
        <w:rPr>
          <w:highlight w:val="none"/>
          <w:u w:val="single" w:color="auto"/>
        </w:rPr>
      </w:pPr>
      <w:r>
        <w:rPr>
          <w:spacing w:val="-5"/>
          <w:sz w:val="24"/>
          <w:szCs w:val="22"/>
          <w:highlight w:val="none"/>
        </w:rPr>
        <w:t>工程名称：</w:t>
      </w:r>
      <w:r>
        <w:rPr>
          <w:highlight w:val="none"/>
          <w:u w:val="single" w:color="auto"/>
        </w:rPr>
        <w:t xml:space="preserve">                        </w:t>
      </w:r>
    </w:p>
    <w:p w14:paraId="63B74694">
      <w:pPr>
        <w:pStyle w:val="16"/>
        <w:spacing w:before="72" w:line="220" w:lineRule="auto"/>
        <w:ind w:left="0" w:firstLine="1687" w:firstLineChars="800"/>
        <w:rPr>
          <w:rFonts w:ascii="Arial"/>
          <w:sz w:val="21"/>
          <w:highlight w:val="none"/>
        </w:rPr>
      </w:pPr>
    </w:p>
    <w:p w14:paraId="08169D05">
      <w:pPr>
        <w:pStyle w:val="16"/>
        <w:spacing w:before="65" w:line="220" w:lineRule="auto"/>
        <w:ind w:left="0" w:firstLine="2078" w:firstLineChars="900"/>
        <w:rPr>
          <w:sz w:val="20"/>
          <w:szCs w:val="20"/>
          <w:highlight w:val="none"/>
        </w:rPr>
      </w:pPr>
      <w:r>
        <w:rPr>
          <w:spacing w:val="-5"/>
          <w:sz w:val="24"/>
          <w:szCs w:val="22"/>
          <w:highlight w:val="none"/>
        </w:rPr>
        <w:t>标段名称：</w:t>
      </w:r>
      <w:r>
        <w:rPr>
          <w:sz w:val="20"/>
          <w:szCs w:val="20"/>
          <w:highlight w:val="none"/>
          <w:u w:val="single" w:color="auto"/>
        </w:rPr>
        <w:t xml:space="preserve">                             </w:t>
      </w:r>
      <w:r>
        <w:rPr>
          <w:highlight w:val="none"/>
          <w:u w:val="single" w:color="auto"/>
        </w:rPr>
        <w:t xml:space="preserve">   </w:t>
      </w:r>
    </w:p>
    <w:p w14:paraId="6D6402E0">
      <w:pPr>
        <w:spacing w:line="315" w:lineRule="auto"/>
        <w:rPr>
          <w:rFonts w:ascii="Arial"/>
          <w:sz w:val="21"/>
          <w:highlight w:val="none"/>
        </w:rPr>
      </w:pPr>
    </w:p>
    <w:p w14:paraId="75640349">
      <w:pPr>
        <w:spacing w:line="315" w:lineRule="auto"/>
        <w:rPr>
          <w:rFonts w:ascii="Arial"/>
          <w:sz w:val="21"/>
          <w:highlight w:val="none"/>
        </w:rPr>
      </w:pPr>
    </w:p>
    <w:p w14:paraId="4D1758A4">
      <w:pPr>
        <w:spacing w:line="315" w:lineRule="auto"/>
        <w:rPr>
          <w:rFonts w:ascii="Arial"/>
          <w:sz w:val="21"/>
          <w:highlight w:val="none"/>
        </w:rPr>
      </w:pPr>
    </w:p>
    <w:p w14:paraId="49855652">
      <w:pPr>
        <w:pStyle w:val="16"/>
        <w:spacing w:before="95" w:line="220" w:lineRule="auto"/>
        <w:ind w:left="3529"/>
        <w:rPr>
          <w:sz w:val="29"/>
          <w:szCs w:val="29"/>
          <w:highlight w:val="none"/>
        </w:rPr>
      </w:pPr>
      <w:r>
        <w:rPr>
          <w:spacing w:val="20"/>
          <w:sz w:val="29"/>
          <w:szCs w:val="29"/>
          <w:highlight w:val="none"/>
        </w:rPr>
        <w:t>招标工程量清单</w:t>
      </w:r>
    </w:p>
    <w:p w14:paraId="6D284050">
      <w:pPr>
        <w:spacing w:before="24"/>
        <w:rPr>
          <w:highlight w:val="none"/>
        </w:rPr>
      </w:pPr>
    </w:p>
    <w:p w14:paraId="6D4FD4F3">
      <w:pPr>
        <w:spacing w:before="23"/>
        <w:rPr>
          <w:highlight w:val="none"/>
        </w:rPr>
      </w:pPr>
    </w:p>
    <w:tbl>
      <w:tblPr>
        <w:tblStyle w:val="108"/>
        <w:tblW w:w="6201" w:type="dxa"/>
        <w:tblInd w:w="2039"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926"/>
        <w:gridCol w:w="3275"/>
      </w:tblGrid>
      <w:tr w14:paraId="5669AE3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2926" w:type="dxa"/>
            <w:vAlign w:val="top"/>
          </w:tcPr>
          <w:p w14:paraId="67BBA42B">
            <w:pPr>
              <w:pStyle w:val="107"/>
              <w:spacing w:line="208" w:lineRule="auto"/>
              <w:rPr>
                <w:sz w:val="21"/>
                <w:szCs w:val="21"/>
                <w:highlight w:val="none"/>
              </w:rPr>
            </w:pPr>
            <w:r>
              <w:rPr>
                <w:spacing w:val="110"/>
                <w:kern w:val="0"/>
                <w:sz w:val="21"/>
                <w:szCs w:val="21"/>
                <w:highlight w:val="none"/>
                <w:fitText w:val="1071" w:id="469579724"/>
              </w:rPr>
              <w:t>编制</w:t>
            </w:r>
            <w:r>
              <w:rPr>
                <w:spacing w:val="0"/>
                <w:kern w:val="0"/>
                <w:sz w:val="21"/>
                <w:szCs w:val="21"/>
                <w:highlight w:val="none"/>
                <w:fitText w:val="1071" w:id="469579724"/>
              </w:rPr>
              <w:t>人</w:t>
            </w:r>
            <w:r>
              <w:rPr>
                <w:spacing w:val="-8"/>
                <w:sz w:val="21"/>
                <w:szCs w:val="21"/>
                <w:highlight w:val="none"/>
              </w:rPr>
              <w:t>：</w:t>
            </w:r>
          </w:p>
        </w:tc>
        <w:tc>
          <w:tcPr>
            <w:tcW w:w="3275" w:type="dxa"/>
            <w:vAlign w:val="top"/>
          </w:tcPr>
          <w:p w14:paraId="4DD3FD45">
            <w:pPr>
              <w:pStyle w:val="107"/>
              <w:spacing w:before="27" w:line="215" w:lineRule="auto"/>
              <w:jc w:val="both"/>
              <w:rPr>
                <w:sz w:val="21"/>
                <w:szCs w:val="21"/>
                <w:highlight w:val="none"/>
              </w:rPr>
            </w:pPr>
            <w:r>
              <w:rPr>
                <w:rFonts w:hint="eastAsia"/>
                <w:spacing w:val="7"/>
                <w:sz w:val="21"/>
                <w:szCs w:val="21"/>
                <w:highlight w:val="none"/>
                <w:lang w:eastAsia="zh-CN"/>
              </w:rPr>
              <w:t>（</w:t>
            </w:r>
            <w:r>
              <w:rPr>
                <w:spacing w:val="7"/>
                <w:sz w:val="21"/>
                <w:szCs w:val="21"/>
                <w:highlight w:val="none"/>
              </w:rPr>
              <w:t>造价专业人员签字及盖章</w:t>
            </w:r>
            <w:r>
              <w:rPr>
                <w:rFonts w:hint="eastAsia"/>
                <w:spacing w:val="7"/>
                <w:sz w:val="21"/>
                <w:szCs w:val="21"/>
                <w:highlight w:val="none"/>
                <w:lang w:eastAsia="zh-CN"/>
              </w:rPr>
              <w:t>）</w:t>
            </w:r>
          </w:p>
        </w:tc>
      </w:tr>
      <w:tr w14:paraId="189DA46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24" w:hRule="atLeast"/>
        </w:trPr>
        <w:tc>
          <w:tcPr>
            <w:tcW w:w="2926" w:type="dxa"/>
            <w:vAlign w:val="top"/>
          </w:tcPr>
          <w:p w14:paraId="4322ED09">
            <w:pPr>
              <w:pStyle w:val="107"/>
              <w:spacing w:line="208" w:lineRule="auto"/>
              <w:rPr>
                <w:sz w:val="21"/>
                <w:szCs w:val="21"/>
                <w:highlight w:val="none"/>
              </w:rPr>
            </w:pPr>
            <w:r>
              <w:rPr>
                <w:rFonts w:hint="eastAsia"/>
                <w:spacing w:val="110"/>
                <w:kern w:val="0"/>
                <w:sz w:val="21"/>
                <w:szCs w:val="21"/>
                <w:highlight w:val="none"/>
                <w:fitText w:val="1071" w:id="1417547195"/>
                <w:lang w:val="en-US" w:eastAsia="zh-CN"/>
              </w:rPr>
              <w:t>复</w:t>
            </w:r>
            <w:r>
              <w:rPr>
                <w:spacing w:val="110"/>
                <w:kern w:val="0"/>
                <w:sz w:val="21"/>
                <w:szCs w:val="21"/>
                <w:highlight w:val="none"/>
                <w:fitText w:val="1071" w:id="1417547195"/>
              </w:rPr>
              <w:t>核</w:t>
            </w:r>
            <w:r>
              <w:rPr>
                <w:spacing w:val="0"/>
                <w:kern w:val="0"/>
                <w:sz w:val="21"/>
                <w:szCs w:val="21"/>
                <w:highlight w:val="none"/>
                <w:fitText w:val="1071" w:id="1417547195"/>
              </w:rPr>
              <w:t>人</w:t>
            </w:r>
            <w:r>
              <w:rPr>
                <w:rFonts w:hint="eastAsia"/>
                <w:kern w:val="0"/>
                <w:sz w:val="21"/>
                <w:szCs w:val="21"/>
                <w:highlight w:val="none"/>
                <w:lang w:val="en-US" w:eastAsia="zh-CN"/>
              </w:rPr>
              <w:t>：</w:t>
            </w:r>
          </w:p>
        </w:tc>
        <w:tc>
          <w:tcPr>
            <w:tcW w:w="3275" w:type="dxa"/>
            <w:vAlign w:val="top"/>
          </w:tcPr>
          <w:p w14:paraId="3E156A5E">
            <w:pPr>
              <w:pStyle w:val="107"/>
              <w:spacing w:before="67" w:line="219" w:lineRule="auto"/>
              <w:ind w:left="112" w:leftChars="0" w:hanging="112" w:hangingChars="50"/>
              <w:rPr>
                <w:sz w:val="21"/>
                <w:szCs w:val="21"/>
                <w:highlight w:val="none"/>
              </w:rPr>
            </w:pPr>
            <w:r>
              <w:rPr>
                <w:rFonts w:hint="eastAsia"/>
                <w:spacing w:val="7"/>
                <w:sz w:val="21"/>
                <w:szCs w:val="21"/>
                <w:highlight w:val="none"/>
                <w:lang w:eastAsia="zh-CN"/>
              </w:rPr>
              <w:t>（</w:t>
            </w:r>
            <w:r>
              <w:rPr>
                <w:spacing w:val="7"/>
                <w:sz w:val="21"/>
                <w:szCs w:val="21"/>
                <w:highlight w:val="none"/>
              </w:rPr>
              <w:t>签字及盖章</w:t>
            </w:r>
            <w:r>
              <w:rPr>
                <w:rFonts w:hint="eastAsia"/>
                <w:spacing w:val="7"/>
                <w:sz w:val="21"/>
                <w:szCs w:val="21"/>
                <w:highlight w:val="none"/>
                <w:lang w:eastAsia="zh-CN"/>
              </w:rPr>
              <w:t>）</w:t>
            </w:r>
          </w:p>
        </w:tc>
      </w:tr>
      <w:tr w14:paraId="6675DE7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39" w:hRule="atLeast"/>
        </w:trPr>
        <w:tc>
          <w:tcPr>
            <w:tcW w:w="2926" w:type="dxa"/>
            <w:vAlign w:val="top"/>
          </w:tcPr>
          <w:p w14:paraId="539263C0">
            <w:pPr>
              <w:pStyle w:val="107"/>
              <w:spacing w:before="65" w:line="260" w:lineRule="auto"/>
              <w:ind w:right="654"/>
              <w:rPr>
                <w:sz w:val="21"/>
                <w:szCs w:val="21"/>
                <w:highlight w:val="none"/>
              </w:rPr>
            </w:pPr>
            <w:r>
              <w:rPr>
                <w:spacing w:val="1"/>
                <w:w w:val="92"/>
                <w:kern w:val="0"/>
                <w:sz w:val="21"/>
                <w:szCs w:val="21"/>
                <w:highlight w:val="none"/>
                <w:fitText w:val="1071" w:id="124127085"/>
              </w:rPr>
              <w:t>编 制 单 位</w:t>
            </w:r>
            <w:r>
              <w:rPr>
                <w:spacing w:val="-31"/>
                <w:sz w:val="21"/>
                <w:szCs w:val="21"/>
                <w:highlight w:val="none"/>
              </w:rPr>
              <w:t xml:space="preserve"> </w:t>
            </w:r>
            <w:r>
              <w:rPr>
                <w:rFonts w:hint="eastAsia"/>
                <w:spacing w:val="-31"/>
                <w:sz w:val="21"/>
                <w:szCs w:val="21"/>
                <w:highlight w:val="none"/>
                <w:lang w:eastAsia="zh-CN"/>
              </w:rPr>
              <w:t>：</w:t>
            </w:r>
            <w:r>
              <w:rPr>
                <w:sz w:val="21"/>
                <w:szCs w:val="21"/>
                <w:highlight w:val="none"/>
              </w:rPr>
              <w:t xml:space="preserve"> </w:t>
            </w:r>
          </w:p>
          <w:p w14:paraId="348B6A6C">
            <w:pPr>
              <w:pStyle w:val="107"/>
              <w:spacing w:before="65" w:line="260" w:lineRule="auto"/>
              <w:ind w:right="654"/>
              <w:rPr>
                <w:sz w:val="21"/>
                <w:szCs w:val="21"/>
                <w:highlight w:val="none"/>
              </w:rPr>
            </w:pPr>
            <w:r>
              <w:rPr>
                <w:spacing w:val="9"/>
                <w:sz w:val="21"/>
                <w:szCs w:val="21"/>
                <w:highlight w:val="none"/>
              </w:rPr>
              <w:t>法定代表人</w:t>
            </w:r>
          </w:p>
        </w:tc>
        <w:tc>
          <w:tcPr>
            <w:tcW w:w="3275" w:type="dxa"/>
            <w:vAlign w:val="top"/>
          </w:tcPr>
          <w:p w14:paraId="38D57D4B">
            <w:pPr>
              <w:pStyle w:val="107"/>
              <w:spacing w:before="53" w:line="219" w:lineRule="auto"/>
              <w:ind w:left="118" w:leftChars="0" w:hanging="118" w:hangingChars="50"/>
              <w:rPr>
                <w:sz w:val="21"/>
                <w:szCs w:val="21"/>
                <w:highlight w:val="none"/>
              </w:rPr>
            </w:pPr>
            <w:r>
              <w:rPr>
                <w:rFonts w:hint="eastAsia"/>
                <w:spacing w:val="13"/>
                <w:sz w:val="21"/>
                <w:szCs w:val="21"/>
                <w:highlight w:val="none"/>
                <w:lang w:eastAsia="zh-CN"/>
              </w:rPr>
              <w:t>（</w:t>
            </w:r>
            <w:r>
              <w:rPr>
                <w:spacing w:val="13"/>
                <w:sz w:val="21"/>
                <w:szCs w:val="21"/>
                <w:highlight w:val="none"/>
              </w:rPr>
              <w:t>盖章</w:t>
            </w:r>
            <w:r>
              <w:rPr>
                <w:rFonts w:hint="eastAsia"/>
                <w:spacing w:val="13"/>
                <w:sz w:val="21"/>
                <w:szCs w:val="21"/>
                <w:highlight w:val="none"/>
                <w:lang w:eastAsia="zh-CN"/>
              </w:rPr>
              <w:t>）</w:t>
            </w:r>
          </w:p>
        </w:tc>
      </w:tr>
      <w:tr w14:paraId="5B11F2C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81" w:hRule="atLeast"/>
        </w:trPr>
        <w:tc>
          <w:tcPr>
            <w:tcW w:w="2926" w:type="dxa"/>
            <w:vAlign w:val="top"/>
          </w:tcPr>
          <w:p w14:paraId="62A4F034">
            <w:pPr>
              <w:pStyle w:val="107"/>
              <w:spacing w:before="66" w:line="219" w:lineRule="auto"/>
              <w:rPr>
                <w:sz w:val="21"/>
                <w:szCs w:val="21"/>
                <w:highlight w:val="none"/>
              </w:rPr>
            </w:pPr>
            <w:r>
              <w:rPr>
                <w:spacing w:val="3"/>
                <w:sz w:val="21"/>
                <w:szCs w:val="21"/>
                <w:highlight w:val="none"/>
              </w:rPr>
              <w:t>或其授权人：</w:t>
            </w:r>
          </w:p>
        </w:tc>
        <w:tc>
          <w:tcPr>
            <w:tcW w:w="3275" w:type="dxa"/>
            <w:vAlign w:val="top"/>
          </w:tcPr>
          <w:p w14:paraId="22151263">
            <w:pPr>
              <w:pStyle w:val="107"/>
              <w:spacing w:before="64" w:line="219" w:lineRule="auto"/>
              <w:ind w:left="112" w:leftChars="0" w:hanging="112" w:hangingChars="50"/>
              <w:rPr>
                <w:sz w:val="21"/>
                <w:szCs w:val="21"/>
                <w:highlight w:val="none"/>
              </w:rPr>
            </w:pPr>
            <w:r>
              <w:rPr>
                <w:rFonts w:hint="eastAsia"/>
                <w:spacing w:val="7"/>
                <w:sz w:val="21"/>
                <w:szCs w:val="21"/>
                <w:highlight w:val="none"/>
                <w:lang w:eastAsia="zh-CN"/>
              </w:rPr>
              <w:t>（</w:t>
            </w:r>
            <w:r>
              <w:rPr>
                <w:spacing w:val="7"/>
                <w:sz w:val="21"/>
                <w:szCs w:val="21"/>
                <w:highlight w:val="none"/>
              </w:rPr>
              <w:t>签字或盖章</w:t>
            </w:r>
            <w:r>
              <w:rPr>
                <w:rFonts w:hint="eastAsia"/>
                <w:spacing w:val="7"/>
                <w:sz w:val="21"/>
                <w:szCs w:val="21"/>
                <w:highlight w:val="none"/>
                <w:lang w:eastAsia="zh-CN"/>
              </w:rPr>
              <w:t>）</w:t>
            </w:r>
          </w:p>
        </w:tc>
      </w:tr>
      <w:tr w14:paraId="5F38FDB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804" w:hRule="atLeast"/>
        </w:trPr>
        <w:tc>
          <w:tcPr>
            <w:tcW w:w="2926" w:type="dxa"/>
            <w:vAlign w:val="top"/>
          </w:tcPr>
          <w:p w14:paraId="5EEEC715">
            <w:pPr>
              <w:pStyle w:val="107"/>
              <w:spacing w:line="208" w:lineRule="auto"/>
              <w:rPr>
                <w:spacing w:val="-8"/>
                <w:sz w:val="21"/>
                <w:szCs w:val="21"/>
                <w:highlight w:val="none"/>
              </w:rPr>
            </w:pPr>
            <w:r>
              <w:rPr>
                <w:rFonts w:hint="eastAsia"/>
                <w:kern w:val="0"/>
                <w:sz w:val="21"/>
                <w:szCs w:val="21"/>
                <w:highlight w:val="none"/>
                <w:lang w:eastAsia="zh-CN"/>
              </w:rPr>
              <w:t>发</w:t>
            </w:r>
            <w:r>
              <w:rPr>
                <w:rFonts w:hint="eastAsia"/>
                <w:kern w:val="0"/>
                <w:sz w:val="21"/>
                <w:szCs w:val="21"/>
                <w:highlight w:val="none"/>
                <w:lang w:val="en-US" w:eastAsia="zh-CN"/>
              </w:rPr>
              <w:t xml:space="preserve"> </w:t>
            </w:r>
            <w:r>
              <w:rPr>
                <w:rFonts w:hint="eastAsia"/>
                <w:kern w:val="0"/>
                <w:sz w:val="21"/>
                <w:szCs w:val="21"/>
                <w:highlight w:val="none"/>
                <w:lang w:eastAsia="zh-CN"/>
              </w:rPr>
              <w:t>包</w:t>
            </w:r>
            <w:r>
              <w:rPr>
                <w:rFonts w:hint="eastAsia"/>
                <w:kern w:val="0"/>
                <w:sz w:val="21"/>
                <w:szCs w:val="21"/>
                <w:highlight w:val="none"/>
                <w:lang w:val="en-US" w:eastAsia="zh-CN"/>
              </w:rPr>
              <w:t xml:space="preserve"> </w:t>
            </w:r>
            <w:r>
              <w:rPr>
                <w:rFonts w:hint="eastAsia"/>
                <w:kern w:val="0"/>
                <w:sz w:val="21"/>
                <w:szCs w:val="21"/>
                <w:highlight w:val="none"/>
                <w:lang w:eastAsia="zh-CN"/>
              </w:rPr>
              <w:t>人：</w:t>
            </w:r>
          </w:p>
          <w:p w14:paraId="3E79D07A">
            <w:pPr>
              <w:pStyle w:val="107"/>
              <w:spacing w:before="74" w:line="256" w:lineRule="auto"/>
              <w:ind w:right="639"/>
              <w:jc w:val="left"/>
              <w:rPr>
                <w:sz w:val="21"/>
                <w:szCs w:val="21"/>
                <w:highlight w:val="none"/>
              </w:rPr>
            </w:pPr>
            <w:r>
              <w:rPr>
                <w:spacing w:val="9"/>
                <w:sz w:val="21"/>
                <w:szCs w:val="21"/>
                <w:highlight w:val="none"/>
              </w:rPr>
              <w:t>法定代表人</w:t>
            </w:r>
          </w:p>
        </w:tc>
        <w:tc>
          <w:tcPr>
            <w:tcW w:w="3275" w:type="dxa"/>
            <w:vAlign w:val="top"/>
          </w:tcPr>
          <w:p w14:paraId="1B838685">
            <w:pPr>
              <w:pStyle w:val="107"/>
              <w:spacing w:before="65" w:line="219" w:lineRule="auto"/>
              <w:ind w:left="118" w:leftChars="0" w:hanging="118" w:hangingChars="50"/>
              <w:rPr>
                <w:sz w:val="21"/>
                <w:szCs w:val="21"/>
                <w:highlight w:val="none"/>
              </w:rPr>
            </w:pPr>
            <w:r>
              <w:rPr>
                <w:rFonts w:hint="eastAsia"/>
                <w:spacing w:val="13"/>
                <w:sz w:val="21"/>
                <w:szCs w:val="21"/>
                <w:highlight w:val="none"/>
                <w:lang w:eastAsia="zh-CN"/>
              </w:rPr>
              <w:t>（</w:t>
            </w:r>
            <w:r>
              <w:rPr>
                <w:spacing w:val="13"/>
                <w:sz w:val="21"/>
                <w:szCs w:val="21"/>
                <w:highlight w:val="none"/>
              </w:rPr>
              <w:t>盖章</w:t>
            </w:r>
            <w:r>
              <w:rPr>
                <w:rFonts w:hint="eastAsia"/>
                <w:spacing w:val="13"/>
                <w:sz w:val="21"/>
                <w:szCs w:val="21"/>
                <w:highlight w:val="none"/>
                <w:lang w:eastAsia="zh-CN"/>
              </w:rPr>
              <w:t>）</w:t>
            </w:r>
          </w:p>
        </w:tc>
      </w:tr>
      <w:tr w14:paraId="0FB998F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80" w:hRule="atLeast"/>
        </w:trPr>
        <w:tc>
          <w:tcPr>
            <w:tcW w:w="2926" w:type="dxa"/>
            <w:vAlign w:val="top"/>
          </w:tcPr>
          <w:p w14:paraId="6297E50A">
            <w:pPr>
              <w:pStyle w:val="107"/>
              <w:spacing w:before="50"/>
              <w:ind w:right="654"/>
              <w:rPr>
                <w:spacing w:val="3"/>
                <w:sz w:val="21"/>
                <w:szCs w:val="21"/>
                <w:highlight w:val="none"/>
              </w:rPr>
            </w:pPr>
            <w:r>
              <w:rPr>
                <w:spacing w:val="3"/>
                <w:sz w:val="21"/>
                <w:szCs w:val="21"/>
                <w:highlight w:val="none"/>
              </w:rPr>
              <w:t xml:space="preserve">或其授权人： </w:t>
            </w:r>
          </w:p>
          <w:p w14:paraId="227EF8A1">
            <w:pPr>
              <w:pStyle w:val="107"/>
              <w:spacing w:before="50"/>
              <w:ind w:right="654"/>
              <w:rPr>
                <w:sz w:val="21"/>
                <w:szCs w:val="21"/>
                <w:highlight w:val="none"/>
              </w:rPr>
            </w:pPr>
            <w:r>
              <w:rPr>
                <w:spacing w:val="1"/>
                <w:w w:val="92"/>
                <w:kern w:val="0"/>
                <w:sz w:val="21"/>
                <w:szCs w:val="21"/>
                <w:highlight w:val="none"/>
                <w:fitText w:val="1071" w:id="357528026"/>
              </w:rPr>
              <w:t xml:space="preserve">编 制 </w:t>
            </w:r>
            <w:r>
              <w:rPr>
                <w:rFonts w:hint="eastAsia"/>
                <w:spacing w:val="1"/>
                <w:w w:val="92"/>
                <w:kern w:val="0"/>
                <w:sz w:val="21"/>
                <w:szCs w:val="21"/>
                <w:highlight w:val="none"/>
                <w:fitText w:val="1071" w:id="357528026"/>
                <w:lang w:val="en-US" w:eastAsia="zh-CN"/>
              </w:rPr>
              <w:t>时 间</w:t>
            </w:r>
            <w:r>
              <w:rPr>
                <w:spacing w:val="-17"/>
                <w:sz w:val="21"/>
                <w:szCs w:val="21"/>
                <w:highlight w:val="none"/>
              </w:rPr>
              <w:t>：</w:t>
            </w:r>
            <w:r>
              <w:rPr>
                <w:sz w:val="21"/>
                <w:szCs w:val="21"/>
                <w:highlight w:val="none"/>
              </w:rPr>
              <w:t xml:space="preserve"> </w:t>
            </w:r>
          </w:p>
        </w:tc>
        <w:tc>
          <w:tcPr>
            <w:tcW w:w="3275" w:type="dxa"/>
            <w:vAlign w:val="top"/>
          </w:tcPr>
          <w:p w14:paraId="78DA195E">
            <w:pPr>
              <w:pStyle w:val="107"/>
              <w:spacing w:before="59" w:line="219" w:lineRule="auto"/>
              <w:ind w:left="112" w:leftChars="0" w:hanging="112" w:hangingChars="50"/>
              <w:rPr>
                <w:sz w:val="21"/>
                <w:szCs w:val="21"/>
                <w:highlight w:val="none"/>
              </w:rPr>
            </w:pPr>
            <w:r>
              <w:rPr>
                <w:rFonts w:hint="eastAsia"/>
                <w:spacing w:val="7"/>
                <w:sz w:val="21"/>
                <w:szCs w:val="21"/>
                <w:highlight w:val="none"/>
                <w:lang w:eastAsia="zh-CN"/>
              </w:rPr>
              <w:t>（</w:t>
            </w:r>
            <w:r>
              <w:rPr>
                <w:spacing w:val="7"/>
                <w:sz w:val="21"/>
                <w:szCs w:val="21"/>
                <w:highlight w:val="none"/>
              </w:rPr>
              <w:t>签字或盖章</w:t>
            </w:r>
            <w:r>
              <w:rPr>
                <w:rFonts w:hint="eastAsia"/>
                <w:spacing w:val="7"/>
                <w:sz w:val="21"/>
                <w:szCs w:val="21"/>
                <w:highlight w:val="none"/>
                <w:lang w:eastAsia="zh-CN"/>
              </w:rPr>
              <w:t>）</w:t>
            </w:r>
          </w:p>
        </w:tc>
      </w:tr>
    </w:tbl>
    <w:p w14:paraId="0B4DC2AD">
      <w:pPr>
        <w:rPr>
          <w:sz w:val="21"/>
          <w:szCs w:val="21"/>
          <w:highlight w:val="none"/>
        </w:rPr>
      </w:pPr>
      <w:r>
        <w:rPr>
          <w:sz w:val="21"/>
          <w:szCs w:val="21"/>
          <w:highlight w:val="none"/>
        </w:rPr>
        <w:br w:type="page"/>
      </w:r>
    </w:p>
    <w:p w14:paraId="60CEDB5E">
      <w:pPr>
        <w:pStyle w:val="16"/>
        <w:spacing w:before="95" w:line="220" w:lineRule="auto"/>
        <w:ind w:left="0"/>
        <w:jc w:val="center"/>
        <w:outlineLvl w:val="2"/>
        <w:rPr>
          <w:sz w:val="28"/>
          <w:szCs w:val="28"/>
          <w:highlight w:val="none"/>
        </w:rPr>
      </w:pPr>
      <w:bookmarkStart w:id="6450" w:name="_Toc3155"/>
      <w:bookmarkStart w:id="6451" w:name="_Toc1854"/>
      <w:r>
        <w:rPr>
          <w:rFonts w:hint="eastAsia" w:eastAsia="宋体"/>
          <w:spacing w:val="9"/>
          <w:sz w:val="28"/>
          <w:szCs w:val="28"/>
          <w:highlight w:val="none"/>
          <w:lang w:val="en-US" w:eastAsia="zh-CN"/>
        </w:rPr>
        <w:t>最高投标限价</w:t>
      </w:r>
      <w:r>
        <w:rPr>
          <w:spacing w:val="9"/>
          <w:sz w:val="28"/>
          <w:szCs w:val="28"/>
          <w:highlight w:val="none"/>
        </w:rPr>
        <w:t>扉页</w:t>
      </w:r>
      <w:bookmarkEnd w:id="6450"/>
      <w:bookmarkEnd w:id="6451"/>
    </w:p>
    <w:p w14:paraId="5FA6EA0E">
      <w:pPr>
        <w:spacing w:line="263" w:lineRule="auto"/>
        <w:rPr>
          <w:rFonts w:ascii="Arial"/>
          <w:sz w:val="21"/>
          <w:highlight w:val="none"/>
        </w:rPr>
      </w:pPr>
    </w:p>
    <w:p w14:paraId="458240B5">
      <w:pPr>
        <w:spacing w:line="319" w:lineRule="auto"/>
        <w:rPr>
          <w:rFonts w:ascii="Arial"/>
          <w:sz w:val="21"/>
          <w:highlight w:val="none"/>
        </w:rPr>
      </w:pPr>
    </w:p>
    <w:p w14:paraId="08AC157E">
      <w:pPr>
        <w:spacing w:line="319" w:lineRule="auto"/>
        <w:rPr>
          <w:rFonts w:ascii="Arial"/>
          <w:sz w:val="21"/>
          <w:highlight w:val="none"/>
        </w:rPr>
      </w:pPr>
    </w:p>
    <w:p w14:paraId="024ED036">
      <w:pPr>
        <w:spacing w:line="319" w:lineRule="auto"/>
        <w:rPr>
          <w:rFonts w:ascii="Arial"/>
          <w:sz w:val="21"/>
          <w:highlight w:val="none"/>
        </w:rPr>
      </w:pPr>
    </w:p>
    <w:p w14:paraId="7E8A3B76">
      <w:pPr>
        <w:pStyle w:val="16"/>
        <w:spacing w:before="72" w:line="220" w:lineRule="auto"/>
        <w:ind w:left="2639"/>
        <w:rPr>
          <w:highlight w:val="none"/>
          <w:u w:val="single" w:color="auto"/>
        </w:rPr>
      </w:pPr>
      <w:r>
        <w:rPr>
          <w:spacing w:val="-5"/>
          <w:sz w:val="24"/>
          <w:szCs w:val="22"/>
          <w:highlight w:val="none"/>
        </w:rPr>
        <w:t>工程名称</w:t>
      </w:r>
      <w:r>
        <w:rPr>
          <w:rFonts w:hint="eastAsia"/>
          <w:spacing w:val="-5"/>
          <w:sz w:val="24"/>
          <w:szCs w:val="22"/>
          <w:highlight w:val="none"/>
          <w:lang w:eastAsia="zh-CN"/>
        </w:rPr>
        <w:t>：</w:t>
      </w:r>
      <w:r>
        <w:rPr>
          <w:highlight w:val="none"/>
          <w:u w:val="single" w:color="auto"/>
        </w:rPr>
        <w:t xml:space="preserve">                      </w:t>
      </w:r>
    </w:p>
    <w:p w14:paraId="5550003A">
      <w:pPr>
        <w:pStyle w:val="16"/>
        <w:spacing w:before="72" w:line="220" w:lineRule="auto"/>
        <w:ind w:left="2639"/>
        <w:rPr>
          <w:rFonts w:ascii="Arial"/>
          <w:sz w:val="21"/>
          <w:highlight w:val="none"/>
        </w:rPr>
      </w:pPr>
    </w:p>
    <w:p w14:paraId="370B9166">
      <w:pPr>
        <w:pStyle w:val="16"/>
        <w:spacing w:before="65" w:line="220" w:lineRule="auto"/>
        <w:ind w:left="2649"/>
        <w:rPr>
          <w:sz w:val="20"/>
          <w:szCs w:val="20"/>
          <w:highlight w:val="none"/>
        </w:rPr>
      </w:pPr>
      <w:r>
        <w:rPr>
          <w:spacing w:val="-5"/>
          <w:sz w:val="24"/>
          <w:szCs w:val="22"/>
          <w:highlight w:val="none"/>
        </w:rPr>
        <w:t>标段名称：</w:t>
      </w:r>
      <w:r>
        <w:rPr>
          <w:sz w:val="20"/>
          <w:szCs w:val="20"/>
          <w:highlight w:val="none"/>
          <w:u w:val="single" w:color="auto"/>
        </w:rPr>
        <w:t xml:space="preserve">                             </w:t>
      </w:r>
      <w:r>
        <w:rPr>
          <w:highlight w:val="none"/>
          <w:u w:val="single" w:color="auto"/>
        </w:rPr>
        <w:t xml:space="preserve"> </w:t>
      </w:r>
    </w:p>
    <w:p w14:paraId="68D534B4">
      <w:pPr>
        <w:spacing w:line="315" w:lineRule="auto"/>
        <w:rPr>
          <w:rFonts w:ascii="Arial"/>
          <w:sz w:val="21"/>
          <w:highlight w:val="none"/>
        </w:rPr>
      </w:pPr>
    </w:p>
    <w:p w14:paraId="764A98EA">
      <w:pPr>
        <w:spacing w:line="315" w:lineRule="auto"/>
        <w:rPr>
          <w:rFonts w:ascii="Arial"/>
          <w:sz w:val="21"/>
          <w:highlight w:val="none"/>
        </w:rPr>
      </w:pPr>
    </w:p>
    <w:p w14:paraId="0CADBDF6">
      <w:pPr>
        <w:pStyle w:val="16"/>
        <w:spacing w:before="95" w:line="220" w:lineRule="auto"/>
        <w:ind w:left="3529"/>
        <w:rPr>
          <w:rFonts w:hint="eastAsia"/>
          <w:spacing w:val="20"/>
          <w:sz w:val="29"/>
          <w:szCs w:val="29"/>
          <w:highlight w:val="none"/>
          <w:lang w:val="en-US" w:eastAsia="zh-CN"/>
        </w:rPr>
      </w:pPr>
      <w:r>
        <w:rPr>
          <w:rFonts w:hint="eastAsia"/>
          <w:spacing w:val="20"/>
          <w:sz w:val="29"/>
          <w:szCs w:val="29"/>
          <w:highlight w:val="none"/>
          <w:lang w:val="en-US" w:eastAsia="zh-CN"/>
        </w:rPr>
        <w:t>最高投标限价</w:t>
      </w:r>
    </w:p>
    <w:p w14:paraId="4357F5BD">
      <w:pPr>
        <w:pStyle w:val="16"/>
        <w:spacing w:before="95" w:line="220" w:lineRule="auto"/>
        <w:ind w:left="3529"/>
        <w:rPr>
          <w:rFonts w:hint="eastAsia"/>
          <w:spacing w:val="20"/>
          <w:sz w:val="29"/>
          <w:szCs w:val="29"/>
          <w:highlight w:val="none"/>
          <w:lang w:val="en-US" w:eastAsia="zh-CN"/>
        </w:rPr>
      </w:pPr>
    </w:p>
    <w:p w14:paraId="2F455C3D">
      <w:pPr>
        <w:pStyle w:val="16"/>
        <w:spacing w:before="69" w:line="218" w:lineRule="auto"/>
        <w:ind w:left="233" w:leftChars="111" w:firstLine="1872" w:firstLineChars="905"/>
        <w:rPr>
          <w:sz w:val="21"/>
          <w:szCs w:val="21"/>
          <w:highlight w:val="none"/>
        </w:rPr>
      </w:pPr>
      <w:r>
        <w:rPr>
          <w:rFonts w:hint="eastAsia"/>
          <w:spacing w:val="-2"/>
          <w:sz w:val="21"/>
          <w:szCs w:val="21"/>
          <w:highlight w:val="none"/>
          <w:lang w:val="en-US" w:eastAsia="zh-CN"/>
        </w:rPr>
        <w:t>最高投标限价</w:t>
      </w:r>
      <w:r>
        <w:rPr>
          <w:rFonts w:hint="eastAsia"/>
          <w:spacing w:val="4"/>
          <w:sz w:val="20"/>
          <w:szCs w:val="20"/>
          <w:highlight w:val="none"/>
          <w:lang w:eastAsia="zh-CN"/>
        </w:rPr>
        <w:t>（</w:t>
      </w:r>
      <w:r>
        <w:rPr>
          <w:spacing w:val="-2"/>
          <w:sz w:val="21"/>
          <w:szCs w:val="21"/>
          <w:highlight w:val="none"/>
        </w:rPr>
        <w:t>小写</w:t>
      </w:r>
      <w:r>
        <w:rPr>
          <w:rFonts w:hint="eastAsia"/>
          <w:spacing w:val="4"/>
          <w:sz w:val="20"/>
          <w:szCs w:val="20"/>
          <w:highlight w:val="none"/>
          <w:lang w:eastAsia="zh-CN"/>
        </w:rPr>
        <w:t>）</w:t>
      </w:r>
      <w:r>
        <w:rPr>
          <w:spacing w:val="-2"/>
          <w:sz w:val="21"/>
          <w:szCs w:val="21"/>
          <w:highlight w:val="none"/>
        </w:rPr>
        <w:t>:</w:t>
      </w:r>
      <w:r>
        <w:rPr>
          <w:sz w:val="21"/>
          <w:szCs w:val="21"/>
          <w:highlight w:val="none"/>
          <w:u w:val="single" w:color="auto"/>
        </w:rPr>
        <w:t xml:space="preserve">                   </w:t>
      </w:r>
      <w:r>
        <w:rPr>
          <w:rFonts w:hint="eastAsia"/>
          <w:sz w:val="21"/>
          <w:szCs w:val="21"/>
          <w:highlight w:val="none"/>
          <w:u w:val="single" w:color="auto"/>
          <w:lang w:val="en-US" w:eastAsia="zh-CN"/>
        </w:rPr>
        <w:t xml:space="preserve"> </w:t>
      </w:r>
      <w:r>
        <w:rPr>
          <w:sz w:val="21"/>
          <w:szCs w:val="21"/>
          <w:highlight w:val="none"/>
          <w:u w:val="single" w:color="auto"/>
        </w:rPr>
        <w:t xml:space="preserve"> </w:t>
      </w:r>
      <w:r>
        <w:rPr>
          <w:rFonts w:hint="eastAsia"/>
          <w:sz w:val="21"/>
          <w:szCs w:val="21"/>
          <w:highlight w:val="none"/>
          <w:u w:val="single" w:color="auto"/>
          <w:lang w:val="en-US" w:eastAsia="zh-CN"/>
        </w:rPr>
        <w:t xml:space="preserve">   </w:t>
      </w:r>
      <w:r>
        <w:rPr>
          <w:sz w:val="21"/>
          <w:szCs w:val="21"/>
          <w:highlight w:val="none"/>
          <w:u w:val="single" w:color="auto"/>
        </w:rPr>
        <w:t xml:space="preserve">    </w:t>
      </w:r>
    </w:p>
    <w:p w14:paraId="3F1069C0">
      <w:pPr>
        <w:spacing w:line="327" w:lineRule="auto"/>
        <w:rPr>
          <w:rFonts w:ascii="Arial"/>
          <w:sz w:val="21"/>
          <w:highlight w:val="none"/>
        </w:rPr>
      </w:pPr>
    </w:p>
    <w:p w14:paraId="07BC9A57">
      <w:pPr>
        <w:pStyle w:val="16"/>
        <w:spacing w:before="65" w:line="220" w:lineRule="auto"/>
        <w:ind w:left="57" w:leftChars="27" w:firstLine="3313" w:firstLineChars="1587"/>
        <w:rPr>
          <w:sz w:val="20"/>
          <w:szCs w:val="20"/>
          <w:highlight w:val="none"/>
        </w:rPr>
      </w:pPr>
      <w:r>
        <w:rPr>
          <w:rFonts w:hint="eastAsia"/>
          <w:spacing w:val="4"/>
          <w:sz w:val="20"/>
          <w:szCs w:val="20"/>
          <w:highlight w:val="none"/>
          <w:lang w:eastAsia="zh-CN"/>
        </w:rPr>
        <w:t>（</w:t>
      </w:r>
      <w:r>
        <w:rPr>
          <w:spacing w:val="4"/>
          <w:sz w:val="20"/>
          <w:szCs w:val="20"/>
          <w:highlight w:val="none"/>
        </w:rPr>
        <w:t>大写</w:t>
      </w:r>
      <w:r>
        <w:rPr>
          <w:rFonts w:hint="eastAsia"/>
          <w:spacing w:val="4"/>
          <w:sz w:val="20"/>
          <w:szCs w:val="20"/>
          <w:highlight w:val="none"/>
          <w:lang w:eastAsia="zh-CN"/>
        </w:rPr>
        <w:t>）</w:t>
      </w:r>
      <w:r>
        <w:rPr>
          <w:spacing w:val="4"/>
          <w:sz w:val="20"/>
          <w:szCs w:val="20"/>
          <w:highlight w:val="none"/>
        </w:rPr>
        <w:t>:</w:t>
      </w:r>
      <w:r>
        <w:rPr>
          <w:spacing w:val="4"/>
          <w:sz w:val="20"/>
          <w:szCs w:val="20"/>
          <w:highlight w:val="none"/>
          <w:u w:val="single" w:color="auto"/>
        </w:rPr>
        <w:t xml:space="preserve">                    </w:t>
      </w:r>
      <w:r>
        <w:rPr>
          <w:rFonts w:hint="eastAsia"/>
          <w:spacing w:val="4"/>
          <w:sz w:val="20"/>
          <w:szCs w:val="20"/>
          <w:highlight w:val="none"/>
          <w:u w:val="single" w:color="auto"/>
          <w:lang w:val="en-US" w:eastAsia="zh-CN"/>
        </w:rPr>
        <w:t xml:space="preserve">   </w:t>
      </w:r>
      <w:r>
        <w:rPr>
          <w:spacing w:val="4"/>
          <w:sz w:val="20"/>
          <w:szCs w:val="20"/>
          <w:highlight w:val="none"/>
          <w:u w:val="single" w:color="auto"/>
        </w:rPr>
        <w:t xml:space="preserve">    </w:t>
      </w:r>
    </w:p>
    <w:p w14:paraId="5E75A2FC">
      <w:pPr>
        <w:spacing w:before="23"/>
        <w:rPr>
          <w:highlight w:val="none"/>
        </w:rPr>
      </w:pPr>
    </w:p>
    <w:p w14:paraId="21AB41E4">
      <w:pPr>
        <w:spacing w:before="23"/>
        <w:rPr>
          <w:highlight w:val="none"/>
        </w:rPr>
      </w:pPr>
    </w:p>
    <w:p w14:paraId="3798F6D5">
      <w:pPr>
        <w:spacing w:before="23"/>
        <w:rPr>
          <w:highlight w:val="none"/>
        </w:rPr>
      </w:pPr>
    </w:p>
    <w:tbl>
      <w:tblPr>
        <w:tblStyle w:val="108"/>
        <w:tblW w:w="6201" w:type="dxa"/>
        <w:tblInd w:w="2039"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926"/>
        <w:gridCol w:w="3275"/>
      </w:tblGrid>
      <w:tr w14:paraId="18D0EEA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0" w:hRule="atLeast"/>
        </w:trPr>
        <w:tc>
          <w:tcPr>
            <w:tcW w:w="2926" w:type="dxa"/>
            <w:vAlign w:val="top"/>
          </w:tcPr>
          <w:p w14:paraId="37AA646D">
            <w:pPr>
              <w:pStyle w:val="107"/>
              <w:spacing w:line="208" w:lineRule="auto"/>
              <w:rPr>
                <w:sz w:val="23"/>
                <w:szCs w:val="23"/>
                <w:highlight w:val="none"/>
              </w:rPr>
            </w:pPr>
            <w:r>
              <w:rPr>
                <w:spacing w:val="110"/>
                <w:kern w:val="0"/>
                <w:sz w:val="21"/>
                <w:szCs w:val="21"/>
                <w:highlight w:val="none"/>
                <w:fitText w:val="1071" w:id="583490735"/>
              </w:rPr>
              <w:t>编制</w:t>
            </w:r>
            <w:r>
              <w:rPr>
                <w:spacing w:val="0"/>
                <w:kern w:val="0"/>
                <w:sz w:val="21"/>
                <w:szCs w:val="21"/>
                <w:highlight w:val="none"/>
                <w:fitText w:val="1071" w:id="583490735"/>
              </w:rPr>
              <w:t>人</w:t>
            </w:r>
            <w:r>
              <w:rPr>
                <w:spacing w:val="-8"/>
                <w:sz w:val="21"/>
                <w:szCs w:val="21"/>
                <w:highlight w:val="none"/>
              </w:rPr>
              <w:t>：</w:t>
            </w:r>
          </w:p>
        </w:tc>
        <w:tc>
          <w:tcPr>
            <w:tcW w:w="3275" w:type="dxa"/>
            <w:vAlign w:val="top"/>
          </w:tcPr>
          <w:p w14:paraId="7D42D9B1">
            <w:pPr>
              <w:pStyle w:val="107"/>
              <w:spacing w:before="27" w:line="215" w:lineRule="auto"/>
              <w:jc w:val="both"/>
              <w:rPr>
                <w:highlight w:val="none"/>
              </w:rPr>
            </w:pPr>
            <w:r>
              <w:rPr>
                <w:rFonts w:hint="eastAsia"/>
                <w:spacing w:val="7"/>
                <w:sz w:val="21"/>
                <w:szCs w:val="21"/>
                <w:highlight w:val="none"/>
                <w:lang w:eastAsia="zh-CN"/>
              </w:rPr>
              <w:t>（</w:t>
            </w:r>
            <w:r>
              <w:rPr>
                <w:spacing w:val="7"/>
                <w:sz w:val="21"/>
                <w:szCs w:val="21"/>
                <w:highlight w:val="none"/>
              </w:rPr>
              <w:t>造价专业人员签字及盖章</w:t>
            </w:r>
            <w:r>
              <w:rPr>
                <w:rFonts w:hint="eastAsia"/>
                <w:spacing w:val="7"/>
                <w:sz w:val="21"/>
                <w:szCs w:val="21"/>
                <w:highlight w:val="none"/>
                <w:lang w:eastAsia="zh-CN"/>
              </w:rPr>
              <w:t>）</w:t>
            </w:r>
          </w:p>
        </w:tc>
      </w:tr>
      <w:tr w14:paraId="2A52A4D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24" w:hRule="atLeast"/>
        </w:trPr>
        <w:tc>
          <w:tcPr>
            <w:tcW w:w="2926" w:type="dxa"/>
            <w:vAlign w:val="top"/>
          </w:tcPr>
          <w:p w14:paraId="5864D5A8">
            <w:pPr>
              <w:pStyle w:val="107"/>
              <w:spacing w:line="208" w:lineRule="auto"/>
              <w:rPr>
                <w:sz w:val="23"/>
                <w:szCs w:val="23"/>
                <w:highlight w:val="none"/>
              </w:rPr>
            </w:pPr>
            <w:r>
              <w:rPr>
                <w:rFonts w:hint="eastAsia"/>
                <w:spacing w:val="110"/>
                <w:kern w:val="0"/>
                <w:sz w:val="21"/>
                <w:szCs w:val="21"/>
                <w:highlight w:val="none"/>
                <w:fitText w:val="1071" w:id="1360603015"/>
                <w:lang w:val="en-US" w:eastAsia="zh-CN"/>
              </w:rPr>
              <w:t>复</w:t>
            </w:r>
            <w:r>
              <w:rPr>
                <w:spacing w:val="110"/>
                <w:kern w:val="0"/>
                <w:sz w:val="21"/>
                <w:szCs w:val="21"/>
                <w:highlight w:val="none"/>
                <w:fitText w:val="1071" w:id="1360603015"/>
              </w:rPr>
              <w:t>核</w:t>
            </w:r>
            <w:r>
              <w:rPr>
                <w:spacing w:val="0"/>
                <w:kern w:val="0"/>
                <w:sz w:val="21"/>
                <w:szCs w:val="21"/>
                <w:highlight w:val="none"/>
                <w:fitText w:val="1071" w:id="1360603015"/>
              </w:rPr>
              <w:t>人</w:t>
            </w:r>
            <w:r>
              <w:rPr>
                <w:rFonts w:hint="eastAsia"/>
                <w:kern w:val="0"/>
                <w:sz w:val="21"/>
                <w:szCs w:val="21"/>
                <w:highlight w:val="none"/>
                <w:lang w:val="en-US" w:eastAsia="zh-CN"/>
              </w:rPr>
              <w:t>：</w:t>
            </w:r>
          </w:p>
        </w:tc>
        <w:tc>
          <w:tcPr>
            <w:tcW w:w="3275" w:type="dxa"/>
            <w:vAlign w:val="top"/>
          </w:tcPr>
          <w:p w14:paraId="00394687">
            <w:pPr>
              <w:pStyle w:val="107"/>
              <w:spacing w:before="67" w:line="219" w:lineRule="auto"/>
              <w:ind w:left="112" w:leftChars="0" w:hanging="112" w:hangingChars="50"/>
              <w:rPr>
                <w:highlight w:val="none"/>
              </w:rPr>
            </w:pPr>
            <w:r>
              <w:rPr>
                <w:rFonts w:hint="eastAsia"/>
                <w:spacing w:val="7"/>
                <w:sz w:val="21"/>
                <w:szCs w:val="21"/>
                <w:highlight w:val="none"/>
                <w:lang w:eastAsia="zh-CN"/>
              </w:rPr>
              <w:t>（</w:t>
            </w:r>
            <w:r>
              <w:rPr>
                <w:spacing w:val="7"/>
                <w:sz w:val="21"/>
                <w:szCs w:val="21"/>
                <w:highlight w:val="none"/>
              </w:rPr>
              <w:t>签字及盖章</w:t>
            </w:r>
            <w:r>
              <w:rPr>
                <w:rFonts w:hint="eastAsia"/>
                <w:spacing w:val="7"/>
                <w:sz w:val="21"/>
                <w:szCs w:val="21"/>
                <w:highlight w:val="none"/>
                <w:lang w:eastAsia="zh-CN"/>
              </w:rPr>
              <w:t>）</w:t>
            </w:r>
          </w:p>
        </w:tc>
      </w:tr>
      <w:tr w14:paraId="44F169E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39" w:hRule="atLeast"/>
        </w:trPr>
        <w:tc>
          <w:tcPr>
            <w:tcW w:w="2926" w:type="dxa"/>
            <w:vAlign w:val="top"/>
          </w:tcPr>
          <w:p w14:paraId="1F9E5A98">
            <w:pPr>
              <w:pStyle w:val="107"/>
              <w:spacing w:before="65" w:line="260" w:lineRule="auto"/>
              <w:ind w:right="654"/>
              <w:rPr>
                <w:sz w:val="21"/>
                <w:szCs w:val="21"/>
                <w:highlight w:val="none"/>
              </w:rPr>
            </w:pPr>
            <w:r>
              <w:rPr>
                <w:spacing w:val="1"/>
                <w:w w:val="92"/>
                <w:kern w:val="0"/>
                <w:sz w:val="21"/>
                <w:szCs w:val="21"/>
                <w:highlight w:val="none"/>
                <w:fitText w:val="1071" w:id="104347171"/>
              </w:rPr>
              <w:t>编 制 单 位</w:t>
            </w:r>
            <w:r>
              <w:rPr>
                <w:spacing w:val="-31"/>
                <w:sz w:val="21"/>
                <w:szCs w:val="21"/>
                <w:highlight w:val="none"/>
              </w:rPr>
              <w:t xml:space="preserve"> </w:t>
            </w:r>
            <w:r>
              <w:rPr>
                <w:rFonts w:hint="eastAsia"/>
                <w:spacing w:val="-31"/>
                <w:sz w:val="21"/>
                <w:szCs w:val="21"/>
                <w:highlight w:val="none"/>
                <w:lang w:eastAsia="zh-CN"/>
              </w:rPr>
              <w:t>：</w:t>
            </w:r>
            <w:r>
              <w:rPr>
                <w:sz w:val="21"/>
                <w:szCs w:val="21"/>
                <w:highlight w:val="none"/>
              </w:rPr>
              <w:t xml:space="preserve"> </w:t>
            </w:r>
          </w:p>
          <w:p w14:paraId="1B1A6551">
            <w:pPr>
              <w:pStyle w:val="107"/>
              <w:spacing w:before="65" w:line="260" w:lineRule="auto"/>
              <w:ind w:right="654" w:rightChars="0"/>
              <w:rPr>
                <w:highlight w:val="none"/>
              </w:rPr>
            </w:pPr>
            <w:r>
              <w:rPr>
                <w:spacing w:val="9"/>
                <w:sz w:val="21"/>
                <w:szCs w:val="21"/>
                <w:highlight w:val="none"/>
              </w:rPr>
              <w:t>法定代表人</w:t>
            </w:r>
          </w:p>
        </w:tc>
        <w:tc>
          <w:tcPr>
            <w:tcW w:w="3275" w:type="dxa"/>
            <w:vAlign w:val="top"/>
          </w:tcPr>
          <w:p w14:paraId="3641C2FB">
            <w:pPr>
              <w:pStyle w:val="107"/>
              <w:spacing w:before="53" w:line="219" w:lineRule="auto"/>
              <w:ind w:left="118" w:leftChars="0" w:hanging="118" w:hangingChars="50"/>
              <w:rPr>
                <w:highlight w:val="none"/>
              </w:rPr>
            </w:pPr>
            <w:r>
              <w:rPr>
                <w:rFonts w:hint="eastAsia"/>
                <w:spacing w:val="13"/>
                <w:sz w:val="21"/>
                <w:szCs w:val="21"/>
                <w:highlight w:val="none"/>
                <w:lang w:eastAsia="zh-CN"/>
              </w:rPr>
              <w:t>（</w:t>
            </w:r>
            <w:r>
              <w:rPr>
                <w:spacing w:val="13"/>
                <w:sz w:val="21"/>
                <w:szCs w:val="21"/>
                <w:highlight w:val="none"/>
              </w:rPr>
              <w:t>盖章</w:t>
            </w:r>
            <w:r>
              <w:rPr>
                <w:rFonts w:hint="eastAsia"/>
                <w:spacing w:val="13"/>
                <w:sz w:val="21"/>
                <w:szCs w:val="21"/>
                <w:highlight w:val="none"/>
                <w:lang w:eastAsia="zh-CN"/>
              </w:rPr>
              <w:t>）</w:t>
            </w:r>
          </w:p>
        </w:tc>
      </w:tr>
      <w:tr w14:paraId="53AE655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81" w:hRule="atLeast"/>
        </w:trPr>
        <w:tc>
          <w:tcPr>
            <w:tcW w:w="2926" w:type="dxa"/>
            <w:vAlign w:val="top"/>
          </w:tcPr>
          <w:p w14:paraId="10F53A70">
            <w:pPr>
              <w:pStyle w:val="107"/>
              <w:spacing w:before="66" w:line="219" w:lineRule="auto"/>
              <w:rPr>
                <w:highlight w:val="none"/>
              </w:rPr>
            </w:pPr>
            <w:r>
              <w:rPr>
                <w:spacing w:val="3"/>
                <w:sz w:val="21"/>
                <w:szCs w:val="21"/>
                <w:highlight w:val="none"/>
              </w:rPr>
              <w:t>或其授权人：</w:t>
            </w:r>
          </w:p>
        </w:tc>
        <w:tc>
          <w:tcPr>
            <w:tcW w:w="3275" w:type="dxa"/>
            <w:vAlign w:val="top"/>
          </w:tcPr>
          <w:p w14:paraId="363A2953">
            <w:pPr>
              <w:pStyle w:val="107"/>
              <w:spacing w:before="64" w:line="219" w:lineRule="auto"/>
              <w:ind w:left="112" w:leftChars="0" w:hanging="112" w:hangingChars="50"/>
              <w:rPr>
                <w:highlight w:val="none"/>
              </w:rPr>
            </w:pPr>
            <w:r>
              <w:rPr>
                <w:rFonts w:hint="eastAsia"/>
                <w:spacing w:val="7"/>
                <w:sz w:val="21"/>
                <w:szCs w:val="21"/>
                <w:highlight w:val="none"/>
                <w:lang w:eastAsia="zh-CN"/>
              </w:rPr>
              <w:t>（</w:t>
            </w:r>
            <w:r>
              <w:rPr>
                <w:spacing w:val="7"/>
                <w:sz w:val="21"/>
                <w:szCs w:val="21"/>
                <w:highlight w:val="none"/>
              </w:rPr>
              <w:t>签字或盖章</w:t>
            </w:r>
            <w:r>
              <w:rPr>
                <w:rFonts w:hint="eastAsia"/>
                <w:spacing w:val="7"/>
                <w:sz w:val="21"/>
                <w:szCs w:val="21"/>
                <w:highlight w:val="none"/>
                <w:lang w:eastAsia="zh-CN"/>
              </w:rPr>
              <w:t>）</w:t>
            </w:r>
          </w:p>
        </w:tc>
      </w:tr>
      <w:tr w14:paraId="00F0F64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804" w:hRule="atLeast"/>
        </w:trPr>
        <w:tc>
          <w:tcPr>
            <w:tcW w:w="2926" w:type="dxa"/>
            <w:vAlign w:val="top"/>
          </w:tcPr>
          <w:p w14:paraId="2943E9EB">
            <w:pPr>
              <w:pStyle w:val="107"/>
              <w:spacing w:line="208" w:lineRule="auto"/>
              <w:rPr>
                <w:spacing w:val="-8"/>
                <w:sz w:val="21"/>
                <w:szCs w:val="21"/>
                <w:highlight w:val="none"/>
              </w:rPr>
            </w:pPr>
            <w:r>
              <w:rPr>
                <w:rFonts w:hint="eastAsia"/>
                <w:kern w:val="0"/>
                <w:sz w:val="21"/>
                <w:szCs w:val="21"/>
                <w:highlight w:val="none"/>
                <w:lang w:eastAsia="zh-CN"/>
              </w:rPr>
              <w:t>发</w:t>
            </w:r>
            <w:r>
              <w:rPr>
                <w:rFonts w:hint="eastAsia"/>
                <w:kern w:val="0"/>
                <w:sz w:val="21"/>
                <w:szCs w:val="21"/>
                <w:highlight w:val="none"/>
                <w:lang w:val="en-US" w:eastAsia="zh-CN"/>
              </w:rPr>
              <w:t xml:space="preserve"> </w:t>
            </w:r>
            <w:r>
              <w:rPr>
                <w:rFonts w:hint="eastAsia"/>
                <w:kern w:val="0"/>
                <w:sz w:val="21"/>
                <w:szCs w:val="21"/>
                <w:highlight w:val="none"/>
                <w:lang w:eastAsia="zh-CN"/>
              </w:rPr>
              <w:t>包</w:t>
            </w:r>
            <w:r>
              <w:rPr>
                <w:rFonts w:hint="eastAsia"/>
                <w:kern w:val="0"/>
                <w:sz w:val="21"/>
                <w:szCs w:val="21"/>
                <w:highlight w:val="none"/>
                <w:lang w:val="en-US" w:eastAsia="zh-CN"/>
              </w:rPr>
              <w:t xml:space="preserve"> </w:t>
            </w:r>
            <w:r>
              <w:rPr>
                <w:rFonts w:hint="eastAsia"/>
                <w:kern w:val="0"/>
                <w:sz w:val="21"/>
                <w:szCs w:val="21"/>
                <w:highlight w:val="none"/>
                <w:lang w:eastAsia="zh-CN"/>
              </w:rPr>
              <w:t>人：</w:t>
            </w:r>
          </w:p>
          <w:p w14:paraId="6F5C42C9">
            <w:pPr>
              <w:pStyle w:val="107"/>
              <w:spacing w:before="74" w:line="256" w:lineRule="auto"/>
              <w:ind w:right="639" w:rightChars="0"/>
              <w:jc w:val="left"/>
              <w:rPr>
                <w:highlight w:val="none"/>
              </w:rPr>
            </w:pPr>
            <w:r>
              <w:rPr>
                <w:spacing w:val="9"/>
                <w:sz w:val="21"/>
                <w:szCs w:val="21"/>
                <w:highlight w:val="none"/>
              </w:rPr>
              <w:t>法定代表人</w:t>
            </w:r>
          </w:p>
        </w:tc>
        <w:tc>
          <w:tcPr>
            <w:tcW w:w="3275" w:type="dxa"/>
            <w:vAlign w:val="top"/>
          </w:tcPr>
          <w:p w14:paraId="2465E5AF">
            <w:pPr>
              <w:pStyle w:val="107"/>
              <w:spacing w:before="65" w:line="219" w:lineRule="auto"/>
              <w:ind w:left="118" w:leftChars="0" w:hanging="118" w:hangingChars="50"/>
              <w:rPr>
                <w:highlight w:val="none"/>
              </w:rPr>
            </w:pPr>
            <w:r>
              <w:rPr>
                <w:rFonts w:hint="eastAsia"/>
                <w:spacing w:val="13"/>
                <w:sz w:val="21"/>
                <w:szCs w:val="21"/>
                <w:highlight w:val="none"/>
                <w:lang w:eastAsia="zh-CN"/>
              </w:rPr>
              <w:t>（</w:t>
            </w:r>
            <w:r>
              <w:rPr>
                <w:spacing w:val="13"/>
                <w:sz w:val="21"/>
                <w:szCs w:val="21"/>
                <w:highlight w:val="none"/>
              </w:rPr>
              <w:t>盖章</w:t>
            </w:r>
            <w:r>
              <w:rPr>
                <w:rFonts w:hint="eastAsia"/>
                <w:spacing w:val="13"/>
                <w:sz w:val="21"/>
                <w:szCs w:val="21"/>
                <w:highlight w:val="none"/>
                <w:lang w:eastAsia="zh-CN"/>
              </w:rPr>
              <w:t>）</w:t>
            </w:r>
          </w:p>
        </w:tc>
      </w:tr>
      <w:tr w14:paraId="3EDE5C1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80" w:hRule="atLeast"/>
        </w:trPr>
        <w:tc>
          <w:tcPr>
            <w:tcW w:w="2926" w:type="dxa"/>
            <w:vAlign w:val="top"/>
          </w:tcPr>
          <w:p w14:paraId="238AB86F">
            <w:pPr>
              <w:pStyle w:val="107"/>
              <w:spacing w:before="50"/>
              <w:ind w:right="654"/>
              <w:rPr>
                <w:spacing w:val="3"/>
                <w:sz w:val="21"/>
                <w:szCs w:val="21"/>
                <w:highlight w:val="none"/>
              </w:rPr>
            </w:pPr>
            <w:r>
              <w:rPr>
                <w:spacing w:val="3"/>
                <w:sz w:val="21"/>
                <w:szCs w:val="21"/>
                <w:highlight w:val="none"/>
              </w:rPr>
              <w:t xml:space="preserve">或其授权人： </w:t>
            </w:r>
          </w:p>
          <w:p w14:paraId="3A2130A2">
            <w:pPr>
              <w:pStyle w:val="107"/>
              <w:spacing w:before="50"/>
              <w:ind w:right="654" w:rightChars="0"/>
              <w:rPr>
                <w:highlight w:val="none"/>
              </w:rPr>
            </w:pPr>
            <w:r>
              <w:rPr>
                <w:spacing w:val="1"/>
                <w:w w:val="92"/>
                <w:kern w:val="0"/>
                <w:sz w:val="21"/>
                <w:szCs w:val="21"/>
                <w:highlight w:val="none"/>
                <w:fitText w:val="1071" w:id="89287434"/>
              </w:rPr>
              <w:t xml:space="preserve">编 制 </w:t>
            </w:r>
            <w:r>
              <w:rPr>
                <w:rFonts w:hint="eastAsia"/>
                <w:spacing w:val="1"/>
                <w:w w:val="92"/>
                <w:kern w:val="0"/>
                <w:sz w:val="21"/>
                <w:szCs w:val="21"/>
                <w:highlight w:val="none"/>
                <w:fitText w:val="1071" w:id="89287434"/>
                <w:lang w:val="en-US" w:eastAsia="zh-CN"/>
              </w:rPr>
              <w:t>时 间</w:t>
            </w:r>
            <w:r>
              <w:rPr>
                <w:spacing w:val="0"/>
                <w:w w:val="100"/>
                <w:kern w:val="0"/>
                <w:sz w:val="21"/>
                <w:szCs w:val="21"/>
                <w:highlight w:val="none"/>
              </w:rPr>
              <w:t xml:space="preserve"> </w:t>
            </w:r>
            <w:r>
              <w:rPr>
                <w:spacing w:val="-17"/>
                <w:sz w:val="21"/>
                <w:szCs w:val="21"/>
                <w:highlight w:val="none"/>
              </w:rPr>
              <w:t>：</w:t>
            </w:r>
            <w:r>
              <w:rPr>
                <w:sz w:val="21"/>
                <w:szCs w:val="21"/>
                <w:highlight w:val="none"/>
              </w:rPr>
              <w:t xml:space="preserve"> </w:t>
            </w:r>
          </w:p>
        </w:tc>
        <w:tc>
          <w:tcPr>
            <w:tcW w:w="3275" w:type="dxa"/>
            <w:vAlign w:val="top"/>
          </w:tcPr>
          <w:p w14:paraId="79675368">
            <w:pPr>
              <w:pStyle w:val="107"/>
              <w:spacing w:before="59" w:line="219" w:lineRule="auto"/>
              <w:ind w:left="112" w:leftChars="0" w:hanging="112" w:hangingChars="50"/>
              <w:rPr>
                <w:highlight w:val="none"/>
              </w:rPr>
            </w:pPr>
            <w:r>
              <w:rPr>
                <w:rFonts w:hint="eastAsia"/>
                <w:spacing w:val="7"/>
                <w:sz w:val="21"/>
                <w:szCs w:val="21"/>
                <w:highlight w:val="none"/>
                <w:lang w:eastAsia="zh-CN"/>
              </w:rPr>
              <w:t>（</w:t>
            </w:r>
            <w:r>
              <w:rPr>
                <w:spacing w:val="7"/>
                <w:sz w:val="21"/>
                <w:szCs w:val="21"/>
                <w:highlight w:val="none"/>
              </w:rPr>
              <w:t>签字或盖章</w:t>
            </w:r>
            <w:r>
              <w:rPr>
                <w:rFonts w:hint="eastAsia"/>
                <w:spacing w:val="7"/>
                <w:sz w:val="21"/>
                <w:szCs w:val="21"/>
                <w:highlight w:val="none"/>
                <w:lang w:eastAsia="zh-CN"/>
              </w:rPr>
              <w:t>）</w:t>
            </w:r>
          </w:p>
        </w:tc>
      </w:tr>
    </w:tbl>
    <w:p w14:paraId="2A8EEA1C">
      <w:pPr>
        <w:pStyle w:val="16"/>
        <w:spacing w:before="95" w:line="220" w:lineRule="auto"/>
        <w:ind w:left="2889"/>
        <w:outlineLvl w:val="9"/>
        <w:rPr>
          <w:rFonts w:hint="eastAsia" w:ascii="Times New Roman" w:hAnsi="Times New Roman" w:eastAsia="宋体" w:cs="Times New Roman"/>
          <w:spacing w:val="9"/>
          <w:sz w:val="29"/>
          <w:szCs w:val="29"/>
          <w:highlight w:val="none"/>
          <w:lang w:val="en-US" w:eastAsia="zh-CN"/>
        </w:rPr>
      </w:pPr>
    </w:p>
    <w:p w14:paraId="25DFC537">
      <w:pPr>
        <w:rPr>
          <w:rFonts w:hint="eastAsia" w:ascii="Times New Roman" w:hAnsi="Times New Roman" w:eastAsia="宋体" w:cs="Times New Roman"/>
          <w:spacing w:val="9"/>
          <w:sz w:val="29"/>
          <w:szCs w:val="29"/>
          <w:highlight w:val="none"/>
          <w:lang w:val="en-US" w:eastAsia="zh-CN"/>
        </w:rPr>
      </w:pPr>
      <w:r>
        <w:rPr>
          <w:rFonts w:hint="eastAsia" w:ascii="Times New Roman" w:hAnsi="Times New Roman" w:eastAsia="宋体" w:cs="Times New Roman"/>
          <w:spacing w:val="9"/>
          <w:sz w:val="29"/>
          <w:szCs w:val="29"/>
          <w:highlight w:val="none"/>
          <w:lang w:val="en-US" w:eastAsia="zh-CN"/>
        </w:rPr>
        <w:br w:type="page"/>
      </w:r>
    </w:p>
    <w:p w14:paraId="1DF3B871">
      <w:pPr>
        <w:pStyle w:val="16"/>
        <w:spacing w:before="95" w:line="220" w:lineRule="auto"/>
        <w:ind w:left="0"/>
        <w:jc w:val="center"/>
        <w:outlineLvl w:val="2"/>
        <w:rPr>
          <w:sz w:val="28"/>
          <w:szCs w:val="28"/>
          <w:highlight w:val="none"/>
        </w:rPr>
      </w:pPr>
      <w:bookmarkStart w:id="6452" w:name="_Toc25947"/>
      <w:r>
        <w:rPr>
          <w:rFonts w:hint="eastAsia"/>
          <w:spacing w:val="9"/>
          <w:sz w:val="28"/>
          <w:szCs w:val="28"/>
          <w:highlight w:val="none"/>
          <w:lang w:val="en-US" w:eastAsia="zh-CN"/>
        </w:rPr>
        <w:t>投标总价</w:t>
      </w:r>
      <w:r>
        <w:rPr>
          <w:spacing w:val="9"/>
          <w:sz w:val="28"/>
          <w:szCs w:val="28"/>
          <w:highlight w:val="none"/>
        </w:rPr>
        <w:t>扉页</w:t>
      </w:r>
      <w:bookmarkEnd w:id="6452"/>
    </w:p>
    <w:p w14:paraId="38317072">
      <w:pPr>
        <w:spacing w:line="263" w:lineRule="auto"/>
        <w:rPr>
          <w:rFonts w:ascii="Arial"/>
          <w:sz w:val="21"/>
          <w:highlight w:val="none"/>
        </w:rPr>
      </w:pPr>
    </w:p>
    <w:p w14:paraId="649B135E">
      <w:pPr>
        <w:spacing w:line="319" w:lineRule="auto"/>
        <w:rPr>
          <w:rFonts w:ascii="Arial"/>
          <w:sz w:val="21"/>
          <w:highlight w:val="none"/>
        </w:rPr>
      </w:pPr>
    </w:p>
    <w:p w14:paraId="4099BE84">
      <w:pPr>
        <w:spacing w:line="319" w:lineRule="auto"/>
        <w:rPr>
          <w:rFonts w:ascii="Arial"/>
          <w:sz w:val="21"/>
          <w:highlight w:val="none"/>
        </w:rPr>
      </w:pPr>
    </w:p>
    <w:p w14:paraId="1C17F8D1">
      <w:pPr>
        <w:spacing w:line="319" w:lineRule="auto"/>
        <w:rPr>
          <w:rFonts w:ascii="Arial"/>
          <w:sz w:val="21"/>
          <w:highlight w:val="none"/>
        </w:rPr>
      </w:pPr>
    </w:p>
    <w:p w14:paraId="7AF7E7FC">
      <w:pPr>
        <w:spacing w:line="319" w:lineRule="auto"/>
        <w:rPr>
          <w:rFonts w:ascii="Arial"/>
          <w:sz w:val="21"/>
          <w:highlight w:val="none"/>
        </w:rPr>
      </w:pPr>
    </w:p>
    <w:p w14:paraId="0DFAE380">
      <w:pPr>
        <w:pStyle w:val="16"/>
        <w:spacing w:before="72" w:line="220" w:lineRule="auto"/>
        <w:ind w:left="2639"/>
        <w:rPr>
          <w:highlight w:val="none"/>
          <w:u w:val="single" w:color="auto"/>
        </w:rPr>
      </w:pPr>
      <w:r>
        <w:rPr>
          <w:spacing w:val="-5"/>
          <w:sz w:val="24"/>
          <w:szCs w:val="22"/>
          <w:highlight w:val="none"/>
        </w:rPr>
        <w:t>工程名称：</w:t>
      </w:r>
      <w:r>
        <w:rPr>
          <w:highlight w:val="none"/>
          <w:u w:val="single" w:color="auto"/>
        </w:rPr>
        <w:t xml:space="preserve">                    </w:t>
      </w:r>
    </w:p>
    <w:p w14:paraId="11AFBA48">
      <w:pPr>
        <w:pStyle w:val="16"/>
        <w:spacing w:before="72" w:line="220" w:lineRule="auto"/>
        <w:ind w:left="2639"/>
        <w:rPr>
          <w:rFonts w:ascii="Arial"/>
          <w:sz w:val="21"/>
          <w:highlight w:val="none"/>
        </w:rPr>
      </w:pPr>
    </w:p>
    <w:p w14:paraId="7B81DBCC">
      <w:pPr>
        <w:pStyle w:val="16"/>
        <w:spacing w:before="65" w:line="220" w:lineRule="auto"/>
        <w:ind w:left="2649"/>
        <w:rPr>
          <w:sz w:val="20"/>
          <w:szCs w:val="20"/>
          <w:highlight w:val="none"/>
        </w:rPr>
      </w:pPr>
      <w:r>
        <w:rPr>
          <w:spacing w:val="-5"/>
          <w:sz w:val="24"/>
          <w:szCs w:val="22"/>
          <w:highlight w:val="none"/>
        </w:rPr>
        <w:t>标段名称：</w:t>
      </w:r>
      <w:r>
        <w:rPr>
          <w:sz w:val="20"/>
          <w:szCs w:val="20"/>
          <w:highlight w:val="none"/>
          <w:u w:val="single" w:color="auto"/>
        </w:rPr>
        <w:t xml:space="preserve">                            </w:t>
      </w:r>
    </w:p>
    <w:p w14:paraId="79623B39">
      <w:pPr>
        <w:spacing w:line="315" w:lineRule="auto"/>
        <w:rPr>
          <w:rFonts w:ascii="Arial"/>
          <w:sz w:val="21"/>
          <w:highlight w:val="none"/>
        </w:rPr>
      </w:pPr>
    </w:p>
    <w:p w14:paraId="55FDEDAC">
      <w:pPr>
        <w:spacing w:line="315" w:lineRule="auto"/>
        <w:rPr>
          <w:rFonts w:ascii="Arial"/>
          <w:sz w:val="21"/>
          <w:highlight w:val="none"/>
        </w:rPr>
      </w:pPr>
    </w:p>
    <w:p w14:paraId="0A8AEB6F">
      <w:pPr>
        <w:spacing w:line="315" w:lineRule="auto"/>
        <w:rPr>
          <w:rFonts w:ascii="Arial"/>
          <w:sz w:val="21"/>
          <w:highlight w:val="none"/>
        </w:rPr>
      </w:pPr>
    </w:p>
    <w:p w14:paraId="65B705BF">
      <w:pPr>
        <w:spacing w:line="315" w:lineRule="auto"/>
        <w:rPr>
          <w:rFonts w:ascii="Arial"/>
          <w:sz w:val="21"/>
          <w:highlight w:val="none"/>
        </w:rPr>
      </w:pPr>
    </w:p>
    <w:p w14:paraId="47B484EC">
      <w:pPr>
        <w:pStyle w:val="16"/>
        <w:spacing w:before="95" w:line="220" w:lineRule="auto"/>
        <w:ind w:left="3529"/>
        <w:rPr>
          <w:rFonts w:hint="eastAsia"/>
          <w:spacing w:val="20"/>
          <w:sz w:val="29"/>
          <w:szCs w:val="29"/>
          <w:highlight w:val="none"/>
          <w:lang w:val="en-US" w:eastAsia="zh-CN"/>
        </w:rPr>
      </w:pPr>
      <w:r>
        <w:rPr>
          <w:rFonts w:hint="eastAsia"/>
          <w:spacing w:val="9"/>
          <w:sz w:val="29"/>
          <w:szCs w:val="29"/>
          <w:highlight w:val="none"/>
          <w:lang w:val="en-US" w:eastAsia="zh-CN"/>
        </w:rPr>
        <w:t>投标总价</w:t>
      </w:r>
    </w:p>
    <w:p w14:paraId="48615366">
      <w:pPr>
        <w:pStyle w:val="16"/>
        <w:spacing w:before="95" w:line="220" w:lineRule="auto"/>
        <w:ind w:left="3529"/>
        <w:rPr>
          <w:rFonts w:hint="eastAsia"/>
          <w:spacing w:val="20"/>
          <w:sz w:val="29"/>
          <w:szCs w:val="29"/>
          <w:highlight w:val="none"/>
          <w:lang w:val="en-US" w:eastAsia="zh-CN"/>
        </w:rPr>
      </w:pPr>
    </w:p>
    <w:p w14:paraId="42F049BF">
      <w:pPr>
        <w:pStyle w:val="16"/>
        <w:spacing w:before="95" w:line="220" w:lineRule="auto"/>
        <w:ind w:left="3529"/>
        <w:rPr>
          <w:rFonts w:hint="eastAsia"/>
          <w:spacing w:val="20"/>
          <w:sz w:val="29"/>
          <w:szCs w:val="29"/>
          <w:highlight w:val="none"/>
          <w:lang w:val="en-US" w:eastAsia="zh-CN"/>
        </w:rPr>
      </w:pPr>
    </w:p>
    <w:p w14:paraId="3A0201A7">
      <w:pPr>
        <w:pStyle w:val="16"/>
        <w:spacing w:before="95" w:line="220" w:lineRule="auto"/>
        <w:ind w:left="3529"/>
        <w:rPr>
          <w:rFonts w:hint="eastAsia"/>
          <w:spacing w:val="20"/>
          <w:sz w:val="29"/>
          <w:szCs w:val="29"/>
          <w:highlight w:val="none"/>
          <w:lang w:val="en-US" w:eastAsia="zh-CN"/>
        </w:rPr>
      </w:pPr>
    </w:p>
    <w:p w14:paraId="46DC2204">
      <w:pPr>
        <w:pStyle w:val="16"/>
        <w:spacing w:before="69" w:line="218" w:lineRule="auto"/>
        <w:ind w:left="2559"/>
        <w:rPr>
          <w:sz w:val="21"/>
          <w:szCs w:val="21"/>
          <w:highlight w:val="none"/>
        </w:rPr>
      </w:pPr>
      <w:r>
        <w:rPr>
          <w:spacing w:val="-2"/>
          <w:sz w:val="21"/>
          <w:szCs w:val="21"/>
          <w:highlight w:val="none"/>
        </w:rPr>
        <w:t>投标总价</w:t>
      </w:r>
      <w:r>
        <w:rPr>
          <w:rFonts w:hint="eastAsia"/>
          <w:spacing w:val="-2"/>
          <w:sz w:val="21"/>
          <w:szCs w:val="21"/>
          <w:highlight w:val="none"/>
          <w:lang w:eastAsia="zh-CN"/>
        </w:rPr>
        <w:t>（</w:t>
      </w:r>
      <w:r>
        <w:rPr>
          <w:spacing w:val="-2"/>
          <w:sz w:val="21"/>
          <w:szCs w:val="21"/>
          <w:highlight w:val="none"/>
        </w:rPr>
        <w:t>小写</w:t>
      </w:r>
      <w:r>
        <w:rPr>
          <w:rFonts w:hint="eastAsia"/>
          <w:spacing w:val="-2"/>
          <w:sz w:val="21"/>
          <w:szCs w:val="21"/>
          <w:highlight w:val="none"/>
          <w:lang w:eastAsia="zh-CN"/>
        </w:rPr>
        <w:t>）：</w:t>
      </w:r>
      <w:r>
        <w:rPr>
          <w:sz w:val="21"/>
          <w:szCs w:val="21"/>
          <w:highlight w:val="none"/>
          <w:u w:val="single" w:color="auto"/>
        </w:rPr>
        <w:t xml:space="preserve">                  </w:t>
      </w:r>
      <w:r>
        <w:rPr>
          <w:rFonts w:hint="eastAsia"/>
          <w:sz w:val="21"/>
          <w:szCs w:val="21"/>
          <w:highlight w:val="none"/>
          <w:u w:val="single" w:color="auto"/>
          <w:lang w:val="en-US" w:eastAsia="zh-CN"/>
        </w:rPr>
        <w:t xml:space="preserve">  </w:t>
      </w:r>
      <w:r>
        <w:rPr>
          <w:sz w:val="21"/>
          <w:szCs w:val="21"/>
          <w:highlight w:val="none"/>
          <w:u w:val="single" w:color="auto"/>
        </w:rPr>
        <w:t xml:space="preserve">      </w:t>
      </w:r>
    </w:p>
    <w:p w14:paraId="5A81C8AF">
      <w:pPr>
        <w:spacing w:line="327" w:lineRule="auto"/>
        <w:rPr>
          <w:rFonts w:ascii="Arial"/>
          <w:sz w:val="21"/>
          <w:highlight w:val="none"/>
        </w:rPr>
      </w:pPr>
    </w:p>
    <w:p w14:paraId="65AE6CA7">
      <w:pPr>
        <w:pStyle w:val="16"/>
        <w:spacing w:before="65" w:line="220" w:lineRule="auto"/>
        <w:ind w:left="3419"/>
        <w:rPr>
          <w:sz w:val="20"/>
          <w:szCs w:val="20"/>
          <w:highlight w:val="none"/>
        </w:rPr>
      </w:pPr>
      <w:r>
        <w:rPr>
          <w:rFonts w:hint="eastAsia"/>
          <w:spacing w:val="4"/>
          <w:sz w:val="20"/>
          <w:szCs w:val="20"/>
          <w:highlight w:val="none"/>
          <w:lang w:eastAsia="zh-CN"/>
        </w:rPr>
        <w:t>（</w:t>
      </w:r>
      <w:r>
        <w:rPr>
          <w:spacing w:val="4"/>
          <w:sz w:val="20"/>
          <w:szCs w:val="20"/>
          <w:highlight w:val="none"/>
        </w:rPr>
        <w:t>大写</w:t>
      </w:r>
      <w:r>
        <w:rPr>
          <w:rFonts w:hint="eastAsia"/>
          <w:spacing w:val="4"/>
          <w:sz w:val="20"/>
          <w:szCs w:val="20"/>
          <w:highlight w:val="none"/>
          <w:lang w:eastAsia="zh-CN"/>
        </w:rPr>
        <w:t>）：</w:t>
      </w:r>
      <w:r>
        <w:rPr>
          <w:spacing w:val="4"/>
          <w:sz w:val="20"/>
          <w:szCs w:val="20"/>
          <w:highlight w:val="none"/>
          <w:u w:val="single" w:color="auto"/>
        </w:rPr>
        <w:t xml:space="preserve">                  </w:t>
      </w:r>
      <w:r>
        <w:rPr>
          <w:rFonts w:hint="eastAsia"/>
          <w:spacing w:val="4"/>
          <w:sz w:val="20"/>
          <w:szCs w:val="20"/>
          <w:highlight w:val="none"/>
          <w:u w:val="single" w:color="auto"/>
          <w:lang w:val="en-US" w:eastAsia="zh-CN"/>
        </w:rPr>
        <w:t xml:space="preserve"> </w:t>
      </w:r>
      <w:r>
        <w:rPr>
          <w:spacing w:val="4"/>
          <w:sz w:val="20"/>
          <w:szCs w:val="20"/>
          <w:highlight w:val="none"/>
          <w:u w:val="single" w:color="auto"/>
        </w:rPr>
        <w:t xml:space="preserve">      </w:t>
      </w:r>
    </w:p>
    <w:p w14:paraId="15B6B1AB">
      <w:pPr>
        <w:spacing w:before="23"/>
        <w:rPr>
          <w:highlight w:val="none"/>
        </w:rPr>
      </w:pPr>
    </w:p>
    <w:p w14:paraId="563AF9E1">
      <w:pPr>
        <w:spacing w:before="23"/>
        <w:rPr>
          <w:highlight w:val="none"/>
        </w:rPr>
      </w:pPr>
    </w:p>
    <w:tbl>
      <w:tblPr>
        <w:tblStyle w:val="108"/>
        <w:tblW w:w="6201" w:type="dxa"/>
        <w:tblInd w:w="2039"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926"/>
        <w:gridCol w:w="3275"/>
      </w:tblGrid>
      <w:tr w14:paraId="3D41886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Ex>
        <w:trPr>
          <w:trHeight w:val="272" w:hRule="atLeast"/>
        </w:trPr>
        <w:tc>
          <w:tcPr>
            <w:tcW w:w="2926" w:type="dxa"/>
            <w:vAlign w:val="center"/>
          </w:tcPr>
          <w:p w14:paraId="45CE5750">
            <w:pPr>
              <w:pStyle w:val="107"/>
              <w:spacing w:line="208" w:lineRule="auto"/>
              <w:jc w:val="both"/>
              <w:rPr>
                <w:sz w:val="23"/>
                <w:szCs w:val="23"/>
                <w:highlight w:val="none"/>
              </w:rPr>
            </w:pPr>
            <w:r>
              <w:rPr>
                <w:rFonts w:hint="eastAsia"/>
                <w:spacing w:val="110"/>
                <w:kern w:val="0"/>
                <w:sz w:val="21"/>
                <w:szCs w:val="21"/>
                <w:highlight w:val="none"/>
                <w:fitText w:val="1071" w:id="1686652022"/>
                <w:lang w:val="en-US" w:eastAsia="zh-CN"/>
              </w:rPr>
              <w:t>投标</w:t>
            </w:r>
            <w:r>
              <w:rPr>
                <w:spacing w:val="0"/>
                <w:kern w:val="0"/>
                <w:sz w:val="21"/>
                <w:szCs w:val="21"/>
                <w:highlight w:val="none"/>
                <w:fitText w:val="1071" w:id="1686652022"/>
              </w:rPr>
              <w:t>人</w:t>
            </w:r>
            <w:r>
              <w:rPr>
                <w:spacing w:val="-17"/>
                <w:sz w:val="21"/>
                <w:szCs w:val="21"/>
                <w:highlight w:val="none"/>
              </w:rPr>
              <w:t>：</w:t>
            </w:r>
          </w:p>
        </w:tc>
        <w:tc>
          <w:tcPr>
            <w:tcW w:w="3275" w:type="dxa"/>
            <w:vAlign w:val="top"/>
          </w:tcPr>
          <w:p w14:paraId="390CDDD7">
            <w:pPr>
              <w:pStyle w:val="107"/>
              <w:spacing w:before="27" w:line="215" w:lineRule="auto"/>
              <w:jc w:val="both"/>
              <w:rPr>
                <w:highlight w:val="none"/>
              </w:rPr>
            </w:pPr>
            <w:r>
              <w:rPr>
                <w:rFonts w:hint="eastAsia"/>
                <w:spacing w:val="13"/>
                <w:highlight w:val="none"/>
                <w:lang w:eastAsia="zh-CN"/>
              </w:rPr>
              <w:t>（</w:t>
            </w:r>
            <w:r>
              <w:rPr>
                <w:spacing w:val="13"/>
                <w:highlight w:val="none"/>
              </w:rPr>
              <w:t>盖章</w:t>
            </w:r>
            <w:r>
              <w:rPr>
                <w:rFonts w:hint="eastAsia"/>
                <w:spacing w:val="13"/>
                <w:highlight w:val="none"/>
                <w:lang w:eastAsia="zh-CN"/>
              </w:rPr>
              <w:t>）</w:t>
            </w:r>
          </w:p>
        </w:tc>
      </w:tr>
      <w:tr w14:paraId="708044C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2" w:hRule="atLeast"/>
        </w:trPr>
        <w:tc>
          <w:tcPr>
            <w:tcW w:w="2926" w:type="dxa"/>
            <w:vAlign w:val="center"/>
          </w:tcPr>
          <w:p w14:paraId="6DC86BDE">
            <w:pPr>
              <w:pStyle w:val="107"/>
              <w:spacing w:line="208" w:lineRule="auto"/>
              <w:jc w:val="both"/>
              <w:rPr>
                <w:sz w:val="23"/>
                <w:szCs w:val="23"/>
                <w:highlight w:val="none"/>
              </w:rPr>
            </w:pPr>
            <w:r>
              <w:rPr>
                <w:spacing w:val="9"/>
                <w:highlight w:val="none"/>
              </w:rPr>
              <w:t>法定代表人</w:t>
            </w:r>
          </w:p>
        </w:tc>
        <w:tc>
          <w:tcPr>
            <w:tcW w:w="3275" w:type="dxa"/>
            <w:vAlign w:val="top"/>
          </w:tcPr>
          <w:p w14:paraId="6949290F">
            <w:pPr>
              <w:pStyle w:val="107"/>
              <w:spacing w:before="67" w:line="219" w:lineRule="auto"/>
              <w:ind w:left="105" w:leftChars="0" w:hanging="105" w:hangingChars="50"/>
              <w:rPr>
                <w:highlight w:val="none"/>
              </w:rPr>
            </w:pPr>
          </w:p>
        </w:tc>
      </w:tr>
      <w:tr w14:paraId="42BA479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72" w:hRule="atLeast"/>
        </w:trPr>
        <w:tc>
          <w:tcPr>
            <w:tcW w:w="2926" w:type="dxa"/>
            <w:vAlign w:val="center"/>
          </w:tcPr>
          <w:p w14:paraId="300770AB">
            <w:pPr>
              <w:pStyle w:val="107"/>
              <w:spacing w:before="65" w:line="260" w:lineRule="auto"/>
              <w:ind w:right="654"/>
              <w:jc w:val="both"/>
              <w:rPr>
                <w:highlight w:val="none"/>
              </w:rPr>
            </w:pPr>
            <w:r>
              <w:rPr>
                <w:spacing w:val="3"/>
                <w:highlight w:val="none"/>
              </w:rPr>
              <w:t>或其授权人</w:t>
            </w:r>
            <w:r>
              <w:rPr>
                <w:rFonts w:hint="eastAsia"/>
                <w:spacing w:val="-17"/>
                <w:sz w:val="22"/>
                <w:szCs w:val="22"/>
                <w:highlight w:val="none"/>
                <w:lang w:eastAsia="zh-CN"/>
              </w:rPr>
              <w:t>：</w:t>
            </w:r>
            <w:r>
              <w:rPr>
                <w:highlight w:val="none"/>
              </w:rPr>
              <w:t xml:space="preserve"> </w:t>
            </w:r>
          </w:p>
        </w:tc>
        <w:tc>
          <w:tcPr>
            <w:tcW w:w="3275" w:type="dxa"/>
            <w:vAlign w:val="top"/>
          </w:tcPr>
          <w:p w14:paraId="435D3B4E">
            <w:pPr>
              <w:pStyle w:val="107"/>
              <w:spacing w:before="53" w:line="219" w:lineRule="auto"/>
              <w:ind w:left="112" w:leftChars="0" w:hanging="112" w:hangingChars="50"/>
              <w:rPr>
                <w:highlight w:val="none"/>
              </w:rPr>
            </w:pPr>
            <w:r>
              <w:rPr>
                <w:rFonts w:hint="eastAsia"/>
                <w:spacing w:val="7"/>
                <w:highlight w:val="none"/>
                <w:lang w:eastAsia="zh-CN"/>
              </w:rPr>
              <w:t>（</w:t>
            </w:r>
            <w:r>
              <w:rPr>
                <w:spacing w:val="7"/>
                <w:highlight w:val="none"/>
              </w:rPr>
              <w:t>签字及盖章</w:t>
            </w:r>
            <w:r>
              <w:rPr>
                <w:rFonts w:hint="eastAsia"/>
                <w:spacing w:val="7"/>
                <w:highlight w:val="none"/>
                <w:lang w:eastAsia="zh-CN"/>
              </w:rPr>
              <w:t>）</w:t>
            </w:r>
          </w:p>
        </w:tc>
      </w:tr>
      <w:tr w14:paraId="489A5F9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81" w:hRule="atLeast"/>
        </w:trPr>
        <w:tc>
          <w:tcPr>
            <w:tcW w:w="2926" w:type="dxa"/>
            <w:vAlign w:val="top"/>
          </w:tcPr>
          <w:p w14:paraId="70D6B0BD">
            <w:pPr>
              <w:pStyle w:val="107"/>
              <w:spacing w:before="50"/>
              <w:ind w:right="654"/>
              <w:rPr>
                <w:spacing w:val="3"/>
                <w:highlight w:val="none"/>
              </w:rPr>
            </w:pPr>
            <w:r>
              <w:rPr>
                <w:spacing w:val="56"/>
                <w:kern w:val="0"/>
                <w:sz w:val="21"/>
                <w:szCs w:val="21"/>
                <w:highlight w:val="none"/>
                <w:fitText w:val="1071" w:id="300029317"/>
              </w:rPr>
              <w:t>编制人</w:t>
            </w:r>
            <w:r>
              <w:rPr>
                <w:spacing w:val="0"/>
                <w:kern w:val="0"/>
                <w:sz w:val="21"/>
                <w:szCs w:val="21"/>
                <w:highlight w:val="none"/>
                <w:fitText w:val="1071" w:id="300029317"/>
              </w:rPr>
              <w:t xml:space="preserve"> </w:t>
            </w:r>
            <w:r>
              <w:rPr>
                <w:spacing w:val="-17"/>
                <w:sz w:val="21"/>
                <w:szCs w:val="21"/>
                <w:highlight w:val="none"/>
              </w:rPr>
              <w:t>：</w:t>
            </w:r>
            <w:r>
              <w:rPr>
                <w:spacing w:val="3"/>
                <w:highlight w:val="none"/>
              </w:rPr>
              <w:t xml:space="preserve"> </w:t>
            </w:r>
          </w:p>
          <w:p w14:paraId="66720801">
            <w:pPr>
              <w:pStyle w:val="107"/>
              <w:spacing w:before="50"/>
              <w:ind w:right="654" w:rightChars="0"/>
              <w:rPr>
                <w:highlight w:val="none"/>
              </w:rPr>
            </w:pPr>
            <w:r>
              <w:rPr>
                <w:spacing w:val="1"/>
                <w:w w:val="92"/>
                <w:kern w:val="0"/>
                <w:sz w:val="21"/>
                <w:szCs w:val="21"/>
                <w:highlight w:val="none"/>
                <w:fitText w:val="1071" w:id="1753310717"/>
              </w:rPr>
              <w:t xml:space="preserve">编 制 </w:t>
            </w:r>
            <w:r>
              <w:rPr>
                <w:rFonts w:hint="eastAsia"/>
                <w:spacing w:val="1"/>
                <w:w w:val="92"/>
                <w:kern w:val="0"/>
                <w:sz w:val="21"/>
                <w:szCs w:val="21"/>
                <w:highlight w:val="none"/>
                <w:fitText w:val="1071" w:id="1753310717"/>
                <w:lang w:val="en-US" w:eastAsia="zh-CN"/>
              </w:rPr>
              <w:t>时 间</w:t>
            </w:r>
            <w:r>
              <w:rPr>
                <w:spacing w:val="-17"/>
                <w:sz w:val="21"/>
                <w:szCs w:val="21"/>
                <w:highlight w:val="none"/>
              </w:rPr>
              <w:t>：</w:t>
            </w:r>
            <w:r>
              <w:rPr>
                <w:highlight w:val="none"/>
              </w:rPr>
              <w:t xml:space="preserve"> </w:t>
            </w:r>
          </w:p>
        </w:tc>
        <w:tc>
          <w:tcPr>
            <w:tcW w:w="3275" w:type="dxa"/>
            <w:vAlign w:val="top"/>
          </w:tcPr>
          <w:p w14:paraId="4F63EE5D">
            <w:pPr>
              <w:pStyle w:val="107"/>
              <w:spacing w:before="59" w:line="219" w:lineRule="auto"/>
              <w:ind w:left="112" w:leftChars="0" w:hanging="112" w:hangingChars="50"/>
              <w:rPr>
                <w:highlight w:val="none"/>
              </w:rPr>
            </w:pPr>
            <w:r>
              <w:rPr>
                <w:rFonts w:hint="eastAsia"/>
                <w:spacing w:val="7"/>
                <w:highlight w:val="none"/>
                <w:lang w:eastAsia="zh-CN"/>
              </w:rPr>
              <w:t>（</w:t>
            </w:r>
            <w:r>
              <w:rPr>
                <w:spacing w:val="7"/>
                <w:highlight w:val="none"/>
              </w:rPr>
              <w:t>签字或盖章</w:t>
            </w:r>
            <w:r>
              <w:rPr>
                <w:rFonts w:hint="eastAsia"/>
                <w:spacing w:val="7"/>
                <w:highlight w:val="none"/>
                <w:lang w:eastAsia="zh-CN"/>
              </w:rPr>
              <w:t>）</w:t>
            </w:r>
          </w:p>
        </w:tc>
      </w:tr>
    </w:tbl>
    <w:p w14:paraId="619594B2">
      <w:pPr>
        <w:rPr>
          <w:rFonts w:hint="default" w:asciiTheme="minorHAnsi" w:hAnsiTheme="minorHAnsi" w:eastAsiaTheme="minorEastAsia" w:cstheme="minorBidi"/>
          <w:b w:val="0"/>
          <w:bCs w:val="0"/>
          <w:spacing w:val="0"/>
          <w:sz w:val="21"/>
          <w:szCs w:val="22"/>
          <w:highlight w:val="none"/>
        </w:rPr>
      </w:pPr>
      <w:bookmarkStart w:id="6453" w:name="_Toc25602"/>
      <w:bookmarkStart w:id="6454" w:name="_Toc14283"/>
      <w:bookmarkStart w:id="6455" w:name="_Toc17685"/>
      <w:r>
        <w:rPr>
          <w:rFonts w:hint="default" w:asciiTheme="minorHAnsi" w:hAnsiTheme="minorHAnsi" w:eastAsiaTheme="minorEastAsia" w:cstheme="minorBidi"/>
          <w:b w:val="0"/>
          <w:bCs w:val="0"/>
          <w:spacing w:val="0"/>
          <w:sz w:val="21"/>
          <w:szCs w:val="22"/>
          <w:highlight w:val="none"/>
        </w:rPr>
        <w:br w:type="page"/>
      </w:r>
    </w:p>
    <w:bookmarkEnd w:id="6453"/>
    <w:bookmarkEnd w:id="6454"/>
    <w:bookmarkEnd w:id="6455"/>
    <w:p w14:paraId="4F92E9E0">
      <w:pPr>
        <w:pStyle w:val="16"/>
        <w:spacing w:before="95" w:line="220" w:lineRule="auto"/>
        <w:ind w:left="36" w:leftChars="0" w:hanging="36" w:hangingChars="12"/>
        <w:jc w:val="center"/>
        <w:outlineLvl w:val="2"/>
        <w:rPr>
          <w:rFonts w:ascii="Arial"/>
          <w:sz w:val="21"/>
          <w:highlight w:val="none"/>
        </w:rPr>
      </w:pPr>
      <w:bookmarkStart w:id="6456" w:name="_Toc16096"/>
      <w:bookmarkStart w:id="6457" w:name="_Toc6924"/>
      <w:bookmarkStart w:id="6458" w:name="_Toc31012"/>
      <w:r>
        <w:rPr>
          <w:rFonts w:hint="eastAsia" w:ascii="宋体" w:hAnsi="宋体" w:eastAsia="宋体" w:cs="宋体"/>
          <w:spacing w:val="9"/>
          <w:sz w:val="28"/>
          <w:szCs w:val="28"/>
          <w:highlight w:val="none"/>
        </w:rPr>
        <w:t>最高投标限价编制</w:t>
      </w:r>
      <w:r>
        <w:rPr>
          <w:rFonts w:hint="eastAsia" w:ascii="宋体" w:hAnsi="宋体" w:eastAsia="宋体" w:cs="宋体"/>
          <w:spacing w:val="9"/>
          <w:sz w:val="28"/>
          <w:szCs w:val="28"/>
          <w:highlight w:val="none"/>
          <w:lang w:eastAsia="zh-CN"/>
        </w:rPr>
        <w:t>（</w:t>
      </w:r>
      <w:r>
        <w:rPr>
          <w:rFonts w:hint="eastAsia" w:ascii="宋体" w:hAnsi="宋体" w:eastAsia="宋体" w:cs="宋体"/>
          <w:spacing w:val="9"/>
          <w:sz w:val="28"/>
          <w:szCs w:val="28"/>
          <w:highlight w:val="none"/>
          <w:lang w:val="en-US" w:eastAsia="zh-CN"/>
        </w:rPr>
        <w:t>审核</w:t>
      </w:r>
      <w:r>
        <w:rPr>
          <w:rFonts w:hint="eastAsia" w:ascii="宋体" w:hAnsi="宋体" w:eastAsia="宋体" w:cs="宋体"/>
          <w:spacing w:val="9"/>
          <w:sz w:val="28"/>
          <w:szCs w:val="28"/>
          <w:highlight w:val="none"/>
          <w:lang w:eastAsia="zh-CN"/>
        </w:rPr>
        <w:t>）</w:t>
      </w:r>
      <w:r>
        <w:rPr>
          <w:rFonts w:hint="eastAsia" w:ascii="宋体" w:hAnsi="宋体" w:eastAsia="宋体" w:cs="宋体"/>
          <w:spacing w:val="9"/>
          <w:sz w:val="28"/>
          <w:szCs w:val="28"/>
          <w:highlight w:val="none"/>
        </w:rPr>
        <w:t>说明</w:t>
      </w:r>
      <w:bookmarkEnd w:id="6456"/>
      <w:bookmarkEnd w:id="6457"/>
      <w:bookmarkEnd w:id="6458"/>
    </w:p>
    <w:p w14:paraId="57682217">
      <w:pPr>
        <w:spacing w:line="316" w:lineRule="auto"/>
        <w:rPr>
          <w:rFonts w:hint="eastAsia" w:ascii="Arial"/>
          <w:sz w:val="21"/>
          <w:szCs w:val="24"/>
          <w:highlight w:val="none"/>
        </w:rPr>
      </w:pPr>
      <w:r>
        <w:rPr>
          <w:rFonts w:hint="eastAsia" w:ascii="Arial"/>
          <w:sz w:val="21"/>
          <w:szCs w:val="24"/>
          <w:highlight w:val="none"/>
        </w:rPr>
        <w:t>工程名称：</w:t>
      </w:r>
    </w:p>
    <w:tbl>
      <w:tblPr>
        <w:tblStyle w:val="108"/>
        <w:tblW w:w="9229" w:type="dxa"/>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9229"/>
      </w:tblGrid>
      <w:tr w14:paraId="6FDF3EAC">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9680" w:hRule="atLeast"/>
        </w:trPr>
        <w:tc>
          <w:tcPr>
            <w:tcW w:w="9229" w:type="dxa"/>
            <w:vAlign w:val="top"/>
          </w:tcPr>
          <w:p w14:paraId="1063854A">
            <w:pPr>
              <w:rPr>
                <w:rFonts w:ascii="Arial"/>
                <w:sz w:val="21"/>
                <w:highlight w:val="none"/>
              </w:rPr>
            </w:pPr>
          </w:p>
        </w:tc>
      </w:tr>
    </w:tbl>
    <w:p w14:paraId="3C2D2FB4">
      <w:pPr>
        <w:spacing w:line="316" w:lineRule="auto"/>
        <w:ind w:firstLine="360" w:firstLineChars="200"/>
        <w:rPr>
          <w:rFonts w:hint="eastAsia" w:ascii="Arial"/>
          <w:sz w:val="18"/>
          <w:szCs w:val="21"/>
          <w:highlight w:val="none"/>
        </w:rPr>
      </w:pPr>
      <w:r>
        <w:rPr>
          <w:rFonts w:hint="eastAsia" w:ascii="Arial"/>
          <w:sz w:val="18"/>
          <w:szCs w:val="21"/>
          <w:highlight w:val="none"/>
        </w:rPr>
        <w:t>注：最高投标限价编制</w:t>
      </w:r>
      <w:r>
        <w:rPr>
          <w:rFonts w:hint="eastAsia" w:ascii="Arial"/>
          <w:sz w:val="18"/>
          <w:szCs w:val="21"/>
          <w:highlight w:val="none"/>
          <w:lang w:eastAsia="zh-CN"/>
        </w:rPr>
        <w:t>（</w:t>
      </w:r>
      <w:r>
        <w:rPr>
          <w:rFonts w:hint="eastAsia" w:ascii="Arial"/>
          <w:sz w:val="18"/>
          <w:szCs w:val="21"/>
          <w:highlight w:val="none"/>
          <w:lang w:val="en-US" w:eastAsia="zh-CN"/>
        </w:rPr>
        <w:t>审核</w:t>
      </w:r>
      <w:r>
        <w:rPr>
          <w:rFonts w:hint="eastAsia" w:ascii="Arial"/>
          <w:sz w:val="18"/>
          <w:szCs w:val="21"/>
          <w:highlight w:val="none"/>
          <w:lang w:eastAsia="zh-CN"/>
        </w:rPr>
        <w:t>）</w:t>
      </w:r>
      <w:r>
        <w:rPr>
          <w:rFonts w:hint="eastAsia" w:ascii="Arial"/>
          <w:sz w:val="18"/>
          <w:szCs w:val="21"/>
          <w:highlight w:val="none"/>
        </w:rPr>
        <w:t>说明应包括工程概况、工程范围、编制</w:t>
      </w:r>
      <w:r>
        <w:rPr>
          <w:rFonts w:hint="eastAsia" w:ascii="Arial"/>
          <w:sz w:val="18"/>
          <w:szCs w:val="21"/>
          <w:highlight w:val="none"/>
          <w:lang w:eastAsia="zh-CN"/>
        </w:rPr>
        <w:t>（</w:t>
      </w:r>
      <w:r>
        <w:rPr>
          <w:rFonts w:hint="eastAsia" w:ascii="Arial"/>
          <w:sz w:val="18"/>
          <w:szCs w:val="21"/>
          <w:highlight w:val="none"/>
          <w:lang w:val="en-US" w:eastAsia="zh-CN"/>
        </w:rPr>
        <w:t>审核</w:t>
      </w:r>
      <w:r>
        <w:rPr>
          <w:rFonts w:hint="eastAsia" w:ascii="Arial"/>
          <w:sz w:val="18"/>
          <w:szCs w:val="21"/>
          <w:highlight w:val="none"/>
          <w:lang w:eastAsia="zh-CN"/>
        </w:rPr>
        <w:t>）</w:t>
      </w:r>
      <w:r>
        <w:rPr>
          <w:rFonts w:hint="eastAsia" w:ascii="Arial"/>
          <w:sz w:val="18"/>
          <w:szCs w:val="21"/>
          <w:highlight w:val="none"/>
        </w:rPr>
        <w:t>依据、特殊要求</w:t>
      </w:r>
      <w:r>
        <w:rPr>
          <w:rFonts w:hint="eastAsia" w:ascii="Arial"/>
          <w:sz w:val="18"/>
          <w:szCs w:val="21"/>
          <w:highlight w:val="none"/>
          <w:lang w:eastAsia="zh-CN"/>
        </w:rPr>
        <w:t>（</w:t>
      </w:r>
      <w:r>
        <w:rPr>
          <w:rFonts w:hint="eastAsia" w:ascii="Arial"/>
          <w:sz w:val="18"/>
          <w:szCs w:val="21"/>
          <w:highlight w:val="none"/>
          <w:lang w:val="en-US" w:eastAsia="zh-CN"/>
        </w:rPr>
        <w:t>如有</w:t>
      </w:r>
      <w:r>
        <w:rPr>
          <w:rFonts w:hint="eastAsia" w:ascii="Arial"/>
          <w:sz w:val="18"/>
          <w:szCs w:val="21"/>
          <w:highlight w:val="none"/>
          <w:lang w:eastAsia="zh-CN"/>
        </w:rPr>
        <w:t>）</w:t>
      </w:r>
      <w:r>
        <w:rPr>
          <w:rFonts w:hint="eastAsia" w:ascii="Arial"/>
          <w:sz w:val="18"/>
          <w:szCs w:val="21"/>
          <w:highlight w:val="none"/>
        </w:rPr>
        <w:t>及其他需要说明的问题等内容。</w:t>
      </w:r>
    </w:p>
    <w:p w14:paraId="0FE229A2">
      <w:pPr>
        <w:spacing w:line="316" w:lineRule="auto"/>
        <w:rPr>
          <w:rFonts w:ascii="Arial"/>
          <w:sz w:val="21"/>
          <w:highlight w:val="none"/>
        </w:rPr>
      </w:pPr>
    </w:p>
    <w:p w14:paraId="0E67BF57">
      <w:pPr>
        <w:rPr>
          <w:rFonts w:hint="eastAsia" w:ascii="Times New Roman" w:hAnsi="Times New Roman" w:eastAsia="宋体" w:cs="Times New Roman"/>
          <w:spacing w:val="9"/>
          <w:sz w:val="29"/>
          <w:szCs w:val="29"/>
          <w:highlight w:val="none"/>
          <w:lang w:val="en-US" w:eastAsia="zh-CN"/>
        </w:rPr>
      </w:pPr>
      <w:r>
        <w:rPr>
          <w:rFonts w:hint="eastAsia" w:ascii="Times New Roman" w:hAnsi="Times New Roman" w:eastAsia="宋体" w:cs="Times New Roman"/>
          <w:spacing w:val="9"/>
          <w:sz w:val="29"/>
          <w:szCs w:val="29"/>
          <w:highlight w:val="none"/>
          <w:lang w:val="en-US" w:eastAsia="zh-CN"/>
        </w:rPr>
        <w:br w:type="page"/>
      </w:r>
    </w:p>
    <w:p w14:paraId="1204D502">
      <w:pPr>
        <w:pStyle w:val="16"/>
        <w:spacing w:before="95" w:line="220" w:lineRule="auto"/>
        <w:ind w:left="36" w:leftChars="0" w:hanging="36" w:hangingChars="12"/>
        <w:jc w:val="center"/>
        <w:outlineLvl w:val="2"/>
        <w:rPr>
          <w:rFonts w:ascii="Arial"/>
          <w:sz w:val="28"/>
          <w:szCs w:val="28"/>
          <w:highlight w:val="none"/>
        </w:rPr>
      </w:pPr>
      <w:bookmarkStart w:id="6459" w:name="_Toc18461"/>
      <w:bookmarkStart w:id="6460" w:name="_Toc11242"/>
      <w:bookmarkStart w:id="6461" w:name="_Toc8004"/>
      <w:r>
        <w:rPr>
          <w:rFonts w:hint="eastAsia" w:ascii="宋体" w:hAnsi="宋体" w:eastAsia="宋体" w:cs="宋体"/>
          <w:spacing w:val="9"/>
          <w:sz w:val="28"/>
          <w:szCs w:val="28"/>
          <w:highlight w:val="none"/>
        </w:rPr>
        <w:t>投标报价填报说明</w:t>
      </w:r>
      <w:bookmarkEnd w:id="6459"/>
      <w:bookmarkEnd w:id="6460"/>
      <w:bookmarkEnd w:id="6461"/>
    </w:p>
    <w:p w14:paraId="7D6DDFD5">
      <w:pPr>
        <w:spacing w:line="316" w:lineRule="auto"/>
        <w:rPr>
          <w:rFonts w:hint="eastAsia" w:ascii="Arial"/>
          <w:sz w:val="21"/>
          <w:highlight w:val="none"/>
        </w:rPr>
      </w:pPr>
      <w:r>
        <w:rPr>
          <w:rFonts w:hint="eastAsia" w:ascii="Arial"/>
          <w:sz w:val="21"/>
          <w:highlight w:val="none"/>
        </w:rPr>
        <w:t>工程名称：</w:t>
      </w:r>
    </w:p>
    <w:tbl>
      <w:tblPr>
        <w:tblStyle w:val="108"/>
        <w:tblW w:w="9240" w:type="dxa"/>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9240"/>
      </w:tblGrid>
      <w:tr w14:paraId="45C17C16">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1588" w:hRule="atLeast"/>
        </w:trPr>
        <w:tc>
          <w:tcPr>
            <w:tcW w:w="9240" w:type="dxa"/>
            <w:vAlign w:val="top"/>
          </w:tcPr>
          <w:p w14:paraId="514502A8">
            <w:pPr>
              <w:rPr>
                <w:rFonts w:ascii="Arial"/>
                <w:sz w:val="21"/>
                <w:highlight w:val="none"/>
              </w:rPr>
            </w:pPr>
          </w:p>
        </w:tc>
      </w:tr>
    </w:tbl>
    <w:p w14:paraId="4399393A">
      <w:pPr>
        <w:spacing w:line="316" w:lineRule="auto"/>
        <w:ind w:firstLine="360" w:firstLineChars="200"/>
        <w:rPr>
          <w:rFonts w:hint="eastAsia" w:ascii="Arial"/>
          <w:sz w:val="18"/>
          <w:szCs w:val="21"/>
          <w:highlight w:val="none"/>
        </w:rPr>
      </w:pPr>
      <w:r>
        <w:rPr>
          <w:rFonts w:hint="eastAsia" w:ascii="Arial"/>
          <w:sz w:val="18"/>
          <w:szCs w:val="21"/>
          <w:highlight w:val="none"/>
        </w:rPr>
        <w:t>注：投标报价填报说明应包括工程范围、工程特征、计划工期、施工现场情况、施工组织特点及其他需要说明的问题等内容。</w:t>
      </w:r>
    </w:p>
    <w:p w14:paraId="0E7A706D">
      <w:pPr>
        <w:spacing w:line="316" w:lineRule="auto"/>
        <w:rPr>
          <w:rFonts w:ascii="Arial"/>
          <w:sz w:val="21"/>
          <w:highlight w:val="none"/>
        </w:rPr>
      </w:pPr>
    </w:p>
    <w:p w14:paraId="7781CEED">
      <w:pPr>
        <w:spacing w:line="316" w:lineRule="auto"/>
        <w:jc w:val="center"/>
        <w:outlineLvl w:val="2"/>
        <w:rPr>
          <w:rFonts w:ascii="Arial"/>
          <w:sz w:val="21"/>
          <w:highlight w:val="none"/>
        </w:rPr>
      </w:pPr>
      <w:r>
        <w:rPr>
          <w:b w:val="0"/>
          <w:bCs w:val="0"/>
          <w:kern w:val="0"/>
          <w:sz w:val="28"/>
          <w:szCs w:val="28"/>
          <w:highlight w:val="none"/>
        </w:rPr>
        <w:t>工程项目</w:t>
      </w:r>
      <w:r>
        <w:rPr>
          <w:rFonts w:hint="eastAsia"/>
          <w:b w:val="0"/>
          <w:bCs w:val="0"/>
          <w:kern w:val="0"/>
          <w:sz w:val="28"/>
          <w:szCs w:val="28"/>
          <w:highlight w:val="none"/>
        </w:rPr>
        <w:t>最高投标限价</w:t>
      </w:r>
      <w:r>
        <w:rPr>
          <w:b w:val="0"/>
          <w:bCs w:val="0"/>
          <w:kern w:val="0"/>
          <w:sz w:val="28"/>
          <w:szCs w:val="28"/>
          <w:highlight w:val="none"/>
        </w:rPr>
        <w:t>/投标</w:t>
      </w:r>
      <w:r>
        <w:rPr>
          <w:rFonts w:hint="eastAsia"/>
          <w:b w:val="0"/>
          <w:bCs w:val="0"/>
          <w:kern w:val="0"/>
          <w:sz w:val="28"/>
          <w:szCs w:val="28"/>
          <w:highlight w:val="none"/>
          <w:lang w:eastAsia="zh-CN"/>
        </w:rPr>
        <w:t>总</w:t>
      </w:r>
      <w:r>
        <w:rPr>
          <w:b w:val="0"/>
          <w:bCs w:val="0"/>
          <w:kern w:val="0"/>
          <w:sz w:val="28"/>
          <w:szCs w:val="28"/>
          <w:highlight w:val="none"/>
        </w:rPr>
        <w:t>价汇总表</w:t>
      </w:r>
    </w:p>
    <w:tbl>
      <w:tblPr>
        <w:tblStyle w:val="41"/>
        <w:tblW w:w="9263" w:type="dxa"/>
        <w:jc w:val="center"/>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
      <w:tblGrid>
        <w:gridCol w:w="744"/>
        <w:gridCol w:w="3641"/>
        <w:gridCol w:w="1335"/>
        <w:gridCol w:w="1181"/>
        <w:gridCol w:w="1"/>
        <w:gridCol w:w="225"/>
        <w:gridCol w:w="955"/>
        <w:gridCol w:w="110"/>
        <w:gridCol w:w="1071"/>
      </w:tblGrid>
      <w:tr w14:paraId="1F22F083">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3" w:hRule="atLeast"/>
          <w:jc w:val="center"/>
        </w:trPr>
        <w:tc>
          <w:tcPr>
            <w:tcW w:w="744" w:type="dxa"/>
            <w:tcBorders>
              <w:top w:val="nil"/>
              <w:left w:val="nil"/>
              <w:bottom w:val="nil"/>
              <w:right w:val="nil"/>
            </w:tcBorders>
            <w:vAlign w:val="bottom"/>
          </w:tcPr>
          <w:p w14:paraId="1A026BF5">
            <w:pPr>
              <w:widowControl/>
              <w:jc w:val="left"/>
              <w:rPr>
                <w:kern w:val="0"/>
                <w:sz w:val="24"/>
                <w:highlight w:val="none"/>
              </w:rPr>
            </w:pPr>
          </w:p>
        </w:tc>
        <w:tc>
          <w:tcPr>
            <w:tcW w:w="3641" w:type="dxa"/>
            <w:tcBorders>
              <w:top w:val="nil"/>
              <w:left w:val="nil"/>
              <w:bottom w:val="nil"/>
              <w:right w:val="nil"/>
            </w:tcBorders>
            <w:vAlign w:val="bottom"/>
          </w:tcPr>
          <w:p w14:paraId="3733084D">
            <w:pPr>
              <w:widowControl/>
              <w:jc w:val="left"/>
              <w:rPr>
                <w:kern w:val="0"/>
                <w:sz w:val="24"/>
                <w:highlight w:val="none"/>
              </w:rPr>
            </w:pPr>
          </w:p>
        </w:tc>
        <w:tc>
          <w:tcPr>
            <w:tcW w:w="1335" w:type="dxa"/>
            <w:tcBorders>
              <w:top w:val="nil"/>
              <w:left w:val="nil"/>
              <w:bottom w:val="nil"/>
              <w:right w:val="nil"/>
            </w:tcBorders>
            <w:vAlign w:val="bottom"/>
          </w:tcPr>
          <w:p w14:paraId="68D63D5A">
            <w:pPr>
              <w:widowControl/>
              <w:jc w:val="left"/>
              <w:rPr>
                <w:kern w:val="0"/>
                <w:sz w:val="24"/>
                <w:highlight w:val="none"/>
              </w:rPr>
            </w:pPr>
          </w:p>
        </w:tc>
        <w:tc>
          <w:tcPr>
            <w:tcW w:w="1407" w:type="dxa"/>
            <w:gridSpan w:val="3"/>
            <w:tcBorders>
              <w:top w:val="nil"/>
              <w:left w:val="nil"/>
              <w:bottom w:val="nil"/>
              <w:right w:val="nil"/>
            </w:tcBorders>
            <w:vAlign w:val="bottom"/>
          </w:tcPr>
          <w:p w14:paraId="1DAE8D26">
            <w:pPr>
              <w:widowControl/>
              <w:jc w:val="left"/>
              <w:rPr>
                <w:kern w:val="0"/>
                <w:sz w:val="24"/>
                <w:highlight w:val="none"/>
              </w:rPr>
            </w:pPr>
          </w:p>
        </w:tc>
        <w:tc>
          <w:tcPr>
            <w:tcW w:w="1065" w:type="dxa"/>
            <w:gridSpan w:val="2"/>
            <w:tcBorders>
              <w:top w:val="nil"/>
              <w:left w:val="nil"/>
              <w:bottom w:val="nil"/>
              <w:right w:val="nil"/>
            </w:tcBorders>
            <w:vAlign w:val="bottom"/>
          </w:tcPr>
          <w:p w14:paraId="2EE29CB0">
            <w:pPr>
              <w:widowControl/>
              <w:jc w:val="left"/>
              <w:rPr>
                <w:kern w:val="0"/>
                <w:sz w:val="24"/>
                <w:highlight w:val="none"/>
              </w:rPr>
            </w:pPr>
          </w:p>
        </w:tc>
        <w:tc>
          <w:tcPr>
            <w:tcW w:w="1071" w:type="dxa"/>
            <w:tcBorders>
              <w:top w:val="nil"/>
              <w:left w:val="nil"/>
              <w:bottom w:val="nil"/>
              <w:right w:val="nil"/>
            </w:tcBorders>
            <w:vAlign w:val="bottom"/>
          </w:tcPr>
          <w:p w14:paraId="7807DBFD">
            <w:pPr>
              <w:widowControl/>
              <w:jc w:val="left"/>
              <w:rPr>
                <w:kern w:val="0"/>
                <w:sz w:val="24"/>
                <w:highlight w:val="none"/>
              </w:rPr>
            </w:pPr>
          </w:p>
        </w:tc>
      </w:tr>
      <w:tr w14:paraId="2423C97B">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3" w:hRule="atLeast"/>
          <w:jc w:val="center"/>
        </w:trPr>
        <w:tc>
          <w:tcPr>
            <w:tcW w:w="6902" w:type="dxa"/>
            <w:gridSpan w:val="5"/>
            <w:tcBorders>
              <w:top w:val="nil"/>
              <w:left w:val="nil"/>
              <w:bottom w:val="nil"/>
              <w:right w:val="nil"/>
            </w:tcBorders>
            <w:vAlign w:val="center"/>
          </w:tcPr>
          <w:p w14:paraId="6257EDBE">
            <w:pPr>
              <w:widowControl/>
              <w:jc w:val="left"/>
              <w:rPr>
                <w:kern w:val="0"/>
                <w:sz w:val="24"/>
                <w:highlight w:val="none"/>
              </w:rPr>
            </w:pPr>
            <w:r>
              <w:rPr>
                <w:kern w:val="0"/>
                <w:sz w:val="21"/>
                <w:szCs w:val="21"/>
                <w:highlight w:val="none"/>
              </w:rPr>
              <w:t>工程名称：</w:t>
            </w:r>
          </w:p>
        </w:tc>
        <w:tc>
          <w:tcPr>
            <w:tcW w:w="2361" w:type="dxa"/>
            <w:gridSpan w:val="4"/>
            <w:tcBorders>
              <w:top w:val="nil"/>
              <w:left w:val="nil"/>
              <w:bottom w:val="single" w:color="auto" w:sz="4" w:space="0"/>
              <w:right w:val="nil"/>
            </w:tcBorders>
            <w:vAlign w:val="center"/>
          </w:tcPr>
          <w:p w14:paraId="08A9BB81">
            <w:pPr>
              <w:widowControl/>
              <w:wordWrap w:val="0"/>
              <w:ind w:left="-700" w:leftChars="-590" w:right="-66" w:hanging="539" w:hangingChars="257"/>
              <w:jc w:val="right"/>
              <w:rPr>
                <w:kern w:val="0"/>
                <w:sz w:val="21"/>
                <w:szCs w:val="21"/>
                <w:highlight w:val="none"/>
              </w:rPr>
            </w:pPr>
            <w:r>
              <w:rPr>
                <w:kern w:val="0"/>
                <w:sz w:val="21"/>
                <w:szCs w:val="21"/>
                <w:highlight w:val="none"/>
              </w:rPr>
              <w:t xml:space="preserve">第   页 </w:t>
            </w:r>
            <w:r>
              <w:rPr>
                <w:rFonts w:hint="eastAsia"/>
                <w:kern w:val="0"/>
                <w:sz w:val="21"/>
                <w:szCs w:val="21"/>
                <w:highlight w:val="none"/>
                <w:lang w:val="en-US" w:eastAsia="zh-CN"/>
              </w:rPr>
              <w:t xml:space="preserve">  </w:t>
            </w:r>
            <w:r>
              <w:rPr>
                <w:kern w:val="0"/>
                <w:sz w:val="21"/>
                <w:szCs w:val="21"/>
                <w:highlight w:val="none"/>
              </w:rPr>
              <w:t xml:space="preserve"> 共  页</w:t>
            </w:r>
          </w:p>
        </w:tc>
      </w:tr>
      <w:tr w14:paraId="7F26076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7" w:hRule="atLeast"/>
          <w:jc w:val="center"/>
        </w:trPr>
        <w:tc>
          <w:tcPr>
            <w:tcW w:w="744" w:type="dxa"/>
            <w:vMerge w:val="restart"/>
            <w:tcBorders>
              <w:top w:val="single" w:color="auto" w:sz="4" w:space="0"/>
              <w:left w:val="single" w:color="auto" w:sz="4" w:space="0"/>
              <w:bottom w:val="single" w:color="000000" w:sz="4" w:space="0"/>
              <w:right w:val="single" w:color="auto" w:sz="4" w:space="0"/>
            </w:tcBorders>
            <w:vAlign w:val="center"/>
          </w:tcPr>
          <w:p w14:paraId="25D5D5F1">
            <w:pPr>
              <w:widowControl/>
              <w:jc w:val="center"/>
              <w:rPr>
                <w:kern w:val="0"/>
                <w:sz w:val="21"/>
                <w:szCs w:val="21"/>
                <w:highlight w:val="none"/>
              </w:rPr>
            </w:pPr>
            <w:r>
              <w:rPr>
                <w:kern w:val="0"/>
                <w:sz w:val="21"/>
                <w:szCs w:val="21"/>
                <w:highlight w:val="none"/>
              </w:rPr>
              <w:t>序号</w:t>
            </w:r>
          </w:p>
        </w:tc>
        <w:tc>
          <w:tcPr>
            <w:tcW w:w="3641" w:type="dxa"/>
            <w:vMerge w:val="restart"/>
            <w:tcBorders>
              <w:top w:val="single" w:color="auto" w:sz="4" w:space="0"/>
              <w:left w:val="single" w:color="auto" w:sz="4" w:space="0"/>
              <w:bottom w:val="single" w:color="000000" w:sz="4" w:space="0"/>
              <w:right w:val="single" w:color="auto" w:sz="4" w:space="0"/>
            </w:tcBorders>
            <w:vAlign w:val="center"/>
          </w:tcPr>
          <w:p w14:paraId="28D95C04">
            <w:pPr>
              <w:widowControl/>
              <w:jc w:val="center"/>
              <w:rPr>
                <w:kern w:val="0"/>
                <w:sz w:val="21"/>
                <w:szCs w:val="21"/>
                <w:highlight w:val="none"/>
              </w:rPr>
            </w:pPr>
            <w:r>
              <w:rPr>
                <w:rFonts w:hint="eastAsia"/>
                <w:kern w:val="0"/>
                <w:sz w:val="21"/>
                <w:szCs w:val="21"/>
                <w:highlight w:val="none"/>
              </w:rPr>
              <w:t>汇  总  内  容</w:t>
            </w:r>
          </w:p>
        </w:tc>
        <w:tc>
          <w:tcPr>
            <w:tcW w:w="1335" w:type="dxa"/>
            <w:vMerge w:val="restart"/>
            <w:tcBorders>
              <w:top w:val="single" w:color="auto" w:sz="4" w:space="0"/>
              <w:left w:val="single" w:color="auto" w:sz="4" w:space="0"/>
              <w:bottom w:val="single" w:color="000000" w:sz="4" w:space="0"/>
              <w:right w:val="single" w:color="auto" w:sz="4" w:space="0"/>
            </w:tcBorders>
            <w:vAlign w:val="center"/>
          </w:tcPr>
          <w:p w14:paraId="046EEA50">
            <w:pPr>
              <w:widowControl/>
              <w:jc w:val="center"/>
              <w:rPr>
                <w:kern w:val="0"/>
                <w:sz w:val="21"/>
                <w:szCs w:val="21"/>
                <w:highlight w:val="none"/>
              </w:rPr>
            </w:pPr>
            <w:r>
              <w:rPr>
                <w:kern w:val="0"/>
                <w:sz w:val="21"/>
                <w:szCs w:val="21"/>
                <w:highlight w:val="none"/>
              </w:rPr>
              <w:t>金额</w:t>
            </w:r>
            <w:r>
              <w:rPr>
                <w:rFonts w:hint="eastAsia"/>
                <w:kern w:val="0"/>
                <w:sz w:val="21"/>
                <w:szCs w:val="21"/>
                <w:highlight w:val="none"/>
                <w:lang w:eastAsia="zh-CN"/>
              </w:rPr>
              <w:t>（</w:t>
            </w:r>
            <w:r>
              <w:rPr>
                <w:kern w:val="0"/>
                <w:sz w:val="21"/>
                <w:szCs w:val="21"/>
                <w:highlight w:val="none"/>
              </w:rPr>
              <w:t>元</w:t>
            </w:r>
            <w:r>
              <w:rPr>
                <w:rFonts w:hint="eastAsia"/>
                <w:kern w:val="0"/>
                <w:sz w:val="21"/>
                <w:szCs w:val="21"/>
                <w:highlight w:val="none"/>
                <w:lang w:eastAsia="zh-CN"/>
              </w:rPr>
              <w:t>）</w:t>
            </w:r>
          </w:p>
        </w:tc>
        <w:tc>
          <w:tcPr>
            <w:tcW w:w="3543" w:type="dxa"/>
            <w:gridSpan w:val="6"/>
            <w:tcBorders>
              <w:top w:val="single" w:color="auto" w:sz="4" w:space="0"/>
              <w:left w:val="nil"/>
              <w:bottom w:val="single" w:color="auto" w:sz="4" w:space="0"/>
              <w:right w:val="single" w:color="auto" w:sz="4" w:space="0"/>
            </w:tcBorders>
            <w:vAlign w:val="center"/>
          </w:tcPr>
          <w:p w14:paraId="36D7A116">
            <w:pPr>
              <w:widowControl/>
              <w:jc w:val="center"/>
              <w:rPr>
                <w:kern w:val="0"/>
                <w:sz w:val="21"/>
                <w:szCs w:val="21"/>
                <w:highlight w:val="none"/>
              </w:rPr>
            </w:pPr>
            <w:r>
              <w:rPr>
                <w:kern w:val="0"/>
                <w:sz w:val="21"/>
                <w:szCs w:val="21"/>
                <w:highlight w:val="none"/>
              </w:rPr>
              <w:t>其</w:t>
            </w:r>
            <w:r>
              <w:rPr>
                <w:rFonts w:hint="eastAsia"/>
                <w:kern w:val="0"/>
                <w:sz w:val="21"/>
                <w:szCs w:val="21"/>
                <w:highlight w:val="none"/>
                <w:lang w:val="en-US" w:eastAsia="zh-CN"/>
              </w:rPr>
              <w:t xml:space="preserve">  </w:t>
            </w:r>
            <w:r>
              <w:rPr>
                <w:kern w:val="0"/>
                <w:sz w:val="21"/>
                <w:szCs w:val="21"/>
                <w:highlight w:val="none"/>
              </w:rPr>
              <w:t>中</w:t>
            </w:r>
          </w:p>
        </w:tc>
      </w:tr>
      <w:tr w14:paraId="434FB127">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36" w:hRule="atLeast"/>
          <w:jc w:val="center"/>
        </w:trPr>
        <w:tc>
          <w:tcPr>
            <w:tcW w:w="744" w:type="dxa"/>
            <w:vMerge w:val="continue"/>
            <w:tcBorders>
              <w:top w:val="single" w:color="auto" w:sz="4" w:space="0"/>
              <w:left w:val="single" w:color="auto" w:sz="4" w:space="0"/>
              <w:bottom w:val="single" w:color="auto" w:sz="4" w:space="0"/>
              <w:right w:val="single" w:color="auto" w:sz="4" w:space="0"/>
            </w:tcBorders>
            <w:vAlign w:val="center"/>
          </w:tcPr>
          <w:p w14:paraId="794979D0">
            <w:pPr>
              <w:widowControl/>
              <w:jc w:val="left"/>
              <w:rPr>
                <w:kern w:val="0"/>
                <w:sz w:val="21"/>
                <w:szCs w:val="21"/>
                <w:highlight w:val="none"/>
              </w:rPr>
            </w:pPr>
          </w:p>
        </w:tc>
        <w:tc>
          <w:tcPr>
            <w:tcW w:w="3641" w:type="dxa"/>
            <w:vMerge w:val="continue"/>
            <w:tcBorders>
              <w:top w:val="single" w:color="auto" w:sz="4" w:space="0"/>
              <w:left w:val="single" w:color="auto" w:sz="4" w:space="0"/>
              <w:bottom w:val="single" w:color="auto" w:sz="4" w:space="0"/>
              <w:right w:val="single" w:color="auto" w:sz="4" w:space="0"/>
            </w:tcBorders>
            <w:vAlign w:val="center"/>
          </w:tcPr>
          <w:p w14:paraId="46764E10">
            <w:pPr>
              <w:widowControl/>
              <w:jc w:val="left"/>
              <w:rPr>
                <w:kern w:val="0"/>
                <w:sz w:val="21"/>
                <w:szCs w:val="21"/>
                <w:highlight w:val="none"/>
              </w:rPr>
            </w:pPr>
          </w:p>
        </w:tc>
        <w:tc>
          <w:tcPr>
            <w:tcW w:w="1335" w:type="dxa"/>
            <w:vMerge w:val="continue"/>
            <w:tcBorders>
              <w:top w:val="single" w:color="auto" w:sz="4" w:space="0"/>
              <w:left w:val="single" w:color="auto" w:sz="4" w:space="0"/>
              <w:bottom w:val="single" w:color="auto" w:sz="4" w:space="0"/>
              <w:right w:val="single" w:color="auto" w:sz="4" w:space="0"/>
            </w:tcBorders>
            <w:vAlign w:val="center"/>
          </w:tcPr>
          <w:p w14:paraId="6D52973A">
            <w:pPr>
              <w:widowControl/>
              <w:jc w:val="left"/>
              <w:rPr>
                <w:kern w:val="0"/>
                <w:sz w:val="21"/>
                <w:szCs w:val="21"/>
                <w:highlight w:val="none"/>
              </w:rPr>
            </w:pPr>
          </w:p>
        </w:tc>
        <w:tc>
          <w:tcPr>
            <w:tcW w:w="1181" w:type="dxa"/>
            <w:tcBorders>
              <w:top w:val="nil"/>
              <w:left w:val="nil"/>
              <w:bottom w:val="single" w:color="auto" w:sz="4" w:space="0"/>
              <w:right w:val="single" w:color="auto" w:sz="4" w:space="0"/>
            </w:tcBorders>
            <w:vAlign w:val="center"/>
          </w:tcPr>
          <w:p w14:paraId="20788881">
            <w:pPr>
              <w:widowControl/>
              <w:jc w:val="center"/>
              <w:rPr>
                <w:kern w:val="0"/>
                <w:sz w:val="21"/>
                <w:szCs w:val="21"/>
                <w:highlight w:val="none"/>
              </w:rPr>
            </w:pPr>
            <w:r>
              <w:rPr>
                <w:iCs/>
                <w:kern w:val="0"/>
                <w:sz w:val="21"/>
                <w:szCs w:val="21"/>
                <w:highlight w:val="none"/>
              </w:rPr>
              <w:t>安全文明施工费</w:t>
            </w:r>
            <w:r>
              <w:rPr>
                <w:rFonts w:hint="eastAsia"/>
                <w:kern w:val="0"/>
                <w:sz w:val="21"/>
                <w:szCs w:val="21"/>
                <w:highlight w:val="none"/>
                <w:lang w:val="en-US" w:eastAsia="zh-CN"/>
              </w:rPr>
              <w:t>（元）</w:t>
            </w:r>
          </w:p>
        </w:tc>
        <w:tc>
          <w:tcPr>
            <w:tcW w:w="1181" w:type="dxa"/>
            <w:gridSpan w:val="3"/>
            <w:tcBorders>
              <w:top w:val="nil"/>
              <w:left w:val="nil"/>
              <w:bottom w:val="single" w:color="auto" w:sz="4" w:space="0"/>
              <w:right w:val="single" w:color="auto" w:sz="4" w:space="0"/>
            </w:tcBorders>
            <w:vAlign w:val="center"/>
          </w:tcPr>
          <w:p w14:paraId="1D1F045F">
            <w:pPr>
              <w:widowControl/>
              <w:jc w:val="center"/>
              <w:rPr>
                <w:rFonts w:hint="eastAsia"/>
                <w:kern w:val="0"/>
                <w:sz w:val="21"/>
                <w:szCs w:val="21"/>
                <w:highlight w:val="none"/>
              </w:rPr>
            </w:pPr>
            <w:r>
              <w:rPr>
                <w:kern w:val="0"/>
                <w:sz w:val="21"/>
                <w:szCs w:val="21"/>
                <w:highlight w:val="none"/>
              </w:rPr>
              <w:t>暂估价</w:t>
            </w:r>
            <w:r>
              <w:rPr>
                <w:rFonts w:hint="eastAsia"/>
                <w:kern w:val="0"/>
                <w:sz w:val="21"/>
                <w:szCs w:val="21"/>
                <w:highlight w:val="none"/>
                <w:lang w:eastAsia="zh-CN"/>
              </w:rPr>
              <w:t>（</w:t>
            </w:r>
            <w:r>
              <w:rPr>
                <w:rFonts w:hint="eastAsia"/>
                <w:kern w:val="0"/>
                <w:sz w:val="21"/>
                <w:szCs w:val="21"/>
                <w:highlight w:val="none"/>
                <w:lang w:val="en-US" w:eastAsia="zh-CN"/>
              </w:rPr>
              <w:t>元</w:t>
            </w:r>
            <w:r>
              <w:rPr>
                <w:rFonts w:hint="eastAsia"/>
                <w:kern w:val="0"/>
                <w:sz w:val="21"/>
                <w:szCs w:val="21"/>
                <w:highlight w:val="none"/>
                <w:lang w:eastAsia="zh-CN"/>
              </w:rPr>
              <w:t>）</w:t>
            </w:r>
          </w:p>
        </w:tc>
        <w:tc>
          <w:tcPr>
            <w:tcW w:w="1181" w:type="dxa"/>
            <w:gridSpan w:val="2"/>
            <w:tcBorders>
              <w:top w:val="nil"/>
              <w:left w:val="nil"/>
              <w:bottom w:val="single" w:color="auto" w:sz="4" w:space="0"/>
              <w:right w:val="single" w:color="auto" w:sz="4" w:space="0"/>
            </w:tcBorders>
            <w:vAlign w:val="center"/>
          </w:tcPr>
          <w:p w14:paraId="2AE7D50D">
            <w:pPr>
              <w:widowControl/>
              <w:jc w:val="center"/>
              <w:rPr>
                <w:rFonts w:hint="eastAsia" w:eastAsia="宋体"/>
                <w:kern w:val="0"/>
                <w:sz w:val="21"/>
                <w:szCs w:val="21"/>
                <w:highlight w:val="none"/>
                <w:lang w:val="en-US" w:eastAsia="zh-CN"/>
              </w:rPr>
            </w:pPr>
            <w:r>
              <w:rPr>
                <w:rFonts w:hint="eastAsia"/>
                <w:kern w:val="0"/>
                <w:sz w:val="21"/>
                <w:szCs w:val="21"/>
                <w:highlight w:val="none"/>
                <w:lang w:val="en-US" w:eastAsia="zh-CN"/>
              </w:rPr>
              <w:t>暂列金额</w:t>
            </w:r>
            <w:r>
              <w:rPr>
                <w:rFonts w:hint="eastAsia"/>
                <w:kern w:val="0"/>
                <w:sz w:val="21"/>
                <w:szCs w:val="21"/>
                <w:highlight w:val="none"/>
                <w:lang w:eastAsia="zh-CN"/>
              </w:rPr>
              <w:t>（</w:t>
            </w:r>
            <w:r>
              <w:rPr>
                <w:rFonts w:hint="eastAsia"/>
                <w:kern w:val="0"/>
                <w:sz w:val="21"/>
                <w:szCs w:val="21"/>
                <w:highlight w:val="none"/>
                <w:lang w:val="en-US" w:eastAsia="zh-CN"/>
              </w:rPr>
              <w:t>元</w:t>
            </w:r>
            <w:r>
              <w:rPr>
                <w:rFonts w:hint="eastAsia"/>
                <w:kern w:val="0"/>
                <w:sz w:val="21"/>
                <w:szCs w:val="21"/>
                <w:highlight w:val="none"/>
                <w:lang w:eastAsia="zh-CN"/>
              </w:rPr>
              <w:t>）</w:t>
            </w:r>
          </w:p>
        </w:tc>
      </w:tr>
      <w:tr w14:paraId="69AB4107">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7" w:hRule="atLeast"/>
          <w:jc w:val="center"/>
        </w:trPr>
        <w:tc>
          <w:tcPr>
            <w:tcW w:w="744" w:type="dxa"/>
            <w:tcBorders>
              <w:top w:val="single" w:color="auto" w:sz="4" w:space="0"/>
              <w:left w:val="single" w:color="auto" w:sz="4" w:space="0"/>
              <w:bottom w:val="single" w:color="auto" w:sz="4" w:space="0"/>
              <w:right w:val="single" w:color="auto" w:sz="4" w:space="0"/>
            </w:tcBorders>
            <w:shd w:val="clear" w:color="auto" w:fill="auto"/>
            <w:vAlign w:val="top"/>
          </w:tcPr>
          <w:p w14:paraId="1126623A">
            <w:pPr>
              <w:pStyle w:val="107"/>
              <w:spacing w:before="119" w:line="242" w:lineRule="auto"/>
              <w:ind w:left="0" w:leftChars="0"/>
              <w:jc w:val="center"/>
              <w:rPr>
                <w:rFonts w:ascii="Times New Roman" w:hAnsi="Times New Roman" w:eastAsia="宋体" w:cs="宋体"/>
                <w:kern w:val="2"/>
                <w:sz w:val="21"/>
                <w:szCs w:val="21"/>
                <w:highlight w:val="none"/>
                <w:lang w:val="en-US" w:eastAsia="en-US" w:bidi="ar-SA"/>
              </w:rPr>
            </w:pPr>
            <w:r>
              <w:rPr>
                <w:rFonts w:ascii="Times New Roman" w:hAnsi="Times New Roman"/>
                <w:sz w:val="21"/>
                <w:szCs w:val="21"/>
                <w:highlight w:val="none"/>
              </w:rPr>
              <w:t>1</w:t>
            </w:r>
          </w:p>
        </w:tc>
        <w:tc>
          <w:tcPr>
            <w:tcW w:w="3641" w:type="dxa"/>
            <w:tcBorders>
              <w:top w:val="single" w:color="auto" w:sz="4" w:space="0"/>
              <w:left w:val="single" w:color="auto" w:sz="4" w:space="0"/>
              <w:bottom w:val="single" w:color="auto" w:sz="4" w:space="0"/>
              <w:right w:val="single" w:color="auto" w:sz="4" w:space="0"/>
            </w:tcBorders>
            <w:shd w:val="clear" w:color="auto" w:fill="auto"/>
            <w:vAlign w:val="top"/>
          </w:tcPr>
          <w:p w14:paraId="5A716F0C">
            <w:pPr>
              <w:pStyle w:val="107"/>
              <w:spacing w:before="119" w:line="220" w:lineRule="auto"/>
              <w:ind w:left="0" w:leftChars="0"/>
              <w:jc w:val="center"/>
              <w:rPr>
                <w:rFonts w:ascii="Times New Roman" w:hAnsi="Times New Roman" w:eastAsia="宋体" w:cs="宋体"/>
                <w:kern w:val="2"/>
                <w:sz w:val="21"/>
                <w:szCs w:val="21"/>
                <w:highlight w:val="none"/>
                <w:lang w:val="en-US" w:eastAsia="en-US" w:bidi="ar-SA"/>
              </w:rPr>
            </w:pPr>
            <w:r>
              <w:rPr>
                <w:rFonts w:ascii="Times New Roman" w:hAnsi="Times New Roman"/>
                <w:spacing w:val="-1"/>
                <w:sz w:val="21"/>
                <w:szCs w:val="21"/>
                <w:highlight w:val="none"/>
              </w:rPr>
              <w:t>建设项目</w:t>
            </w:r>
          </w:p>
        </w:tc>
        <w:tc>
          <w:tcPr>
            <w:tcW w:w="1335" w:type="dxa"/>
            <w:tcBorders>
              <w:top w:val="single" w:color="auto" w:sz="4" w:space="0"/>
              <w:left w:val="single" w:color="auto" w:sz="4" w:space="0"/>
              <w:bottom w:val="single" w:color="auto" w:sz="4" w:space="0"/>
              <w:right w:val="single" w:color="auto" w:sz="4" w:space="0"/>
            </w:tcBorders>
            <w:vAlign w:val="bottom"/>
          </w:tcPr>
          <w:p w14:paraId="53925249">
            <w:pPr>
              <w:widowControl/>
              <w:jc w:val="left"/>
              <w:rPr>
                <w:kern w:val="0"/>
                <w:sz w:val="21"/>
                <w:szCs w:val="21"/>
                <w:highlight w:val="none"/>
              </w:rPr>
            </w:pPr>
            <w:r>
              <w:rPr>
                <w:kern w:val="0"/>
                <w:sz w:val="21"/>
                <w:szCs w:val="21"/>
                <w:highlight w:val="none"/>
              </w:rPr>
              <w:t>　</w:t>
            </w:r>
          </w:p>
        </w:tc>
        <w:tc>
          <w:tcPr>
            <w:tcW w:w="1181" w:type="dxa"/>
            <w:tcBorders>
              <w:top w:val="single" w:color="auto" w:sz="4" w:space="0"/>
              <w:left w:val="single" w:color="auto" w:sz="4" w:space="0"/>
              <w:bottom w:val="single" w:color="auto" w:sz="4" w:space="0"/>
              <w:right w:val="single" w:color="auto" w:sz="4" w:space="0"/>
            </w:tcBorders>
            <w:vAlign w:val="bottom"/>
          </w:tcPr>
          <w:p w14:paraId="4894416C">
            <w:pPr>
              <w:widowControl/>
              <w:jc w:val="left"/>
              <w:rPr>
                <w:kern w:val="0"/>
                <w:sz w:val="21"/>
                <w:szCs w:val="21"/>
                <w:highlight w:val="none"/>
              </w:rPr>
            </w:pPr>
            <w:r>
              <w:rPr>
                <w:kern w:val="0"/>
                <w:sz w:val="21"/>
                <w:szCs w:val="21"/>
                <w:highlight w:val="none"/>
              </w:rPr>
              <w:t>　</w:t>
            </w:r>
          </w:p>
        </w:tc>
        <w:tc>
          <w:tcPr>
            <w:tcW w:w="1181" w:type="dxa"/>
            <w:gridSpan w:val="3"/>
            <w:tcBorders>
              <w:top w:val="single" w:color="auto" w:sz="4" w:space="0"/>
              <w:left w:val="single" w:color="auto" w:sz="4" w:space="0"/>
              <w:bottom w:val="single" w:color="auto" w:sz="4" w:space="0"/>
              <w:right w:val="single" w:color="auto" w:sz="4" w:space="0"/>
            </w:tcBorders>
            <w:vAlign w:val="bottom"/>
          </w:tcPr>
          <w:p w14:paraId="5FE43814">
            <w:pPr>
              <w:widowControl/>
              <w:jc w:val="left"/>
              <w:rPr>
                <w:kern w:val="0"/>
                <w:sz w:val="21"/>
                <w:szCs w:val="21"/>
                <w:highlight w:val="none"/>
              </w:rPr>
            </w:pPr>
            <w:r>
              <w:rPr>
                <w:kern w:val="0"/>
                <w:sz w:val="21"/>
                <w:szCs w:val="21"/>
                <w:highlight w:val="none"/>
              </w:rPr>
              <w:t>　</w:t>
            </w:r>
          </w:p>
        </w:tc>
        <w:tc>
          <w:tcPr>
            <w:tcW w:w="1181" w:type="dxa"/>
            <w:gridSpan w:val="2"/>
            <w:tcBorders>
              <w:top w:val="single" w:color="auto" w:sz="4" w:space="0"/>
              <w:left w:val="single" w:color="auto" w:sz="4" w:space="0"/>
              <w:bottom w:val="single" w:color="auto" w:sz="4" w:space="0"/>
              <w:right w:val="single" w:color="auto" w:sz="4" w:space="0"/>
            </w:tcBorders>
            <w:vAlign w:val="bottom"/>
          </w:tcPr>
          <w:p w14:paraId="177DBC17">
            <w:pPr>
              <w:widowControl/>
              <w:jc w:val="left"/>
              <w:rPr>
                <w:kern w:val="0"/>
                <w:sz w:val="21"/>
                <w:szCs w:val="21"/>
                <w:highlight w:val="none"/>
              </w:rPr>
            </w:pPr>
          </w:p>
        </w:tc>
      </w:tr>
      <w:tr w14:paraId="3BF4CBEA">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7" w:hRule="atLeast"/>
          <w:jc w:val="center"/>
        </w:trPr>
        <w:tc>
          <w:tcPr>
            <w:tcW w:w="744" w:type="dxa"/>
            <w:tcBorders>
              <w:top w:val="single" w:color="auto" w:sz="4" w:space="0"/>
              <w:left w:val="single" w:color="auto" w:sz="4" w:space="0"/>
              <w:bottom w:val="single" w:color="auto" w:sz="4" w:space="0"/>
              <w:right w:val="single" w:color="auto" w:sz="4" w:space="0"/>
            </w:tcBorders>
            <w:shd w:val="clear" w:color="auto" w:fill="auto"/>
            <w:vAlign w:val="top"/>
          </w:tcPr>
          <w:p w14:paraId="0748A304">
            <w:pPr>
              <w:pStyle w:val="107"/>
              <w:spacing w:before="120" w:line="239" w:lineRule="auto"/>
              <w:ind w:left="0" w:leftChars="0"/>
              <w:jc w:val="center"/>
              <w:rPr>
                <w:rFonts w:ascii="Times New Roman" w:hAnsi="Times New Roman" w:eastAsia="宋体" w:cs="宋体"/>
                <w:kern w:val="2"/>
                <w:sz w:val="21"/>
                <w:szCs w:val="21"/>
                <w:highlight w:val="none"/>
                <w:lang w:val="en-US" w:eastAsia="en-US" w:bidi="ar-SA"/>
              </w:rPr>
            </w:pPr>
            <w:r>
              <w:rPr>
                <w:rFonts w:ascii="Times New Roman" w:hAnsi="Times New Roman"/>
                <w:spacing w:val="-8"/>
                <w:sz w:val="21"/>
                <w:szCs w:val="21"/>
                <w:highlight w:val="none"/>
              </w:rPr>
              <w:t>1.1</w:t>
            </w:r>
          </w:p>
        </w:tc>
        <w:tc>
          <w:tcPr>
            <w:tcW w:w="3641" w:type="dxa"/>
            <w:tcBorders>
              <w:top w:val="single" w:color="auto" w:sz="4" w:space="0"/>
              <w:left w:val="single" w:color="auto" w:sz="4" w:space="0"/>
              <w:bottom w:val="single" w:color="auto" w:sz="4" w:space="0"/>
              <w:right w:val="single" w:color="auto" w:sz="4" w:space="0"/>
            </w:tcBorders>
            <w:shd w:val="clear" w:color="auto" w:fill="auto"/>
            <w:vAlign w:val="top"/>
          </w:tcPr>
          <w:p w14:paraId="1DD4BA71">
            <w:pPr>
              <w:pStyle w:val="107"/>
              <w:spacing w:before="120" w:line="220" w:lineRule="auto"/>
              <w:ind w:left="0" w:leftChars="0"/>
              <w:rPr>
                <w:rFonts w:ascii="Times New Roman" w:hAnsi="Times New Roman" w:eastAsia="宋体" w:cs="宋体"/>
                <w:kern w:val="2"/>
                <w:sz w:val="21"/>
                <w:szCs w:val="21"/>
                <w:highlight w:val="none"/>
                <w:lang w:val="en-US" w:eastAsia="en-US" w:bidi="ar-SA"/>
              </w:rPr>
            </w:pPr>
            <w:r>
              <w:rPr>
                <w:rFonts w:ascii="Times New Roman" w:hAnsi="Times New Roman"/>
                <w:spacing w:val="-3"/>
                <w:sz w:val="21"/>
                <w:szCs w:val="21"/>
                <w:highlight w:val="none"/>
              </w:rPr>
              <w:t>单项工程</w:t>
            </w:r>
            <w:r>
              <w:rPr>
                <w:rFonts w:ascii="Times New Roman" w:hAnsi="Times New Roman"/>
                <w:spacing w:val="-22"/>
                <w:sz w:val="21"/>
                <w:szCs w:val="21"/>
                <w:highlight w:val="none"/>
              </w:rPr>
              <w:t xml:space="preserve"> </w:t>
            </w:r>
            <w:r>
              <w:rPr>
                <w:rFonts w:ascii="Times New Roman" w:hAnsi="Times New Roman"/>
                <w:spacing w:val="-3"/>
                <w:sz w:val="21"/>
                <w:szCs w:val="21"/>
                <w:highlight w:val="none"/>
              </w:rPr>
              <w:t>1</w:t>
            </w:r>
          </w:p>
        </w:tc>
        <w:tc>
          <w:tcPr>
            <w:tcW w:w="1335" w:type="dxa"/>
            <w:tcBorders>
              <w:top w:val="single" w:color="auto" w:sz="4" w:space="0"/>
              <w:left w:val="single" w:color="auto" w:sz="4" w:space="0"/>
              <w:bottom w:val="single" w:color="auto" w:sz="4" w:space="0"/>
              <w:right w:val="single" w:color="auto" w:sz="4" w:space="0"/>
            </w:tcBorders>
            <w:vAlign w:val="bottom"/>
          </w:tcPr>
          <w:p w14:paraId="6F5C8948">
            <w:pPr>
              <w:widowControl/>
              <w:jc w:val="left"/>
              <w:rPr>
                <w:kern w:val="0"/>
                <w:sz w:val="21"/>
                <w:szCs w:val="21"/>
                <w:highlight w:val="none"/>
              </w:rPr>
            </w:pPr>
            <w:r>
              <w:rPr>
                <w:kern w:val="0"/>
                <w:sz w:val="21"/>
                <w:szCs w:val="21"/>
                <w:highlight w:val="none"/>
              </w:rPr>
              <w:t>　</w:t>
            </w:r>
          </w:p>
        </w:tc>
        <w:tc>
          <w:tcPr>
            <w:tcW w:w="1181" w:type="dxa"/>
            <w:tcBorders>
              <w:top w:val="single" w:color="auto" w:sz="4" w:space="0"/>
              <w:left w:val="single" w:color="auto" w:sz="4" w:space="0"/>
              <w:bottom w:val="single" w:color="auto" w:sz="4" w:space="0"/>
              <w:right w:val="single" w:color="auto" w:sz="4" w:space="0"/>
            </w:tcBorders>
            <w:vAlign w:val="bottom"/>
          </w:tcPr>
          <w:p w14:paraId="26E8D95B">
            <w:pPr>
              <w:widowControl/>
              <w:jc w:val="left"/>
              <w:rPr>
                <w:kern w:val="0"/>
                <w:sz w:val="21"/>
                <w:szCs w:val="21"/>
                <w:highlight w:val="none"/>
              </w:rPr>
            </w:pPr>
            <w:r>
              <w:rPr>
                <w:kern w:val="0"/>
                <w:sz w:val="21"/>
                <w:szCs w:val="21"/>
                <w:highlight w:val="none"/>
              </w:rPr>
              <w:t>　</w:t>
            </w:r>
          </w:p>
        </w:tc>
        <w:tc>
          <w:tcPr>
            <w:tcW w:w="1181" w:type="dxa"/>
            <w:gridSpan w:val="3"/>
            <w:tcBorders>
              <w:top w:val="single" w:color="auto" w:sz="4" w:space="0"/>
              <w:left w:val="single" w:color="auto" w:sz="4" w:space="0"/>
              <w:bottom w:val="single" w:color="auto" w:sz="4" w:space="0"/>
              <w:right w:val="single" w:color="auto" w:sz="4" w:space="0"/>
            </w:tcBorders>
            <w:vAlign w:val="bottom"/>
          </w:tcPr>
          <w:p w14:paraId="44EF76D8">
            <w:pPr>
              <w:widowControl/>
              <w:jc w:val="left"/>
              <w:rPr>
                <w:kern w:val="0"/>
                <w:sz w:val="21"/>
                <w:szCs w:val="21"/>
                <w:highlight w:val="none"/>
              </w:rPr>
            </w:pPr>
            <w:r>
              <w:rPr>
                <w:kern w:val="0"/>
                <w:sz w:val="21"/>
                <w:szCs w:val="21"/>
                <w:highlight w:val="none"/>
              </w:rPr>
              <w:t>　</w:t>
            </w:r>
          </w:p>
        </w:tc>
        <w:tc>
          <w:tcPr>
            <w:tcW w:w="1181" w:type="dxa"/>
            <w:gridSpan w:val="2"/>
            <w:tcBorders>
              <w:top w:val="single" w:color="auto" w:sz="4" w:space="0"/>
              <w:left w:val="single" w:color="auto" w:sz="4" w:space="0"/>
              <w:bottom w:val="single" w:color="auto" w:sz="4" w:space="0"/>
              <w:right w:val="single" w:color="auto" w:sz="4" w:space="0"/>
            </w:tcBorders>
            <w:vAlign w:val="bottom"/>
          </w:tcPr>
          <w:p w14:paraId="7CEDE452">
            <w:pPr>
              <w:widowControl/>
              <w:jc w:val="left"/>
              <w:rPr>
                <w:kern w:val="0"/>
                <w:sz w:val="21"/>
                <w:szCs w:val="21"/>
                <w:highlight w:val="none"/>
              </w:rPr>
            </w:pPr>
          </w:p>
        </w:tc>
      </w:tr>
      <w:tr w14:paraId="50F8243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7" w:hRule="atLeast"/>
          <w:jc w:val="center"/>
        </w:trPr>
        <w:tc>
          <w:tcPr>
            <w:tcW w:w="744" w:type="dxa"/>
            <w:tcBorders>
              <w:top w:val="single" w:color="auto" w:sz="4" w:space="0"/>
              <w:left w:val="single" w:color="auto" w:sz="4" w:space="0"/>
              <w:bottom w:val="single" w:color="auto" w:sz="4" w:space="0"/>
              <w:right w:val="single" w:color="auto" w:sz="4" w:space="0"/>
            </w:tcBorders>
            <w:shd w:val="clear" w:color="auto" w:fill="auto"/>
            <w:vAlign w:val="top"/>
          </w:tcPr>
          <w:p w14:paraId="31310C58">
            <w:pPr>
              <w:pStyle w:val="107"/>
              <w:spacing w:before="120" w:line="239" w:lineRule="auto"/>
              <w:ind w:left="0" w:leftChars="0"/>
              <w:jc w:val="center"/>
              <w:rPr>
                <w:rFonts w:ascii="Times New Roman" w:hAnsi="Times New Roman" w:eastAsia="宋体" w:cs="宋体"/>
                <w:kern w:val="2"/>
                <w:sz w:val="21"/>
                <w:szCs w:val="21"/>
                <w:highlight w:val="none"/>
                <w:lang w:val="en-US" w:eastAsia="en-US" w:bidi="ar-SA"/>
              </w:rPr>
            </w:pPr>
            <w:r>
              <w:rPr>
                <w:rFonts w:ascii="Times New Roman" w:hAnsi="Times New Roman"/>
                <w:spacing w:val="-5"/>
                <w:sz w:val="21"/>
                <w:szCs w:val="21"/>
                <w:highlight w:val="none"/>
              </w:rPr>
              <w:t>1.1.1</w:t>
            </w:r>
          </w:p>
        </w:tc>
        <w:tc>
          <w:tcPr>
            <w:tcW w:w="3641" w:type="dxa"/>
            <w:tcBorders>
              <w:top w:val="single" w:color="auto" w:sz="4" w:space="0"/>
              <w:left w:val="single" w:color="auto" w:sz="4" w:space="0"/>
              <w:bottom w:val="single" w:color="auto" w:sz="4" w:space="0"/>
              <w:right w:val="single" w:color="auto" w:sz="4" w:space="0"/>
            </w:tcBorders>
            <w:shd w:val="clear" w:color="auto" w:fill="auto"/>
            <w:vAlign w:val="top"/>
          </w:tcPr>
          <w:p w14:paraId="1A1CCA0B">
            <w:pPr>
              <w:pStyle w:val="107"/>
              <w:spacing w:before="119" w:line="220" w:lineRule="auto"/>
              <w:ind w:left="0" w:leftChars="0" w:firstLine="204" w:firstLineChars="100"/>
              <w:rPr>
                <w:rFonts w:ascii="Times New Roman" w:hAnsi="Times New Roman" w:eastAsia="宋体" w:cs="宋体"/>
                <w:kern w:val="2"/>
                <w:sz w:val="21"/>
                <w:szCs w:val="21"/>
                <w:highlight w:val="none"/>
                <w:lang w:val="en-US" w:eastAsia="en-US" w:bidi="ar-SA"/>
              </w:rPr>
            </w:pPr>
            <w:r>
              <w:rPr>
                <w:rFonts w:ascii="Times New Roman" w:hAnsi="Times New Roman"/>
                <w:spacing w:val="-3"/>
                <w:sz w:val="21"/>
                <w:szCs w:val="21"/>
                <w:highlight w:val="none"/>
              </w:rPr>
              <w:t>单位工程</w:t>
            </w:r>
            <w:r>
              <w:rPr>
                <w:rFonts w:ascii="Times New Roman" w:hAnsi="Times New Roman"/>
                <w:spacing w:val="-22"/>
                <w:sz w:val="21"/>
                <w:szCs w:val="21"/>
                <w:highlight w:val="none"/>
              </w:rPr>
              <w:t xml:space="preserve"> </w:t>
            </w:r>
            <w:r>
              <w:rPr>
                <w:rFonts w:ascii="Times New Roman" w:hAnsi="Times New Roman"/>
                <w:spacing w:val="-3"/>
                <w:sz w:val="21"/>
                <w:szCs w:val="21"/>
                <w:highlight w:val="none"/>
              </w:rPr>
              <w:t>1</w:t>
            </w:r>
          </w:p>
        </w:tc>
        <w:tc>
          <w:tcPr>
            <w:tcW w:w="1335" w:type="dxa"/>
            <w:tcBorders>
              <w:top w:val="single" w:color="auto" w:sz="4" w:space="0"/>
              <w:left w:val="single" w:color="auto" w:sz="4" w:space="0"/>
              <w:bottom w:val="single" w:color="auto" w:sz="4" w:space="0"/>
              <w:right w:val="single" w:color="auto" w:sz="4" w:space="0"/>
            </w:tcBorders>
            <w:vAlign w:val="bottom"/>
          </w:tcPr>
          <w:p w14:paraId="16F270CD">
            <w:pPr>
              <w:widowControl/>
              <w:jc w:val="left"/>
              <w:rPr>
                <w:kern w:val="0"/>
                <w:sz w:val="21"/>
                <w:szCs w:val="21"/>
                <w:highlight w:val="none"/>
              </w:rPr>
            </w:pPr>
            <w:r>
              <w:rPr>
                <w:kern w:val="0"/>
                <w:sz w:val="21"/>
                <w:szCs w:val="21"/>
                <w:highlight w:val="none"/>
              </w:rPr>
              <w:t>　</w:t>
            </w:r>
          </w:p>
        </w:tc>
        <w:tc>
          <w:tcPr>
            <w:tcW w:w="1181" w:type="dxa"/>
            <w:tcBorders>
              <w:top w:val="single" w:color="auto" w:sz="4" w:space="0"/>
              <w:left w:val="single" w:color="auto" w:sz="4" w:space="0"/>
              <w:bottom w:val="single" w:color="auto" w:sz="4" w:space="0"/>
              <w:right w:val="single" w:color="auto" w:sz="4" w:space="0"/>
            </w:tcBorders>
            <w:vAlign w:val="bottom"/>
          </w:tcPr>
          <w:p w14:paraId="3156F9AC">
            <w:pPr>
              <w:widowControl/>
              <w:jc w:val="left"/>
              <w:rPr>
                <w:kern w:val="0"/>
                <w:sz w:val="21"/>
                <w:szCs w:val="21"/>
                <w:highlight w:val="none"/>
              </w:rPr>
            </w:pPr>
            <w:r>
              <w:rPr>
                <w:kern w:val="0"/>
                <w:sz w:val="21"/>
                <w:szCs w:val="21"/>
                <w:highlight w:val="none"/>
              </w:rPr>
              <w:t>　</w:t>
            </w:r>
          </w:p>
        </w:tc>
        <w:tc>
          <w:tcPr>
            <w:tcW w:w="1181" w:type="dxa"/>
            <w:gridSpan w:val="3"/>
            <w:tcBorders>
              <w:top w:val="single" w:color="auto" w:sz="4" w:space="0"/>
              <w:left w:val="single" w:color="auto" w:sz="4" w:space="0"/>
              <w:bottom w:val="single" w:color="auto" w:sz="4" w:space="0"/>
              <w:right w:val="single" w:color="auto" w:sz="4" w:space="0"/>
            </w:tcBorders>
            <w:vAlign w:val="bottom"/>
          </w:tcPr>
          <w:p w14:paraId="0604D0E7">
            <w:pPr>
              <w:widowControl/>
              <w:jc w:val="left"/>
              <w:rPr>
                <w:kern w:val="0"/>
                <w:sz w:val="21"/>
                <w:szCs w:val="21"/>
                <w:highlight w:val="none"/>
              </w:rPr>
            </w:pPr>
            <w:r>
              <w:rPr>
                <w:kern w:val="0"/>
                <w:sz w:val="21"/>
                <w:szCs w:val="21"/>
                <w:highlight w:val="none"/>
              </w:rPr>
              <w:t>　</w:t>
            </w:r>
          </w:p>
        </w:tc>
        <w:tc>
          <w:tcPr>
            <w:tcW w:w="1181" w:type="dxa"/>
            <w:gridSpan w:val="2"/>
            <w:tcBorders>
              <w:top w:val="single" w:color="auto" w:sz="4" w:space="0"/>
              <w:left w:val="single" w:color="auto" w:sz="4" w:space="0"/>
              <w:bottom w:val="single" w:color="auto" w:sz="4" w:space="0"/>
              <w:right w:val="single" w:color="auto" w:sz="4" w:space="0"/>
            </w:tcBorders>
            <w:vAlign w:val="bottom"/>
          </w:tcPr>
          <w:p w14:paraId="048D6ABD">
            <w:pPr>
              <w:widowControl/>
              <w:jc w:val="left"/>
              <w:rPr>
                <w:kern w:val="0"/>
                <w:sz w:val="21"/>
                <w:szCs w:val="21"/>
                <w:highlight w:val="none"/>
              </w:rPr>
            </w:pPr>
          </w:p>
        </w:tc>
      </w:tr>
      <w:tr w14:paraId="725A1872">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7" w:hRule="atLeast"/>
          <w:jc w:val="center"/>
        </w:trPr>
        <w:tc>
          <w:tcPr>
            <w:tcW w:w="744" w:type="dxa"/>
            <w:tcBorders>
              <w:top w:val="single" w:color="auto" w:sz="4" w:space="0"/>
              <w:left w:val="single" w:color="auto" w:sz="4" w:space="0"/>
              <w:bottom w:val="single" w:color="auto" w:sz="4" w:space="0"/>
              <w:right w:val="single" w:color="auto" w:sz="4" w:space="0"/>
            </w:tcBorders>
            <w:shd w:val="clear" w:color="auto" w:fill="auto"/>
            <w:vAlign w:val="top"/>
          </w:tcPr>
          <w:p w14:paraId="31CE37FD">
            <w:pPr>
              <w:pStyle w:val="107"/>
              <w:spacing w:before="122" w:line="239" w:lineRule="auto"/>
              <w:ind w:left="0" w:leftChars="0"/>
              <w:jc w:val="center"/>
              <w:rPr>
                <w:rFonts w:ascii="Times New Roman" w:hAnsi="Times New Roman" w:eastAsia="宋体" w:cs="宋体"/>
                <w:kern w:val="2"/>
                <w:sz w:val="21"/>
                <w:szCs w:val="21"/>
                <w:highlight w:val="none"/>
                <w:lang w:val="en-US" w:eastAsia="en-US" w:bidi="ar-SA"/>
              </w:rPr>
            </w:pPr>
            <w:r>
              <w:rPr>
                <w:rFonts w:ascii="Times New Roman" w:hAnsi="Times New Roman"/>
                <w:spacing w:val="-5"/>
                <w:sz w:val="21"/>
                <w:szCs w:val="21"/>
                <w:highlight w:val="none"/>
              </w:rPr>
              <w:t>1.1.2</w:t>
            </w:r>
          </w:p>
        </w:tc>
        <w:tc>
          <w:tcPr>
            <w:tcW w:w="3641" w:type="dxa"/>
            <w:tcBorders>
              <w:top w:val="single" w:color="auto" w:sz="4" w:space="0"/>
              <w:left w:val="single" w:color="auto" w:sz="4" w:space="0"/>
              <w:bottom w:val="single" w:color="auto" w:sz="4" w:space="0"/>
              <w:right w:val="single" w:color="auto" w:sz="4" w:space="0"/>
            </w:tcBorders>
            <w:shd w:val="clear" w:color="auto" w:fill="auto"/>
            <w:vAlign w:val="top"/>
          </w:tcPr>
          <w:p w14:paraId="28D81048">
            <w:pPr>
              <w:pStyle w:val="107"/>
              <w:spacing w:before="121" w:line="220" w:lineRule="auto"/>
              <w:ind w:left="0" w:leftChars="0" w:firstLine="206" w:firstLineChars="100"/>
              <w:rPr>
                <w:rFonts w:ascii="Times New Roman" w:hAnsi="Times New Roman" w:eastAsia="宋体" w:cs="宋体"/>
                <w:kern w:val="2"/>
                <w:sz w:val="21"/>
                <w:szCs w:val="21"/>
                <w:highlight w:val="none"/>
                <w:lang w:val="en-US" w:eastAsia="en-US" w:bidi="ar-SA"/>
              </w:rPr>
            </w:pPr>
            <w:r>
              <w:rPr>
                <w:rFonts w:ascii="Times New Roman" w:hAnsi="Times New Roman"/>
                <w:spacing w:val="-2"/>
                <w:sz w:val="21"/>
                <w:szCs w:val="21"/>
                <w:highlight w:val="none"/>
              </w:rPr>
              <w:t>单位工程</w:t>
            </w:r>
            <w:r>
              <w:rPr>
                <w:rFonts w:ascii="Times New Roman" w:hAnsi="Times New Roman"/>
                <w:spacing w:val="-38"/>
                <w:sz w:val="21"/>
                <w:szCs w:val="21"/>
                <w:highlight w:val="none"/>
              </w:rPr>
              <w:t xml:space="preserve"> </w:t>
            </w:r>
            <w:r>
              <w:rPr>
                <w:rFonts w:ascii="Times New Roman" w:hAnsi="Times New Roman"/>
                <w:spacing w:val="-2"/>
                <w:sz w:val="21"/>
                <w:szCs w:val="21"/>
                <w:highlight w:val="none"/>
              </w:rPr>
              <w:t>2</w:t>
            </w:r>
          </w:p>
        </w:tc>
        <w:tc>
          <w:tcPr>
            <w:tcW w:w="1335" w:type="dxa"/>
            <w:tcBorders>
              <w:top w:val="single" w:color="auto" w:sz="4" w:space="0"/>
              <w:left w:val="single" w:color="auto" w:sz="4" w:space="0"/>
              <w:bottom w:val="single" w:color="auto" w:sz="4" w:space="0"/>
              <w:right w:val="single" w:color="auto" w:sz="4" w:space="0"/>
            </w:tcBorders>
            <w:vAlign w:val="bottom"/>
          </w:tcPr>
          <w:p w14:paraId="131E156A">
            <w:pPr>
              <w:widowControl/>
              <w:jc w:val="left"/>
              <w:rPr>
                <w:kern w:val="0"/>
                <w:sz w:val="21"/>
                <w:szCs w:val="21"/>
                <w:highlight w:val="none"/>
              </w:rPr>
            </w:pPr>
            <w:r>
              <w:rPr>
                <w:kern w:val="0"/>
                <w:sz w:val="21"/>
                <w:szCs w:val="21"/>
                <w:highlight w:val="none"/>
              </w:rPr>
              <w:t>　</w:t>
            </w:r>
          </w:p>
        </w:tc>
        <w:tc>
          <w:tcPr>
            <w:tcW w:w="1181" w:type="dxa"/>
            <w:tcBorders>
              <w:top w:val="single" w:color="auto" w:sz="4" w:space="0"/>
              <w:left w:val="single" w:color="auto" w:sz="4" w:space="0"/>
              <w:bottom w:val="single" w:color="auto" w:sz="4" w:space="0"/>
              <w:right w:val="single" w:color="auto" w:sz="4" w:space="0"/>
            </w:tcBorders>
            <w:vAlign w:val="bottom"/>
          </w:tcPr>
          <w:p w14:paraId="7DEEB4C1">
            <w:pPr>
              <w:widowControl/>
              <w:jc w:val="left"/>
              <w:rPr>
                <w:kern w:val="0"/>
                <w:sz w:val="21"/>
                <w:szCs w:val="21"/>
                <w:highlight w:val="none"/>
              </w:rPr>
            </w:pPr>
            <w:r>
              <w:rPr>
                <w:kern w:val="0"/>
                <w:sz w:val="21"/>
                <w:szCs w:val="21"/>
                <w:highlight w:val="none"/>
              </w:rPr>
              <w:t>　</w:t>
            </w:r>
          </w:p>
        </w:tc>
        <w:tc>
          <w:tcPr>
            <w:tcW w:w="1181" w:type="dxa"/>
            <w:gridSpan w:val="3"/>
            <w:tcBorders>
              <w:top w:val="single" w:color="auto" w:sz="4" w:space="0"/>
              <w:left w:val="single" w:color="auto" w:sz="4" w:space="0"/>
              <w:bottom w:val="single" w:color="auto" w:sz="4" w:space="0"/>
              <w:right w:val="single" w:color="auto" w:sz="4" w:space="0"/>
            </w:tcBorders>
            <w:vAlign w:val="bottom"/>
          </w:tcPr>
          <w:p w14:paraId="332EB122">
            <w:pPr>
              <w:widowControl/>
              <w:jc w:val="left"/>
              <w:rPr>
                <w:kern w:val="0"/>
                <w:sz w:val="21"/>
                <w:szCs w:val="21"/>
                <w:highlight w:val="none"/>
              </w:rPr>
            </w:pPr>
            <w:r>
              <w:rPr>
                <w:kern w:val="0"/>
                <w:sz w:val="21"/>
                <w:szCs w:val="21"/>
                <w:highlight w:val="none"/>
              </w:rPr>
              <w:t>　</w:t>
            </w:r>
          </w:p>
        </w:tc>
        <w:tc>
          <w:tcPr>
            <w:tcW w:w="1181" w:type="dxa"/>
            <w:gridSpan w:val="2"/>
            <w:tcBorders>
              <w:top w:val="single" w:color="auto" w:sz="4" w:space="0"/>
              <w:left w:val="single" w:color="auto" w:sz="4" w:space="0"/>
              <w:bottom w:val="single" w:color="auto" w:sz="4" w:space="0"/>
              <w:right w:val="single" w:color="auto" w:sz="4" w:space="0"/>
            </w:tcBorders>
            <w:vAlign w:val="bottom"/>
          </w:tcPr>
          <w:p w14:paraId="0AAC7008">
            <w:pPr>
              <w:widowControl/>
              <w:jc w:val="left"/>
              <w:rPr>
                <w:kern w:val="0"/>
                <w:sz w:val="21"/>
                <w:szCs w:val="21"/>
                <w:highlight w:val="none"/>
              </w:rPr>
            </w:pPr>
          </w:p>
        </w:tc>
      </w:tr>
      <w:tr w14:paraId="5D243E81">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7" w:hRule="atLeast"/>
          <w:jc w:val="center"/>
        </w:trPr>
        <w:tc>
          <w:tcPr>
            <w:tcW w:w="744" w:type="dxa"/>
            <w:tcBorders>
              <w:top w:val="single" w:color="auto" w:sz="4" w:space="0"/>
              <w:left w:val="single" w:color="auto" w:sz="4" w:space="0"/>
              <w:bottom w:val="single" w:color="auto" w:sz="4" w:space="0"/>
              <w:right w:val="single" w:color="auto" w:sz="4" w:space="0"/>
            </w:tcBorders>
            <w:shd w:val="clear" w:color="auto" w:fill="auto"/>
            <w:vAlign w:val="top"/>
          </w:tcPr>
          <w:p w14:paraId="19F0D18B">
            <w:pPr>
              <w:pStyle w:val="107"/>
              <w:spacing w:before="122" w:line="239" w:lineRule="auto"/>
              <w:ind w:left="0" w:leftChars="0"/>
              <w:jc w:val="center"/>
              <w:rPr>
                <w:rFonts w:ascii="Times New Roman" w:hAnsi="Times New Roman" w:eastAsia="宋体" w:cs="宋体"/>
                <w:kern w:val="2"/>
                <w:sz w:val="21"/>
                <w:szCs w:val="21"/>
                <w:highlight w:val="none"/>
                <w:lang w:val="en-US" w:eastAsia="en-US" w:bidi="ar-SA"/>
              </w:rPr>
            </w:pPr>
            <w:r>
              <w:rPr>
                <w:rFonts w:ascii="Times New Roman" w:hAnsi="Times New Roman"/>
                <w:spacing w:val="-8"/>
                <w:sz w:val="21"/>
                <w:szCs w:val="21"/>
                <w:highlight w:val="none"/>
              </w:rPr>
              <w:t>1.2</w:t>
            </w:r>
          </w:p>
        </w:tc>
        <w:tc>
          <w:tcPr>
            <w:tcW w:w="3641" w:type="dxa"/>
            <w:tcBorders>
              <w:top w:val="single" w:color="auto" w:sz="4" w:space="0"/>
              <w:left w:val="single" w:color="auto" w:sz="4" w:space="0"/>
              <w:bottom w:val="single" w:color="auto" w:sz="4" w:space="0"/>
              <w:right w:val="single" w:color="auto" w:sz="4" w:space="0"/>
            </w:tcBorders>
            <w:shd w:val="clear" w:color="auto" w:fill="auto"/>
            <w:vAlign w:val="top"/>
          </w:tcPr>
          <w:p w14:paraId="0EDB2765">
            <w:pPr>
              <w:pStyle w:val="107"/>
              <w:spacing w:before="122" w:line="220" w:lineRule="auto"/>
              <w:ind w:left="0" w:leftChars="0"/>
              <w:rPr>
                <w:rFonts w:ascii="Times New Roman" w:hAnsi="Times New Roman" w:eastAsia="宋体" w:cs="宋体"/>
                <w:kern w:val="2"/>
                <w:sz w:val="21"/>
                <w:szCs w:val="21"/>
                <w:highlight w:val="none"/>
                <w:lang w:val="en-US" w:eastAsia="en-US" w:bidi="ar-SA"/>
              </w:rPr>
            </w:pPr>
            <w:r>
              <w:rPr>
                <w:rFonts w:ascii="Times New Roman" w:hAnsi="Times New Roman"/>
                <w:spacing w:val="-2"/>
                <w:sz w:val="21"/>
                <w:szCs w:val="21"/>
                <w:highlight w:val="none"/>
              </w:rPr>
              <w:t>单项工程</w:t>
            </w:r>
            <w:r>
              <w:rPr>
                <w:rFonts w:ascii="Times New Roman" w:hAnsi="Times New Roman"/>
                <w:spacing w:val="-38"/>
                <w:sz w:val="21"/>
                <w:szCs w:val="21"/>
                <w:highlight w:val="none"/>
              </w:rPr>
              <w:t xml:space="preserve"> </w:t>
            </w:r>
            <w:r>
              <w:rPr>
                <w:rFonts w:ascii="Times New Roman" w:hAnsi="Times New Roman"/>
                <w:spacing w:val="-2"/>
                <w:sz w:val="21"/>
                <w:szCs w:val="21"/>
                <w:highlight w:val="none"/>
              </w:rPr>
              <w:t>2</w:t>
            </w:r>
          </w:p>
        </w:tc>
        <w:tc>
          <w:tcPr>
            <w:tcW w:w="1335" w:type="dxa"/>
            <w:tcBorders>
              <w:top w:val="single" w:color="auto" w:sz="4" w:space="0"/>
              <w:left w:val="single" w:color="auto" w:sz="4" w:space="0"/>
              <w:bottom w:val="single" w:color="auto" w:sz="4" w:space="0"/>
              <w:right w:val="single" w:color="auto" w:sz="4" w:space="0"/>
            </w:tcBorders>
            <w:vAlign w:val="bottom"/>
          </w:tcPr>
          <w:p w14:paraId="287DF32C">
            <w:pPr>
              <w:widowControl/>
              <w:jc w:val="left"/>
              <w:rPr>
                <w:kern w:val="0"/>
                <w:sz w:val="21"/>
                <w:szCs w:val="21"/>
                <w:highlight w:val="none"/>
              </w:rPr>
            </w:pPr>
            <w:r>
              <w:rPr>
                <w:kern w:val="0"/>
                <w:sz w:val="21"/>
                <w:szCs w:val="21"/>
                <w:highlight w:val="none"/>
              </w:rPr>
              <w:t>　</w:t>
            </w:r>
          </w:p>
        </w:tc>
        <w:tc>
          <w:tcPr>
            <w:tcW w:w="1181" w:type="dxa"/>
            <w:tcBorders>
              <w:top w:val="single" w:color="auto" w:sz="4" w:space="0"/>
              <w:left w:val="single" w:color="auto" w:sz="4" w:space="0"/>
              <w:bottom w:val="single" w:color="auto" w:sz="4" w:space="0"/>
              <w:right w:val="single" w:color="auto" w:sz="4" w:space="0"/>
            </w:tcBorders>
            <w:vAlign w:val="bottom"/>
          </w:tcPr>
          <w:p w14:paraId="7C4C8675">
            <w:pPr>
              <w:widowControl/>
              <w:jc w:val="left"/>
              <w:rPr>
                <w:kern w:val="0"/>
                <w:sz w:val="21"/>
                <w:szCs w:val="21"/>
                <w:highlight w:val="none"/>
              </w:rPr>
            </w:pPr>
            <w:r>
              <w:rPr>
                <w:kern w:val="0"/>
                <w:sz w:val="21"/>
                <w:szCs w:val="21"/>
                <w:highlight w:val="none"/>
              </w:rPr>
              <w:t>　</w:t>
            </w:r>
          </w:p>
        </w:tc>
        <w:tc>
          <w:tcPr>
            <w:tcW w:w="1181" w:type="dxa"/>
            <w:gridSpan w:val="3"/>
            <w:tcBorders>
              <w:top w:val="single" w:color="auto" w:sz="4" w:space="0"/>
              <w:left w:val="single" w:color="auto" w:sz="4" w:space="0"/>
              <w:bottom w:val="single" w:color="auto" w:sz="4" w:space="0"/>
              <w:right w:val="single" w:color="auto" w:sz="4" w:space="0"/>
            </w:tcBorders>
            <w:vAlign w:val="bottom"/>
          </w:tcPr>
          <w:p w14:paraId="3ACD4C82">
            <w:pPr>
              <w:widowControl/>
              <w:jc w:val="left"/>
              <w:rPr>
                <w:kern w:val="0"/>
                <w:sz w:val="21"/>
                <w:szCs w:val="21"/>
                <w:highlight w:val="none"/>
              </w:rPr>
            </w:pPr>
            <w:r>
              <w:rPr>
                <w:kern w:val="0"/>
                <w:sz w:val="21"/>
                <w:szCs w:val="21"/>
                <w:highlight w:val="none"/>
              </w:rPr>
              <w:t>　</w:t>
            </w:r>
          </w:p>
        </w:tc>
        <w:tc>
          <w:tcPr>
            <w:tcW w:w="1181" w:type="dxa"/>
            <w:gridSpan w:val="2"/>
            <w:tcBorders>
              <w:top w:val="single" w:color="auto" w:sz="4" w:space="0"/>
              <w:left w:val="single" w:color="auto" w:sz="4" w:space="0"/>
              <w:bottom w:val="single" w:color="auto" w:sz="4" w:space="0"/>
              <w:right w:val="single" w:color="auto" w:sz="4" w:space="0"/>
            </w:tcBorders>
            <w:vAlign w:val="bottom"/>
          </w:tcPr>
          <w:p w14:paraId="77F0DFAF">
            <w:pPr>
              <w:widowControl/>
              <w:jc w:val="left"/>
              <w:rPr>
                <w:kern w:val="0"/>
                <w:sz w:val="21"/>
                <w:szCs w:val="21"/>
                <w:highlight w:val="none"/>
              </w:rPr>
            </w:pPr>
          </w:p>
        </w:tc>
      </w:tr>
      <w:tr w14:paraId="5797E905">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7" w:hRule="atLeast"/>
          <w:jc w:val="center"/>
        </w:trPr>
        <w:tc>
          <w:tcPr>
            <w:tcW w:w="744" w:type="dxa"/>
            <w:tcBorders>
              <w:top w:val="single" w:color="auto" w:sz="4" w:space="0"/>
              <w:left w:val="single" w:color="auto" w:sz="4" w:space="0"/>
              <w:bottom w:val="single" w:color="auto" w:sz="4" w:space="0"/>
              <w:right w:val="single" w:color="auto" w:sz="4" w:space="0"/>
            </w:tcBorders>
            <w:shd w:val="clear" w:color="auto" w:fill="auto"/>
            <w:vAlign w:val="top"/>
          </w:tcPr>
          <w:p w14:paraId="10600615">
            <w:pPr>
              <w:pStyle w:val="107"/>
              <w:spacing w:before="122" w:line="239" w:lineRule="auto"/>
              <w:ind w:left="0" w:leftChars="0"/>
              <w:jc w:val="center"/>
              <w:rPr>
                <w:rFonts w:ascii="Times New Roman" w:hAnsi="Times New Roman" w:eastAsia="宋体" w:cs="宋体"/>
                <w:kern w:val="2"/>
                <w:sz w:val="21"/>
                <w:szCs w:val="21"/>
                <w:highlight w:val="none"/>
                <w:lang w:val="en-US" w:eastAsia="en-US" w:bidi="ar-SA"/>
              </w:rPr>
            </w:pPr>
            <w:r>
              <w:rPr>
                <w:rFonts w:ascii="Times New Roman" w:hAnsi="Times New Roman"/>
                <w:spacing w:val="-5"/>
                <w:sz w:val="21"/>
                <w:szCs w:val="21"/>
                <w:highlight w:val="none"/>
              </w:rPr>
              <w:t>1.2.1</w:t>
            </w:r>
          </w:p>
        </w:tc>
        <w:tc>
          <w:tcPr>
            <w:tcW w:w="3641" w:type="dxa"/>
            <w:tcBorders>
              <w:top w:val="single" w:color="auto" w:sz="4" w:space="0"/>
              <w:left w:val="single" w:color="auto" w:sz="4" w:space="0"/>
              <w:bottom w:val="single" w:color="auto" w:sz="4" w:space="0"/>
              <w:right w:val="single" w:color="auto" w:sz="4" w:space="0"/>
            </w:tcBorders>
            <w:shd w:val="clear" w:color="auto" w:fill="auto"/>
            <w:vAlign w:val="top"/>
          </w:tcPr>
          <w:p w14:paraId="4C06CA50">
            <w:pPr>
              <w:pStyle w:val="107"/>
              <w:spacing w:before="121" w:line="220" w:lineRule="auto"/>
              <w:ind w:left="0" w:leftChars="0" w:firstLine="204" w:firstLineChars="100"/>
              <w:rPr>
                <w:rFonts w:ascii="Times New Roman" w:hAnsi="Times New Roman" w:eastAsia="宋体" w:cs="宋体"/>
                <w:kern w:val="2"/>
                <w:sz w:val="21"/>
                <w:szCs w:val="21"/>
                <w:highlight w:val="none"/>
                <w:lang w:val="en-US" w:eastAsia="en-US" w:bidi="ar-SA"/>
              </w:rPr>
            </w:pPr>
            <w:r>
              <w:rPr>
                <w:rFonts w:ascii="Times New Roman" w:hAnsi="Times New Roman"/>
                <w:spacing w:val="-3"/>
                <w:sz w:val="21"/>
                <w:szCs w:val="21"/>
                <w:highlight w:val="none"/>
              </w:rPr>
              <w:t>单位工程</w:t>
            </w:r>
            <w:r>
              <w:rPr>
                <w:rFonts w:ascii="Times New Roman" w:hAnsi="Times New Roman"/>
                <w:spacing w:val="-22"/>
                <w:sz w:val="21"/>
                <w:szCs w:val="21"/>
                <w:highlight w:val="none"/>
              </w:rPr>
              <w:t xml:space="preserve"> </w:t>
            </w:r>
            <w:r>
              <w:rPr>
                <w:rFonts w:ascii="Times New Roman" w:hAnsi="Times New Roman"/>
                <w:spacing w:val="-3"/>
                <w:sz w:val="21"/>
                <w:szCs w:val="21"/>
                <w:highlight w:val="none"/>
              </w:rPr>
              <w:t>1</w:t>
            </w:r>
          </w:p>
        </w:tc>
        <w:tc>
          <w:tcPr>
            <w:tcW w:w="1335" w:type="dxa"/>
            <w:tcBorders>
              <w:top w:val="single" w:color="auto" w:sz="4" w:space="0"/>
              <w:left w:val="single" w:color="auto" w:sz="4" w:space="0"/>
              <w:bottom w:val="single" w:color="auto" w:sz="4" w:space="0"/>
              <w:right w:val="single" w:color="auto" w:sz="4" w:space="0"/>
            </w:tcBorders>
            <w:vAlign w:val="bottom"/>
          </w:tcPr>
          <w:p w14:paraId="7E8AE9A7">
            <w:pPr>
              <w:widowControl/>
              <w:jc w:val="left"/>
              <w:rPr>
                <w:kern w:val="0"/>
                <w:sz w:val="21"/>
                <w:szCs w:val="21"/>
                <w:highlight w:val="none"/>
              </w:rPr>
            </w:pPr>
            <w:r>
              <w:rPr>
                <w:kern w:val="0"/>
                <w:sz w:val="21"/>
                <w:szCs w:val="21"/>
                <w:highlight w:val="none"/>
              </w:rPr>
              <w:t>　</w:t>
            </w:r>
          </w:p>
        </w:tc>
        <w:tc>
          <w:tcPr>
            <w:tcW w:w="1181" w:type="dxa"/>
            <w:tcBorders>
              <w:top w:val="single" w:color="auto" w:sz="4" w:space="0"/>
              <w:left w:val="single" w:color="auto" w:sz="4" w:space="0"/>
              <w:bottom w:val="single" w:color="auto" w:sz="4" w:space="0"/>
              <w:right w:val="single" w:color="auto" w:sz="4" w:space="0"/>
            </w:tcBorders>
            <w:vAlign w:val="bottom"/>
          </w:tcPr>
          <w:p w14:paraId="0FA7C529">
            <w:pPr>
              <w:widowControl/>
              <w:jc w:val="left"/>
              <w:rPr>
                <w:kern w:val="0"/>
                <w:sz w:val="21"/>
                <w:szCs w:val="21"/>
                <w:highlight w:val="none"/>
              </w:rPr>
            </w:pPr>
            <w:r>
              <w:rPr>
                <w:kern w:val="0"/>
                <w:sz w:val="21"/>
                <w:szCs w:val="21"/>
                <w:highlight w:val="none"/>
              </w:rPr>
              <w:t>　</w:t>
            </w:r>
          </w:p>
        </w:tc>
        <w:tc>
          <w:tcPr>
            <w:tcW w:w="1181" w:type="dxa"/>
            <w:gridSpan w:val="3"/>
            <w:tcBorders>
              <w:top w:val="single" w:color="auto" w:sz="4" w:space="0"/>
              <w:left w:val="single" w:color="auto" w:sz="4" w:space="0"/>
              <w:bottom w:val="single" w:color="auto" w:sz="4" w:space="0"/>
              <w:right w:val="single" w:color="auto" w:sz="4" w:space="0"/>
            </w:tcBorders>
            <w:vAlign w:val="bottom"/>
          </w:tcPr>
          <w:p w14:paraId="01DF1396">
            <w:pPr>
              <w:widowControl/>
              <w:jc w:val="left"/>
              <w:rPr>
                <w:kern w:val="0"/>
                <w:sz w:val="21"/>
                <w:szCs w:val="21"/>
                <w:highlight w:val="none"/>
              </w:rPr>
            </w:pPr>
            <w:r>
              <w:rPr>
                <w:kern w:val="0"/>
                <w:sz w:val="21"/>
                <w:szCs w:val="21"/>
                <w:highlight w:val="none"/>
              </w:rPr>
              <w:t>　</w:t>
            </w:r>
          </w:p>
        </w:tc>
        <w:tc>
          <w:tcPr>
            <w:tcW w:w="1181" w:type="dxa"/>
            <w:gridSpan w:val="2"/>
            <w:tcBorders>
              <w:top w:val="single" w:color="auto" w:sz="4" w:space="0"/>
              <w:left w:val="single" w:color="auto" w:sz="4" w:space="0"/>
              <w:bottom w:val="single" w:color="auto" w:sz="4" w:space="0"/>
              <w:right w:val="single" w:color="auto" w:sz="4" w:space="0"/>
            </w:tcBorders>
            <w:vAlign w:val="bottom"/>
          </w:tcPr>
          <w:p w14:paraId="29E2E4F1">
            <w:pPr>
              <w:widowControl/>
              <w:jc w:val="left"/>
              <w:rPr>
                <w:kern w:val="0"/>
                <w:sz w:val="21"/>
                <w:szCs w:val="21"/>
                <w:highlight w:val="none"/>
              </w:rPr>
            </w:pPr>
          </w:p>
        </w:tc>
      </w:tr>
      <w:tr w14:paraId="70FF3C81">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7" w:hRule="atLeast"/>
          <w:jc w:val="center"/>
        </w:trPr>
        <w:tc>
          <w:tcPr>
            <w:tcW w:w="744" w:type="dxa"/>
            <w:tcBorders>
              <w:top w:val="single" w:color="auto" w:sz="4" w:space="0"/>
              <w:left w:val="single" w:color="auto" w:sz="4" w:space="0"/>
              <w:bottom w:val="single" w:color="auto" w:sz="4" w:space="0"/>
              <w:right w:val="single" w:color="auto" w:sz="4" w:space="0"/>
            </w:tcBorders>
            <w:shd w:val="clear" w:color="auto" w:fill="auto"/>
            <w:vAlign w:val="top"/>
          </w:tcPr>
          <w:p w14:paraId="2616C4F7">
            <w:pPr>
              <w:pStyle w:val="107"/>
              <w:spacing w:before="124" w:line="239" w:lineRule="auto"/>
              <w:ind w:left="0" w:leftChars="0"/>
              <w:jc w:val="center"/>
              <w:rPr>
                <w:rFonts w:ascii="Times New Roman" w:hAnsi="Times New Roman" w:eastAsia="宋体" w:cs="宋体"/>
                <w:kern w:val="2"/>
                <w:sz w:val="21"/>
                <w:szCs w:val="21"/>
                <w:highlight w:val="none"/>
                <w:lang w:val="en-US" w:eastAsia="en-US" w:bidi="ar-SA"/>
              </w:rPr>
            </w:pPr>
            <w:r>
              <w:rPr>
                <w:rFonts w:ascii="Times New Roman" w:hAnsi="Times New Roman"/>
                <w:spacing w:val="-5"/>
                <w:sz w:val="21"/>
                <w:szCs w:val="21"/>
                <w:highlight w:val="none"/>
              </w:rPr>
              <w:t>1.2.2</w:t>
            </w:r>
          </w:p>
        </w:tc>
        <w:tc>
          <w:tcPr>
            <w:tcW w:w="3641" w:type="dxa"/>
            <w:tcBorders>
              <w:top w:val="single" w:color="auto" w:sz="4" w:space="0"/>
              <w:left w:val="single" w:color="auto" w:sz="4" w:space="0"/>
              <w:bottom w:val="single" w:color="auto" w:sz="4" w:space="0"/>
              <w:right w:val="single" w:color="auto" w:sz="4" w:space="0"/>
            </w:tcBorders>
            <w:shd w:val="clear" w:color="auto" w:fill="auto"/>
            <w:vAlign w:val="top"/>
          </w:tcPr>
          <w:p w14:paraId="3F0569B7">
            <w:pPr>
              <w:pStyle w:val="107"/>
              <w:spacing w:before="123" w:line="220" w:lineRule="auto"/>
              <w:ind w:left="0" w:leftChars="0" w:firstLine="206" w:firstLineChars="100"/>
              <w:rPr>
                <w:rFonts w:ascii="Times New Roman" w:hAnsi="Times New Roman" w:eastAsia="宋体" w:cs="宋体"/>
                <w:kern w:val="2"/>
                <w:sz w:val="21"/>
                <w:szCs w:val="21"/>
                <w:highlight w:val="none"/>
                <w:lang w:val="en-US" w:eastAsia="en-US" w:bidi="ar-SA"/>
              </w:rPr>
            </w:pPr>
            <w:r>
              <w:rPr>
                <w:rFonts w:ascii="Times New Roman" w:hAnsi="Times New Roman"/>
                <w:spacing w:val="-2"/>
                <w:sz w:val="21"/>
                <w:szCs w:val="21"/>
                <w:highlight w:val="none"/>
              </w:rPr>
              <w:t>单位工程</w:t>
            </w:r>
            <w:r>
              <w:rPr>
                <w:rFonts w:ascii="Times New Roman" w:hAnsi="Times New Roman"/>
                <w:spacing w:val="-38"/>
                <w:sz w:val="21"/>
                <w:szCs w:val="21"/>
                <w:highlight w:val="none"/>
              </w:rPr>
              <w:t xml:space="preserve"> </w:t>
            </w:r>
            <w:r>
              <w:rPr>
                <w:rFonts w:ascii="Times New Roman" w:hAnsi="Times New Roman"/>
                <w:spacing w:val="-2"/>
                <w:sz w:val="21"/>
                <w:szCs w:val="21"/>
                <w:highlight w:val="none"/>
              </w:rPr>
              <w:t>2</w:t>
            </w:r>
          </w:p>
        </w:tc>
        <w:tc>
          <w:tcPr>
            <w:tcW w:w="1335" w:type="dxa"/>
            <w:tcBorders>
              <w:top w:val="single" w:color="auto" w:sz="4" w:space="0"/>
              <w:left w:val="single" w:color="auto" w:sz="4" w:space="0"/>
              <w:bottom w:val="single" w:color="auto" w:sz="4" w:space="0"/>
              <w:right w:val="single" w:color="auto" w:sz="4" w:space="0"/>
            </w:tcBorders>
            <w:vAlign w:val="bottom"/>
          </w:tcPr>
          <w:p w14:paraId="183FBA38">
            <w:pPr>
              <w:widowControl/>
              <w:jc w:val="left"/>
              <w:rPr>
                <w:kern w:val="0"/>
                <w:sz w:val="21"/>
                <w:szCs w:val="21"/>
                <w:highlight w:val="none"/>
              </w:rPr>
            </w:pPr>
            <w:r>
              <w:rPr>
                <w:kern w:val="0"/>
                <w:sz w:val="21"/>
                <w:szCs w:val="21"/>
                <w:highlight w:val="none"/>
              </w:rPr>
              <w:t>　</w:t>
            </w:r>
          </w:p>
        </w:tc>
        <w:tc>
          <w:tcPr>
            <w:tcW w:w="1181" w:type="dxa"/>
            <w:tcBorders>
              <w:top w:val="single" w:color="auto" w:sz="4" w:space="0"/>
              <w:left w:val="single" w:color="auto" w:sz="4" w:space="0"/>
              <w:bottom w:val="single" w:color="auto" w:sz="4" w:space="0"/>
              <w:right w:val="single" w:color="auto" w:sz="4" w:space="0"/>
            </w:tcBorders>
            <w:vAlign w:val="bottom"/>
          </w:tcPr>
          <w:p w14:paraId="3338B5C4">
            <w:pPr>
              <w:widowControl/>
              <w:jc w:val="left"/>
              <w:rPr>
                <w:kern w:val="0"/>
                <w:sz w:val="21"/>
                <w:szCs w:val="21"/>
                <w:highlight w:val="none"/>
              </w:rPr>
            </w:pPr>
            <w:r>
              <w:rPr>
                <w:kern w:val="0"/>
                <w:sz w:val="21"/>
                <w:szCs w:val="21"/>
                <w:highlight w:val="none"/>
              </w:rPr>
              <w:t>　</w:t>
            </w:r>
          </w:p>
        </w:tc>
        <w:tc>
          <w:tcPr>
            <w:tcW w:w="1181" w:type="dxa"/>
            <w:gridSpan w:val="3"/>
            <w:tcBorders>
              <w:top w:val="single" w:color="auto" w:sz="4" w:space="0"/>
              <w:left w:val="single" w:color="auto" w:sz="4" w:space="0"/>
              <w:bottom w:val="single" w:color="auto" w:sz="4" w:space="0"/>
              <w:right w:val="single" w:color="auto" w:sz="4" w:space="0"/>
            </w:tcBorders>
            <w:vAlign w:val="bottom"/>
          </w:tcPr>
          <w:p w14:paraId="627B8A50">
            <w:pPr>
              <w:widowControl/>
              <w:jc w:val="left"/>
              <w:rPr>
                <w:kern w:val="0"/>
                <w:sz w:val="21"/>
                <w:szCs w:val="21"/>
                <w:highlight w:val="none"/>
              </w:rPr>
            </w:pPr>
            <w:r>
              <w:rPr>
                <w:kern w:val="0"/>
                <w:sz w:val="21"/>
                <w:szCs w:val="21"/>
                <w:highlight w:val="none"/>
              </w:rPr>
              <w:t>　</w:t>
            </w:r>
          </w:p>
        </w:tc>
        <w:tc>
          <w:tcPr>
            <w:tcW w:w="1181" w:type="dxa"/>
            <w:gridSpan w:val="2"/>
            <w:tcBorders>
              <w:top w:val="single" w:color="auto" w:sz="4" w:space="0"/>
              <w:left w:val="single" w:color="auto" w:sz="4" w:space="0"/>
              <w:bottom w:val="single" w:color="auto" w:sz="4" w:space="0"/>
              <w:right w:val="single" w:color="auto" w:sz="4" w:space="0"/>
            </w:tcBorders>
            <w:vAlign w:val="bottom"/>
          </w:tcPr>
          <w:p w14:paraId="1374757E">
            <w:pPr>
              <w:widowControl/>
              <w:jc w:val="left"/>
              <w:rPr>
                <w:kern w:val="0"/>
                <w:sz w:val="21"/>
                <w:szCs w:val="21"/>
                <w:highlight w:val="none"/>
              </w:rPr>
            </w:pPr>
          </w:p>
        </w:tc>
      </w:tr>
      <w:tr w14:paraId="79ED8B52">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7" w:hRule="atLeast"/>
          <w:jc w:val="center"/>
        </w:trPr>
        <w:tc>
          <w:tcPr>
            <w:tcW w:w="744" w:type="dxa"/>
            <w:tcBorders>
              <w:top w:val="single" w:color="auto" w:sz="4" w:space="0"/>
              <w:left w:val="single" w:color="auto" w:sz="4" w:space="0"/>
              <w:bottom w:val="single" w:color="auto" w:sz="4" w:space="0"/>
              <w:right w:val="single" w:color="auto" w:sz="4" w:space="0"/>
            </w:tcBorders>
            <w:shd w:val="clear" w:color="auto" w:fill="auto"/>
            <w:vAlign w:val="top"/>
          </w:tcPr>
          <w:p w14:paraId="53C63D8F">
            <w:pPr>
              <w:pStyle w:val="107"/>
              <w:spacing w:before="208" w:line="146" w:lineRule="exact"/>
              <w:ind w:left="0" w:leftChars="0"/>
              <w:jc w:val="center"/>
              <w:rPr>
                <w:rFonts w:ascii="宋体" w:hAnsi="宋体" w:eastAsia="宋体" w:cs="宋体"/>
                <w:kern w:val="2"/>
                <w:sz w:val="21"/>
                <w:szCs w:val="21"/>
                <w:highlight w:val="none"/>
                <w:lang w:val="en-US" w:eastAsia="en-US" w:bidi="ar-SA"/>
              </w:rPr>
            </w:pPr>
            <w:r>
              <w:rPr>
                <w:position w:val="-3"/>
                <w:sz w:val="21"/>
                <w:szCs w:val="21"/>
                <w:highlight w:val="none"/>
              </w:rPr>
              <w:t>…</w:t>
            </w:r>
          </w:p>
        </w:tc>
        <w:tc>
          <w:tcPr>
            <w:tcW w:w="3641" w:type="dxa"/>
            <w:tcBorders>
              <w:top w:val="single" w:color="auto" w:sz="4" w:space="0"/>
              <w:left w:val="single" w:color="auto" w:sz="4" w:space="0"/>
              <w:bottom w:val="single" w:color="auto" w:sz="4" w:space="0"/>
              <w:right w:val="single" w:color="auto" w:sz="4" w:space="0"/>
            </w:tcBorders>
            <w:shd w:val="clear" w:color="auto" w:fill="auto"/>
            <w:vAlign w:val="top"/>
          </w:tcPr>
          <w:p w14:paraId="631F4725">
            <w:pPr>
              <w:rPr>
                <w:rFonts w:ascii="Arial" w:hAnsi="Times New Roman" w:eastAsia="宋体" w:cs="Times New Roman"/>
                <w:kern w:val="2"/>
                <w:sz w:val="21"/>
                <w:szCs w:val="21"/>
                <w:highlight w:val="none"/>
                <w:lang w:val="en-US" w:eastAsia="zh-CN" w:bidi="ar-SA"/>
              </w:rPr>
            </w:pPr>
          </w:p>
        </w:tc>
        <w:tc>
          <w:tcPr>
            <w:tcW w:w="1335" w:type="dxa"/>
            <w:tcBorders>
              <w:top w:val="single" w:color="auto" w:sz="4" w:space="0"/>
              <w:left w:val="single" w:color="auto" w:sz="4" w:space="0"/>
              <w:bottom w:val="single" w:color="auto" w:sz="4" w:space="0"/>
              <w:right w:val="single" w:color="auto" w:sz="4" w:space="0"/>
            </w:tcBorders>
            <w:vAlign w:val="bottom"/>
          </w:tcPr>
          <w:p w14:paraId="1393F4D3">
            <w:pPr>
              <w:widowControl/>
              <w:jc w:val="left"/>
              <w:rPr>
                <w:kern w:val="0"/>
                <w:sz w:val="21"/>
                <w:szCs w:val="21"/>
                <w:highlight w:val="none"/>
              </w:rPr>
            </w:pPr>
            <w:r>
              <w:rPr>
                <w:kern w:val="0"/>
                <w:sz w:val="21"/>
                <w:szCs w:val="21"/>
                <w:highlight w:val="none"/>
              </w:rPr>
              <w:t>　</w:t>
            </w:r>
          </w:p>
        </w:tc>
        <w:tc>
          <w:tcPr>
            <w:tcW w:w="1181" w:type="dxa"/>
            <w:tcBorders>
              <w:top w:val="single" w:color="auto" w:sz="4" w:space="0"/>
              <w:left w:val="single" w:color="auto" w:sz="4" w:space="0"/>
              <w:bottom w:val="single" w:color="auto" w:sz="4" w:space="0"/>
              <w:right w:val="single" w:color="auto" w:sz="4" w:space="0"/>
            </w:tcBorders>
            <w:vAlign w:val="bottom"/>
          </w:tcPr>
          <w:p w14:paraId="0971C9FB">
            <w:pPr>
              <w:widowControl/>
              <w:jc w:val="left"/>
              <w:rPr>
                <w:kern w:val="0"/>
                <w:sz w:val="21"/>
                <w:szCs w:val="21"/>
                <w:highlight w:val="none"/>
              </w:rPr>
            </w:pPr>
            <w:r>
              <w:rPr>
                <w:kern w:val="0"/>
                <w:sz w:val="21"/>
                <w:szCs w:val="21"/>
                <w:highlight w:val="none"/>
              </w:rPr>
              <w:t>　</w:t>
            </w:r>
          </w:p>
        </w:tc>
        <w:tc>
          <w:tcPr>
            <w:tcW w:w="1181" w:type="dxa"/>
            <w:gridSpan w:val="3"/>
            <w:tcBorders>
              <w:top w:val="single" w:color="auto" w:sz="4" w:space="0"/>
              <w:left w:val="single" w:color="auto" w:sz="4" w:space="0"/>
              <w:bottom w:val="single" w:color="auto" w:sz="4" w:space="0"/>
              <w:right w:val="single" w:color="auto" w:sz="4" w:space="0"/>
            </w:tcBorders>
            <w:vAlign w:val="bottom"/>
          </w:tcPr>
          <w:p w14:paraId="49F4B86B">
            <w:pPr>
              <w:widowControl/>
              <w:jc w:val="left"/>
              <w:rPr>
                <w:kern w:val="0"/>
                <w:sz w:val="21"/>
                <w:szCs w:val="21"/>
                <w:highlight w:val="none"/>
              </w:rPr>
            </w:pPr>
            <w:r>
              <w:rPr>
                <w:kern w:val="0"/>
                <w:sz w:val="21"/>
                <w:szCs w:val="21"/>
                <w:highlight w:val="none"/>
              </w:rPr>
              <w:t>　</w:t>
            </w:r>
          </w:p>
        </w:tc>
        <w:tc>
          <w:tcPr>
            <w:tcW w:w="1181" w:type="dxa"/>
            <w:gridSpan w:val="2"/>
            <w:tcBorders>
              <w:top w:val="single" w:color="auto" w:sz="4" w:space="0"/>
              <w:left w:val="single" w:color="auto" w:sz="4" w:space="0"/>
              <w:bottom w:val="single" w:color="auto" w:sz="4" w:space="0"/>
              <w:right w:val="single" w:color="auto" w:sz="4" w:space="0"/>
            </w:tcBorders>
            <w:vAlign w:val="bottom"/>
          </w:tcPr>
          <w:p w14:paraId="365A9F60">
            <w:pPr>
              <w:widowControl/>
              <w:jc w:val="left"/>
              <w:rPr>
                <w:kern w:val="0"/>
                <w:sz w:val="21"/>
                <w:szCs w:val="21"/>
                <w:highlight w:val="none"/>
              </w:rPr>
            </w:pPr>
          </w:p>
        </w:tc>
      </w:tr>
      <w:tr w14:paraId="0CCEC060">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7" w:hRule="atLeast"/>
          <w:jc w:val="center"/>
        </w:trPr>
        <w:tc>
          <w:tcPr>
            <w:tcW w:w="744" w:type="dxa"/>
            <w:tcBorders>
              <w:top w:val="single" w:color="auto" w:sz="4" w:space="0"/>
              <w:left w:val="single" w:color="auto" w:sz="4" w:space="0"/>
              <w:bottom w:val="single" w:color="auto" w:sz="4" w:space="0"/>
              <w:right w:val="single" w:color="auto" w:sz="4" w:space="0"/>
            </w:tcBorders>
            <w:shd w:val="clear" w:color="auto" w:fill="auto"/>
            <w:vAlign w:val="top"/>
          </w:tcPr>
          <w:p w14:paraId="39349A94">
            <w:pPr>
              <w:pStyle w:val="107"/>
              <w:spacing w:before="125"/>
              <w:ind w:left="0" w:leftChars="0"/>
              <w:jc w:val="center"/>
              <w:rPr>
                <w:rFonts w:ascii="宋体" w:hAnsi="宋体" w:eastAsia="宋体" w:cs="宋体"/>
                <w:kern w:val="2"/>
                <w:sz w:val="22"/>
                <w:szCs w:val="22"/>
                <w:highlight w:val="none"/>
                <w:lang w:val="en-US" w:eastAsia="en-US" w:bidi="ar-SA"/>
              </w:rPr>
            </w:pPr>
          </w:p>
        </w:tc>
        <w:tc>
          <w:tcPr>
            <w:tcW w:w="3641" w:type="dxa"/>
            <w:tcBorders>
              <w:top w:val="single" w:color="auto" w:sz="4" w:space="0"/>
              <w:left w:val="single" w:color="auto" w:sz="4" w:space="0"/>
              <w:bottom w:val="single" w:color="auto" w:sz="4" w:space="0"/>
              <w:right w:val="single" w:color="auto" w:sz="4" w:space="0"/>
            </w:tcBorders>
            <w:shd w:val="clear" w:color="auto" w:fill="auto"/>
            <w:vAlign w:val="top"/>
          </w:tcPr>
          <w:p w14:paraId="784D2A4B">
            <w:pPr>
              <w:pStyle w:val="107"/>
              <w:spacing w:before="125" w:line="221" w:lineRule="auto"/>
              <w:ind w:left="0" w:leftChars="0"/>
              <w:jc w:val="center"/>
              <w:rPr>
                <w:rFonts w:ascii="宋体" w:hAnsi="宋体" w:eastAsia="宋体" w:cs="宋体"/>
                <w:kern w:val="2"/>
                <w:sz w:val="22"/>
                <w:szCs w:val="22"/>
                <w:highlight w:val="none"/>
                <w:lang w:val="en-US" w:eastAsia="en-US" w:bidi="ar-SA"/>
              </w:rPr>
            </w:pPr>
          </w:p>
        </w:tc>
        <w:tc>
          <w:tcPr>
            <w:tcW w:w="1335" w:type="dxa"/>
            <w:tcBorders>
              <w:top w:val="single" w:color="auto" w:sz="4" w:space="0"/>
              <w:left w:val="single" w:color="auto" w:sz="4" w:space="0"/>
              <w:bottom w:val="single" w:color="auto" w:sz="4" w:space="0"/>
              <w:right w:val="single" w:color="auto" w:sz="4" w:space="0"/>
            </w:tcBorders>
            <w:vAlign w:val="bottom"/>
          </w:tcPr>
          <w:p w14:paraId="71B14E3B">
            <w:pPr>
              <w:widowControl/>
              <w:jc w:val="left"/>
              <w:rPr>
                <w:kern w:val="0"/>
                <w:sz w:val="24"/>
                <w:highlight w:val="none"/>
              </w:rPr>
            </w:pPr>
            <w:r>
              <w:rPr>
                <w:kern w:val="0"/>
                <w:sz w:val="24"/>
                <w:highlight w:val="none"/>
              </w:rPr>
              <w:t>　</w:t>
            </w:r>
          </w:p>
        </w:tc>
        <w:tc>
          <w:tcPr>
            <w:tcW w:w="1181" w:type="dxa"/>
            <w:tcBorders>
              <w:top w:val="single" w:color="auto" w:sz="4" w:space="0"/>
              <w:left w:val="single" w:color="auto" w:sz="4" w:space="0"/>
              <w:bottom w:val="single" w:color="auto" w:sz="4" w:space="0"/>
              <w:right w:val="single" w:color="auto" w:sz="4" w:space="0"/>
            </w:tcBorders>
            <w:vAlign w:val="bottom"/>
          </w:tcPr>
          <w:p w14:paraId="0C5BC1DD">
            <w:pPr>
              <w:widowControl/>
              <w:jc w:val="left"/>
              <w:rPr>
                <w:kern w:val="0"/>
                <w:sz w:val="24"/>
                <w:highlight w:val="none"/>
              </w:rPr>
            </w:pPr>
            <w:r>
              <w:rPr>
                <w:kern w:val="0"/>
                <w:sz w:val="24"/>
                <w:highlight w:val="none"/>
              </w:rPr>
              <w:t>　</w:t>
            </w:r>
          </w:p>
        </w:tc>
        <w:tc>
          <w:tcPr>
            <w:tcW w:w="1181" w:type="dxa"/>
            <w:gridSpan w:val="3"/>
            <w:tcBorders>
              <w:top w:val="single" w:color="auto" w:sz="4" w:space="0"/>
              <w:left w:val="single" w:color="auto" w:sz="4" w:space="0"/>
              <w:bottom w:val="single" w:color="auto" w:sz="4" w:space="0"/>
              <w:right w:val="single" w:color="auto" w:sz="4" w:space="0"/>
            </w:tcBorders>
            <w:vAlign w:val="bottom"/>
          </w:tcPr>
          <w:p w14:paraId="3C19F9A1">
            <w:pPr>
              <w:widowControl/>
              <w:jc w:val="left"/>
              <w:rPr>
                <w:kern w:val="0"/>
                <w:sz w:val="21"/>
                <w:szCs w:val="21"/>
                <w:highlight w:val="none"/>
              </w:rPr>
            </w:pPr>
            <w:r>
              <w:rPr>
                <w:kern w:val="0"/>
                <w:sz w:val="21"/>
                <w:szCs w:val="21"/>
                <w:highlight w:val="none"/>
              </w:rPr>
              <w:t>　</w:t>
            </w:r>
          </w:p>
        </w:tc>
        <w:tc>
          <w:tcPr>
            <w:tcW w:w="1181" w:type="dxa"/>
            <w:gridSpan w:val="2"/>
            <w:tcBorders>
              <w:top w:val="single" w:color="auto" w:sz="4" w:space="0"/>
              <w:left w:val="single" w:color="auto" w:sz="4" w:space="0"/>
              <w:bottom w:val="single" w:color="auto" w:sz="4" w:space="0"/>
              <w:right w:val="single" w:color="auto" w:sz="4" w:space="0"/>
            </w:tcBorders>
            <w:vAlign w:val="bottom"/>
          </w:tcPr>
          <w:p w14:paraId="7A40D234">
            <w:pPr>
              <w:widowControl/>
              <w:jc w:val="left"/>
              <w:rPr>
                <w:kern w:val="0"/>
                <w:sz w:val="21"/>
                <w:szCs w:val="21"/>
                <w:highlight w:val="none"/>
              </w:rPr>
            </w:pPr>
          </w:p>
        </w:tc>
      </w:tr>
      <w:tr w14:paraId="532B8459">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7" w:hRule="atLeast"/>
          <w:jc w:val="center"/>
        </w:trPr>
        <w:tc>
          <w:tcPr>
            <w:tcW w:w="744" w:type="dxa"/>
            <w:tcBorders>
              <w:top w:val="single" w:color="auto" w:sz="4" w:space="0"/>
              <w:left w:val="single" w:color="auto" w:sz="4" w:space="0"/>
              <w:bottom w:val="single" w:color="auto" w:sz="4" w:space="0"/>
              <w:right w:val="single" w:color="auto" w:sz="4" w:space="0"/>
            </w:tcBorders>
            <w:shd w:val="clear" w:color="auto" w:fill="auto"/>
            <w:vAlign w:val="top"/>
          </w:tcPr>
          <w:p w14:paraId="1B45CA09">
            <w:pPr>
              <w:pStyle w:val="107"/>
              <w:spacing w:before="129" w:line="242" w:lineRule="auto"/>
              <w:ind w:left="0" w:leftChars="0"/>
              <w:jc w:val="center"/>
              <w:rPr>
                <w:rFonts w:ascii="宋体" w:hAnsi="宋体" w:eastAsia="宋体" w:cs="宋体"/>
                <w:kern w:val="2"/>
                <w:sz w:val="22"/>
                <w:szCs w:val="22"/>
                <w:highlight w:val="none"/>
                <w:lang w:val="en-US" w:eastAsia="en-US" w:bidi="ar-SA"/>
              </w:rPr>
            </w:pPr>
          </w:p>
        </w:tc>
        <w:tc>
          <w:tcPr>
            <w:tcW w:w="3641" w:type="dxa"/>
            <w:tcBorders>
              <w:top w:val="single" w:color="auto" w:sz="4" w:space="0"/>
              <w:left w:val="single" w:color="auto" w:sz="4" w:space="0"/>
              <w:bottom w:val="single" w:color="auto" w:sz="4" w:space="0"/>
              <w:right w:val="single" w:color="auto" w:sz="4" w:space="0"/>
            </w:tcBorders>
            <w:shd w:val="clear" w:color="auto" w:fill="auto"/>
            <w:vAlign w:val="top"/>
          </w:tcPr>
          <w:p w14:paraId="37429B0B">
            <w:pPr>
              <w:pStyle w:val="107"/>
              <w:spacing w:before="129" w:line="220" w:lineRule="auto"/>
              <w:ind w:left="0" w:leftChars="0"/>
              <w:jc w:val="center"/>
              <w:rPr>
                <w:rFonts w:ascii="宋体" w:hAnsi="宋体" w:eastAsia="宋体" w:cs="宋体"/>
                <w:kern w:val="2"/>
                <w:sz w:val="22"/>
                <w:szCs w:val="22"/>
                <w:highlight w:val="none"/>
                <w:lang w:val="en-US" w:eastAsia="en-US" w:bidi="ar-SA"/>
              </w:rPr>
            </w:pPr>
          </w:p>
        </w:tc>
        <w:tc>
          <w:tcPr>
            <w:tcW w:w="1335" w:type="dxa"/>
            <w:tcBorders>
              <w:top w:val="single" w:color="auto" w:sz="4" w:space="0"/>
              <w:left w:val="single" w:color="auto" w:sz="4" w:space="0"/>
              <w:bottom w:val="single" w:color="auto" w:sz="4" w:space="0"/>
              <w:right w:val="single" w:color="auto" w:sz="4" w:space="0"/>
            </w:tcBorders>
            <w:vAlign w:val="bottom"/>
          </w:tcPr>
          <w:p w14:paraId="403C356A">
            <w:pPr>
              <w:widowControl/>
              <w:jc w:val="left"/>
              <w:rPr>
                <w:kern w:val="0"/>
                <w:sz w:val="24"/>
                <w:highlight w:val="none"/>
              </w:rPr>
            </w:pPr>
            <w:r>
              <w:rPr>
                <w:kern w:val="0"/>
                <w:sz w:val="24"/>
                <w:highlight w:val="none"/>
              </w:rPr>
              <w:t>　</w:t>
            </w:r>
          </w:p>
        </w:tc>
        <w:tc>
          <w:tcPr>
            <w:tcW w:w="1181" w:type="dxa"/>
            <w:tcBorders>
              <w:top w:val="single" w:color="auto" w:sz="4" w:space="0"/>
              <w:left w:val="single" w:color="auto" w:sz="4" w:space="0"/>
              <w:bottom w:val="single" w:color="auto" w:sz="4" w:space="0"/>
              <w:right w:val="single" w:color="auto" w:sz="4" w:space="0"/>
            </w:tcBorders>
            <w:vAlign w:val="bottom"/>
          </w:tcPr>
          <w:p w14:paraId="03E3E886">
            <w:pPr>
              <w:widowControl/>
              <w:jc w:val="left"/>
              <w:rPr>
                <w:kern w:val="0"/>
                <w:sz w:val="24"/>
                <w:highlight w:val="none"/>
              </w:rPr>
            </w:pPr>
            <w:r>
              <w:rPr>
                <w:kern w:val="0"/>
                <w:sz w:val="24"/>
                <w:highlight w:val="none"/>
              </w:rPr>
              <w:t>　</w:t>
            </w:r>
          </w:p>
        </w:tc>
        <w:tc>
          <w:tcPr>
            <w:tcW w:w="1181" w:type="dxa"/>
            <w:gridSpan w:val="3"/>
            <w:tcBorders>
              <w:top w:val="single" w:color="auto" w:sz="4" w:space="0"/>
              <w:left w:val="single" w:color="auto" w:sz="4" w:space="0"/>
              <w:bottom w:val="single" w:color="auto" w:sz="4" w:space="0"/>
              <w:right w:val="single" w:color="auto" w:sz="4" w:space="0"/>
            </w:tcBorders>
            <w:vAlign w:val="bottom"/>
          </w:tcPr>
          <w:p w14:paraId="7760A9C4">
            <w:pPr>
              <w:widowControl/>
              <w:jc w:val="left"/>
              <w:rPr>
                <w:kern w:val="0"/>
                <w:sz w:val="21"/>
                <w:szCs w:val="21"/>
                <w:highlight w:val="none"/>
              </w:rPr>
            </w:pPr>
            <w:r>
              <w:rPr>
                <w:kern w:val="0"/>
                <w:sz w:val="21"/>
                <w:szCs w:val="21"/>
                <w:highlight w:val="none"/>
              </w:rPr>
              <w:t>　</w:t>
            </w:r>
          </w:p>
        </w:tc>
        <w:tc>
          <w:tcPr>
            <w:tcW w:w="1181" w:type="dxa"/>
            <w:gridSpan w:val="2"/>
            <w:tcBorders>
              <w:top w:val="single" w:color="auto" w:sz="4" w:space="0"/>
              <w:left w:val="single" w:color="auto" w:sz="4" w:space="0"/>
              <w:bottom w:val="single" w:color="auto" w:sz="4" w:space="0"/>
              <w:right w:val="single" w:color="auto" w:sz="4" w:space="0"/>
            </w:tcBorders>
            <w:vAlign w:val="bottom"/>
          </w:tcPr>
          <w:p w14:paraId="4794BD8E">
            <w:pPr>
              <w:widowControl/>
              <w:jc w:val="left"/>
              <w:rPr>
                <w:kern w:val="0"/>
                <w:sz w:val="21"/>
                <w:szCs w:val="21"/>
                <w:highlight w:val="none"/>
              </w:rPr>
            </w:pPr>
          </w:p>
        </w:tc>
      </w:tr>
      <w:tr w14:paraId="328CDDB9">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76" w:hRule="atLeast"/>
          <w:jc w:val="center"/>
        </w:trPr>
        <w:tc>
          <w:tcPr>
            <w:tcW w:w="4385" w:type="dxa"/>
            <w:gridSpan w:val="2"/>
            <w:tcBorders>
              <w:top w:val="single" w:color="auto" w:sz="4" w:space="0"/>
              <w:left w:val="single" w:color="auto" w:sz="4" w:space="0"/>
              <w:bottom w:val="single" w:color="auto" w:sz="4" w:space="0"/>
              <w:right w:val="single" w:color="000000" w:sz="4" w:space="0"/>
            </w:tcBorders>
            <w:vAlign w:val="center"/>
          </w:tcPr>
          <w:p w14:paraId="0B7F5236">
            <w:pPr>
              <w:widowControl/>
              <w:jc w:val="center"/>
              <w:rPr>
                <w:kern w:val="0"/>
                <w:sz w:val="22"/>
                <w:szCs w:val="22"/>
                <w:highlight w:val="none"/>
              </w:rPr>
            </w:pPr>
            <w:r>
              <w:rPr>
                <w:kern w:val="0"/>
                <w:sz w:val="21"/>
                <w:szCs w:val="21"/>
                <w:highlight w:val="none"/>
              </w:rPr>
              <w:t>合计</w:t>
            </w:r>
          </w:p>
        </w:tc>
        <w:tc>
          <w:tcPr>
            <w:tcW w:w="1335" w:type="dxa"/>
            <w:tcBorders>
              <w:top w:val="single" w:color="auto" w:sz="4" w:space="0"/>
              <w:left w:val="nil"/>
              <w:bottom w:val="single" w:color="auto" w:sz="4" w:space="0"/>
              <w:right w:val="single" w:color="auto" w:sz="4" w:space="0"/>
            </w:tcBorders>
            <w:vAlign w:val="bottom"/>
          </w:tcPr>
          <w:p w14:paraId="064BFC55">
            <w:pPr>
              <w:widowControl/>
              <w:jc w:val="left"/>
              <w:rPr>
                <w:kern w:val="0"/>
                <w:sz w:val="24"/>
                <w:highlight w:val="none"/>
              </w:rPr>
            </w:pPr>
            <w:r>
              <w:rPr>
                <w:kern w:val="0"/>
                <w:sz w:val="24"/>
                <w:highlight w:val="none"/>
              </w:rPr>
              <w:t>　</w:t>
            </w:r>
          </w:p>
        </w:tc>
        <w:tc>
          <w:tcPr>
            <w:tcW w:w="1181" w:type="dxa"/>
            <w:tcBorders>
              <w:top w:val="single" w:color="auto" w:sz="4" w:space="0"/>
              <w:left w:val="nil"/>
              <w:bottom w:val="single" w:color="auto" w:sz="4" w:space="0"/>
              <w:right w:val="single" w:color="auto" w:sz="4" w:space="0"/>
            </w:tcBorders>
            <w:vAlign w:val="bottom"/>
          </w:tcPr>
          <w:p w14:paraId="6F6600CA">
            <w:pPr>
              <w:widowControl/>
              <w:jc w:val="left"/>
              <w:rPr>
                <w:kern w:val="0"/>
                <w:sz w:val="24"/>
                <w:highlight w:val="none"/>
              </w:rPr>
            </w:pPr>
            <w:r>
              <w:rPr>
                <w:kern w:val="0"/>
                <w:sz w:val="24"/>
                <w:highlight w:val="none"/>
              </w:rPr>
              <w:t>　</w:t>
            </w:r>
          </w:p>
        </w:tc>
        <w:tc>
          <w:tcPr>
            <w:tcW w:w="1181" w:type="dxa"/>
            <w:gridSpan w:val="3"/>
            <w:tcBorders>
              <w:top w:val="single" w:color="auto" w:sz="4" w:space="0"/>
              <w:left w:val="nil"/>
              <w:bottom w:val="single" w:color="auto" w:sz="4" w:space="0"/>
              <w:right w:val="single" w:color="auto" w:sz="4" w:space="0"/>
            </w:tcBorders>
            <w:vAlign w:val="bottom"/>
          </w:tcPr>
          <w:p w14:paraId="128E17DE">
            <w:pPr>
              <w:widowControl/>
              <w:jc w:val="left"/>
              <w:rPr>
                <w:kern w:val="0"/>
                <w:sz w:val="21"/>
                <w:szCs w:val="21"/>
                <w:highlight w:val="none"/>
              </w:rPr>
            </w:pPr>
            <w:r>
              <w:rPr>
                <w:kern w:val="0"/>
                <w:sz w:val="21"/>
                <w:szCs w:val="21"/>
                <w:highlight w:val="none"/>
              </w:rPr>
              <w:t>　</w:t>
            </w:r>
          </w:p>
        </w:tc>
        <w:tc>
          <w:tcPr>
            <w:tcW w:w="1181" w:type="dxa"/>
            <w:gridSpan w:val="2"/>
            <w:tcBorders>
              <w:top w:val="single" w:color="auto" w:sz="4" w:space="0"/>
              <w:left w:val="nil"/>
              <w:bottom w:val="single" w:color="auto" w:sz="4" w:space="0"/>
              <w:right w:val="single" w:color="auto" w:sz="4" w:space="0"/>
            </w:tcBorders>
            <w:vAlign w:val="bottom"/>
          </w:tcPr>
          <w:p w14:paraId="433AEB82">
            <w:pPr>
              <w:widowControl/>
              <w:jc w:val="left"/>
              <w:rPr>
                <w:kern w:val="0"/>
                <w:sz w:val="21"/>
                <w:szCs w:val="21"/>
                <w:highlight w:val="none"/>
              </w:rPr>
            </w:pPr>
          </w:p>
        </w:tc>
      </w:tr>
      <w:tr w14:paraId="6F3E2AC7">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5" w:hRule="atLeast"/>
          <w:jc w:val="center"/>
        </w:trPr>
        <w:tc>
          <w:tcPr>
            <w:tcW w:w="9263" w:type="dxa"/>
            <w:gridSpan w:val="9"/>
            <w:tcBorders>
              <w:top w:val="single" w:color="auto" w:sz="4" w:space="0"/>
              <w:left w:val="nil"/>
              <w:bottom w:val="nil"/>
              <w:right w:val="nil"/>
            </w:tcBorders>
            <w:vAlign w:val="top"/>
          </w:tcPr>
          <w:p w14:paraId="132DE038">
            <w:pPr>
              <w:widowControl/>
              <w:numPr>
                <w:ilvl w:val="-1"/>
                <w:numId w:val="0"/>
              </w:numPr>
              <w:spacing w:before="81"/>
              <w:ind w:left="0" w:firstLine="380" w:firstLineChars="200"/>
              <w:jc w:val="left"/>
              <w:rPr>
                <w:spacing w:val="5"/>
                <w:sz w:val="18"/>
                <w:szCs w:val="18"/>
                <w:highlight w:val="none"/>
              </w:rPr>
            </w:pPr>
            <w:r>
              <w:rPr>
                <w:rFonts w:hint="eastAsia"/>
                <w:spacing w:val="5"/>
                <w:sz w:val="18"/>
                <w:szCs w:val="18"/>
                <w:highlight w:val="none"/>
                <w:lang w:val="en-US" w:eastAsia="zh-CN"/>
              </w:rPr>
              <w:t>注</w:t>
            </w:r>
            <w:r>
              <w:rPr>
                <w:rFonts w:hint="eastAsia"/>
                <w:spacing w:val="5"/>
                <w:sz w:val="18"/>
                <w:szCs w:val="18"/>
                <w:highlight w:val="none"/>
                <w:lang w:eastAsia="zh-CN"/>
              </w:rPr>
              <w:t>：</w:t>
            </w:r>
            <w:r>
              <w:rPr>
                <w:rFonts w:hint="eastAsia"/>
                <w:spacing w:val="5"/>
                <w:sz w:val="18"/>
                <w:szCs w:val="18"/>
                <w:highlight w:val="none"/>
                <w:lang w:val="en-US" w:eastAsia="zh-CN"/>
              </w:rPr>
              <w:t>1. 暂估价包含专</w:t>
            </w:r>
            <w:r>
              <w:rPr>
                <w:spacing w:val="5"/>
                <w:sz w:val="18"/>
                <w:szCs w:val="18"/>
                <w:highlight w:val="none"/>
              </w:rPr>
              <w:t>业工程暂估价</w:t>
            </w:r>
            <w:r>
              <w:rPr>
                <w:rFonts w:hint="eastAsia"/>
                <w:spacing w:val="5"/>
                <w:sz w:val="18"/>
                <w:szCs w:val="18"/>
                <w:highlight w:val="none"/>
                <w:lang w:val="en-US" w:eastAsia="zh-CN"/>
              </w:rPr>
              <w:t>及材料暂估价。</w:t>
            </w:r>
            <w:r>
              <w:rPr>
                <w:spacing w:val="5"/>
                <w:sz w:val="18"/>
                <w:szCs w:val="18"/>
                <w:highlight w:val="none"/>
              </w:rPr>
              <w:t>专业工程暂估价为已含税价格，在计算增值税计算基础时不应包含专业工程暂估价金额；</w:t>
            </w:r>
          </w:p>
          <w:p w14:paraId="687B3A15">
            <w:pPr>
              <w:widowControl/>
              <w:numPr>
                <w:ilvl w:val="-1"/>
                <w:numId w:val="0"/>
              </w:numPr>
              <w:spacing w:before="81"/>
              <w:ind w:left="0" w:firstLine="760" w:firstLineChars="400"/>
              <w:rPr>
                <w:kern w:val="0"/>
                <w:sz w:val="18"/>
                <w:szCs w:val="18"/>
                <w:highlight w:val="none"/>
              </w:rPr>
            </w:pPr>
            <w:r>
              <w:rPr>
                <w:rFonts w:hint="eastAsia"/>
                <w:spacing w:val="5"/>
                <w:sz w:val="18"/>
                <w:szCs w:val="18"/>
                <w:highlight w:val="none"/>
                <w:lang w:val="en-US" w:eastAsia="zh-CN"/>
              </w:rPr>
              <w:t xml:space="preserve">2. </w:t>
            </w:r>
            <w:r>
              <w:rPr>
                <w:spacing w:val="6"/>
                <w:sz w:val="18"/>
                <w:szCs w:val="18"/>
                <w:highlight w:val="none"/>
              </w:rPr>
              <w:t>本表宜用于按合同标的为工程量清单编制对象的工程汇总计算，以单项工程为工程</w:t>
            </w:r>
            <w:r>
              <w:rPr>
                <w:spacing w:val="8"/>
                <w:sz w:val="18"/>
                <w:szCs w:val="18"/>
                <w:highlight w:val="none"/>
              </w:rPr>
              <w:t>量清单编制对象的工程可按本表汇总计算。</w:t>
            </w:r>
          </w:p>
        </w:tc>
      </w:tr>
    </w:tbl>
    <w:p w14:paraId="21EDA661">
      <w:pPr>
        <w:widowControl/>
        <w:jc w:val="left"/>
        <w:outlineLvl w:val="9"/>
        <w:rPr>
          <w:rFonts w:hint="eastAsia" w:eastAsia="宋体" w:cs="Times New Roman"/>
          <w:b w:val="0"/>
          <w:bCs w:val="0"/>
          <w:spacing w:val="9"/>
          <w:sz w:val="28"/>
          <w:szCs w:val="28"/>
          <w:highlight w:val="none"/>
          <w:lang w:val="en-US" w:eastAsia="zh-CN"/>
        </w:rPr>
      </w:pPr>
      <w:r>
        <w:rPr>
          <w:rFonts w:hint="eastAsia" w:eastAsia="宋体" w:cs="Times New Roman"/>
          <w:b w:val="0"/>
          <w:bCs w:val="0"/>
          <w:spacing w:val="9"/>
          <w:sz w:val="28"/>
          <w:szCs w:val="28"/>
          <w:highlight w:val="none"/>
          <w:lang w:val="en-US" w:eastAsia="zh-CN"/>
        </w:rPr>
        <w:br w:type="page"/>
      </w:r>
    </w:p>
    <w:p w14:paraId="386BBDDF">
      <w:pPr>
        <w:widowControl/>
        <w:jc w:val="center"/>
        <w:outlineLvl w:val="2"/>
        <w:rPr>
          <w:rFonts w:hint="eastAsia" w:eastAsia="宋体" w:cs="Times New Roman"/>
          <w:spacing w:val="9"/>
          <w:sz w:val="29"/>
          <w:szCs w:val="29"/>
          <w:highlight w:val="none"/>
          <w:lang w:val="en-US" w:eastAsia="zh-CN"/>
        </w:rPr>
      </w:pPr>
      <w:r>
        <w:rPr>
          <w:b w:val="0"/>
          <w:bCs w:val="0"/>
          <w:kern w:val="0"/>
          <w:sz w:val="28"/>
          <w:szCs w:val="28"/>
          <w:highlight w:val="none"/>
        </w:rPr>
        <w:t>单位工程</w:t>
      </w:r>
      <w:r>
        <w:rPr>
          <w:rFonts w:hint="eastAsia"/>
          <w:b w:val="0"/>
          <w:bCs w:val="0"/>
          <w:kern w:val="0"/>
          <w:sz w:val="28"/>
          <w:szCs w:val="28"/>
          <w:highlight w:val="none"/>
        </w:rPr>
        <w:t>最高投标限价</w:t>
      </w:r>
      <w:r>
        <w:rPr>
          <w:b w:val="0"/>
          <w:bCs w:val="0"/>
          <w:kern w:val="0"/>
          <w:sz w:val="28"/>
          <w:szCs w:val="28"/>
          <w:highlight w:val="none"/>
        </w:rPr>
        <w:t>/投标</w:t>
      </w:r>
      <w:r>
        <w:rPr>
          <w:rFonts w:hint="eastAsia"/>
          <w:b w:val="0"/>
          <w:bCs w:val="0"/>
          <w:kern w:val="0"/>
          <w:sz w:val="28"/>
          <w:szCs w:val="28"/>
          <w:highlight w:val="none"/>
          <w:lang w:eastAsia="zh-CN"/>
        </w:rPr>
        <w:t>总</w:t>
      </w:r>
      <w:r>
        <w:rPr>
          <w:b w:val="0"/>
          <w:bCs w:val="0"/>
          <w:kern w:val="0"/>
          <w:sz w:val="28"/>
          <w:szCs w:val="28"/>
          <w:highlight w:val="none"/>
        </w:rPr>
        <w:t>价汇总表</w:t>
      </w:r>
    </w:p>
    <w:tbl>
      <w:tblPr>
        <w:tblStyle w:val="41"/>
        <w:tblW w:w="9212" w:type="dxa"/>
        <w:jc w:val="center"/>
        <w:tblLayout w:type="fixed"/>
        <w:tblCellMar>
          <w:top w:w="0" w:type="dxa"/>
          <w:left w:w="108" w:type="dxa"/>
          <w:bottom w:w="0" w:type="dxa"/>
          <w:right w:w="108" w:type="dxa"/>
        </w:tblCellMar>
      </w:tblPr>
      <w:tblGrid>
        <w:gridCol w:w="1032"/>
        <w:gridCol w:w="4147"/>
        <w:gridCol w:w="1500"/>
        <w:gridCol w:w="2533"/>
      </w:tblGrid>
      <w:tr w14:paraId="181AB870">
        <w:tblPrEx>
          <w:tblCellMar>
            <w:top w:w="0" w:type="dxa"/>
            <w:left w:w="108" w:type="dxa"/>
            <w:bottom w:w="0" w:type="dxa"/>
            <w:right w:w="108" w:type="dxa"/>
          </w:tblCellMar>
        </w:tblPrEx>
        <w:trPr>
          <w:trHeight w:val="496" w:hRule="atLeast"/>
          <w:jc w:val="center"/>
        </w:trPr>
        <w:tc>
          <w:tcPr>
            <w:tcW w:w="6679" w:type="dxa"/>
            <w:gridSpan w:val="3"/>
            <w:tcBorders>
              <w:top w:val="nil"/>
              <w:left w:val="nil"/>
              <w:bottom w:val="single" w:color="auto" w:sz="4" w:space="0"/>
              <w:right w:val="nil"/>
            </w:tcBorders>
            <w:vAlign w:val="center"/>
          </w:tcPr>
          <w:p w14:paraId="42D9CD80">
            <w:pPr>
              <w:widowControl/>
              <w:jc w:val="left"/>
              <w:rPr>
                <w:kern w:val="0"/>
                <w:sz w:val="21"/>
                <w:szCs w:val="21"/>
                <w:highlight w:val="none"/>
              </w:rPr>
            </w:pPr>
            <w:r>
              <w:rPr>
                <w:kern w:val="0"/>
                <w:sz w:val="21"/>
                <w:szCs w:val="21"/>
                <w:highlight w:val="none"/>
              </w:rPr>
              <w:t>工程名称：                     标段：</w:t>
            </w:r>
          </w:p>
        </w:tc>
        <w:tc>
          <w:tcPr>
            <w:tcW w:w="2533" w:type="dxa"/>
            <w:tcBorders>
              <w:top w:val="nil"/>
              <w:left w:val="nil"/>
              <w:bottom w:val="single" w:color="auto" w:sz="4" w:space="0"/>
              <w:right w:val="nil"/>
            </w:tcBorders>
            <w:vAlign w:val="center"/>
          </w:tcPr>
          <w:p w14:paraId="487AE73D">
            <w:pPr>
              <w:widowControl/>
              <w:ind w:right="-167"/>
              <w:rPr>
                <w:rFonts w:hint="eastAsia" w:eastAsia="宋体"/>
                <w:kern w:val="0"/>
                <w:sz w:val="21"/>
                <w:szCs w:val="21"/>
                <w:highlight w:val="none"/>
                <w:lang w:val="en-US" w:eastAsia="zh-CN"/>
              </w:rPr>
            </w:pPr>
            <w:r>
              <w:rPr>
                <w:kern w:val="0"/>
                <w:sz w:val="21"/>
                <w:szCs w:val="21"/>
                <w:highlight w:val="none"/>
              </w:rPr>
              <w:t>第  页   共  页</w:t>
            </w:r>
            <w:r>
              <w:rPr>
                <w:rFonts w:hint="eastAsia"/>
                <w:kern w:val="0"/>
                <w:sz w:val="21"/>
                <w:szCs w:val="21"/>
                <w:highlight w:val="none"/>
                <w:lang w:val="en-US" w:eastAsia="zh-CN"/>
              </w:rPr>
              <w:t xml:space="preserve"> </w:t>
            </w:r>
          </w:p>
        </w:tc>
      </w:tr>
      <w:tr w14:paraId="69AB453F">
        <w:tblPrEx>
          <w:tblCellMar>
            <w:top w:w="0" w:type="dxa"/>
            <w:left w:w="108" w:type="dxa"/>
            <w:bottom w:w="0" w:type="dxa"/>
            <w:right w:w="108" w:type="dxa"/>
          </w:tblCellMar>
        </w:tblPrEx>
        <w:trPr>
          <w:trHeight w:val="1221" w:hRule="atLeast"/>
          <w:jc w:val="center"/>
        </w:trPr>
        <w:tc>
          <w:tcPr>
            <w:tcW w:w="1032" w:type="dxa"/>
            <w:tcBorders>
              <w:top w:val="nil"/>
              <w:left w:val="single" w:color="auto" w:sz="4" w:space="0"/>
              <w:bottom w:val="single" w:color="auto" w:sz="4" w:space="0"/>
              <w:right w:val="single" w:color="auto" w:sz="4" w:space="0"/>
            </w:tcBorders>
            <w:vAlign w:val="center"/>
          </w:tcPr>
          <w:p w14:paraId="440E6BF3">
            <w:pPr>
              <w:widowControl/>
              <w:jc w:val="center"/>
              <w:rPr>
                <w:kern w:val="0"/>
                <w:sz w:val="21"/>
                <w:szCs w:val="21"/>
                <w:highlight w:val="none"/>
              </w:rPr>
            </w:pPr>
            <w:r>
              <w:rPr>
                <w:kern w:val="0"/>
                <w:sz w:val="21"/>
                <w:szCs w:val="21"/>
                <w:highlight w:val="none"/>
              </w:rPr>
              <w:t>序号</w:t>
            </w:r>
          </w:p>
        </w:tc>
        <w:tc>
          <w:tcPr>
            <w:tcW w:w="4147" w:type="dxa"/>
            <w:tcBorders>
              <w:top w:val="nil"/>
              <w:left w:val="nil"/>
              <w:bottom w:val="single" w:color="auto" w:sz="4" w:space="0"/>
              <w:right w:val="single" w:color="auto" w:sz="4" w:space="0"/>
            </w:tcBorders>
            <w:vAlign w:val="center"/>
          </w:tcPr>
          <w:p w14:paraId="243378F9">
            <w:pPr>
              <w:widowControl/>
              <w:jc w:val="center"/>
              <w:rPr>
                <w:kern w:val="0"/>
                <w:sz w:val="21"/>
                <w:szCs w:val="21"/>
                <w:highlight w:val="none"/>
              </w:rPr>
            </w:pPr>
            <w:r>
              <w:rPr>
                <w:kern w:val="0"/>
                <w:sz w:val="21"/>
                <w:szCs w:val="21"/>
                <w:highlight w:val="none"/>
              </w:rPr>
              <w:t>汇总内容</w:t>
            </w:r>
          </w:p>
        </w:tc>
        <w:tc>
          <w:tcPr>
            <w:tcW w:w="1500" w:type="dxa"/>
            <w:tcBorders>
              <w:top w:val="nil"/>
              <w:left w:val="nil"/>
              <w:bottom w:val="single" w:color="auto" w:sz="4" w:space="0"/>
              <w:right w:val="single" w:color="auto" w:sz="4" w:space="0"/>
            </w:tcBorders>
            <w:vAlign w:val="center"/>
          </w:tcPr>
          <w:p w14:paraId="796CB702">
            <w:pPr>
              <w:widowControl/>
              <w:jc w:val="center"/>
              <w:rPr>
                <w:kern w:val="0"/>
                <w:sz w:val="21"/>
                <w:szCs w:val="21"/>
                <w:highlight w:val="none"/>
              </w:rPr>
            </w:pPr>
            <w:r>
              <w:rPr>
                <w:kern w:val="0"/>
                <w:sz w:val="21"/>
                <w:szCs w:val="21"/>
                <w:highlight w:val="none"/>
              </w:rPr>
              <w:t>金额</w:t>
            </w:r>
          </w:p>
          <w:p w14:paraId="26BDC81F">
            <w:pPr>
              <w:widowControl/>
              <w:jc w:val="center"/>
              <w:rPr>
                <w:rFonts w:hint="eastAsia"/>
                <w:kern w:val="0"/>
                <w:sz w:val="21"/>
                <w:szCs w:val="21"/>
                <w:highlight w:val="none"/>
              </w:rPr>
            </w:pPr>
            <w:r>
              <w:rPr>
                <w:rFonts w:hint="eastAsia"/>
                <w:kern w:val="0"/>
                <w:sz w:val="21"/>
                <w:szCs w:val="21"/>
                <w:highlight w:val="none"/>
                <w:lang w:eastAsia="zh-CN"/>
              </w:rPr>
              <w:t>（</w:t>
            </w:r>
            <w:r>
              <w:rPr>
                <w:rFonts w:hint="eastAsia"/>
                <w:kern w:val="0"/>
                <w:sz w:val="21"/>
                <w:szCs w:val="21"/>
                <w:highlight w:val="none"/>
                <w:lang w:val="en-US" w:eastAsia="zh-CN"/>
              </w:rPr>
              <w:t>元</w:t>
            </w:r>
            <w:r>
              <w:rPr>
                <w:rFonts w:hint="eastAsia"/>
                <w:kern w:val="0"/>
                <w:sz w:val="21"/>
                <w:szCs w:val="21"/>
                <w:highlight w:val="none"/>
                <w:lang w:eastAsia="zh-CN"/>
              </w:rPr>
              <w:t>）</w:t>
            </w:r>
          </w:p>
        </w:tc>
        <w:tc>
          <w:tcPr>
            <w:tcW w:w="2533" w:type="dxa"/>
            <w:tcBorders>
              <w:top w:val="nil"/>
              <w:left w:val="nil"/>
              <w:bottom w:val="single" w:color="auto" w:sz="4" w:space="0"/>
              <w:right w:val="single" w:color="auto" w:sz="4" w:space="0"/>
            </w:tcBorders>
            <w:vAlign w:val="center"/>
          </w:tcPr>
          <w:p w14:paraId="777C475A">
            <w:pPr>
              <w:widowControl/>
              <w:jc w:val="center"/>
              <w:rPr>
                <w:kern w:val="0"/>
                <w:sz w:val="21"/>
                <w:szCs w:val="21"/>
                <w:highlight w:val="none"/>
              </w:rPr>
            </w:pPr>
            <w:r>
              <w:rPr>
                <w:kern w:val="0"/>
                <w:sz w:val="21"/>
                <w:szCs w:val="21"/>
                <w:highlight w:val="none"/>
              </w:rPr>
              <w:t>其中：</w:t>
            </w:r>
          </w:p>
          <w:p w14:paraId="3748FE39">
            <w:pPr>
              <w:widowControl/>
              <w:jc w:val="center"/>
              <w:rPr>
                <w:rFonts w:hint="eastAsia"/>
                <w:kern w:val="0"/>
                <w:sz w:val="21"/>
                <w:szCs w:val="21"/>
                <w:highlight w:val="none"/>
              </w:rPr>
            </w:pPr>
            <w:r>
              <w:rPr>
                <w:kern w:val="0"/>
                <w:sz w:val="21"/>
                <w:szCs w:val="21"/>
                <w:highlight w:val="none"/>
              </w:rPr>
              <w:t>材料暂估价</w:t>
            </w:r>
            <w:r>
              <w:rPr>
                <w:rFonts w:hint="eastAsia"/>
                <w:kern w:val="0"/>
                <w:sz w:val="21"/>
                <w:szCs w:val="21"/>
                <w:highlight w:val="none"/>
                <w:lang w:eastAsia="zh-CN"/>
              </w:rPr>
              <w:t>（</w:t>
            </w:r>
            <w:r>
              <w:rPr>
                <w:rFonts w:hint="eastAsia"/>
                <w:kern w:val="0"/>
                <w:sz w:val="21"/>
                <w:szCs w:val="21"/>
                <w:highlight w:val="none"/>
                <w:lang w:val="en-US" w:eastAsia="zh-CN"/>
              </w:rPr>
              <w:t>元</w:t>
            </w:r>
            <w:r>
              <w:rPr>
                <w:rFonts w:hint="eastAsia"/>
                <w:kern w:val="0"/>
                <w:sz w:val="21"/>
                <w:szCs w:val="21"/>
                <w:highlight w:val="none"/>
                <w:lang w:eastAsia="zh-CN"/>
              </w:rPr>
              <w:t>）</w:t>
            </w:r>
          </w:p>
        </w:tc>
      </w:tr>
      <w:tr w14:paraId="7ACDCDF2">
        <w:tblPrEx>
          <w:tblCellMar>
            <w:top w:w="0" w:type="dxa"/>
            <w:left w:w="108" w:type="dxa"/>
            <w:bottom w:w="0" w:type="dxa"/>
            <w:right w:w="108" w:type="dxa"/>
          </w:tblCellMar>
        </w:tblPrEx>
        <w:trPr>
          <w:trHeight w:val="418" w:hRule="atLeast"/>
          <w:jc w:val="center"/>
        </w:trPr>
        <w:tc>
          <w:tcPr>
            <w:tcW w:w="1032" w:type="dxa"/>
            <w:tcBorders>
              <w:top w:val="nil"/>
              <w:left w:val="single" w:color="auto" w:sz="4" w:space="0"/>
              <w:bottom w:val="single" w:color="auto" w:sz="4" w:space="0"/>
              <w:right w:val="single" w:color="auto" w:sz="4" w:space="0"/>
            </w:tcBorders>
            <w:vAlign w:val="center"/>
          </w:tcPr>
          <w:p w14:paraId="5C5ACCAA">
            <w:pPr>
              <w:widowControl/>
              <w:jc w:val="center"/>
              <w:rPr>
                <w:kern w:val="0"/>
                <w:sz w:val="21"/>
                <w:szCs w:val="21"/>
                <w:highlight w:val="none"/>
              </w:rPr>
            </w:pPr>
            <w:r>
              <w:rPr>
                <w:kern w:val="0"/>
                <w:sz w:val="21"/>
                <w:szCs w:val="21"/>
                <w:highlight w:val="none"/>
              </w:rPr>
              <w:t>1</w:t>
            </w:r>
          </w:p>
        </w:tc>
        <w:tc>
          <w:tcPr>
            <w:tcW w:w="4147" w:type="dxa"/>
            <w:tcBorders>
              <w:top w:val="nil"/>
              <w:left w:val="nil"/>
              <w:bottom w:val="single" w:color="auto" w:sz="4" w:space="0"/>
              <w:right w:val="single" w:color="auto" w:sz="4" w:space="0"/>
            </w:tcBorders>
            <w:vAlign w:val="center"/>
          </w:tcPr>
          <w:p w14:paraId="0D3D10C4">
            <w:pPr>
              <w:widowControl/>
              <w:jc w:val="left"/>
              <w:rPr>
                <w:kern w:val="0"/>
                <w:sz w:val="21"/>
                <w:szCs w:val="21"/>
                <w:highlight w:val="none"/>
              </w:rPr>
            </w:pPr>
            <w:r>
              <w:rPr>
                <w:kern w:val="0"/>
                <w:sz w:val="21"/>
                <w:szCs w:val="21"/>
                <w:highlight w:val="none"/>
              </w:rPr>
              <w:t>分部分项工程</w:t>
            </w:r>
          </w:p>
        </w:tc>
        <w:tc>
          <w:tcPr>
            <w:tcW w:w="1500" w:type="dxa"/>
            <w:tcBorders>
              <w:top w:val="nil"/>
              <w:left w:val="nil"/>
              <w:bottom w:val="single" w:color="auto" w:sz="4" w:space="0"/>
              <w:right w:val="single" w:color="auto" w:sz="4" w:space="0"/>
            </w:tcBorders>
            <w:vAlign w:val="center"/>
          </w:tcPr>
          <w:p w14:paraId="6C79FF70">
            <w:pPr>
              <w:widowControl/>
              <w:jc w:val="left"/>
              <w:rPr>
                <w:kern w:val="0"/>
                <w:sz w:val="21"/>
                <w:szCs w:val="21"/>
                <w:highlight w:val="none"/>
              </w:rPr>
            </w:pPr>
          </w:p>
        </w:tc>
        <w:tc>
          <w:tcPr>
            <w:tcW w:w="2533" w:type="dxa"/>
            <w:tcBorders>
              <w:top w:val="nil"/>
              <w:left w:val="nil"/>
              <w:bottom w:val="single" w:color="auto" w:sz="4" w:space="0"/>
              <w:right w:val="single" w:color="auto" w:sz="4" w:space="0"/>
            </w:tcBorders>
            <w:vAlign w:val="center"/>
          </w:tcPr>
          <w:p w14:paraId="1EFC4F57">
            <w:pPr>
              <w:widowControl/>
              <w:jc w:val="left"/>
              <w:rPr>
                <w:kern w:val="0"/>
                <w:sz w:val="21"/>
                <w:szCs w:val="21"/>
                <w:highlight w:val="none"/>
              </w:rPr>
            </w:pPr>
          </w:p>
        </w:tc>
      </w:tr>
      <w:tr w14:paraId="23DEA72D">
        <w:tblPrEx>
          <w:tblCellMar>
            <w:top w:w="0" w:type="dxa"/>
            <w:left w:w="108" w:type="dxa"/>
            <w:bottom w:w="0" w:type="dxa"/>
            <w:right w:w="108" w:type="dxa"/>
          </w:tblCellMar>
        </w:tblPrEx>
        <w:trPr>
          <w:trHeight w:val="418" w:hRule="atLeast"/>
          <w:jc w:val="center"/>
        </w:trPr>
        <w:tc>
          <w:tcPr>
            <w:tcW w:w="1032" w:type="dxa"/>
            <w:tcBorders>
              <w:top w:val="nil"/>
              <w:left w:val="single" w:color="auto" w:sz="4" w:space="0"/>
              <w:bottom w:val="single" w:color="auto" w:sz="4" w:space="0"/>
              <w:right w:val="single" w:color="auto" w:sz="4" w:space="0"/>
            </w:tcBorders>
            <w:vAlign w:val="center"/>
          </w:tcPr>
          <w:p w14:paraId="5ED9037D">
            <w:pPr>
              <w:widowControl/>
              <w:jc w:val="center"/>
              <w:rPr>
                <w:kern w:val="0"/>
                <w:sz w:val="21"/>
                <w:szCs w:val="21"/>
                <w:highlight w:val="none"/>
              </w:rPr>
            </w:pPr>
            <w:r>
              <w:rPr>
                <w:kern w:val="0"/>
                <w:sz w:val="21"/>
                <w:szCs w:val="21"/>
                <w:highlight w:val="none"/>
              </w:rPr>
              <w:t>1.1</w:t>
            </w:r>
          </w:p>
        </w:tc>
        <w:tc>
          <w:tcPr>
            <w:tcW w:w="4147" w:type="dxa"/>
            <w:tcBorders>
              <w:top w:val="nil"/>
              <w:left w:val="nil"/>
              <w:bottom w:val="single" w:color="auto" w:sz="4" w:space="0"/>
              <w:right w:val="single" w:color="auto" w:sz="4" w:space="0"/>
            </w:tcBorders>
            <w:shd w:val="clear" w:color="auto" w:fill="auto"/>
            <w:vAlign w:val="center"/>
          </w:tcPr>
          <w:p w14:paraId="52A11CA6">
            <w:pPr>
              <w:widowControl/>
              <w:jc w:val="left"/>
              <w:rPr>
                <w:rFonts w:hint="default" w:eastAsia="宋体"/>
                <w:kern w:val="0"/>
                <w:sz w:val="21"/>
                <w:szCs w:val="21"/>
                <w:highlight w:val="none"/>
                <w:lang w:val="en-US" w:eastAsia="zh-CN"/>
              </w:rPr>
            </w:pPr>
            <w:r>
              <w:rPr>
                <w:rFonts w:hint="eastAsia" w:ascii="宋体" w:hAnsi="宋体" w:eastAsia="宋体" w:cs="宋体"/>
                <w:kern w:val="0"/>
                <w:sz w:val="21"/>
                <w:szCs w:val="21"/>
                <w:highlight w:val="none"/>
                <w:lang w:val="en-US" w:eastAsia="zh-CN"/>
              </w:rPr>
              <w:t>……</w:t>
            </w:r>
          </w:p>
        </w:tc>
        <w:tc>
          <w:tcPr>
            <w:tcW w:w="1500" w:type="dxa"/>
            <w:tcBorders>
              <w:top w:val="nil"/>
              <w:left w:val="nil"/>
              <w:bottom w:val="single" w:color="auto" w:sz="4" w:space="0"/>
              <w:right w:val="single" w:color="auto" w:sz="4" w:space="0"/>
            </w:tcBorders>
            <w:vAlign w:val="center"/>
          </w:tcPr>
          <w:p w14:paraId="4832B78B">
            <w:pPr>
              <w:widowControl/>
              <w:jc w:val="left"/>
              <w:rPr>
                <w:kern w:val="0"/>
                <w:sz w:val="21"/>
                <w:szCs w:val="21"/>
                <w:highlight w:val="none"/>
              </w:rPr>
            </w:pPr>
          </w:p>
        </w:tc>
        <w:tc>
          <w:tcPr>
            <w:tcW w:w="2533" w:type="dxa"/>
            <w:tcBorders>
              <w:top w:val="nil"/>
              <w:left w:val="nil"/>
              <w:bottom w:val="single" w:color="auto" w:sz="4" w:space="0"/>
              <w:right w:val="single" w:color="auto" w:sz="4" w:space="0"/>
            </w:tcBorders>
            <w:vAlign w:val="center"/>
          </w:tcPr>
          <w:p w14:paraId="009A080A">
            <w:pPr>
              <w:widowControl/>
              <w:jc w:val="left"/>
              <w:rPr>
                <w:kern w:val="0"/>
                <w:sz w:val="21"/>
                <w:szCs w:val="21"/>
                <w:highlight w:val="none"/>
              </w:rPr>
            </w:pPr>
          </w:p>
        </w:tc>
      </w:tr>
      <w:tr w14:paraId="1E995754">
        <w:tblPrEx>
          <w:tblCellMar>
            <w:top w:w="0" w:type="dxa"/>
            <w:left w:w="108" w:type="dxa"/>
            <w:bottom w:w="0" w:type="dxa"/>
            <w:right w:w="108" w:type="dxa"/>
          </w:tblCellMar>
        </w:tblPrEx>
        <w:trPr>
          <w:trHeight w:val="418" w:hRule="atLeast"/>
          <w:jc w:val="center"/>
        </w:trPr>
        <w:tc>
          <w:tcPr>
            <w:tcW w:w="1032" w:type="dxa"/>
            <w:tcBorders>
              <w:top w:val="nil"/>
              <w:left w:val="single" w:color="auto" w:sz="4" w:space="0"/>
              <w:bottom w:val="single" w:color="auto" w:sz="4" w:space="0"/>
              <w:right w:val="single" w:color="auto" w:sz="4" w:space="0"/>
            </w:tcBorders>
            <w:vAlign w:val="center"/>
          </w:tcPr>
          <w:p w14:paraId="1417E7E0">
            <w:pPr>
              <w:widowControl/>
              <w:jc w:val="center"/>
              <w:rPr>
                <w:kern w:val="0"/>
                <w:sz w:val="21"/>
                <w:szCs w:val="21"/>
                <w:highlight w:val="none"/>
              </w:rPr>
            </w:pPr>
          </w:p>
        </w:tc>
        <w:tc>
          <w:tcPr>
            <w:tcW w:w="4147" w:type="dxa"/>
            <w:tcBorders>
              <w:top w:val="nil"/>
              <w:left w:val="nil"/>
              <w:bottom w:val="single" w:color="auto" w:sz="4" w:space="0"/>
              <w:right w:val="single" w:color="auto" w:sz="4" w:space="0"/>
            </w:tcBorders>
            <w:vAlign w:val="center"/>
          </w:tcPr>
          <w:p w14:paraId="573A1430">
            <w:pPr>
              <w:widowControl/>
              <w:jc w:val="left"/>
              <w:rPr>
                <w:kern w:val="0"/>
                <w:sz w:val="21"/>
                <w:szCs w:val="21"/>
                <w:highlight w:val="none"/>
              </w:rPr>
            </w:pPr>
          </w:p>
        </w:tc>
        <w:tc>
          <w:tcPr>
            <w:tcW w:w="1500" w:type="dxa"/>
            <w:tcBorders>
              <w:top w:val="nil"/>
              <w:left w:val="nil"/>
              <w:bottom w:val="single" w:color="auto" w:sz="4" w:space="0"/>
              <w:right w:val="single" w:color="auto" w:sz="4" w:space="0"/>
            </w:tcBorders>
            <w:vAlign w:val="center"/>
          </w:tcPr>
          <w:p w14:paraId="419D14CB">
            <w:pPr>
              <w:widowControl/>
              <w:jc w:val="left"/>
              <w:rPr>
                <w:kern w:val="0"/>
                <w:sz w:val="21"/>
                <w:szCs w:val="21"/>
                <w:highlight w:val="none"/>
              </w:rPr>
            </w:pPr>
          </w:p>
        </w:tc>
        <w:tc>
          <w:tcPr>
            <w:tcW w:w="2533" w:type="dxa"/>
            <w:tcBorders>
              <w:top w:val="nil"/>
              <w:left w:val="nil"/>
              <w:bottom w:val="single" w:color="auto" w:sz="4" w:space="0"/>
              <w:right w:val="single" w:color="auto" w:sz="4" w:space="0"/>
            </w:tcBorders>
            <w:vAlign w:val="center"/>
          </w:tcPr>
          <w:p w14:paraId="5AE67FE0">
            <w:pPr>
              <w:widowControl/>
              <w:jc w:val="left"/>
              <w:rPr>
                <w:kern w:val="0"/>
                <w:sz w:val="21"/>
                <w:szCs w:val="21"/>
                <w:highlight w:val="none"/>
              </w:rPr>
            </w:pPr>
          </w:p>
        </w:tc>
      </w:tr>
      <w:tr w14:paraId="113ACFE2">
        <w:tblPrEx>
          <w:tblCellMar>
            <w:top w:w="0" w:type="dxa"/>
            <w:left w:w="108" w:type="dxa"/>
            <w:bottom w:w="0" w:type="dxa"/>
            <w:right w:w="108" w:type="dxa"/>
          </w:tblCellMar>
        </w:tblPrEx>
        <w:trPr>
          <w:trHeight w:val="418" w:hRule="atLeast"/>
          <w:jc w:val="center"/>
        </w:trPr>
        <w:tc>
          <w:tcPr>
            <w:tcW w:w="1032" w:type="dxa"/>
            <w:tcBorders>
              <w:top w:val="nil"/>
              <w:left w:val="single" w:color="auto" w:sz="4" w:space="0"/>
              <w:bottom w:val="single" w:color="auto" w:sz="4" w:space="0"/>
              <w:right w:val="single" w:color="auto" w:sz="4" w:space="0"/>
            </w:tcBorders>
            <w:vAlign w:val="center"/>
          </w:tcPr>
          <w:p w14:paraId="20CE2B3E">
            <w:pPr>
              <w:widowControl/>
              <w:jc w:val="center"/>
              <w:rPr>
                <w:kern w:val="0"/>
                <w:sz w:val="21"/>
                <w:szCs w:val="21"/>
                <w:highlight w:val="none"/>
              </w:rPr>
            </w:pPr>
            <w:r>
              <w:rPr>
                <w:kern w:val="0"/>
                <w:sz w:val="21"/>
                <w:szCs w:val="21"/>
                <w:highlight w:val="none"/>
              </w:rPr>
              <w:t>2</w:t>
            </w:r>
          </w:p>
        </w:tc>
        <w:tc>
          <w:tcPr>
            <w:tcW w:w="4147" w:type="dxa"/>
            <w:tcBorders>
              <w:top w:val="nil"/>
              <w:left w:val="nil"/>
              <w:bottom w:val="single" w:color="auto" w:sz="4" w:space="0"/>
              <w:right w:val="single" w:color="auto" w:sz="4" w:space="0"/>
            </w:tcBorders>
            <w:vAlign w:val="center"/>
          </w:tcPr>
          <w:p w14:paraId="7F34B371">
            <w:pPr>
              <w:widowControl/>
              <w:jc w:val="left"/>
              <w:rPr>
                <w:kern w:val="0"/>
                <w:sz w:val="21"/>
                <w:szCs w:val="21"/>
                <w:highlight w:val="none"/>
              </w:rPr>
            </w:pPr>
            <w:r>
              <w:rPr>
                <w:kern w:val="0"/>
                <w:sz w:val="21"/>
                <w:szCs w:val="21"/>
                <w:highlight w:val="none"/>
              </w:rPr>
              <w:t>措施项目</w:t>
            </w:r>
          </w:p>
        </w:tc>
        <w:tc>
          <w:tcPr>
            <w:tcW w:w="1500" w:type="dxa"/>
            <w:tcBorders>
              <w:top w:val="nil"/>
              <w:left w:val="nil"/>
              <w:bottom w:val="single" w:color="auto" w:sz="4" w:space="0"/>
              <w:right w:val="single" w:color="auto" w:sz="4" w:space="0"/>
            </w:tcBorders>
            <w:vAlign w:val="center"/>
          </w:tcPr>
          <w:p w14:paraId="5AB59907">
            <w:pPr>
              <w:widowControl/>
              <w:jc w:val="left"/>
              <w:rPr>
                <w:kern w:val="0"/>
                <w:sz w:val="21"/>
                <w:szCs w:val="21"/>
                <w:highlight w:val="none"/>
              </w:rPr>
            </w:pPr>
          </w:p>
        </w:tc>
        <w:tc>
          <w:tcPr>
            <w:tcW w:w="2533" w:type="dxa"/>
            <w:tcBorders>
              <w:top w:val="nil"/>
              <w:left w:val="nil"/>
              <w:bottom w:val="single" w:color="auto" w:sz="4" w:space="0"/>
              <w:right w:val="single" w:color="auto" w:sz="4" w:space="0"/>
            </w:tcBorders>
            <w:vAlign w:val="center"/>
          </w:tcPr>
          <w:p w14:paraId="4881446F">
            <w:pPr>
              <w:widowControl/>
              <w:jc w:val="left"/>
              <w:rPr>
                <w:kern w:val="0"/>
                <w:sz w:val="21"/>
                <w:szCs w:val="21"/>
                <w:highlight w:val="none"/>
              </w:rPr>
            </w:pPr>
            <w:r>
              <w:rPr>
                <w:kern w:val="0"/>
                <w:sz w:val="21"/>
                <w:szCs w:val="21"/>
                <w:highlight w:val="none"/>
              </w:rPr>
              <w:t>　</w:t>
            </w:r>
          </w:p>
        </w:tc>
      </w:tr>
      <w:tr w14:paraId="19AF33C8">
        <w:tblPrEx>
          <w:tblCellMar>
            <w:top w:w="0" w:type="dxa"/>
            <w:left w:w="108" w:type="dxa"/>
            <w:bottom w:w="0" w:type="dxa"/>
            <w:right w:w="108" w:type="dxa"/>
          </w:tblCellMar>
        </w:tblPrEx>
        <w:trPr>
          <w:trHeight w:val="418" w:hRule="atLeast"/>
          <w:jc w:val="center"/>
        </w:trPr>
        <w:tc>
          <w:tcPr>
            <w:tcW w:w="1032" w:type="dxa"/>
            <w:tcBorders>
              <w:top w:val="nil"/>
              <w:left w:val="single" w:color="auto" w:sz="4" w:space="0"/>
              <w:bottom w:val="single" w:color="auto" w:sz="4" w:space="0"/>
              <w:right w:val="single" w:color="auto" w:sz="4" w:space="0"/>
            </w:tcBorders>
            <w:vAlign w:val="center"/>
          </w:tcPr>
          <w:p w14:paraId="51172056">
            <w:pPr>
              <w:widowControl/>
              <w:jc w:val="center"/>
              <w:rPr>
                <w:rFonts w:hint="eastAsia"/>
                <w:kern w:val="0"/>
                <w:sz w:val="21"/>
                <w:szCs w:val="21"/>
                <w:highlight w:val="none"/>
                <w:lang w:val="en-US" w:eastAsia="zh-CN"/>
              </w:rPr>
            </w:pPr>
            <w:r>
              <w:rPr>
                <w:rFonts w:hint="eastAsia"/>
                <w:kern w:val="0"/>
                <w:sz w:val="21"/>
                <w:szCs w:val="21"/>
                <w:highlight w:val="none"/>
                <w:lang w:val="en-US" w:eastAsia="zh-CN"/>
              </w:rPr>
              <w:t>2.1</w:t>
            </w:r>
          </w:p>
        </w:tc>
        <w:tc>
          <w:tcPr>
            <w:tcW w:w="4147" w:type="dxa"/>
            <w:tcBorders>
              <w:top w:val="nil"/>
              <w:left w:val="nil"/>
              <w:bottom w:val="single" w:color="auto" w:sz="4" w:space="0"/>
              <w:right w:val="single" w:color="auto" w:sz="4" w:space="0"/>
            </w:tcBorders>
            <w:vAlign w:val="center"/>
          </w:tcPr>
          <w:p w14:paraId="0C2DD0EA">
            <w:pPr>
              <w:widowControl/>
              <w:ind w:firstLine="210" w:firstLineChars="100"/>
              <w:jc w:val="both"/>
              <w:rPr>
                <w:rFonts w:hint="eastAsia"/>
                <w:kern w:val="0"/>
                <w:sz w:val="21"/>
                <w:szCs w:val="21"/>
                <w:highlight w:val="none"/>
                <w:lang w:val="en-US" w:eastAsia="zh-CN"/>
              </w:rPr>
            </w:pPr>
            <w:r>
              <w:rPr>
                <w:rFonts w:hint="eastAsia"/>
                <w:kern w:val="0"/>
                <w:sz w:val="21"/>
                <w:szCs w:val="21"/>
                <w:highlight w:val="none"/>
                <w:lang w:val="en-US" w:eastAsia="zh-CN"/>
              </w:rPr>
              <w:t>安全文明施工费</w:t>
            </w:r>
          </w:p>
        </w:tc>
        <w:tc>
          <w:tcPr>
            <w:tcW w:w="1500" w:type="dxa"/>
            <w:tcBorders>
              <w:top w:val="nil"/>
              <w:left w:val="nil"/>
              <w:bottom w:val="single" w:color="auto" w:sz="4" w:space="0"/>
              <w:right w:val="single" w:color="auto" w:sz="4" w:space="0"/>
            </w:tcBorders>
            <w:vAlign w:val="center"/>
          </w:tcPr>
          <w:p w14:paraId="4A72B79E">
            <w:pPr>
              <w:widowControl/>
              <w:jc w:val="left"/>
              <w:rPr>
                <w:kern w:val="0"/>
                <w:sz w:val="21"/>
                <w:szCs w:val="21"/>
                <w:highlight w:val="none"/>
              </w:rPr>
            </w:pPr>
          </w:p>
        </w:tc>
        <w:tc>
          <w:tcPr>
            <w:tcW w:w="2533" w:type="dxa"/>
            <w:tcBorders>
              <w:top w:val="nil"/>
              <w:left w:val="nil"/>
              <w:bottom w:val="single" w:color="auto" w:sz="4" w:space="0"/>
              <w:right w:val="single" w:color="auto" w:sz="4" w:space="0"/>
            </w:tcBorders>
            <w:vAlign w:val="center"/>
          </w:tcPr>
          <w:p w14:paraId="76FA94EA">
            <w:pPr>
              <w:widowControl/>
              <w:jc w:val="center"/>
              <w:rPr>
                <w:kern w:val="0"/>
                <w:sz w:val="21"/>
                <w:szCs w:val="21"/>
                <w:highlight w:val="none"/>
              </w:rPr>
            </w:pPr>
          </w:p>
        </w:tc>
      </w:tr>
      <w:tr w14:paraId="70E984D6">
        <w:tblPrEx>
          <w:tblCellMar>
            <w:top w:w="0" w:type="dxa"/>
            <w:left w:w="108" w:type="dxa"/>
            <w:bottom w:w="0" w:type="dxa"/>
            <w:right w:w="108" w:type="dxa"/>
          </w:tblCellMar>
        </w:tblPrEx>
        <w:trPr>
          <w:trHeight w:val="418" w:hRule="atLeast"/>
          <w:jc w:val="center"/>
        </w:trPr>
        <w:tc>
          <w:tcPr>
            <w:tcW w:w="1032" w:type="dxa"/>
            <w:tcBorders>
              <w:top w:val="nil"/>
              <w:left w:val="single" w:color="auto" w:sz="4" w:space="0"/>
              <w:bottom w:val="single" w:color="auto" w:sz="4" w:space="0"/>
              <w:right w:val="single" w:color="auto" w:sz="4" w:space="0"/>
            </w:tcBorders>
            <w:shd w:val="clear" w:color="auto" w:fill="auto"/>
            <w:vAlign w:val="center"/>
          </w:tcPr>
          <w:p w14:paraId="3A551BFD">
            <w:pPr>
              <w:widowControl/>
              <w:jc w:val="center"/>
              <w:rPr>
                <w:rFonts w:hint="eastAsia" w:ascii="Times New Roman" w:hAnsi="Times New Roman" w:eastAsia="宋体" w:cs="Times New Roman"/>
                <w:kern w:val="0"/>
                <w:sz w:val="21"/>
                <w:szCs w:val="21"/>
                <w:highlight w:val="none"/>
                <w:lang w:val="en-US" w:eastAsia="zh-CN" w:bidi="ar-SA"/>
              </w:rPr>
            </w:pPr>
            <w:r>
              <w:rPr>
                <w:rFonts w:hint="eastAsia"/>
                <w:kern w:val="0"/>
                <w:sz w:val="21"/>
                <w:szCs w:val="21"/>
                <w:highlight w:val="none"/>
                <w:lang w:val="en-US" w:eastAsia="zh-CN"/>
              </w:rPr>
              <w:t>2.1.1</w:t>
            </w:r>
          </w:p>
        </w:tc>
        <w:tc>
          <w:tcPr>
            <w:tcW w:w="4147" w:type="dxa"/>
            <w:tcBorders>
              <w:top w:val="nil"/>
              <w:left w:val="nil"/>
              <w:bottom w:val="single" w:color="auto" w:sz="4" w:space="0"/>
              <w:right w:val="single" w:color="auto" w:sz="4" w:space="0"/>
            </w:tcBorders>
            <w:shd w:val="clear" w:color="auto" w:fill="auto"/>
            <w:vAlign w:val="center"/>
          </w:tcPr>
          <w:p w14:paraId="2E0407C9">
            <w:pPr>
              <w:widowControl/>
              <w:jc w:val="left"/>
              <w:rPr>
                <w:rFonts w:hint="eastAsia" w:ascii="Times New Roman" w:hAnsi="Times New Roman" w:eastAsia="宋体" w:cs="Times New Roman"/>
                <w:kern w:val="0"/>
                <w:sz w:val="21"/>
                <w:szCs w:val="21"/>
                <w:highlight w:val="none"/>
                <w:lang w:val="en-US" w:eastAsia="zh-CN" w:bidi="ar-SA"/>
              </w:rPr>
            </w:pPr>
            <w:r>
              <w:rPr>
                <w:rFonts w:hint="eastAsia"/>
                <w:kern w:val="0"/>
                <w:sz w:val="21"/>
                <w:szCs w:val="21"/>
                <w:highlight w:val="none"/>
              </w:rPr>
              <w:t>安全文明施工费（按费率计算）</w:t>
            </w:r>
          </w:p>
        </w:tc>
        <w:tc>
          <w:tcPr>
            <w:tcW w:w="1500" w:type="dxa"/>
            <w:tcBorders>
              <w:top w:val="nil"/>
              <w:left w:val="nil"/>
              <w:bottom w:val="single" w:color="auto" w:sz="4" w:space="0"/>
              <w:right w:val="single" w:color="auto" w:sz="4" w:space="0"/>
            </w:tcBorders>
            <w:shd w:val="clear" w:color="auto" w:fill="auto"/>
            <w:vAlign w:val="center"/>
          </w:tcPr>
          <w:p w14:paraId="758F2104">
            <w:pPr>
              <w:widowControl/>
              <w:jc w:val="left"/>
              <w:rPr>
                <w:rFonts w:ascii="Times New Roman" w:hAnsi="Times New Roman" w:eastAsia="宋体" w:cs="Times New Roman"/>
                <w:kern w:val="0"/>
                <w:sz w:val="21"/>
                <w:szCs w:val="21"/>
                <w:highlight w:val="none"/>
                <w:lang w:val="en-US" w:eastAsia="zh-CN" w:bidi="ar-SA"/>
              </w:rPr>
            </w:pPr>
          </w:p>
        </w:tc>
        <w:tc>
          <w:tcPr>
            <w:tcW w:w="2533" w:type="dxa"/>
            <w:tcBorders>
              <w:top w:val="nil"/>
              <w:left w:val="nil"/>
              <w:bottom w:val="single" w:color="auto" w:sz="4" w:space="0"/>
              <w:right w:val="single" w:color="auto" w:sz="4" w:space="0"/>
            </w:tcBorders>
            <w:shd w:val="clear" w:color="auto" w:fill="auto"/>
            <w:vAlign w:val="center"/>
          </w:tcPr>
          <w:p w14:paraId="3C25B8B9">
            <w:pPr>
              <w:widowControl/>
              <w:jc w:val="right"/>
              <w:rPr>
                <w:rFonts w:ascii="Times New Roman" w:hAnsi="Times New Roman" w:eastAsia="宋体" w:cs="Times New Roman"/>
                <w:kern w:val="0"/>
                <w:sz w:val="21"/>
                <w:szCs w:val="21"/>
                <w:highlight w:val="none"/>
                <w:lang w:val="en-US" w:eastAsia="zh-CN" w:bidi="ar-SA"/>
              </w:rPr>
            </w:pPr>
          </w:p>
        </w:tc>
      </w:tr>
      <w:tr w14:paraId="521205E7">
        <w:tblPrEx>
          <w:tblCellMar>
            <w:top w:w="0" w:type="dxa"/>
            <w:left w:w="108" w:type="dxa"/>
            <w:bottom w:w="0" w:type="dxa"/>
            <w:right w:w="108" w:type="dxa"/>
          </w:tblCellMar>
        </w:tblPrEx>
        <w:trPr>
          <w:trHeight w:val="418" w:hRule="atLeast"/>
          <w:jc w:val="center"/>
        </w:trPr>
        <w:tc>
          <w:tcPr>
            <w:tcW w:w="1032" w:type="dxa"/>
            <w:tcBorders>
              <w:top w:val="nil"/>
              <w:left w:val="single" w:color="auto" w:sz="4" w:space="0"/>
              <w:bottom w:val="single" w:color="auto" w:sz="4" w:space="0"/>
              <w:right w:val="single" w:color="auto" w:sz="4" w:space="0"/>
            </w:tcBorders>
            <w:shd w:val="clear" w:color="auto" w:fill="auto"/>
            <w:vAlign w:val="center"/>
          </w:tcPr>
          <w:p w14:paraId="6DB3B380">
            <w:pPr>
              <w:widowControl/>
              <w:jc w:val="center"/>
              <w:rPr>
                <w:rFonts w:hint="eastAsia" w:ascii="Times New Roman" w:hAnsi="Times New Roman" w:eastAsia="宋体" w:cs="Times New Roman"/>
                <w:kern w:val="0"/>
                <w:sz w:val="21"/>
                <w:szCs w:val="21"/>
                <w:highlight w:val="none"/>
                <w:lang w:val="en-US" w:eastAsia="zh-CN" w:bidi="ar-SA"/>
              </w:rPr>
            </w:pPr>
            <w:r>
              <w:rPr>
                <w:rFonts w:hint="eastAsia"/>
                <w:kern w:val="0"/>
                <w:sz w:val="21"/>
                <w:szCs w:val="21"/>
                <w:highlight w:val="none"/>
                <w:lang w:val="en-US" w:eastAsia="zh-CN"/>
              </w:rPr>
              <w:t>2.1.2</w:t>
            </w:r>
          </w:p>
        </w:tc>
        <w:tc>
          <w:tcPr>
            <w:tcW w:w="4147" w:type="dxa"/>
            <w:tcBorders>
              <w:top w:val="nil"/>
              <w:left w:val="nil"/>
              <w:bottom w:val="single" w:color="auto" w:sz="4" w:space="0"/>
              <w:right w:val="single" w:color="auto" w:sz="4" w:space="0"/>
            </w:tcBorders>
            <w:shd w:val="clear" w:color="auto" w:fill="auto"/>
            <w:vAlign w:val="center"/>
          </w:tcPr>
          <w:p w14:paraId="65DE4FAB">
            <w:pPr>
              <w:widowControl/>
              <w:jc w:val="left"/>
              <w:rPr>
                <w:rFonts w:hint="eastAsia" w:ascii="Times New Roman" w:hAnsi="Times New Roman" w:eastAsia="宋体" w:cs="Times New Roman"/>
                <w:kern w:val="0"/>
                <w:sz w:val="21"/>
                <w:szCs w:val="21"/>
                <w:highlight w:val="none"/>
                <w:lang w:val="en-US" w:eastAsia="zh-CN" w:bidi="ar-SA"/>
              </w:rPr>
            </w:pPr>
            <w:r>
              <w:rPr>
                <w:rFonts w:hint="eastAsia"/>
                <w:kern w:val="0"/>
                <w:sz w:val="21"/>
                <w:szCs w:val="21"/>
                <w:highlight w:val="none"/>
              </w:rPr>
              <w:t>安全文明施工</w:t>
            </w:r>
            <w:r>
              <w:rPr>
                <w:rFonts w:hint="eastAsia"/>
                <w:kern w:val="0"/>
                <w:sz w:val="21"/>
                <w:szCs w:val="21"/>
                <w:highlight w:val="none"/>
                <w:lang w:val="en-US" w:eastAsia="zh-CN"/>
              </w:rPr>
              <w:t>费</w:t>
            </w:r>
            <w:r>
              <w:rPr>
                <w:rFonts w:hint="eastAsia"/>
                <w:kern w:val="0"/>
                <w:sz w:val="21"/>
                <w:szCs w:val="21"/>
                <w:highlight w:val="none"/>
              </w:rPr>
              <w:t>（按清单列项）</w:t>
            </w:r>
          </w:p>
        </w:tc>
        <w:tc>
          <w:tcPr>
            <w:tcW w:w="1500" w:type="dxa"/>
            <w:tcBorders>
              <w:top w:val="nil"/>
              <w:left w:val="nil"/>
              <w:bottom w:val="single" w:color="auto" w:sz="4" w:space="0"/>
              <w:right w:val="single" w:color="auto" w:sz="4" w:space="0"/>
            </w:tcBorders>
            <w:shd w:val="clear" w:color="auto" w:fill="auto"/>
            <w:vAlign w:val="center"/>
          </w:tcPr>
          <w:p w14:paraId="151551EB">
            <w:pPr>
              <w:widowControl/>
              <w:jc w:val="left"/>
              <w:rPr>
                <w:rFonts w:ascii="Times New Roman" w:hAnsi="Times New Roman" w:eastAsia="宋体" w:cs="Times New Roman"/>
                <w:kern w:val="0"/>
                <w:sz w:val="21"/>
                <w:szCs w:val="21"/>
                <w:highlight w:val="none"/>
                <w:lang w:val="en-US" w:eastAsia="zh-CN" w:bidi="ar-SA"/>
              </w:rPr>
            </w:pPr>
          </w:p>
        </w:tc>
        <w:tc>
          <w:tcPr>
            <w:tcW w:w="2533" w:type="dxa"/>
            <w:tcBorders>
              <w:top w:val="nil"/>
              <w:left w:val="nil"/>
              <w:bottom w:val="single" w:color="auto" w:sz="4" w:space="0"/>
              <w:right w:val="single" w:color="auto" w:sz="4" w:space="0"/>
            </w:tcBorders>
            <w:shd w:val="clear" w:color="auto" w:fill="auto"/>
            <w:vAlign w:val="center"/>
          </w:tcPr>
          <w:p w14:paraId="2AE30814">
            <w:pPr>
              <w:widowControl/>
              <w:jc w:val="right"/>
              <w:rPr>
                <w:rFonts w:ascii="Times New Roman" w:hAnsi="Times New Roman" w:eastAsia="宋体" w:cs="Times New Roman"/>
                <w:kern w:val="0"/>
                <w:sz w:val="21"/>
                <w:szCs w:val="21"/>
                <w:highlight w:val="none"/>
                <w:lang w:val="en-US" w:eastAsia="zh-CN" w:bidi="ar-SA"/>
              </w:rPr>
            </w:pPr>
          </w:p>
        </w:tc>
      </w:tr>
      <w:tr w14:paraId="79BAA001">
        <w:tblPrEx>
          <w:tblCellMar>
            <w:top w:w="0" w:type="dxa"/>
            <w:left w:w="108" w:type="dxa"/>
            <w:bottom w:w="0" w:type="dxa"/>
            <w:right w:w="108" w:type="dxa"/>
          </w:tblCellMar>
        </w:tblPrEx>
        <w:trPr>
          <w:trHeight w:val="418" w:hRule="atLeast"/>
          <w:jc w:val="center"/>
        </w:trPr>
        <w:tc>
          <w:tcPr>
            <w:tcW w:w="1032" w:type="dxa"/>
            <w:tcBorders>
              <w:top w:val="nil"/>
              <w:left w:val="single" w:color="auto" w:sz="4" w:space="0"/>
              <w:bottom w:val="single" w:color="auto" w:sz="4" w:space="0"/>
              <w:right w:val="single" w:color="auto" w:sz="4" w:space="0"/>
            </w:tcBorders>
            <w:shd w:val="clear" w:color="auto" w:fill="auto"/>
            <w:vAlign w:val="center"/>
          </w:tcPr>
          <w:p w14:paraId="2E82DF21">
            <w:pPr>
              <w:widowControl/>
              <w:jc w:val="center"/>
              <w:rPr>
                <w:rFonts w:hint="eastAsia" w:ascii="Times New Roman" w:hAnsi="Times New Roman" w:eastAsia="宋体" w:cs="Times New Roman"/>
                <w:kern w:val="0"/>
                <w:sz w:val="21"/>
                <w:szCs w:val="21"/>
                <w:highlight w:val="none"/>
                <w:lang w:val="en-US" w:eastAsia="zh-CN" w:bidi="ar-SA"/>
              </w:rPr>
            </w:pPr>
            <w:r>
              <w:rPr>
                <w:rFonts w:hint="eastAsia"/>
                <w:kern w:val="0"/>
                <w:sz w:val="21"/>
                <w:szCs w:val="21"/>
                <w:highlight w:val="none"/>
                <w:lang w:val="en-US" w:eastAsia="zh-CN"/>
              </w:rPr>
              <w:t>2.1.3</w:t>
            </w:r>
          </w:p>
        </w:tc>
        <w:tc>
          <w:tcPr>
            <w:tcW w:w="4147" w:type="dxa"/>
            <w:tcBorders>
              <w:top w:val="nil"/>
              <w:left w:val="nil"/>
              <w:bottom w:val="single" w:color="auto" w:sz="4" w:space="0"/>
              <w:right w:val="single" w:color="auto" w:sz="4" w:space="0"/>
            </w:tcBorders>
            <w:shd w:val="clear" w:color="auto" w:fill="auto"/>
            <w:vAlign w:val="center"/>
          </w:tcPr>
          <w:p w14:paraId="3AA453B4">
            <w:pPr>
              <w:widowControl/>
              <w:jc w:val="left"/>
              <w:rPr>
                <w:rFonts w:hint="eastAsia" w:ascii="Times New Roman" w:hAnsi="Times New Roman" w:eastAsia="宋体" w:cs="Times New Roman"/>
                <w:kern w:val="0"/>
                <w:sz w:val="21"/>
                <w:szCs w:val="21"/>
                <w:highlight w:val="none"/>
                <w:lang w:val="en-US" w:eastAsia="zh-CN" w:bidi="ar-SA"/>
              </w:rPr>
            </w:pPr>
            <w:r>
              <w:rPr>
                <w:rFonts w:hint="eastAsia"/>
                <w:kern w:val="0"/>
                <w:sz w:val="21"/>
                <w:szCs w:val="21"/>
                <w:highlight w:val="none"/>
              </w:rPr>
              <w:t>产业工人职业训练专项经费</w:t>
            </w:r>
          </w:p>
        </w:tc>
        <w:tc>
          <w:tcPr>
            <w:tcW w:w="1500" w:type="dxa"/>
            <w:tcBorders>
              <w:top w:val="nil"/>
              <w:left w:val="nil"/>
              <w:bottom w:val="single" w:color="auto" w:sz="4" w:space="0"/>
              <w:right w:val="single" w:color="auto" w:sz="4" w:space="0"/>
            </w:tcBorders>
            <w:shd w:val="clear" w:color="auto" w:fill="auto"/>
            <w:vAlign w:val="center"/>
          </w:tcPr>
          <w:p w14:paraId="059F85E9">
            <w:pPr>
              <w:widowControl/>
              <w:jc w:val="left"/>
              <w:rPr>
                <w:rFonts w:ascii="Times New Roman" w:hAnsi="Times New Roman" w:eastAsia="宋体" w:cs="Times New Roman"/>
                <w:kern w:val="0"/>
                <w:sz w:val="21"/>
                <w:szCs w:val="21"/>
                <w:highlight w:val="none"/>
                <w:lang w:val="en-US" w:eastAsia="zh-CN" w:bidi="ar-SA"/>
              </w:rPr>
            </w:pPr>
          </w:p>
        </w:tc>
        <w:tc>
          <w:tcPr>
            <w:tcW w:w="2533" w:type="dxa"/>
            <w:tcBorders>
              <w:top w:val="nil"/>
              <w:left w:val="nil"/>
              <w:bottom w:val="single" w:color="auto" w:sz="4" w:space="0"/>
              <w:right w:val="single" w:color="auto" w:sz="4" w:space="0"/>
            </w:tcBorders>
            <w:shd w:val="clear" w:color="auto" w:fill="auto"/>
            <w:vAlign w:val="center"/>
          </w:tcPr>
          <w:p w14:paraId="1695EF3A">
            <w:pPr>
              <w:widowControl/>
              <w:jc w:val="right"/>
              <w:rPr>
                <w:rFonts w:ascii="Times New Roman" w:hAnsi="Times New Roman" w:eastAsia="宋体" w:cs="Times New Roman"/>
                <w:kern w:val="0"/>
                <w:sz w:val="21"/>
                <w:szCs w:val="21"/>
                <w:highlight w:val="none"/>
                <w:lang w:val="en-US" w:eastAsia="zh-CN" w:bidi="ar-SA"/>
              </w:rPr>
            </w:pPr>
          </w:p>
        </w:tc>
      </w:tr>
      <w:tr w14:paraId="17BCBE4D">
        <w:tblPrEx>
          <w:tblCellMar>
            <w:top w:w="0" w:type="dxa"/>
            <w:left w:w="108" w:type="dxa"/>
            <w:bottom w:w="0" w:type="dxa"/>
            <w:right w:w="108" w:type="dxa"/>
          </w:tblCellMar>
        </w:tblPrEx>
        <w:trPr>
          <w:trHeight w:val="418" w:hRule="atLeast"/>
          <w:jc w:val="center"/>
        </w:trPr>
        <w:tc>
          <w:tcPr>
            <w:tcW w:w="1032" w:type="dxa"/>
            <w:tcBorders>
              <w:top w:val="nil"/>
              <w:left w:val="single" w:color="auto" w:sz="4" w:space="0"/>
              <w:bottom w:val="single" w:color="auto" w:sz="4" w:space="0"/>
              <w:right w:val="single" w:color="auto" w:sz="4" w:space="0"/>
            </w:tcBorders>
            <w:vAlign w:val="center"/>
          </w:tcPr>
          <w:p w14:paraId="7A074275">
            <w:pPr>
              <w:widowControl/>
              <w:jc w:val="center"/>
              <w:rPr>
                <w:rFonts w:hint="default"/>
                <w:kern w:val="0"/>
                <w:sz w:val="21"/>
                <w:szCs w:val="21"/>
                <w:highlight w:val="none"/>
                <w:lang w:val="en-US" w:eastAsia="zh-CN"/>
              </w:rPr>
            </w:pPr>
            <w:r>
              <w:rPr>
                <w:rFonts w:hint="eastAsia"/>
                <w:kern w:val="0"/>
                <w:sz w:val="21"/>
                <w:szCs w:val="21"/>
                <w:highlight w:val="none"/>
                <w:lang w:val="en-US" w:eastAsia="zh-CN"/>
              </w:rPr>
              <w:t>2.2</w:t>
            </w:r>
          </w:p>
        </w:tc>
        <w:tc>
          <w:tcPr>
            <w:tcW w:w="4147" w:type="dxa"/>
            <w:tcBorders>
              <w:top w:val="nil"/>
              <w:left w:val="nil"/>
              <w:bottom w:val="single" w:color="auto" w:sz="4" w:space="0"/>
              <w:right w:val="single" w:color="auto" w:sz="4" w:space="0"/>
            </w:tcBorders>
            <w:shd w:val="clear" w:color="auto" w:fill="auto"/>
            <w:vAlign w:val="center"/>
          </w:tcPr>
          <w:p w14:paraId="7F6F1206">
            <w:pPr>
              <w:widowControl/>
              <w:jc w:val="left"/>
              <w:rPr>
                <w:rFonts w:hint="default"/>
                <w:kern w:val="0"/>
                <w:sz w:val="21"/>
                <w:szCs w:val="21"/>
                <w:highlight w:val="none"/>
                <w:lang w:val="en-US" w:eastAsia="zh-CN"/>
              </w:rPr>
            </w:pPr>
            <w:r>
              <w:rPr>
                <w:rFonts w:hint="eastAsia" w:ascii="宋体" w:hAnsi="宋体" w:eastAsia="宋体" w:cs="宋体"/>
                <w:kern w:val="0"/>
                <w:sz w:val="21"/>
                <w:szCs w:val="21"/>
                <w:highlight w:val="none"/>
                <w:lang w:val="en-US" w:eastAsia="zh-CN"/>
              </w:rPr>
              <w:t>……</w:t>
            </w:r>
          </w:p>
        </w:tc>
        <w:tc>
          <w:tcPr>
            <w:tcW w:w="1500" w:type="dxa"/>
            <w:tcBorders>
              <w:top w:val="nil"/>
              <w:left w:val="nil"/>
              <w:bottom w:val="single" w:color="auto" w:sz="4" w:space="0"/>
              <w:right w:val="single" w:color="auto" w:sz="4" w:space="0"/>
            </w:tcBorders>
            <w:vAlign w:val="center"/>
          </w:tcPr>
          <w:p w14:paraId="4081849D">
            <w:pPr>
              <w:widowControl/>
              <w:jc w:val="left"/>
              <w:rPr>
                <w:kern w:val="0"/>
                <w:sz w:val="21"/>
                <w:szCs w:val="21"/>
                <w:highlight w:val="none"/>
              </w:rPr>
            </w:pPr>
          </w:p>
        </w:tc>
        <w:tc>
          <w:tcPr>
            <w:tcW w:w="2533" w:type="dxa"/>
            <w:tcBorders>
              <w:top w:val="nil"/>
              <w:left w:val="nil"/>
              <w:bottom w:val="single" w:color="auto" w:sz="4" w:space="0"/>
              <w:right w:val="single" w:color="auto" w:sz="4" w:space="0"/>
            </w:tcBorders>
            <w:vAlign w:val="center"/>
          </w:tcPr>
          <w:p w14:paraId="36530FF0">
            <w:pPr>
              <w:widowControl/>
              <w:jc w:val="right"/>
              <w:rPr>
                <w:kern w:val="0"/>
                <w:sz w:val="21"/>
                <w:szCs w:val="21"/>
                <w:highlight w:val="none"/>
              </w:rPr>
            </w:pPr>
          </w:p>
        </w:tc>
      </w:tr>
      <w:tr w14:paraId="66746172">
        <w:tblPrEx>
          <w:tblCellMar>
            <w:top w:w="0" w:type="dxa"/>
            <w:left w:w="108" w:type="dxa"/>
            <w:bottom w:w="0" w:type="dxa"/>
            <w:right w:w="108" w:type="dxa"/>
          </w:tblCellMar>
        </w:tblPrEx>
        <w:trPr>
          <w:trHeight w:val="418" w:hRule="atLeast"/>
          <w:jc w:val="center"/>
        </w:trPr>
        <w:tc>
          <w:tcPr>
            <w:tcW w:w="1032" w:type="dxa"/>
            <w:tcBorders>
              <w:top w:val="nil"/>
              <w:left w:val="single" w:color="auto" w:sz="4" w:space="0"/>
              <w:bottom w:val="single" w:color="auto" w:sz="4" w:space="0"/>
              <w:right w:val="single" w:color="auto" w:sz="4" w:space="0"/>
            </w:tcBorders>
            <w:vAlign w:val="center"/>
          </w:tcPr>
          <w:p w14:paraId="45FECA41">
            <w:pPr>
              <w:widowControl/>
              <w:jc w:val="right"/>
              <w:rPr>
                <w:rFonts w:hint="eastAsia"/>
                <w:kern w:val="0"/>
                <w:sz w:val="21"/>
                <w:szCs w:val="21"/>
                <w:highlight w:val="none"/>
                <w:lang w:val="en-US" w:eastAsia="zh-CN"/>
              </w:rPr>
            </w:pPr>
          </w:p>
        </w:tc>
        <w:tc>
          <w:tcPr>
            <w:tcW w:w="4147" w:type="dxa"/>
            <w:tcBorders>
              <w:top w:val="nil"/>
              <w:left w:val="nil"/>
              <w:bottom w:val="single" w:color="auto" w:sz="4" w:space="0"/>
              <w:right w:val="single" w:color="auto" w:sz="4" w:space="0"/>
            </w:tcBorders>
            <w:vAlign w:val="center"/>
          </w:tcPr>
          <w:p w14:paraId="6626DF79">
            <w:pPr>
              <w:widowControl/>
              <w:jc w:val="left"/>
              <w:rPr>
                <w:rFonts w:hint="eastAsia"/>
                <w:kern w:val="0"/>
                <w:sz w:val="21"/>
                <w:szCs w:val="21"/>
                <w:highlight w:val="none"/>
                <w:lang w:val="en-US" w:eastAsia="zh-CN"/>
              </w:rPr>
            </w:pPr>
          </w:p>
        </w:tc>
        <w:tc>
          <w:tcPr>
            <w:tcW w:w="1500" w:type="dxa"/>
            <w:tcBorders>
              <w:top w:val="nil"/>
              <w:left w:val="nil"/>
              <w:bottom w:val="single" w:color="auto" w:sz="4" w:space="0"/>
              <w:right w:val="single" w:color="auto" w:sz="4" w:space="0"/>
            </w:tcBorders>
            <w:vAlign w:val="center"/>
          </w:tcPr>
          <w:p w14:paraId="33F8BDD0">
            <w:pPr>
              <w:widowControl/>
              <w:jc w:val="left"/>
              <w:rPr>
                <w:kern w:val="0"/>
                <w:sz w:val="21"/>
                <w:szCs w:val="21"/>
                <w:highlight w:val="none"/>
              </w:rPr>
            </w:pPr>
          </w:p>
        </w:tc>
        <w:tc>
          <w:tcPr>
            <w:tcW w:w="2533" w:type="dxa"/>
            <w:tcBorders>
              <w:top w:val="nil"/>
              <w:left w:val="nil"/>
              <w:bottom w:val="single" w:color="auto" w:sz="4" w:space="0"/>
              <w:right w:val="single" w:color="auto" w:sz="4" w:space="0"/>
            </w:tcBorders>
            <w:vAlign w:val="center"/>
          </w:tcPr>
          <w:p w14:paraId="2AB9D565">
            <w:pPr>
              <w:widowControl/>
              <w:jc w:val="right"/>
              <w:rPr>
                <w:kern w:val="0"/>
                <w:sz w:val="21"/>
                <w:szCs w:val="21"/>
                <w:highlight w:val="none"/>
              </w:rPr>
            </w:pPr>
          </w:p>
        </w:tc>
      </w:tr>
      <w:tr w14:paraId="054D9745">
        <w:tblPrEx>
          <w:tblCellMar>
            <w:top w:w="0" w:type="dxa"/>
            <w:left w:w="108" w:type="dxa"/>
            <w:bottom w:w="0" w:type="dxa"/>
            <w:right w:w="108" w:type="dxa"/>
          </w:tblCellMar>
        </w:tblPrEx>
        <w:trPr>
          <w:trHeight w:val="418" w:hRule="atLeast"/>
          <w:jc w:val="center"/>
        </w:trPr>
        <w:tc>
          <w:tcPr>
            <w:tcW w:w="1032" w:type="dxa"/>
            <w:tcBorders>
              <w:top w:val="nil"/>
              <w:left w:val="single" w:color="auto" w:sz="4" w:space="0"/>
              <w:bottom w:val="single" w:color="auto" w:sz="4" w:space="0"/>
              <w:right w:val="single" w:color="auto" w:sz="4" w:space="0"/>
            </w:tcBorders>
            <w:vAlign w:val="center"/>
          </w:tcPr>
          <w:p w14:paraId="0970E608">
            <w:pPr>
              <w:widowControl/>
              <w:jc w:val="center"/>
              <w:rPr>
                <w:kern w:val="0"/>
                <w:sz w:val="21"/>
                <w:szCs w:val="21"/>
                <w:highlight w:val="none"/>
              </w:rPr>
            </w:pPr>
            <w:r>
              <w:rPr>
                <w:kern w:val="0"/>
                <w:sz w:val="21"/>
                <w:szCs w:val="21"/>
                <w:highlight w:val="none"/>
              </w:rPr>
              <w:t>3</w:t>
            </w:r>
          </w:p>
        </w:tc>
        <w:tc>
          <w:tcPr>
            <w:tcW w:w="4147" w:type="dxa"/>
            <w:tcBorders>
              <w:top w:val="nil"/>
              <w:left w:val="nil"/>
              <w:bottom w:val="single" w:color="auto" w:sz="4" w:space="0"/>
              <w:right w:val="single" w:color="auto" w:sz="4" w:space="0"/>
            </w:tcBorders>
            <w:vAlign w:val="center"/>
          </w:tcPr>
          <w:p w14:paraId="7C337786">
            <w:pPr>
              <w:widowControl/>
              <w:spacing w:line="240" w:lineRule="auto"/>
              <w:jc w:val="both"/>
              <w:rPr>
                <w:kern w:val="0"/>
                <w:sz w:val="21"/>
                <w:szCs w:val="21"/>
                <w:highlight w:val="none"/>
              </w:rPr>
            </w:pPr>
            <w:r>
              <w:rPr>
                <w:kern w:val="0"/>
                <w:sz w:val="21"/>
                <w:szCs w:val="21"/>
                <w:highlight w:val="none"/>
              </w:rPr>
              <w:t>其他项目</w:t>
            </w:r>
          </w:p>
        </w:tc>
        <w:tc>
          <w:tcPr>
            <w:tcW w:w="1500" w:type="dxa"/>
            <w:tcBorders>
              <w:top w:val="nil"/>
              <w:left w:val="nil"/>
              <w:bottom w:val="single" w:color="auto" w:sz="4" w:space="0"/>
              <w:right w:val="single" w:color="auto" w:sz="4" w:space="0"/>
            </w:tcBorders>
            <w:vAlign w:val="center"/>
          </w:tcPr>
          <w:p w14:paraId="717301FB">
            <w:pPr>
              <w:widowControl/>
              <w:jc w:val="left"/>
              <w:rPr>
                <w:kern w:val="0"/>
                <w:sz w:val="21"/>
                <w:szCs w:val="21"/>
                <w:highlight w:val="none"/>
              </w:rPr>
            </w:pPr>
          </w:p>
        </w:tc>
        <w:tc>
          <w:tcPr>
            <w:tcW w:w="2533" w:type="dxa"/>
            <w:tcBorders>
              <w:top w:val="nil"/>
              <w:left w:val="nil"/>
              <w:bottom w:val="single" w:color="auto" w:sz="4" w:space="0"/>
              <w:right w:val="single" w:color="auto" w:sz="4" w:space="0"/>
            </w:tcBorders>
            <w:vAlign w:val="center"/>
          </w:tcPr>
          <w:p w14:paraId="56CE5955">
            <w:pPr>
              <w:widowControl/>
              <w:jc w:val="center"/>
              <w:rPr>
                <w:kern w:val="0"/>
                <w:sz w:val="21"/>
                <w:szCs w:val="21"/>
                <w:highlight w:val="none"/>
              </w:rPr>
            </w:pPr>
          </w:p>
        </w:tc>
      </w:tr>
      <w:tr w14:paraId="496278BC">
        <w:tblPrEx>
          <w:tblCellMar>
            <w:top w:w="0" w:type="dxa"/>
            <w:left w:w="108" w:type="dxa"/>
            <w:bottom w:w="0" w:type="dxa"/>
            <w:right w:w="108" w:type="dxa"/>
          </w:tblCellMar>
        </w:tblPrEx>
        <w:trPr>
          <w:trHeight w:val="418" w:hRule="atLeast"/>
          <w:jc w:val="center"/>
        </w:trPr>
        <w:tc>
          <w:tcPr>
            <w:tcW w:w="1032" w:type="dxa"/>
            <w:tcBorders>
              <w:top w:val="nil"/>
              <w:left w:val="single" w:color="auto" w:sz="4" w:space="0"/>
              <w:bottom w:val="single" w:color="auto" w:sz="4" w:space="0"/>
              <w:right w:val="single" w:color="auto" w:sz="4" w:space="0"/>
            </w:tcBorders>
            <w:vAlign w:val="center"/>
          </w:tcPr>
          <w:p w14:paraId="45703432">
            <w:pPr>
              <w:widowControl/>
              <w:jc w:val="center"/>
              <w:rPr>
                <w:rFonts w:hint="eastAsia"/>
                <w:kern w:val="0"/>
                <w:sz w:val="21"/>
                <w:szCs w:val="21"/>
                <w:highlight w:val="none"/>
                <w:lang w:val="en-US" w:eastAsia="zh-CN"/>
              </w:rPr>
            </w:pPr>
            <w:r>
              <w:rPr>
                <w:rFonts w:hint="eastAsia"/>
                <w:kern w:val="0"/>
                <w:sz w:val="21"/>
                <w:szCs w:val="21"/>
                <w:highlight w:val="none"/>
                <w:lang w:val="en-US" w:eastAsia="zh-CN"/>
              </w:rPr>
              <w:t>3.1</w:t>
            </w:r>
          </w:p>
        </w:tc>
        <w:tc>
          <w:tcPr>
            <w:tcW w:w="4147" w:type="dxa"/>
            <w:tcBorders>
              <w:top w:val="nil"/>
              <w:left w:val="nil"/>
              <w:bottom w:val="single" w:color="auto" w:sz="4" w:space="0"/>
              <w:right w:val="single" w:color="auto" w:sz="4" w:space="0"/>
            </w:tcBorders>
            <w:vAlign w:val="center"/>
          </w:tcPr>
          <w:p w14:paraId="28EDCB5D">
            <w:pPr>
              <w:widowControl/>
              <w:ind w:firstLine="210" w:firstLineChars="100"/>
              <w:jc w:val="both"/>
              <w:rPr>
                <w:rFonts w:hint="eastAsia"/>
                <w:kern w:val="0"/>
                <w:sz w:val="21"/>
                <w:szCs w:val="21"/>
                <w:highlight w:val="none"/>
                <w:lang w:val="en-US" w:eastAsia="zh-CN"/>
              </w:rPr>
            </w:pPr>
            <w:r>
              <w:rPr>
                <w:rFonts w:hint="eastAsia"/>
                <w:kern w:val="0"/>
                <w:sz w:val="21"/>
                <w:szCs w:val="21"/>
                <w:highlight w:val="none"/>
                <w:lang w:val="en-US" w:eastAsia="zh-CN"/>
              </w:rPr>
              <w:t>暂列金额</w:t>
            </w:r>
          </w:p>
        </w:tc>
        <w:tc>
          <w:tcPr>
            <w:tcW w:w="1500" w:type="dxa"/>
            <w:tcBorders>
              <w:top w:val="nil"/>
              <w:left w:val="nil"/>
              <w:bottom w:val="single" w:color="auto" w:sz="4" w:space="0"/>
              <w:right w:val="single" w:color="auto" w:sz="4" w:space="0"/>
            </w:tcBorders>
            <w:vAlign w:val="center"/>
          </w:tcPr>
          <w:p w14:paraId="45627282">
            <w:pPr>
              <w:widowControl/>
              <w:jc w:val="left"/>
              <w:rPr>
                <w:kern w:val="0"/>
                <w:sz w:val="21"/>
                <w:szCs w:val="21"/>
                <w:highlight w:val="none"/>
              </w:rPr>
            </w:pPr>
          </w:p>
        </w:tc>
        <w:tc>
          <w:tcPr>
            <w:tcW w:w="2533" w:type="dxa"/>
            <w:tcBorders>
              <w:top w:val="nil"/>
              <w:left w:val="nil"/>
              <w:bottom w:val="single" w:color="auto" w:sz="4" w:space="0"/>
              <w:right w:val="single" w:color="auto" w:sz="4" w:space="0"/>
            </w:tcBorders>
            <w:vAlign w:val="center"/>
          </w:tcPr>
          <w:p w14:paraId="6A28610B">
            <w:pPr>
              <w:widowControl/>
              <w:jc w:val="center"/>
              <w:rPr>
                <w:kern w:val="0"/>
                <w:sz w:val="21"/>
                <w:szCs w:val="21"/>
                <w:highlight w:val="none"/>
              </w:rPr>
            </w:pPr>
          </w:p>
        </w:tc>
      </w:tr>
      <w:tr w14:paraId="0D3C353B">
        <w:tblPrEx>
          <w:tblCellMar>
            <w:top w:w="0" w:type="dxa"/>
            <w:left w:w="108" w:type="dxa"/>
            <w:bottom w:w="0" w:type="dxa"/>
            <w:right w:w="108" w:type="dxa"/>
          </w:tblCellMar>
        </w:tblPrEx>
        <w:trPr>
          <w:trHeight w:val="418" w:hRule="atLeast"/>
          <w:jc w:val="center"/>
        </w:trPr>
        <w:tc>
          <w:tcPr>
            <w:tcW w:w="1032" w:type="dxa"/>
            <w:tcBorders>
              <w:top w:val="nil"/>
              <w:left w:val="single" w:color="auto" w:sz="4" w:space="0"/>
              <w:bottom w:val="single" w:color="auto" w:sz="4" w:space="0"/>
              <w:right w:val="single" w:color="auto" w:sz="4" w:space="0"/>
            </w:tcBorders>
            <w:vAlign w:val="center"/>
          </w:tcPr>
          <w:p w14:paraId="17EB456E">
            <w:pPr>
              <w:widowControl/>
              <w:jc w:val="center"/>
              <w:rPr>
                <w:rFonts w:hint="eastAsia"/>
                <w:kern w:val="0"/>
                <w:sz w:val="21"/>
                <w:szCs w:val="21"/>
                <w:highlight w:val="none"/>
                <w:lang w:val="en-US" w:eastAsia="zh-CN"/>
              </w:rPr>
            </w:pPr>
            <w:r>
              <w:rPr>
                <w:rFonts w:hint="eastAsia"/>
                <w:kern w:val="0"/>
                <w:sz w:val="21"/>
                <w:szCs w:val="21"/>
                <w:highlight w:val="none"/>
                <w:lang w:val="en-US" w:eastAsia="zh-CN"/>
              </w:rPr>
              <w:t>3.2</w:t>
            </w:r>
          </w:p>
        </w:tc>
        <w:tc>
          <w:tcPr>
            <w:tcW w:w="4147" w:type="dxa"/>
            <w:tcBorders>
              <w:top w:val="nil"/>
              <w:left w:val="nil"/>
              <w:bottom w:val="single" w:color="auto" w:sz="4" w:space="0"/>
              <w:right w:val="single" w:color="auto" w:sz="4" w:space="0"/>
            </w:tcBorders>
            <w:vAlign w:val="center"/>
          </w:tcPr>
          <w:p w14:paraId="22463084">
            <w:pPr>
              <w:widowControl/>
              <w:ind w:firstLine="210" w:firstLineChars="100"/>
              <w:jc w:val="both"/>
              <w:rPr>
                <w:rFonts w:hint="eastAsia"/>
                <w:kern w:val="0"/>
                <w:sz w:val="21"/>
                <w:szCs w:val="21"/>
                <w:highlight w:val="none"/>
                <w:lang w:val="en-US" w:eastAsia="zh-CN"/>
              </w:rPr>
            </w:pPr>
            <w:r>
              <w:rPr>
                <w:rFonts w:hint="eastAsia"/>
                <w:kern w:val="0"/>
                <w:sz w:val="21"/>
                <w:szCs w:val="21"/>
                <w:highlight w:val="none"/>
                <w:lang w:val="en-US" w:eastAsia="zh-CN"/>
              </w:rPr>
              <w:t>专业工程暂估价</w:t>
            </w:r>
          </w:p>
        </w:tc>
        <w:tc>
          <w:tcPr>
            <w:tcW w:w="1500" w:type="dxa"/>
            <w:tcBorders>
              <w:top w:val="nil"/>
              <w:left w:val="nil"/>
              <w:bottom w:val="single" w:color="auto" w:sz="4" w:space="0"/>
              <w:right w:val="single" w:color="auto" w:sz="4" w:space="0"/>
            </w:tcBorders>
            <w:vAlign w:val="center"/>
          </w:tcPr>
          <w:p w14:paraId="7A6E9A2C">
            <w:pPr>
              <w:widowControl/>
              <w:jc w:val="left"/>
              <w:rPr>
                <w:kern w:val="0"/>
                <w:sz w:val="21"/>
                <w:szCs w:val="21"/>
                <w:highlight w:val="none"/>
              </w:rPr>
            </w:pPr>
          </w:p>
        </w:tc>
        <w:tc>
          <w:tcPr>
            <w:tcW w:w="2533" w:type="dxa"/>
            <w:tcBorders>
              <w:top w:val="nil"/>
              <w:left w:val="nil"/>
              <w:bottom w:val="single" w:color="auto" w:sz="4" w:space="0"/>
              <w:right w:val="single" w:color="auto" w:sz="4" w:space="0"/>
            </w:tcBorders>
            <w:vAlign w:val="center"/>
          </w:tcPr>
          <w:p w14:paraId="0F521176">
            <w:pPr>
              <w:widowControl/>
              <w:jc w:val="center"/>
              <w:rPr>
                <w:kern w:val="0"/>
                <w:sz w:val="21"/>
                <w:szCs w:val="21"/>
                <w:highlight w:val="none"/>
              </w:rPr>
            </w:pPr>
          </w:p>
        </w:tc>
      </w:tr>
      <w:tr w14:paraId="468266EF">
        <w:tblPrEx>
          <w:tblCellMar>
            <w:top w:w="0" w:type="dxa"/>
            <w:left w:w="108" w:type="dxa"/>
            <w:bottom w:w="0" w:type="dxa"/>
            <w:right w:w="108" w:type="dxa"/>
          </w:tblCellMar>
        </w:tblPrEx>
        <w:trPr>
          <w:trHeight w:val="418" w:hRule="atLeast"/>
          <w:jc w:val="center"/>
        </w:trPr>
        <w:tc>
          <w:tcPr>
            <w:tcW w:w="1032" w:type="dxa"/>
            <w:tcBorders>
              <w:top w:val="nil"/>
              <w:left w:val="single" w:color="auto" w:sz="4" w:space="0"/>
              <w:bottom w:val="single" w:color="auto" w:sz="4" w:space="0"/>
              <w:right w:val="single" w:color="auto" w:sz="4" w:space="0"/>
            </w:tcBorders>
            <w:vAlign w:val="center"/>
          </w:tcPr>
          <w:p w14:paraId="58788E08">
            <w:pPr>
              <w:widowControl/>
              <w:jc w:val="center"/>
              <w:rPr>
                <w:rFonts w:hint="default"/>
                <w:kern w:val="0"/>
                <w:sz w:val="21"/>
                <w:szCs w:val="21"/>
                <w:highlight w:val="none"/>
                <w:lang w:val="en-US" w:eastAsia="zh-CN"/>
              </w:rPr>
            </w:pPr>
            <w:r>
              <w:rPr>
                <w:rFonts w:hint="eastAsia"/>
                <w:kern w:val="0"/>
                <w:sz w:val="21"/>
                <w:szCs w:val="21"/>
                <w:highlight w:val="none"/>
                <w:lang w:val="en-US" w:eastAsia="zh-CN"/>
              </w:rPr>
              <w:t>3.3</w:t>
            </w:r>
          </w:p>
        </w:tc>
        <w:tc>
          <w:tcPr>
            <w:tcW w:w="4147" w:type="dxa"/>
            <w:tcBorders>
              <w:top w:val="nil"/>
              <w:left w:val="nil"/>
              <w:bottom w:val="single" w:color="auto" w:sz="4" w:space="0"/>
              <w:right w:val="single" w:color="auto" w:sz="4" w:space="0"/>
            </w:tcBorders>
            <w:vAlign w:val="center"/>
          </w:tcPr>
          <w:p w14:paraId="754D0562">
            <w:pPr>
              <w:widowControl/>
              <w:ind w:firstLine="210" w:firstLineChars="100"/>
              <w:jc w:val="both"/>
              <w:rPr>
                <w:rFonts w:hint="eastAsia"/>
                <w:kern w:val="0"/>
                <w:sz w:val="21"/>
                <w:szCs w:val="21"/>
                <w:highlight w:val="none"/>
                <w:lang w:val="en-US" w:eastAsia="zh-CN"/>
              </w:rPr>
            </w:pPr>
            <w:r>
              <w:rPr>
                <w:rFonts w:hint="eastAsia"/>
                <w:kern w:val="0"/>
                <w:sz w:val="21"/>
                <w:szCs w:val="21"/>
                <w:highlight w:val="none"/>
                <w:lang w:val="en-US" w:eastAsia="zh-CN"/>
              </w:rPr>
              <w:t>计日工</w:t>
            </w:r>
          </w:p>
        </w:tc>
        <w:tc>
          <w:tcPr>
            <w:tcW w:w="1500" w:type="dxa"/>
            <w:tcBorders>
              <w:top w:val="nil"/>
              <w:left w:val="nil"/>
              <w:bottom w:val="single" w:color="auto" w:sz="4" w:space="0"/>
              <w:right w:val="single" w:color="auto" w:sz="4" w:space="0"/>
            </w:tcBorders>
            <w:vAlign w:val="center"/>
          </w:tcPr>
          <w:p w14:paraId="541B45D9">
            <w:pPr>
              <w:widowControl/>
              <w:jc w:val="left"/>
              <w:rPr>
                <w:kern w:val="0"/>
                <w:sz w:val="21"/>
                <w:szCs w:val="21"/>
                <w:highlight w:val="none"/>
              </w:rPr>
            </w:pPr>
          </w:p>
        </w:tc>
        <w:tc>
          <w:tcPr>
            <w:tcW w:w="2533" w:type="dxa"/>
            <w:tcBorders>
              <w:top w:val="nil"/>
              <w:left w:val="nil"/>
              <w:bottom w:val="single" w:color="auto" w:sz="4" w:space="0"/>
              <w:right w:val="single" w:color="auto" w:sz="4" w:space="0"/>
            </w:tcBorders>
            <w:vAlign w:val="center"/>
          </w:tcPr>
          <w:p w14:paraId="0A62883B">
            <w:pPr>
              <w:widowControl/>
              <w:jc w:val="center"/>
              <w:rPr>
                <w:kern w:val="0"/>
                <w:sz w:val="21"/>
                <w:szCs w:val="21"/>
                <w:highlight w:val="none"/>
              </w:rPr>
            </w:pPr>
          </w:p>
        </w:tc>
      </w:tr>
      <w:tr w14:paraId="6F5DA735">
        <w:tblPrEx>
          <w:tblCellMar>
            <w:top w:w="0" w:type="dxa"/>
            <w:left w:w="108" w:type="dxa"/>
            <w:bottom w:w="0" w:type="dxa"/>
            <w:right w:w="108" w:type="dxa"/>
          </w:tblCellMar>
        </w:tblPrEx>
        <w:trPr>
          <w:trHeight w:val="418" w:hRule="atLeast"/>
          <w:jc w:val="center"/>
        </w:trPr>
        <w:tc>
          <w:tcPr>
            <w:tcW w:w="1032" w:type="dxa"/>
            <w:tcBorders>
              <w:top w:val="nil"/>
              <w:left w:val="single" w:color="auto" w:sz="4" w:space="0"/>
              <w:bottom w:val="single" w:color="auto" w:sz="4" w:space="0"/>
              <w:right w:val="single" w:color="auto" w:sz="4" w:space="0"/>
            </w:tcBorders>
            <w:vAlign w:val="center"/>
          </w:tcPr>
          <w:p w14:paraId="5B6C170B">
            <w:pPr>
              <w:widowControl/>
              <w:jc w:val="center"/>
              <w:rPr>
                <w:rFonts w:hint="default"/>
                <w:kern w:val="0"/>
                <w:sz w:val="21"/>
                <w:szCs w:val="21"/>
                <w:highlight w:val="none"/>
                <w:lang w:val="en-US" w:eastAsia="zh-CN"/>
              </w:rPr>
            </w:pPr>
            <w:r>
              <w:rPr>
                <w:rFonts w:hint="eastAsia"/>
                <w:kern w:val="0"/>
                <w:sz w:val="21"/>
                <w:szCs w:val="21"/>
                <w:highlight w:val="none"/>
                <w:lang w:val="en-US" w:eastAsia="zh-CN"/>
              </w:rPr>
              <w:t>3.4</w:t>
            </w:r>
          </w:p>
        </w:tc>
        <w:tc>
          <w:tcPr>
            <w:tcW w:w="4147" w:type="dxa"/>
            <w:tcBorders>
              <w:top w:val="nil"/>
              <w:left w:val="nil"/>
              <w:bottom w:val="single" w:color="auto" w:sz="4" w:space="0"/>
              <w:right w:val="single" w:color="auto" w:sz="4" w:space="0"/>
            </w:tcBorders>
            <w:vAlign w:val="center"/>
          </w:tcPr>
          <w:p w14:paraId="6E671528">
            <w:pPr>
              <w:widowControl/>
              <w:ind w:firstLine="210" w:firstLineChars="100"/>
              <w:jc w:val="both"/>
              <w:rPr>
                <w:rFonts w:hint="eastAsia"/>
                <w:kern w:val="0"/>
                <w:sz w:val="21"/>
                <w:szCs w:val="21"/>
                <w:highlight w:val="none"/>
                <w:lang w:val="en-US" w:eastAsia="zh-CN"/>
              </w:rPr>
            </w:pPr>
            <w:r>
              <w:rPr>
                <w:rFonts w:hint="eastAsia"/>
                <w:kern w:val="0"/>
                <w:sz w:val="21"/>
                <w:szCs w:val="21"/>
                <w:highlight w:val="none"/>
                <w:lang w:val="en-US" w:eastAsia="zh-CN"/>
              </w:rPr>
              <w:t>总承包服务费</w:t>
            </w:r>
          </w:p>
        </w:tc>
        <w:tc>
          <w:tcPr>
            <w:tcW w:w="1500" w:type="dxa"/>
            <w:tcBorders>
              <w:top w:val="nil"/>
              <w:left w:val="nil"/>
              <w:bottom w:val="single" w:color="auto" w:sz="4" w:space="0"/>
              <w:right w:val="single" w:color="auto" w:sz="4" w:space="0"/>
            </w:tcBorders>
            <w:vAlign w:val="center"/>
          </w:tcPr>
          <w:p w14:paraId="2A723264">
            <w:pPr>
              <w:widowControl/>
              <w:jc w:val="left"/>
              <w:rPr>
                <w:kern w:val="0"/>
                <w:sz w:val="21"/>
                <w:szCs w:val="21"/>
                <w:highlight w:val="none"/>
              </w:rPr>
            </w:pPr>
          </w:p>
        </w:tc>
        <w:tc>
          <w:tcPr>
            <w:tcW w:w="2533" w:type="dxa"/>
            <w:tcBorders>
              <w:top w:val="nil"/>
              <w:left w:val="nil"/>
              <w:bottom w:val="single" w:color="auto" w:sz="4" w:space="0"/>
              <w:right w:val="single" w:color="auto" w:sz="4" w:space="0"/>
            </w:tcBorders>
            <w:vAlign w:val="center"/>
          </w:tcPr>
          <w:p w14:paraId="49DF8EB1">
            <w:pPr>
              <w:widowControl/>
              <w:jc w:val="center"/>
              <w:rPr>
                <w:kern w:val="0"/>
                <w:sz w:val="21"/>
                <w:szCs w:val="21"/>
                <w:highlight w:val="none"/>
              </w:rPr>
            </w:pPr>
          </w:p>
        </w:tc>
      </w:tr>
      <w:tr w14:paraId="6893C519">
        <w:tblPrEx>
          <w:tblCellMar>
            <w:top w:w="0" w:type="dxa"/>
            <w:left w:w="108" w:type="dxa"/>
            <w:bottom w:w="0" w:type="dxa"/>
            <w:right w:w="108" w:type="dxa"/>
          </w:tblCellMar>
        </w:tblPrEx>
        <w:trPr>
          <w:trHeight w:val="418" w:hRule="atLeast"/>
          <w:jc w:val="center"/>
        </w:trPr>
        <w:tc>
          <w:tcPr>
            <w:tcW w:w="1032" w:type="dxa"/>
            <w:tcBorders>
              <w:top w:val="nil"/>
              <w:left w:val="single" w:color="auto" w:sz="4" w:space="0"/>
              <w:bottom w:val="single" w:color="auto" w:sz="4" w:space="0"/>
              <w:right w:val="single" w:color="auto" w:sz="4" w:space="0"/>
            </w:tcBorders>
            <w:vAlign w:val="center"/>
          </w:tcPr>
          <w:p w14:paraId="2AD07844">
            <w:pPr>
              <w:widowControl/>
              <w:jc w:val="center"/>
              <w:rPr>
                <w:kern w:val="0"/>
                <w:sz w:val="21"/>
                <w:szCs w:val="21"/>
                <w:highlight w:val="none"/>
              </w:rPr>
            </w:pPr>
            <w:r>
              <w:rPr>
                <w:kern w:val="0"/>
                <w:sz w:val="21"/>
                <w:szCs w:val="21"/>
                <w:highlight w:val="none"/>
              </w:rPr>
              <w:t>4</w:t>
            </w:r>
          </w:p>
        </w:tc>
        <w:tc>
          <w:tcPr>
            <w:tcW w:w="4147" w:type="dxa"/>
            <w:tcBorders>
              <w:top w:val="nil"/>
              <w:left w:val="nil"/>
              <w:bottom w:val="single" w:color="auto" w:sz="4" w:space="0"/>
              <w:right w:val="single" w:color="auto" w:sz="4" w:space="0"/>
            </w:tcBorders>
            <w:vAlign w:val="center"/>
          </w:tcPr>
          <w:p w14:paraId="49A11BB3">
            <w:pPr>
              <w:widowControl/>
              <w:jc w:val="left"/>
              <w:rPr>
                <w:kern w:val="0"/>
                <w:sz w:val="21"/>
                <w:szCs w:val="21"/>
                <w:highlight w:val="none"/>
              </w:rPr>
            </w:pPr>
            <w:r>
              <w:rPr>
                <w:spacing w:val="-2"/>
                <w:sz w:val="21"/>
                <w:szCs w:val="21"/>
                <w:highlight w:val="none"/>
              </w:rPr>
              <w:t>增值税</w:t>
            </w:r>
          </w:p>
        </w:tc>
        <w:tc>
          <w:tcPr>
            <w:tcW w:w="1500" w:type="dxa"/>
            <w:tcBorders>
              <w:top w:val="nil"/>
              <w:left w:val="nil"/>
              <w:bottom w:val="single" w:color="auto" w:sz="4" w:space="0"/>
              <w:right w:val="single" w:color="auto" w:sz="4" w:space="0"/>
            </w:tcBorders>
            <w:vAlign w:val="center"/>
          </w:tcPr>
          <w:p w14:paraId="7F61578F">
            <w:pPr>
              <w:widowControl/>
              <w:jc w:val="left"/>
              <w:rPr>
                <w:kern w:val="0"/>
                <w:sz w:val="21"/>
                <w:szCs w:val="21"/>
                <w:highlight w:val="none"/>
              </w:rPr>
            </w:pPr>
          </w:p>
        </w:tc>
        <w:tc>
          <w:tcPr>
            <w:tcW w:w="2533" w:type="dxa"/>
            <w:tcBorders>
              <w:top w:val="nil"/>
              <w:left w:val="nil"/>
              <w:bottom w:val="single" w:color="auto" w:sz="4" w:space="0"/>
              <w:right w:val="single" w:color="auto" w:sz="4" w:space="0"/>
            </w:tcBorders>
            <w:vAlign w:val="center"/>
          </w:tcPr>
          <w:p w14:paraId="3FC65335">
            <w:pPr>
              <w:widowControl/>
              <w:jc w:val="center"/>
              <w:rPr>
                <w:kern w:val="0"/>
                <w:sz w:val="21"/>
                <w:szCs w:val="21"/>
                <w:highlight w:val="none"/>
              </w:rPr>
            </w:pPr>
          </w:p>
        </w:tc>
      </w:tr>
      <w:tr w14:paraId="6A3359CF">
        <w:tblPrEx>
          <w:tblCellMar>
            <w:top w:w="0" w:type="dxa"/>
            <w:left w:w="108" w:type="dxa"/>
            <w:bottom w:w="0" w:type="dxa"/>
            <w:right w:w="108" w:type="dxa"/>
          </w:tblCellMar>
        </w:tblPrEx>
        <w:trPr>
          <w:trHeight w:val="549" w:hRule="atLeast"/>
          <w:jc w:val="center"/>
        </w:trPr>
        <w:tc>
          <w:tcPr>
            <w:tcW w:w="5179" w:type="dxa"/>
            <w:gridSpan w:val="2"/>
            <w:tcBorders>
              <w:top w:val="single" w:color="auto" w:sz="4" w:space="0"/>
              <w:left w:val="single" w:color="auto" w:sz="4" w:space="0"/>
              <w:bottom w:val="single" w:color="auto" w:sz="4" w:space="0"/>
              <w:right w:val="single" w:color="000000" w:sz="4" w:space="0"/>
            </w:tcBorders>
            <w:vAlign w:val="center"/>
          </w:tcPr>
          <w:p w14:paraId="62D6611A">
            <w:pPr>
              <w:widowControl/>
              <w:jc w:val="center"/>
              <w:rPr>
                <w:kern w:val="0"/>
                <w:sz w:val="22"/>
                <w:szCs w:val="22"/>
                <w:highlight w:val="none"/>
              </w:rPr>
            </w:pPr>
            <w:r>
              <w:rPr>
                <w:rFonts w:hint="eastAsia" w:ascii="宋体" w:hAnsi="宋体" w:cs="宋体"/>
                <w:kern w:val="0"/>
                <w:sz w:val="21"/>
                <w:szCs w:val="21"/>
                <w:highlight w:val="none"/>
              </w:rPr>
              <w:t>合计</w:t>
            </w:r>
          </w:p>
        </w:tc>
        <w:tc>
          <w:tcPr>
            <w:tcW w:w="1500" w:type="dxa"/>
            <w:tcBorders>
              <w:top w:val="nil"/>
              <w:left w:val="nil"/>
              <w:bottom w:val="single" w:color="auto" w:sz="4" w:space="0"/>
              <w:right w:val="single" w:color="auto" w:sz="4" w:space="0"/>
            </w:tcBorders>
            <w:vAlign w:val="center"/>
          </w:tcPr>
          <w:p w14:paraId="3CA87279">
            <w:pPr>
              <w:widowControl/>
              <w:jc w:val="left"/>
              <w:rPr>
                <w:kern w:val="0"/>
                <w:sz w:val="22"/>
                <w:szCs w:val="22"/>
                <w:highlight w:val="none"/>
              </w:rPr>
            </w:pPr>
          </w:p>
        </w:tc>
        <w:tc>
          <w:tcPr>
            <w:tcW w:w="2533" w:type="dxa"/>
            <w:tcBorders>
              <w:top w:val="nil"/>
              <w:left w:val="nil"/>
              <w:bottom w:val="single" w:color="auto" w:sz="4" w:space="0"/>
              <w:right w:val="single" w:color="auto" w:sz="4" w:space="0"/>
            </w:tcBorders>
            <w:vAlign w:val="center"/>
          </w:tcPr>
          <w:p w14:paraId="5186DC4E">
            <w:pPr>
              <w:widowControl/>
              <w:jc w:val="left"/>
              <w:rPr>
                <w:kern w:val="0"/>
                <w:sz w:val="22"/>
                <w:szCs w:val="22"/>
                <w:highlight w:val="none"/>
              </w:rPr>
            </w:pPr>
          </w:p>
        </w:tc>
      </w:tr>
      <w:tr w14:paraId="1E7C194C">
        <w:tblPrEx>
          <w:tblCellMar>
            <w:top w:w="0" w:type="dxa"/>
            <w:left w:w="108" w:type="dxa"/>
            <w:bottom w:w="0" w:type="dxa"/>
            <w:right w:w="108" w:type="dxa"/>
          </w:tblCellMar>
        </w:tblPrEx>
        <w:trPr>
          <w:trHeight w:val="477" w:hRule="atLeast"/>
          <w:jc w:val="center"/>
        </w:trPr>
        <w:tc>
          <w:tcPr>
            <w:tcW w:w="9212" w:type="dxa"/>
            <w:gridSpan w:val="4"/>
            <w:tcBorders>
              <w:top w:val="single" w:color="auto" w:sz="4" w:space="0"/>
              <w:left w:val="nil"/>
              <w:bottom w:val="nil"/>
              <w:right w:val="nil"/>
            </w:tcBorders>
            <w:vAlign w:val="center"/>
          </w:tcPr>
          <w:p w14:paraId="67C52B9F">
            <w:pPr>
              <w:widowControl/>
              <w:spacing w:before="81"/>
              <w:ind w:firstLine="400" w:firstLineChars="200"/>
              <w:jc w:val="left"/>
              <w:rPr>
                <w:rFonts w:hint="eastAsia" w:eastAsia="宋体"/>
                <w:kern w:val="0"/>
                <w:sz w:val="18"/>
                <w:szCs w:val="18"/>
                <w:highlight w:val="none"/>
                <w:lang w:eastAsia="zh-CN"/>
              </w:rPr>
            </w:pPr>
            <w:r>
              <w:rPr>
                <w:rFonts w:hint="eastAsia"/>
                <w:spacing w:val="5"/>
                <w:sz w:val="19"/>
                <w:szCs w:val="19"/>
                <w:highlight w:val="none"/>
                <w:lang w:val="en-US" w:eastAsia="zh-CN"/>
              </w:rPr>
              <w:t>注</w:t>
            </w:r>
            <w:r>
              <w:rPr>
                <w:rFonts w:hint="eastAsia"/>
                <w:spacing w:val="5"/>
                <w:sz w:val="19"/>
                <w:szCs w:val="19"/>
                <w:highlight w:val="none"/>
                <w:lang w:eastAsia="zh-CN"/>
              </w:rPr>
              <w:t>：</w:t>
            </w:r>
            <w:r>
              <w:rPr>
                <w:spacing w:val="5"/>
                <w:sz w:val="19"/>
                <w:szCs w:val="19"/>
                <w:highlight w:val="none"/>
              </w:rPr>
              <w:t>专业工程暂估价为已含税价格，在计算增值税计算基础时不应包含专业工程暂估价金额</w:t>
            </w:r>
            <w:r>
              <w:rPr>
                <w:rFonts w:hint="eastAsia"/>
                <w:spacing w:val="5"/>
                <w:sz w:val="19"/>
                <w:szCs w:val="19"/>
                <w:highlight w:val="none"/>
                <w:lang w:eastAsia="zh-CN"/>
              </w:rPr>
              <w:t>。</w:t>
            </w:r>
          </w:p>
        </w:tc>
      </w:tr>
    </w:tbl>
    <w:p w14:paraId="2D4D0C08">
      <w:pPr>
        <w:rPr>
          <w:highlight w:val="none"/>
        </w:rPr>
      </w:pPr>
      <w:r>
        <w:rPr>
          <w:highlight w:val="none"/>
        </w:rPr>
        <w:br w:type="page"/>
      </w:r>
    </w:p>
    <w:p w14:paraId="4A3FD462">
      <w:pPr>
        <w:pStyle w:val="16"/>
        <w:spacing w:before="117" w:line="218" w:lineRule="auto"/>
        <w:jc w:val="center"/>
        <w:outlineLvl w:val="2"/>
        <w:rPr>
          <w:b w:val="0"/>
          <w:bCs w:val="0"/>
          <w:spacing w:val="-2"/>
          <w:sz w:val="28"/>
          <w:szCs w:val="28"/>
          <w:highlight w:val="none"/>
        </w:rPr>
      </w:pPr>
      <w:r>
        <w:rPr>
          <w:b w:val="0"/>
          <w:bCs w:val="0"/>
          <w:spacing w:val="-2"/>
          <w:sz w:val="28"/>
          <w:szCs w:val="28"/>
          <w:highlight w:val="none"/>
        </w:rPr>
        <w:t>分部分项工程</w:t>
      </w:r>
      <w:r>
        <w:rPr>
          <w:rFonts w:hint="eastAsia"/>
          <w:b w:val="0"/>
          <w:bCs w:val="0"/>
          <w:spacing w:val="-2"/>
          <w:sz w:val="28"/>
          <w:szCs w:val="28"/>
          <w:highlight w:val="none"/>
          <w:lang w:val="en-US" w:eastAsia="zh-CN"/>
        </w:rPr>
        <w:t>项目</w:t>
      </w:r>
      <w:r>
        <w:rPr>
          <w:b w:val="0"/>
          <w:bCs w:val="0"/>
          <w:spacing w:val="-2"/>
          <w:sz w:val="28"/>
          <w:szCs w:val="28"/>
          <w:highlight w:val="none"/>
        </w:rPr>
        <w:t>清单表</w:t>
      </w:r>
    </w:p>
    <w:tbl>
      <w:tblPr>
        <w:tblStyle w:val="41"/>
        <w:tblW w:w="9181" w:type="dxa"/>
        <w:jc w:val="center"/>
        <w:tblLayout w:type="fixed"/>
        <w:tblCellMar>
          <w:top w:w="0" w:type="dxa"/>
          <w:left w:w="108" w:type="dxa"/>
          <w:bottom w:w="0" w:type="dxa"/>
          <w:right w:w="108" w:type="dxa"/>
        </w:tblCellMar>
      </w:tblPr>
      <w:tblGrid>
        <w:gridCol w:w="683"/>
        <w:gridCol w:w="1097"/>
        <w:gridCol w:w="1315"/>
        <w:gridCol w:w="2250"/>
        <w:gridCol w:w="1233"/>
        <w:gridCol w:w="578"/>
        <w:gridCol w:w="606"/>
        <w:gridCol w:w="1099"/>
        <w:gridCol w:w="320"/>
      </w:tblGrid>
      <w:tr w14:paraId="1B9388C5">
        <w:tblPrEx>
          <w:tblCellMar>
            <w:top w:w="0" w:type="dxa"/>
            <w:left w:w="108" w:type="dxa"/>
            <w:bottom w:w="0" w:type="dxa"/>
            <w:right w:w="108" w:type="dxa"/>
          </w:tblCellMar>
        </w:tblPrEx>
        <w:trPr>
          <w:trHeight w:val="496" w:hRule="atLeast"/>
          <w:jc w:val="center"/>
        </w:trPr>
        <w:tc>
          <w:tcPr>
            <w:tcW w:w="7156" w:type="dxa"/>
            <w:gridSpan w:val="6"/>
            <w:tcBorders>
              <w:top w:val="nil"/>
              <w:left w:val="nil"/>
              <w:bottom w:val="single" w:color="auto" w:sz="4" w:space="0"/>
              <w:right w:val="nil"/>
            </w:tcBorders>
            <w:vAlign w:val="center"/>
          </w:tcPr>
          <w:p w14:paraId="576BA079">
            <w:pPr>
              <w:widowControl/>
              <w:jc w:val="left"/>
              <w:rPr>
                <w:kern w:val="0"/>
                <w:sz w:val="21"/>
                <w:szCs w:val="21"/>
                <w:highlight w:val="none"/>
              </w:rPr>
            </w:pPr>
            <w:r>
              <w:rPr>
                <w:kern w:val="0"/>
                <w:sz w:val="21"/>
                <w:szCs w:val="21"/>
                <w:highlight w:val="none"/>
              </w:rPr>
              <w:t>工程名称：                     标段：</w:t>
            </w:r>
          </w:p>
        </w:tc>
        <w:tc>
          <w:tcPr>
            <w:tcW w:w="2025" w:type="dxa"/>
            <w:gridSpan w:val="3"/>
            <w:tcBorders>
              <w:top w:val="nil"/>
              <w:left w:val="nil"/>
              <w:bottom w:val="single" w:color="auto" w:sz="4" w:space="0"/>
              <w:right w:val="nil"/>
            </w:tcBorders>
            <w:vAlign w:val="center"/>
          </w:tcPr>
          <w:p w14:paraId="55AFCA37">
            <w:pPr>
              <w:widowControl/>
              <w:ind w:right="-167"/>
              <w:rPr>
                <w:kern w:val="0"/>
                <w:sz w:val="21"/>
                <w:szCs w:val="21"/>
                <w:highlight w:val="none"/>
              </w:rPr>
            </w:pPr>
            <w:r>
              <w:rPr>
                <w:kern w:val="0"/>
                <w:sz w:val="21"/>
                <w:szCs w:val="21"/>
                <w:highlight w:val="none"/>
              </w:rPr>
              <w:t>第  页   共  页</w:t>
            </w:r>
          </w:p>
        </w:tc>
      </w:tr>
      <w:tr w14:paraId="4C305668">
        <w:tblPrEx>
          <w:tblCellMar>
            <w:top w:w="0" w:type="dxa"/>
            <w:left w:w="108" w:type="dxa"/>
            <w:bottom w:w="0" w:type="dxa"/>
            <w:right w:w="108" w:type="dxa"/>
          </w:tblCellMar>
        </w:tblPrEx>
        <w:trPr>
          <w:gridAfter w:val="1"/>
          <w:wAfter w:w="320" w:type="dxa"/>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2CF1FD7A">
            <w:pPr>
              <w:widowControl/>
              <w:jc w:val="center"/>
              <w:rPr>
                <w:kern w:val="0"/>
                <w:sz w:val="21"/>
                <w:szCs w:val="21"/>
                <w:highlight w:val="none"/>
              </w:rPr>
            </w:pPr>
            <w:r>
              <w:rPr>
                <w:kern w:val="0"/>
                <w:sz w:val="21"/>
                <w:szCs w:val="21"/>
                <w:highlight w:val="none"/>
              </w:rPr>
              <w:t>序号</w:t>
            </w:r>
          </w:p>
        </w:tc>
        <w:tc>
          <w:tcPr>
            <w:tcW w:w="1097" w:type="dxa"/>
            <w:tcBorders>
              <w:top w:val="nil"/>
              <w:left w:val="nil"/>
              <w:bottom w:val="single" w:color="auto" w:sz="4" w:space="0"/>
              <w:right w:val="single" w:color="auto" w:sz="4" w:space="0"/>
            </w:tcBorders>
            <w:vAlign w:val="center"/>
          </w:tcPr>
          <w:p w14:paraId="4B50BA15">
            <w:pPr>
              <w:widowControl/>
              <w:jc w:val="center"/>
              <w:rPr>
                <w:kern w:val="0"/>
                <w:sz w:val="21"/>
                <w:szCs w:val="21"/>
                <w:highlight w:val="none"/>
              </w:rPr>
            </w:pPr>
            <w:r>
              <w:rPr>
                <w:kern w:val="0"/>
                <w:sz w:val="21"/>
                <w:szCs w:val="21"/>
                <w:highlight w:val="none"/>
              </w:rPr>
              <w:t>项目编码</w:t>
            </w:r>
          </w:p>
        </w:tc>
        <w:tc>
          <w:tcPr>
            <w:tcW w:w="1315" w:type="dxa"/>
            <w:tcBorders>
              <w:top w:val="nil"/>
              <w:left w:val="nil"/>
              <w:bottom w:val="single" w:color="auto" w:sz="4" w:space="0"/>
              <w:right w:val="single" w:color="auto" w:sz="4" w:space="0"/>
            </w:tcBorders>
            <w:vAlign w:val="center"/>
          </w:tcPr>
          <w:p w14:paraId="7FDE588F">
            <w:pPr>
              <w:widowControl/>
              <w:jc w:val="center"/>
              <w:rPr>
                <w:kern w:val="0"/>
                <w:sz w:val="21"/>
                <w:szCs w:val="21"/>
                <w:highlight w:val="none"/>
              </w:rPr>
            </w:pPr>
            <w:r>
              <w:rPr>
                <w:kern w:val="0"/>
                <w:sz w:val="21"/>
                <w:szCs w:val="21"/>
                <w:highlight w:val="none"/>
              </w:rPr>
              <w:t>项目名称</w:t>
            </w:r>
          </w:p>
        </w:tc>
        <w:tc>
          <w:tcPr>
            <w:tcW w:w="2250" w:type="dxa"/>
            <w:tcBorders>
              <w:top w:val="nil"/>
              <w:left w:val="nil"/>
              <w:bottom w:val="single" w:color="auto" w:sz="4" w:space="0"/>
              <w:right w:val="single" w:color="auto" w:sz="4" w:space="0"/>
            </w:tcBorders>
            <w:vAlign w:val="center"/>
          </w:tcPr>
          <w:p w14:paraId="70D94FBA">
            <w:pPr>
              <w:widowControl/>
              <w:jc w:val="center"/>
              <w:rPr>
                <w:kern w:val="0"/>
                <w:sz w:val="21"/>
                <w:szCs w:val="21"/>
                <w:highlight w:val="none"/>
              </w:rPr>
            </w:pPr>
            <w:r>
              <w:rPr>
                <w:kern w:val="0"/>
                <w:sz w:val="21"/>
                <w:szCs w:val="21"/>
                <w:highlight w:val="none"/>
              </w:rPr>
              <w:t>项目特征描述</w:t>
            </w:r>
          </w:p>
        </w:tc>
        <w:tc>
          <w:tcPr>
            <w:tcW w:w="1233" w:type="dxa"/>
            <w:tcBorders>
              <w:top w:val="nil"/>
              <w:left w:val="nil"/>
              <w:bottom w:val="single" w:color="auto" w:sz="4" w:space="0"/>
              <w:right w:val="single" w:color="auto" w:sz="4" w:space="0"/>
            </w:tcBorders>
            <w:vAlign w:val="center"/>
          </w:tcPr>
          <w:p w14:paraId="18AB41A0">
            <w:pPr>
              <w:widowControl/>
              <w:jc w:val="center"/>
              <w:rPr>
                <w:kern w:val="0"/>
                <w:sz w:val="21"/>
                <w:szCs w:val="21"/>
                <w:highlight w:val="none"/>
              </w:rPr>
            </w:pPr>
            <w:r>
              <w:rPr>
                <w:kern w:val="0"/>
                <w:sz w:val="21"/>
                <w:szCs w:val="21"/>
                <w:highlight w:val="none"/>
              </w:rPr>
              <w:t>计量单位</w:t>
            </w:r>
          </w:p>
        </w:tc>
        <w:tc>
          <w:tcPr>
            <w:tcW w:w="1184" w:type="dxa"/>
            <w:gridSpan w:val="2"/>
            <w:tcBorders>
              <w:top w:val="nil"/>
              <w:left w:val="nil"/>
              <w:bottom w:val="single" w:color="auto" w:sz="4" w:space="0"/>
              <w:right w:val="single" w:color="auto" w:sz="4" w:space="0"/>
            </w:tcBorders>
            <w:vAlign w:val="center"/>
          </w:tcPr>
          <w:p w14:paraId="32815706">
            <w:pPr>
              <w:widowControl/>
              <w:jc w:val="center"/>
              <w:rPr>
                <w:kern w:val="0"/>
                <w:sz w:val="21"/>
                <w:szCs w:val="21"/>
                <w:highlight w:val="none"/>
              </w:rPr>
            </w:pPr>
            <w:r>
              <w:rPr>
                <w:kern w:val="0"/>
                <w:sz w:val="21"/>
                <w:szCs w:val="21"/>
                <w:highlight w:val="none"/>
              </w:rPr>
              <w:t>工程量</w:t>
            </w:r>
          </w:p>
        </w:tc>
        <w:tc>
          <w:tcPr>
            <w:tcW w:w="1099" w:type="dxa"/>
            <w:tcBorders>
              <w:top w:val="nil"/>
              <w:left w:val="nil"/>
              <w:bottom w:val="single" w:color="auto" w:sz="4" w:space="0"/>
              <w:right w:val="single" w:color="auto" w:sz="4" w:space="0"/>
            </w:tcBorders>
            <w:vAlign w:val="center"/>
          </w:tcPr>
          <w:p w14:paraId="6688FC16">
            <w:pPr>
              <w:widowControl/>
              <w:jc w:val="center"/>
              <w:rPr>
                <w:rFonts w:hint="eastAsia" w:eastAsiaTheme="minorEastAsia"/>
                <w:kern w:val="0"/>
                <w:sz w:val="21"/>
                <w:szCs w:val="21"/>
                <w:highlight w:val="none"/>
                <w:lang w:eastAsia="zh-CN"/>
              </w:rPr>
            </w:pPr>
            <w:r>
              <w:rPr>
                <w:rFonts w:hint="eastAsia"/>
                <w:kern w:val="0"/>
                <w:sz w:val="21"/>
                <w:szCs w:val="21"/>
                <w:highlight w:val="none"/>
                <w:lang w:eastAsia="zh-CN"/>
              </w:rPr>
              <w:t>备注</w:t>
            </w:r>
          </w:p>
        </w:tc>
      </w:tr>
      <w:tr w14:paraId="6DE5F608">
        <w:tblPrEx>
          <w:tblCellMar>
            <w:top w:w="0" w:type="dxa"/>
            <w:left w:w="108" w:type="dxa"/>
            <w:bottom w:w="0" w:type="dxa"/>
            <w:right w:w="108" w:type="dxa"/>
          </w:tblCellMar>
        </w:tblPrEx>
        <w:trPr>
          <w:gridAfter w:val="1"/>
          <w:wAfter w:w="320" w:type="dxa"/>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079F8576">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4053C146">
            <w:pPr>
              <w:widowControl/>
              <w:jc w:val="left"/>
              <w:rPr>
                <w:kern w:val="0"/>
                <w:sz w:val="21"/>
                <w:szCs w:val="21"/>
                <w:highlight w:val="none"/>
              </w:rPr>
            </w:pPr>
          </w:p>
        </w:tc>
        <w:tc>
          <w:tcPr>
            <w:tcW w:w="1315" w:type="dxa"/>
            <w:tcBorders>
              <w:top w:val="nil"/>
              <w:left w:val="nil"/>
              <w:bottom w:val="single" w:color="auto" w:sz="4" w:space="0"/>
              <w:right w:val="single" w:color="auto" w:sz="4" w:space="0"/>
            </w:tcBorders>
            <w:vAlign w:val="center"/>
          </w:tcPr>
          <w:p w14:paraId="0BF6E0F8">
            <w:pPr>
              <w:widowControl/>
              <w:jc w:val="left"/>
              <w:rPr>
                <w:kern w:val="0"/>
                <w:sz w:val="21"/>
                <w:szCs w:val="21"/>
                <w:highlight w:val="none"/>
              </w:rPr>
            </w:pPr>
          </w:p>
        </w:tc>
        <w:tc>
          <w:tcPr>
            <w:tcW w:w="2250" w:type="dxa"/>
            <w:tcBorders>
              <w:top w:val="nil"/>
              <w:left w:val="nil"/>
              <w:bottom w:val="single" w:color="auto" w:sz="4" w:space="0"/>
              <w:right w:val="single" w:color="auto" w:sz="4" w:space="0"/>
            </w:tcBorders>
            <w:vAlign w:val="center"/>
          </w:tcPr>
          <w:p w14:paraId="032D94E4">
            <w:pPr>
              <w:widowControl/>
              <w:jc w:val="left"/>
              <w:rPr>
                <w:kern w:val="0"/>
                <w:sz w:val="21"/>
                <w:szCs w:val="21"/>
                <w:highlight w:val="none"/>
              </w:rPr>
            </w:pPr>
          </w:p>
        </w:tc>
        <w:tc>
          <w:tcPr>
            <w:tcW w:w="1233" w:type="dxa"/>
            <w:tcBorders>
              <w:top w:val="nil"/>
              <w:left w:val="nil"/>
              <w:bottom w:val="single" w:color="auto" w:sz="4" w:space="0"/>
              <w:right w:val="single" w:color="auto" w:sz="4" w:space="0"/>
            </w:tcBorders>
            <w:vAlign w:val="center"/>
          </w:tcPr>
          <w:p w14:paraId="5DA4BDB4">
            <w:pPr>
              <w:widowControl/>
              <w:jc w:val="left"/>
              <w:rPr>
                <w:kern w:val="0"/>
                <w:sz w:val="21"/>
                <w:szCs w:val="21"/>
                <w:highlight w:val="none"/>
              </w:rPr>
            </w:pPr>
          </w:p>
        </w:tc>
        <w:tc>
          <w:tcPr>
            <w:tcW w:w="1184" w:type="dxa"/>
            <w:gridSpan w:val="2"/>
            <w:tcBorders>
              <w:top w:val="nil"/>
              <w:left w:val="nil"/>
              <w:bottom w:val="single" w:color="auto" w:sz="4" w:space="0"/>
              <w:right w:val="single" w:color="auto" w:sz="4" w:space="0"/>
            </w:tcBorders>
            <w:vAlign w:val="center"/>
          </w:tcPr>
          <w:p w14:paraId="5264C9E7">
            <w:pPr>
              <w:widowControl/>
              <w:jc w:val="left"/>
              <w:rPr>
                <w:kern w:val="0"/>
                <w:sz w:val="21"/>
                <w:szCs w:val="21"/>
                <w:highlight w:val="none"/>
              </w:rPr>
            </w:pPr>
          </w:p>
        </w:tc>
        <w:tc>
          <w:tcPr>
            <w:tcW w:w="1099" w:type="dxa"/>
            <w:tcBorders>
              <w:top w:val="nil"/>
              <w:left w:val="nil"/>
              <w:bottom w:val="single" w:color="auto" w:sz="4" w:space="0"/>
              <w:right w:val="single" w:color="auto" w:sz="4" w:space="0"/>
            </w:tcBorders>
            <w:vAlign w:val="center"/>
          </w:tcPr>
          <w:p w14:paraId="6A8CF719">
            <w:pPr>
              <w:widowControl/>
              <w:jc w:val="left"/>
              <w:rPr>
                <w:kern w:val="0"/>
                <w:sz w:val="21"/>
                <w:szCs w:val="21"/>
                <w:highlight w:val="none"/>
              </w:rPr>
            </w:pPr>
          </w:p>
        </w:tc>
      </w:tr>
      <w:tr w14:paraId="51CC52CA">
        <w:tblPrEx>
          <w:tblCellMar>
            <w:top w:w="0" w:type="dxa"/>
            <w:left w:w="108" w:type="dxa"/>
            <w:bottom w:w="0" w:type="dxa"/>
            <w:right w:w="108" w:type="dxa"/>
          </w:tblCellMar>
        </w:tblPrEx>
        <w:trPr>
          <w:gridAfter w:val="1"/>
          <w:wAfter w:w="320" w:type="dxa"/>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1983D5B1">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29C6ECC2">
            <w:pPr>
              <w:widowControl/>
              <w:jc w:val="left"/>
              <w:rPr>
                <w:kern w:val="0"/>
                <w:sz w:val="21"/>
                <w:szCs w:val="21"/>
                <w:highlight w:val="none"/>
              </w:rPr>
            </w:pPr>
          </w:p>
        </w:tc>
        <w:tc>
          <w:tcPr>
            <w:tcW w:w="1315" w:type="dxa"/>
            <w:tcBorders>
              <w:top w:val="nil"/>
              <w:left w:val="nil"/>
              <w:bottom w:val="single" w:color="auto" w:sz="4" w:space="0"/>
              <w:right w:val="single" w:color="auto" w:sz="4" w:space="0"/>
            </w:tcBorders>
            <w:vAlign w:val="center"/>
          </w:tcPr>
          <w:p w14:paraId="35B51056">
            <w:pPr>
              <w:widowControl/>
              <w:jc w:val="left"/>
              <w:rPr>
                <w:kern w:val="0"/>
                <w:sz w:val="21"/>
                <w:szCs w:val="21"/>
                <w:highlight w:val="none"/>
              </w:rPr>
            </w:pPr>
          </w:p>
        </w:tc>
        <w:tc>
          <w:tcPr>
            <w:tcW w:w="2250" w:type="dxa"/>
            <w:tcBorders>
              <w:top w:val="nil"/>
              <w:left w:val="nil"/>
              <w:bottom w:val="single" w:color="auto" w:sz="4" w:space="0"/>
              <w:right w:val="single" w:color="auto" w:sz="4" w:space="0"/>
            </w:tcBorders>
            <w:vAlign w:val="center"/>
          </w:tcPr>
          <w:p w14:paraId="5A322D0D">
            <w:pPr>
              <w:widowControl/>
              <w:jc w:val="left"/>
              <w:rPr>
                <w:kern w:val="0"/>
                <w:sz w:val="21"/>
                <w:szCs w:val="21"/>
                <w:highlight w:val="none"/>
              </w:rPr>
            </w:pPr>
          </w:p>
        </w:tc>
        <w:tc>
          <w:tcPr>
            <w:tcW w:w="1233" w:type="dxa"/>
            <w:tcBorders>
              <w:top w:val="nil"/>
              <w:left w:val="nil"/>
              <w:bottom w:val="single" w:color="auto" w:sz="4" w:space="0"/>
              <w:right w:val="single" w:color="auto" w:sz="4" w:space="0"/>
            </w:tcBorders>
            <w:vAlign w:val="center"/>
          </w:tcPr>
          <w:p w14:paraId="45107D88">
            <w:pPr>
              <w:widowControl/>
              <w:jc w:val="left"/>
              <w:rPr>
                <w:kern w:val="0"/>
                <w:sz w:val="21"/>
                <w:szCs w:val="21"/>
                <w:highlight w:val="none"/>
              </w:rPr>
            </w:pPr>
          </w:p>
        </w:tc>
        <w:tc>
          <w:tcPr>
            <w:tcW w:w="1184" w:type="dxa"/>
            <w:gridSpan w:val="2"/>
            <w:tcBorders>
              <w:top w:val="nil"/>
              <w:left w:val="nil"/>
              <w:bottom w:val="single" w:color="auto" w:sz="4" w:space="0"/>
              <w:right w:val="single" w:color="auto" w:sz="4" w:space="0"/>
            </w:tcBorders>
            <w:vAlign w:val="center"/>
          </w:tcPr>
          <w:p w14:paraId="3D30503E">
            <w:pPr>
              <w:widowControl/>
              <w:jc w:val="left"/>
              <w:rPr>
                <w:kern w:val="0"/>
                <w:sz w:val="21"/>
                <w:szCs w:val="21"/>
                <w:highlight w:val="none"/>
              </w:rPr>
            </w:pPr>
          </w:p>
        </w:tc>
        <w:tc>
          <w:tcPr>
            <w:tcW w:w="1099" w:type="dxa"/>
            <w:tcBorders>
              <w:top w:val="nil"/>
              <w:left w:val="nil"/>
              <w:bottom w:val="single" w:color="auto" w:sz="4" w:space="0"/>
              <w:right w:val="single" w:color="auto" w:sz="4" w:space="0"/>
            </w:tcBorders>
            <w:vAlign w:val="center"/>
          </w:tcPr>
          <w:p w14:paraId="444946C7">
            <w:pPr>
              <w:widowControl/>
              <w:jc w:val="left"/>
              <w:rPr>
                <w:kern w:val="0"/>
                <w:sz w:val="21"/>
                <w:szCs w:val="21"/>
                <w:highlight w:val="none"/>
              </w:rPr>
            </w:pPr>
          </w:p>
        </w:tc>
      </w:tr>
      <w:tr w14:paraId="24905587">
        <w:tblPrEx>
          <w:tblCellMar>
            <w:top w:w="0" w:type="dxa"/>
            <w:left w:w="108" w:type="dxa"/>
            <w:bottom w:w="0" w:type="dxa"/>
            <w:right w:w="108" w:type="dxa"/>
          </w:tblCellMar>
        </w:tblPrEx>
        <w:trPr>
          <w:gridAfter w:val="1"/>
          <w:wAfter w:w="320" w:type="dxa"/>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6B2FAB7D">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27A9D4D9">
            <w:pPr>
              <w:widowControl/>
              <w:jc w:val="left"/>
              <w:rPr>
                <w:kern w:val="0"/>
                <w:sz w:val="21"/>
                <w:szCs w:val="21"/>
                <w:highlight w:val="none"/>
              </w:rPr>
            </w:pPr>
          </w:p>
        </w:tc>
        <w:tc>
          <w:tcPr>
            <w:tcW w:w="1315" w:type="dxa"/>
            <w:tcBorders>
              <w:top w:val="nil"/>
              <w:left w:val="nil"/>
              <w:bottom w:val="single" w:color="auto" w:sz="4" w:space="0"/>
              <w:right w:val="single" w:color="auto" w:sz="4" w:space="0"/>
            </w:tcBorders>
            <w:vAlign w:val="center"/>
          </w:tcPr>
          <w:p w14:paraId="67654A8C">
            <w:pPr>
              <w:widowControl/>
              <w:jc w:val="left"/>
              <w:rPr>
                <w:kern w:val="0"/>
                <w:sz w:val="21"/>
                <w:szCs w:val="21"/>
                <w:highlight w:val="none"/>
              </w:rPr>
            </w:pPr>
          </w:p>
        </w:tc>
        <w:tc>
          <w:tcPr>
            <w:tcW w:w="2250" w:type="dxa"/>
            <w:tcBorders>
              <w:top w:val="nil"/>
              <w:left w:val="nil"/>
              <w:bottom w:val="single" w:color="auto" w:sz="4" w:space="0"/>
              <w:right w:val="single" w:color="auto" w:sz="4" w:space="0"/>
            </w:tcBorders>
            <w:vAlign w:val="center"/>
          </w:tcPr>
          <w:p w14:paraId="19333C19">
            <w:pPr>
              <w:widowControl/>
              <w:jc w:val="left"/>
              <w:rPr>
                <w:kern w:val="0"/>
                <w:sz w:val="21"/>
                <w:szCs w:val="21"/>
                <w:highlight w:val="none"/>
              </w:rPr>
            </w:pPr>
          </w:p>
        </w:tc>
        <w:tc>
          <w:tcPr>
            <w:tcW w:w="1233" w:type="dxa"/>
            <w:tcBorders>
              <w:top w:val="nil"/>
              <w:left w:val="nil"/>
              <w:bottom w:val="single" w:color="auto" w:sz="4" w:space="0"/>
              <w:right w:val="single" w:color="auto" w:sz="4" w:space="0"/>
            </w:tcBorders>
            <w:vAlign w:val="center"/>
          </w:tcPr>
          <w:p w14:paraId="7FA03F96">
            <w:pPr>
              <w:widowControl/>
              <w:jc w:val="left"/>
              <w:rPr>
                <w:kern w:val="0"/>
                <w:sz w:val="21"/>
                <w:szCs w:val="21"/>
                <w:highlight w:val="none"/>
              </w:rPr>
            </w:pPr>
          </w:p>
        </w:tc>
        <w:tc>
          <w:tcPr>
            <w:tcW w:w="1184" w:type="dxa"/>
            <w:gridSpan w:val="2"/>
            <w:tcBorders>
              <w:top w:val="nil"/>
              <w:left w:val="nil"/>
              <w:bottom w:val="single" w:color="auto" w:sz="4" w:space="0"/>
              <w:right w:val="single" w:color="auto" w:sz="4" w:space="0"/>
            </w:tcBorders>
            <w:vAlign w:val="center"/>
          </w:tcPr>
          <w:p w14:paraId="693CBD2F">
            <w:pPr>
              <w:widowControl/>
              <w:jc w:val="left"/>
              <w:rPr>
                <w:kern w:val="0"/>
                <w:sz w:val="21"/>
                <w:szCs w:val="21"/>
                <w:highlight w:val="none"/>
              </w:rPr>
            </w:pPr>
          </w:p>
        </w:tc>
        <w:tc>
          <w:tcPr>
            <w:tcW w:w="1099" w:type="dxa"/>
            <w:tcBorders>
              <w:top w:val="nil"/>
              <w:left w:val="nil"/>
              <w:bottom w:val="single" w:color="auto" w:sz="4" w:space="0"/>
              <w:right w:val="single" w:color="auto" w:sz="4" w:space="0"/>
            </w:tcBorders>
            <w:vAlign w:val="center"/>
          </w:tcPr>
          <w:p w14:paraId="216915E8">
            <w:pPr>
              <w:widowControl/>
              <w:jc w:val="left"/>
              <w:rPr>
                <w:kern w:val="0"/>
                <w:sz w:val="21"/>
                <w:szCs w:val="21"/>
                <w:highlight w:val="none"/>
              </w:rPr>
            </w:pPr>
          </w:p>
        </w:tc>
      </w:tr>
      <w:tr w14:paraId="61AB44C9">
        <w:tblPrEx>
          <w:tblCellMar>
            <w:top w:w="0" w:type="dxa"/>
            <w:left w:w="108" w:type="dxa"/>
            <w:bottom w:w="0" w:type="dxa"/>
            <w:right w:w="108" w:type="dxa"/>
          </w:tblCellMar>
        </w:tblPrEx>
        <w:trPr>
          <w:gridAfter w:val="1"/>
          <w:wAfter w:w="320" w:type="dxa"/>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65F57EE6">
            <w:pPr>
              <w:widowControl/>
              <w:jc w:val="center"/>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4B625DEE">
            <w:pPr>
              <w:widowControl/>
              <w:jc w:val="left"/>
              <w:rPr>
                <w:kern w:val="0"/>
                <w:sz w:val="21"/>
                <w:szCs w:val="21"/>
                <w:highlight w:val="none"/>
              </w:rPr>
            </w:pPr>
          </w:p>
        </w:tc>
        <w:tc>
          <w:tcPr>
            <w:tcW w:w="1315" w:type="dxa"/>
            <w:tcBorders>
              <w:top w:val="nil"/>
              <w:left w:val="nil"/>
              <w:bottom w:val="single" w:color="auto" w:sz="4" w:space="0"/>
              <w:right w:val="single" w:color="auto" w:sz="4" w:space="0"/>
            </w:tcBorders>
            <w:vAlign w:val="center"/>
          </w:tcPr>
          <w:p w14:paraId="1FDCBE16">
            <w:pPr>
              <w:widowControl/>
              <w:jc w:val="left"/>
              <w:rPr>
                <w:kern w:val="0"/>
                <w:sz w:val="21"/>
                <w:szCs w:val="21"/>
                <w:highlight w:val="none"/>
              </w:rPr>
            </w:pPr>
          </w:p>
        </w:tc>
        <w:tc>
          <w:tcPr>
            <w:tcW w:w="2250" w:type="dxa"/>
            <w:tcBorders>
              <w:top w:val="nil"/>
              <w:left w:val="nil"/>
              <w:bottom w:val="single" w:color="auto" w:sz="4" w:space="0"/>
              <w:right w:val="single" w:color="auto" w:sz="4" w:space="0"/>
            </w:tcBorders>
            <w:vAlign w:val="center"/>
          </w:tcPr>
          <w:p w14:paraId="1B8DED18">
            <w:pPr>
              <w:widowControl/>
              <w:jc w:val="left"/>
              <w:rPr>
                <w:kern w:val="0"/>
                <w:sz w:val="21"/>
                <w:szCs w:val="21"/>
                <w:highlight w:val="none"/>
              </w:rPr>
            </w:pPr>
          </w:p>
        </w:tc>
        <w:tc>
          <w:tcPr>
            <w:tcW w:w="1233" w:type="dxa"/>
            <w:tcBorders>
              <w:top w:val="nil"/>
              <w:left w:val="nil"/>
              <w:bottom w:val="single" w:color="auto" w:sz="4" w:space="0"/>
              <w:right w:val="single" w:color="auto" w:sz="4" w:space="0"/>
            </w:tcBorders>
            <w:vAlign w:val="center"/>
          </w:tcPr>
          <w:p w14:paraId="744C0E8F">
            <w:pPr>
              <w:widowControl/>
              <w:jc w:val="left"/>
              <w:rPr>
                <w:kern w:val="0"/>
                <w:sz w:val="21"/>
                <w:szCs w:val="21"/>
                <w:highlight w:val="none"/>
              </w:rPr>
            </w:pPr>
          </w:p>
        </w:tc>
        <w:tc>
          <w:tcPr>
            <w:tcW w:w="1184" w:type="dxa"/>
            <w:gridSpan w:val="2"/>
            <w:tcBorders>
              <w:top w:val="nil"/>
              <w:left w:val="nil"/>
              <w:bottom w:val="single" w:color="auto" w:sz="4" w:space="0"/>
              <w:right w:val="single" w:color="auto" w:sz="4" w:space="0"/>
            </w:tcBorders>
            <w:vAlign w:val="center"/>
          </w:tcPr>
          <w:p w14:paraId="7386AECD">
            <w:pPr>
              <w:widowControl/>
              <w:jc w:val="left"/>
              <w:rPr>
                <w:kern w:val="0"/>
                <w:sz w:val="21"/>
                <w:szCs w:val="21"/>
                <w:highlight w:val="none"/>
              </w:rPr>
            </w:pPr>
          </w:p>
        </w:tc>
        <w:tc>
          <w:tcPr>
            <w:tcW w:w="1099" w:type="dxa"/>
            <w:tcBorders>
              <w:top w:val="nil"/>
              <w:left w:val="nil"/>
              <w:bottom w:val="single" w:color="auto" w:sz="4" w:space="0"/>
              <w:right w:val="single" w:color="auto" w:sz="4" w:space="0"/>
            </w:tcBorders>
            <w:vAlign w:val="center"/>
          </w:tcPr>
          <w:p w14:paraId="09622621">
            <w:pPr>
              <w:widowControl/>
              <w:jc w:val="left"/>
              <w:rPr>
                <w:kern w:val="0"/>
                <w:sz w:val="21"/>
                <w:szCs w:val="21"/>
                <w:highlight w:val="none"/>
              </w:rPr>
            </w:pPr>
          </w:p>
        </w:tc>
      </w:tr>
      <w:tr w14:paraId="446FD0AC">
        <w:tblPrEx>
          <w:tblCellMar>
            <w:top w:w="0" w:type="dxa"/>
            <w:left w:w="108" w:type="dxa"/>
            <w:bottom w:w="0" w:type="dxa"/>
            <w:right w:w="108" w:type="dxa"/>
          </w:tblCellMar>
        </w:tblPrEx>
        <w:trPr>
          <w:gridAfter w:val="1"/>
          <w:wAfter w:w="320" w:type="dxa"/>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61481177">
            <w:pPr>
              <w:widowControl/>
              <w:jc w:val="center"/>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23679DB7">
            <w:pPr>
              <w:widowControl/>
              <w:jc w:val="left"/>
              <w:rPr>
                <w:kern w:val="0"/>
                <w:sz w:val="21"/>
                <w:szCs w:val="21"/>
                <w:highlight w:val="none"/>
              </w:rPr>
            </w:pPr>
          </w:p>
        </w:tc>
        <w:tc>
          <w:tcPr>
            <w:tcW w:w="1315" w:type="dxa"/>
            <w:tcBorders>
              <w:top w:val="nil"/>
              <w:left w:val="nil"/>
              <w:bottom w:val="single" w:color="auto" w:sz="4" w:space="0"/>
              <w:right w:val="single" w:color="auto" w:sz="4" w:space="0"/>
            </w:tcBorders>
            <w:vAlign w:val="center"/>
          </w:tcPr>
          <w:p w14:paraId="54203B6F">
            <w:pPr>
              <w:widowControl/>
              <w:jc w:val="left"/>
              <w:rPr>
                <w:kern w:val="0"/>
                <w:sz w:val="21"/>
                <w:szCs w:val="21"/>
                <w:highlight w:val="none"/>
              </w:rPr>
            </w:pPr>
          </w:p>
        </w:tc>
        <w:tc>
          <w:tcPr>
            <w:tcW w:w="2250" w:type="dxa"/>
            <w:tcBorders>
              <w:top w:val="nil"/>
              <w:left w:val="nil"/>
              <w:bottom w:val="single" w:color="auto" w:sz="4" w:space="0"/>
              <w:right w:val="single" w:color="auto" w:sz="4" w:space="0"/>
            </w:tcBorders>
            <w:vAlign w:val="center"/>
          </w:tcPr>
          <w:p w14:paraId="3109C741">
            <w:pPr>
              <w:widowControl/>
              <w:jc w:val="left"/>
              <w:rPr>
                <w:kern w:val="0"/>
                <w:sz w:val="21"/>
                <w:szCs w:val="21"/>
                <w:highlight w:val="none"/>
              </w:rPr>
            </w:pPr>
          </w:p>
        </w:tc>
        <w:tc>
          <w:tcPr>
            <w:tcW w:w="1233" w:type="dxa"/>
            <w:tcBorders>
              <w:top w:val="nil"/>
              <w:left w:val="nil"/>
              <w:bottom w:val="single" w:color="auto" w:sz="4" w:space="0"/>
              <w:right w:val="single" w:color="auto" w:sz="4" w:space="0"/>
            </w:tcBorders>
            <w:vAlign w:val="center"/>
          </w:tcPr>
          <w:p w14:paraId="1D8AA160">
            <w:pPr>
              <w:widowControl/>
              <w:jc w:val="left"/>
              <w:rPr>
                <w:kern w:val="0"/>
                <w:sz w:val="21"/>
                <w:szCs w:val="21"/>
                <w:highlight w:val="none"/>
              </w:rPr>
            </w:pPr>
          </w:p>
        </w:tc>
        <w:tc>
          <w:tcPr>
            <w:tcW w:w="1184" w:type="dxa"/>
            <w:gridSpan w:val="2"/>
            <w:tcBorders>
              <w:top w:val="nil"/>
              <w:left w:val="nil"/>
              <w:bottom w:val="single" w:color="auto" w:sz="4" w:space="0"/>
              <w:right w:val="single" w:color="auto" w:sz="4" w:space="0"/>
            </w:tcBorders>
            <w:vAlign w:val="center"/>
          </w:tcPr>
          <w:p w14:paraId="0D35467A">
            <w:pPr>
              <w:widowControl/>
              <w:jc w:val="left"/>
              <w:rPr>
                <w:kern w:val="0"/>
                <w:sz w:val="21"/>
                <w:szCs w:val="21"/>
                <w:highlight w:val="none"/>
              </w:rPr>
            </w:pPr>
          </w:p>
        </w:tc>
        <w:tc>
          <w:tcPr>
            <w:tcW w:w="1099" w:type="dxa"/>
            <w:tcBorders>
              <w:top w:val="nil"/>
              <w:left w:val="nil"/>
              <w:bottom w:val="single" w:color="auto" w:sz="4" w:space="0"/>
              <w:right w:val="single" w:color="auto" w:sz="4" w:space="0"/>
            </w:tcBorders>
            <w:vAlign w:val="center"/>
          </w:tcPr>
          <w:p w14:paraId="0B367A94">
            <w:pPr>
              <w:widowControl/>
              <w:jc w:val="left"/>
              <w:rPr>
                <w:kern w:val="0"/>
                <w:sz w:val="21"/>
                <w:szCs w:val="21"/>
                <w:highlight w:val="none"/>
              </w:rPr>
            </w:pPr>
          </w:p>
        </w:tc>
      </w:tr>
      <w:tr w14:paraId="2F68DE50">
        <w:tblPrEx>
          <w:tblCellMar>
            <w:top w:w="0" w:type="dxa"/>
            <w:left w:w="108" w:type="dxa"/>
            <w:bottom w:w="0" w:type="dxa"/>
            <w:right w:w="108" w:type="dxa"/>
          </w:tblCellMar>
        </w:tblPrEx>
        <w:trPr>
          <w:gridAfter w:val="1"/>
          <w:wAfter w:w="320" w:type="dxa"/>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72FA6FE4">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2A4B1239">
            <w:pPr>
              <w:widowControl/>
              <w:jc w:val="left"/>
              <w:rPr>
                <w:kern w:val="0"/>
                <w:sz w:val="21"/>
                <w:szCs w:val="21"/>
                <w:highlight w:val="none"/>
              </w:rPr>
            </w:pPr>
          </w:p>
        </w:tc>
        <w:tc>
          <w:tcPr>
            <w:tcW w:w="1315" w:type="dxa"/>
            <w:tcBorders>
              <w:top w:val="nil"/>
              <w:left w:val="nil"/>
              <w:bottom w:val="single" w:color="auto" w:sz="4" w:space="0"/>
              <w:right w:val="single" w:color="auto" w:sz="4" w:space="0"/>
            </w:tcBorders>
            <w:vAlign w:val="center"/>
          </w:tcPr>
          <w:p w14:paraId="39CE2D0E">
            <w:pPr>
              <w:widowControl/>
              <w:jc w:val="left"/>
              <w:rPr>
                <w:kern w:val="0"/>
                <w:sz w:val="21"/>
                <w:szCs w:val="21"/>
                <w:highlight w:val="none"/>
              </w:rPr>
            </w:pPr>
          </w:p>
        </w:tc>
        <w:tc>
          <w:tcPr>
            <w:tcW w:w="2250" w:type="dxa"/>
            <w:tcBorders>
              <w:top w:val="nil"/>
              <w:left w:val="nil"/>
              <w:bottom w:val="single" w:color="auto" w:sz="4" w:space="0"/>
              <w:right w:val="single" w:color="auto" w:sz="4" w:space="0"/>
            </w:tcBorders>
            <w:vAlign w:val="center"/>
          </w:tcPr>
          <w:p w14:paraId="18B905CF">
            <w:pPr>
              <w:widowControl/>
              <w:jc w:val="left"/>
              <w:rPr>
                <w:kern w:val="0"/>
                <w:sz w:val="21"/>
                <w:szCs w:val="21"/>
                <w:highlight w:val="none"/>
              </w:rPr>
            </w:pPr>
          </w:p>
        </w:tc>
        <w:tc>
          <w:tcPr>
            <w:tcW w:w="1233" w:type="dxa"/>
            <w:tcBorders>
              <w:top w:val="nil"/>
              <w:left w:val="nil"/>
              <w:bottom w:val="single" w:color="auto" w:sz="4" w:space="0"/>
              <w:right w:val="single" w:color="auto" w:sz="4" w:space="0"/>
            </w:tcBorders>
            <w:vAlign w:val="center"/>
          </w:tcPr>
          <w:p w14:paraId="3D584CBA">
            <w:pPr>
              <w:widowControl/>
              <w:jc w:val="left"/>
              <w:rPr>
                <w:kern w:val="0"/>
                <w:sz w:val="21"/>
                <w:szCs w:val="21"/>
                <w:highlight w:val="none"/>
              </w:rPr>
            </w:pPr>
          </w:p>
        </w:tc>
        <w:tc>
          <w:tcPr>
            <w:tcW w:w="1184" w:type="dxa"/>
            <w:gridSpan w:val="2"/>
            <w:tcBorders>
              <w:top w:val="nil"/>
              <w:left w:val="nil"/>
              <w:bottom w:val="single" w:color="auto" w:sz="4" w:space="0"/>
              <w:right w:val="single" w:color="auto" w:sz="4" w:space="0"/>
            </w:tcBorders>
            <w:vAlign w:val="center"/>
          </w:tcPr>
          <w:p w14:paraId="06377C1D">
            <w:pPr>
              <w:widowControl/>
              <w:jc w:val="left"/>
              <w:rPr>
                <w:kern w:val="0"/>
                <w:sz w:val="21"/>
                <w:szCs w:val="21"/>
                <w:highlight w:val="none"/>
              </w:rPr>
            </w:pPr>
          </w:p>
        </w:tc>
        <w:tc>
          <w:tcPr>
            <w:tcW w:w="1099" w:type="dxa"/>
            <w:tcBorders>
              <w:top w:val="nil"/>
              <w:left w:val="nil"/>
              <w:bottom w:val="single" w:color="auto" w:sz="4" w:space="0"/>
              <w:right w:val="single" w:color="auto" w:sz="4" w:space="0"/>
            </w:tcBorders>
            <w:vAlign w:val="center"/>
          </w:tcPr>
          <w:p w14:paraId="156D6BED">
            <w:pPr>
              <w:widowControl/>
              <w:jc w:val="left"/>
              <w:rPr>
                <w:kern w:val="0"/>
                <w:sz w:val="21"/>
                <w:szCs w:val="21"/>
                <w:highlight w:val="none"/>
              </w:rPr>
            </w:pPr>
          </w:p>
        </w:tc>
      </w:tr>
      <w:tr w14:paraId="1EA8FD28">
        <w:tblPrEx>
          <w:tblCellMar>
            <w:top w:w="0" w:type="dxa"/>
            <w:left w:w="108" w:type="dxa"/>
            <w:bottom w:w="0" w:type="dxa"/>
            <w:right w:w="108" w:type="dxa"/>
          </w:tblCellMar>
        </w:tblPrEx>
        <w:trPr>
          <w:gridAfter w:val="1"/>
          <w:wAfter w:w="320" w:type="dxa"/>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1BC3535D">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5A486E5F">
            <w:pPr>
              <w:widowControl/>
              <w:jc w:val="left"/>
              <w:rPr>
                <w:kern w:val="0"/>
                <w:sz w:val="21"/>
                <w:szCs w:val="21"/>
                <w:highlight w:val="none"/>
              </w:rPr>
            </w:pPr>
          </w:p>
        </w:tc>
        <w:tc>
          <w:tcPr>
            <w:tcW w:w="1315" w:type="dxa"/>
            <w:tcBorders>
              <w:top w:val="nil"/>
              <w:left w:val="nil"/>
              <w:bottom w:val="single" w:color="auto" w:sz="4" w:space="0"/>
              <w:right w:val="single" w:color="auto" w:sz="4" w:space="0"/>
            </w:tcBorders>
            <w:vAlign w:val="center"/>
          </w:tcPr>
          <w:p w14:paraId="2CD8D04A">
            <w:pPr>
              <w:widowControl/>
              <w:jc w:val="left"/>
              <w:rPr>
                <w:kern w:val="0"/>
                <w:sz w:val="21"/>
                <w:szCs w:val="21"/>
                <w:highlight w:val="none"/>
              </w:rPr>
            </w:pPr>
          </w:p>
        </w:tc>
        <w:tc>
          <w:tcPr>
            <w:tcW w:w="2250" w:type="dxa"/>
            <w:tcBorders>
              <w:top w:val="nil"/>
              <w:left w:val="nil"/>
              <w:bottom w:val="single" w:color="auto" w:sz="4" w:space="0"/>
              <w:right w:val="single" w:color="auto" w:sz="4" w:space="0"/>
            </w:tcBorders>
            <w:vAlign w:val="center"/>
          </w:tcPr>
          <w:p w14:paraId="3AC14883">
            <w:pPr>
              <w:widowControl/>
              <w:jc w:val="left"/>
              <w:rPr>
                <w:kern w:val="0"/>
                <w:sz w:val="21"/>
                <w:szCs w:val="21"/>
                <w:highlight w:val="none"/>
              </w:rPr>
            </w:pPr>
          </w:p>
        </w:tc>
        <w:tc>
          <w:tcPr>
            <w:tcW w:w="1233" w:type="dxa"/>
            <w:tcBorders>
              <w:top w:val="nil"/>
              <w:left w:val="nil"/>
              <w:bottom w:val="single" w:color="auto" w:sz="4" w:space="0"/>
              <w:right w:val="single" w:color="auto" w:sz="4" w:space="0"/>
            </w:tcBorders>
            <w:vAlign w:val="center"/>
          </w:tcPr>
          <w:p w14:paraId="595C7E21">
            <w:pPr>
              <w:widowControl/>
              <w:jc w:val="left"/>
              <w:rPr>
                <w:kern w:val="0"/>
                <w:sz w:val="21"/>
                <w:szCs w:val="21"/>
                <w:highlight w:val="none"/>
              </w:rPr>
            </w:pPr>
          </w:p>
        </w:tc>
        <w:tc>
          <w:tcPr>
            <w:tcW w:w="1184" w:type="dxa"/>
            <w:gridSpan w:val="2"/>
            <w:tcBorders>
              <w:top w:val="nil"/>
              <w:left w:val="nil"/>
              <w:bottom w:val="single" w:color="auto" w:sz="4" w:space="0"/>
              <w:right w:val="single" w:color="auto" w:sz="4" w:space="0"/>
            </w:tcBorders>
            <w:vAlign w:val="center"/>
          </w:tcPr>
          <w:p w14:paraId="0D9DEA29">
            <w:pPr>
              <w:widowControl/>
              <w:jc w:val="left"/>
              <w:rPr>
                <w:kern w:val="0"/>
                <w:sz w:val="21"/>
                <w:szCs w:val="21"/>
                <w:highlight w:val="none"/>
              </w:rPr>
            </w:pPr>
          </w:p>
        </w:tc>
        <w:tc>
          <w:tcPr>
            <w:tcW w:w="1099" w:type="dxa"/>
            <w:tcBorders>
              <w:top w:val="nil"/>
              <w:left w:val="nil"/>
              <w:bottom w:val="single" w:color="auto" w:sz="4" w:space="0"/>
              <w:right w:val="single" w:color="auto" w:sz="4" w:space="0"/>
            </w:tcBorders>
            <w:vAlign w:val="center"/>
          </w:tcPr>
          <w:p w14:paraId="035C5E9E">
            <w:pPr>
              <w:widowControl/>
              <w:jc w:val="left"/>
              <w:rPr>
                <w:kern w:val="0"/>
                <w:sz w:val="21"/>
                <w:szCs w:val="21"/>
                <w:highlight w:val="none"/>
              </w:rPr>
            </w:pPr>
          </w:p>
        </w:tc>
      </w:tr>
      <w:tr w14:paraId="140AE9A1">
        <w:tblPrEx>
          <w:tblCellMar>
            <w:top w:w="0" w:type="dxa"/>
            <w:left w:w="108" w:type="dxa"/>
            <w:bottom w:w="0" w:type="dxa"/>
            <w:right w:w="108" w:type="dxa"/>
          </w:tblCellMar>
        </w:tblPrEx>
        <w:trPr>
          <w:gridAfter w:val="1"/>
          <w:wAfter w:w="320" w:type="dxa"/>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40F383C4">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1E3F03CF">
            <w:pPr>
              <w:widowControl/>
              <w:jc w:val="left"/>
              <w:rPr>
                <w:kern w:val="0"/>
                <w:sz w:val="21"/>
                <w:szCs w:val="21"/>
                <w:highlight w:val="none"/>
              </w:rPr>
            </w:pPr>
          </w:p>
        </w:tc>
        <w:tc>
          <w:tcPr>
            <w:tcW w:w="1315" w:type="dxa"/>
            <w:tcBorders>
              <w:top w:val="nil"/>
              <w:left w:val="nil"/>
              <w:bottom w:val="single" w:color="auto" w:sz="4" w:space="0"/>
              <w:right w:val="single" w:color="auto" w:sz="4" w:space="0"/>
            </w:tcBorders>
            <w:vAlign w:val="center"/>
          </w:tcPr>
          <w:p w14:paraId="438F0A27">
            <w:pPr>
              <w:widowControl/>
              <w:jc w:val="left"/>
              <w:rPr>
                <w:kern w:val="0"/>
                <w:sz w:val="21"/>
                <w:szCs w:val="21"/>
                <w:highlight w:val="none"/>
              </w:rPr>
            </w:pPr>
          </w:p>
        </w:tc>
        <w:tc>
          <w:tcPr>
            <w:tcW w:w="2250" w:type="dxa"/>
            <w:tcBorders>
              <w:top w:val="nil"/>
              <w:left w:val="nil"/>
              <w:bottom w:val="single" w:color="auto" w:sz="4" w:space="0"/>
              <w:right w:val="single" w:color="auto" w:sz="4" w:space="0"/>
            </w:tcBorders>
            <w:vAlign w:val="center"/>
          </w:tcPr>
          <w:p w14:paraId="746BD9CF">
            <w:pPr>
              <w:widowControl/>
              <w:jc w:val="left"/>
              <w:rPr>
                <w:kern w:val="0"/>
                <w:sz w:val="21"/>
                <w:szCs w:val="21"/>
                <w:highlight w:val="none"/>
              </w:rPr>
            </w:pPr>
          </w:p>
        </w:tc>
        <w:tc>
          <w:tcPr>
            <w:tcW w:w="1233" w:type="dxa"/>
            <w:tcBorders>
              <w:top w:val="nil"/>
              <w:left w:val="nil"/>
              <w:bottom w:val="single" w:color="auto" w:sz="4" w:space="0"/>
              <w:right w:val="single" w:color="auto" w:sz="4" w:space="0"/>
            </w:tcBorders>
            <w:vAlign w:val="center"/>
          </w:tcPr>
          <w:p w14:paraId="0F644C4D">
            <w:pPr>
              <w:widowControl/>
              <w:jc w:val="left"/>
              <w:rPr>
                <w:kern w:val="0"/>
                <w:sz w:val="21"/>
                <w:szCs w:val="21"/>
                <w:highlight w:val="none"/>
              </w:rPr>
            </w:pPr>
          </w:p>
        </w:tc>
        <w:tc>
          <w:tcPr>
            <w:tcW w:w="1184" w:type="dxa"/>
            <w:gridSpan w:val="2"/>
            <w:tcBorders>
              <w:top w:val="nil"/>
              <w:left w:val="nil"/>
              <w:bottom w:val="single" w:color="auto" w:sz="4" w:space="0"/>
              <w:right w:val="single" w:color="auto" w:sz="4" w:space="0"/>
            </w:tcBorders>
            <w:vAlign w:val="center"/>
          </w:tcPr>
          <w:p w14:paraId="117B3EDF">
            <w:pPr>
              <w:widowControl/>
              <w:jc w:val="left"/>
              <w:rPr>
                <w:kern w:val="0"/>
                <w:sz w:val="21"/>
                <w:szCs w:val="21"/>
                <w:highlight w:val="none"/>
              </w:rPr>
            </w:pPr>
          </w:p>
        </w:tc>
        <w:tc>
          <w:tcPr>
            <w:tcW w:w="1099" w:type="dxa"/>
            <w:tcBorders>
              <w:top w:val="nil"/>
              <w:left w:val="nil"/>
              <w:bottom w:val="single" w:color="auto" w:sz="4" w:space="0"/>
              <w:right w:val="single" w:color="auto" w:sz="4" w:space="0"/>
            </w:tcBorders>
            <w:vAlign w:val="center"/>
          </w:tcPr>
          <w:p w14:paraId="73838F3E">
            <w:pPr>
              <w:widowControl/>
              <w:jc w:val="left"/>
              <w:rPr>
                <w:kern w:val="0"/>
                <w:sz w:val="21"/>
                <w:szCs w:val="21"/>
                <w:highlight w:val="none"/>
              </w:rPr>
            </w:pPr>
          </w:p>
        </w:tc>
      </w:tr>
      <w:tr w14:paraId="7D55D4FB">
        <w:tblPrEx>
          <w:tblCellMar>
            <w:top w:w="0" w:type="dxa"/>
            <w:left w:w="108" w:type="dxa"/>
            <w:bottom w:w="0" w:type="dxa"/>
            <w:right w:w="108" w:type="dxa"/>
          </w:tblCellMar>
        </w:tblPrEx>
        <w:trPr>
          <w:gridAfter w:val="1"/>
          <w:wAfter w:w="320" w:type="dxa"/>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574E8718">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01486193">
            <w:pPr>
              <w:widowControl/>
              <w:jc w:val="left"/>
              <w:rPr>
                <w:kern w:val="0"/>
                <w:sz w:val="21"/>
                <w:szCs w:val="21"/>
                <w:highlight w:val="none"/>
              </w:rPr>
            </w:pPr>
          </w:p>
        </w:tc>
        <w:tc>
          <w:tcPr>
            <w:tcW w:w="1315" w:type="dxa"/>
            <w:tcBorders>
              <w:top w:val="nil"/>
              <w:left w:val="nil"/>
              <w:bottom w:val="single" w:color="auto" w:sz="4" w:space="0"/>
              <w:right w:val="single" w:color="auto" w:sz="4" w:space="0"/>
            </w:tcBorders>
            <w:vAlign w:val="center"/>
          </w:tcPr>
          <w:p w14:paraId="2990F792">
            <w:pPr>
              <w:widowControl/>
              <w:jc w:val="left"/>
              <w:rPr>
                <w:kern w:val="0"/>
                <w:sz w:val="21"/>
                <w:szCs w:val="21"/>
                <w:highlight w:val="none"/>
              </w:rPr>
            </w:pPr>
          </w:p>
        </w:tc>
        <w:tc>
          <w:tcPr>
            <w:tcW w:w="2250" w:type="dxa"/>
            <w:tcBorders>
              <w:top w:val="nil"/>
              <w:left w:val="nil"/>
              <w:bottom w:val="single" w:color="auto" w:sz="4" w:space="0"/>
              <w:right w:val="single" w:color="auto" w:sz="4" w:space="0"/>
            </w:tcBorders>
            <w:vAlign w:val="center"/>
          </w:tcPr>
          <w:p w14:paraId="68AF8BF5">
            <w:pPr>
              <w:widowControl/>
              <w:jc w:val="left"/>
              <w:rPr>
                <w:kern w:val="0"/>
                <w:sz w:val="21"/>
                <w:szCs w:val="21"/>
                <w:highlight w:val="none"/>
              </w:rPr>
            </w:pPr>
          </w:p>
        </w:tc>
        <w:tc>
          <w:tcPr>
            <w:tcW w:w="1233" w:type="dxa"/>
            <w:tcBorders>
              <w:top w:val="nil"/>
              <w:left w:val="nil"/>
              <w:bottom w:val="single" w:color="auto" w:sz="4" w:space="0"/>
              <w:right w:val="single" w:color="auto" w:sz="4" w:space="0"/>
            </w:tcBorders>
            <w:vAlign w:val="center"/>
          </w:tcPr>
          <w:p w14:paraId="392E9080">
            <w:pPr>
              <w:widowControl/>
              <w:jc w:val="left"/>
              <w:rPr>
                <w:kern w:val="0"/>
                <w:sz w:val="21"/>
                <w:szCs w:val="21"/>
                <w:highlight w:val="none"/>
              </w:rPr>
            </w:pPr>
          </w:p>
        </w:tc>
        <w:tc>
          <w:tcPr>
            <w:tcW w:w="1184" w:type="dxa"/>
            <w:gridSpan w:val="2"/>
            <w:tcBorders>
              <w:top w:val="nil"/>
              <w:left w:val="nil"/>
              <w:bottom w:val="single" w:color="auto" w:sz="4" w:space="0"/>
              <w:right w:val="single" w:color="auto" w:sz="4" w:space="0"/>
            </w:tcBorders>
            <w:vAlign w:val="center"/>
          </w:tcPr>
          <w:p w14:paraId="27EA81FD">
            <w:pPr>
              <w:widowControl/>
              <w:jc w:val="left"/>
              <w:rPr>
                <w:kern w:val="0"/>
                <w:sz w:val="21"/>
                <w:szCs w:val="21"/>
                <w:highlight w:val="none"/>
              </w:rPr>
            </w:pPr>
          </w:p>
        </w:tc>
        <w:tc>
          <w:tcPr>
            <w:tcW w:w="1099" w:type="dxa"/>
            <w:tcBorders>
              <w:top w:val="nil"/>
              <w:left w:val="nil"/>
              <w:bottom w:val="single" w:color="auto" w:sz="4" w:space="0"/>
              <w:right w:val="single" w:color="auto" w:sz="4" w:space="0"/>
            </w:tcBorders>
            <w:vAlign w:val="center"/>
          </w:tcPr>
          <w:p w14:paraId="7EA58745">
            <w:pPr>
              <w:widowControl/>
              <w:jc w:val="left"/>
              <w:rPr>
                <w:kern w:val="0"/>
                <w:sz w:val="21"/>
                <w:szCs w:val="21"/>
                <w:highlight w:val="none"/>
              </w:rPr>
            </w:pPr>
          </w:p>
        </w:tc>
      </w:tr>
      <w:tr w14:paraId="7E9B4942">
        <w:tblPrEx>
          <w:tblCellMar>
            <w:top w:w="0" w:type="dxa"/>
            <w:left w:w="108" w:type="dxa"/>
            <w:bottom w:w="0" w:type="dxa"/>
            <w:right w:w="108" w:type="dxa"/>
          </w:tblCellMar>
        </w:tblPrEx>
        <w:trPr>
          <w:gridAfter w:val="1"/>
          <w:wAfter w:w="320" w:type="dxa"/>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0B001772">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7B6C5C68">
            <w:pPr>
              <w:widowControl/>
              <w:jc w:val="left"/>
              <w:rPr>
                <w:kern w:val="0"/>
                <w:sz w:val="21"/>
                <w:szCs w:val="21"/>
                <w:highlight w:val="none"/>
              </w:rPr>
            </w:pPr>
          </w:p>
        </w:tc>
        <w:tc>
          <w:tcPr>
            <w:tcW w:w="1315" w:type="dxa"/>
            <w:tcBorders>
              <w:top w:val="nil"/>
              <w:left w:val="nil"/>
              <w:bottom w:val="single" w:color="auto" w:sz="4" w:space="0"/>
              <w:right w:val="single" w:color="auto" w:sz="4" w:space="0"/>
            </w:tcBorders>
            <w:vAlign w:val="center"/>
          </w:tcPr>
          <w:p w14:paraId="22AB7C06">
            <w:pPr>
              <w:widowControl/>
              <w:jc w:val="left"/>
              <w:rPr>
                <w:kern w:val="0"/>
                <w:sz w:val="21"/>
                <w:szCs w:val="21"/>
                <w:highlight w:val="none"/>
              </w:rPr>
            </w:pPr>
          </w:p>
        </w:tc>
        <w:tc>
          <w:tcPr>
            <w:tcW w:w="2250" w:type="dxa"/>
            <w:tcBorders>
              <w:top w:val="nil"/>
              <w:left w:val="nil"/>
              <w:bottom w:val="single" w:color="auto" w:sz="4" w:space="0"/>
              <w:right w:val="single" w:color="auto" w:sz="4" w:space="0"/>
            </w:tcBorders>
            <w:vAlign w:val="center"/>
          </w:tcPr>
          <w:p w14:paraId="1A645229">
            <w:pPr>
              <w:widowControl/>
              <w:jc w:val="left"/>
              <w:rPr>
                <w:kern w:val="0"/>
                <w:sz w:val="21"/>
                <w:szCs w:val="21"/>
                <w:highlight w:val="none"/>
              </w:rPr>
            </w:pPr>
          </w:p>
        </w:tc>
        <w:tc>
          <w:tcPr>
            <w:tcW w:w="1233" w:type="dxa"/>
            <w:tcBorders>
              <w:top w:val="nil"/>
              <w:left w:val="nil"/>
              <w:bottom w:val="single" w:color="auto" w:sz="4" w:space="0"/>
              <w:right w:val="single" w:color="auto" w:sz="4" w:space="0"/>
            </w:tcBorders>
            <w:vAlign w:val="center"/>
          </w:tcPr>
          <w:p w14:paraId="77FE21CB">
            <w:pPr>
              <w:widowControl/>
              <w:jc w:val="left"/>
              <w:rPr>
                <w:kern w:val="0"/>
                <w:sz w:val="21"/>
                <w:szCs w:val="21"/>
                <w:highlight w:val="none"/>
              </w:rPr>
            </w:pPr>
          </w:p>
        </w:tc>
        <w:tc>
          <w:tcPr>
            <w:tcW w:w="1184" w:type="dxa"/>
            <w:gridSpan w:val="2"/>
            <w:tcBorders>
              <w:top w:val="nil"/>
              <w:left w:val="nil"/>
              <w:bottom w:val="single" w:color="auto" w:sz="4" w:space="0"/>
              <w:right w:val="single" w:color="auto" w:sz="4" w:space="0"/>
            </w:tcBorders>
            <w:vAlign w:val="center"/>
          </w:tcPr>
          <w:p w14:paraId="58DCF268">
            <w:pPr>
              <w:widowControl/>
              <w:jc w:val="left"/>
              <w:rPr>
                <w:kern w:val="0"/>
                <w:sz w:val="21"/>
                <w:szCs w:val="21"/>
                <w:highlight w:val="none"/>
              </w:rPr>
            </w:pPr>
          </w:p>
        </w:tc>
        <w:tc>
          <w:tcPr>
            <w:tcW w:w="1099" w:type="dxa"/>
            <w:tcBorders>
              <w:top w:val="nil"/>
              <w:left w:val="nil"/>
              <w:bottom w:val="single" w:color="auto" w:sz="4" w:space="0"/>
              <w:right w:val="single" w:color="auto" w:sz="4" w:space="0"/>
            </w:tcBorders>
            <w:vAlign w:val="center"/>
          </w:tcPr>
          <w:p w14:paraId="22ED2330">
            <w:pPr>
              <w:widowControl/>
              <w:jc w:val="left"/>
              <w:rPr>
                <w:kern w:val="0"/>
                <w:sz w:val="21"/>
                <w:szCs w:val="21"/>
                <w:highlight w:val="none"/>
              </w:rPr>
            </w:pPr>
          </w:p>
        </w:tc>
      </w:tr>
      <w:tr w14:paraId="5AF25556">
        <w:tblPrEx>
          <w:tblCellMar>
            <w:top w:w="0" w:type="dxa"/>
            <w:left w:w="108" w:type="dxa"/>
            <w:bottom w:w="0" w:type="dxa"/>
            <w:right w:w="108" w:type="dxa"/>
          </w:tblCellMar>
        </w:tblPrEx>
        <w:trPr>
          <w:gridAfter w:val="1"/>
          <w:wAfter w:w="320" w:type="dxa"/>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075A7EF1">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0F05FA8A">
            <w:pPr>
              <w:widowControl/>
              <w:jc w:val="left"/>
              <w:rPr>
                <w:kern w:val="0"/>
                <w:sz w:val="21"/>
                <w:szCs w:val="21"/>
                <w:highlight w:val="none"/>
              </w:rPr>
            </w:pPr>
          </w:p>
        </w:tc>
        <w:tc>
          <w:tcPr>
            <w:tcW w:w="1315" w:type="dxa"/>
            <w:tcBorders>
              <w:top w:val="nil"/>
              <w:left w:val="nil"/>
              <w:bottom w:val="single" w:color="auto" w:sz="4" w:space="0"/>
              <w:right w:val="single" w:color="auto" w:sz="4" w:space="0"/>
            </w:tcBorders>
            <w:vAlign w:val="center"/>
          </w:tcPr>
          <w:p w14:paraId="69DA3550">
            <w:pPr>
              <w:widowControl/>
              <w:jc w:val="left"/>
              <w:rPr>
                <w:kern w:val="0"/>
                <w:sz w:val="21"/>
                <w:szCs w:val="21"/>
                <w:highlight w:val="none"/>
              </w:rPr>
            </w:pPr>
          </w:p>
        </w:tc>
        <w:tc>
          <w:tcPr>
            <w:tcW w:w="2250" w:type="dxa"/>
            <w:tcBorders>
              <w:top w:val="nil"/>
              <w:left w:val="nil"/>
              <w:bottom w:val="single" w:color="auto" w:sz="4" w:space="0"/>
              <w:right w:val="single" w:color="auto" w:sz="4" w:space="0"/>
            </w:tcBorders>
            <w:vAlign w:val="center"/>
          </w:tcPr>
          <w:p w14:paraId="41B64DE2">
            <w:pPr>
              <w:widowControl/>
              <w:jc w:val="left"/>
              <w:rPr>
                <w:kern w:val="0"/>
                <w:sz w:val="21"/>
                <w:szCs w:val="21"/>
                <w:highlight w:val="none"/>
              </w:rPr>
            </w:pPr>
          </w:p>
        </w:tc>
        <w:tc>
          <w:tcPr>
            <w:tcW w:w="1233" w:type="dxa"/>
            <w:tcBorders>
              <w:top w:val="nil"/>
              <w:left w:val="nil"/>
              <w:bottom w:val="single" w:color="auto" w:sz="4" w:space="0"/>
              <w:right w:val="single" w:color="auto" w:sz="4" w:space="0"/>
            </w:tcBorders>
            <w:vAlign w:val="center"/>
          </w:tcPr>
          <w:p w14:paraId="6DACDFB0">
            <w:pPr>
              <w:widowControl/>
              <w:jc w:val="left"/>
              <w:rPr>
                <w:kern w:val="0"/>
                <w:sz w:val="21"/>
                <w:szCs w:val="21"/>
                <w:highlight w:val="none"/>
              </w:rPr>
            </w:pPr>
          </w:p>
        </w:tc>
        <w:tc>
          <w:tcPr>
            <w:tcW w:w="1184" w:type="dxa"/>
            <w:gridSpan w:val="2"/>
            <w:tcBorders>
              <w:top w:val="nil"/>
              <w:left w:val="nil"/>
              <w:bottom w:val="single" w:color="auto" w:sz="4" w:space="0"/>
              <w:right w:val="single" w:color="auto" w:sz="4" w:space="0"/>
            </w:tcBorders>
            <w:vAlign w:val="center"/>
          </w:tcPr>
          <w:p w14:paraId="0AB3787B">
            <w:pPr>
              <w:widowControl/>
              <w:jc w:val="left"/>
              <w:rPr>
                <w:kern w:val="0"/>
                <w:sz w:val="21"/>
                <w:szCs w:val="21"/>
                <w:highlight w:val="none"/>
              </w:rPr>
            </w:pPr>
          </w:p>
        </w:tc>
        <w:tc>
          <w:tcPr>
            <w:tcW w:w="1099" w:type="dxa"/>
            <w:tcBorders>
              <w:top w:val="nil"/>
              <w:left w:val="nil"/>
              <w:bottom w:val="single" w:color="auto" w:sz="4" w:space="0"/>
              <w:right w:val="single" w:color="auto" w:sz="4" w:space="0"/>
            </w:tcBorders>
            <w:vAlign w:val="center"/>
          </w:tcPr>
          <w:p w14:paraId="088987A2">
            <w:pPr>
              <w:widowControl/>
              <w:jc w:val="left"/>
              <w:rPr>
                <w:kern w:val="0"/>
                <w:sz w:val="21"/>
                <w:szCs w:val="21"/>
                <w:highlight w:val="none"/>
              </w:rPr>
            </w:pPr>
          </w:p>
        </w:tc>
      </w:tr>
      <w:tr w14:paraId="54011CE6">
        <w:tblPrEx>
          <w:tblCellMar>
            <w:top w:w="0" w:type="dxa"/>
            <w:left w:w="108" w:type="dxa"/>
            <w:bottom w:w="0" w:type="dxa"/>
            <w:right w:w="108" w:type="dxa"/>
          </w:tblCellMar>
        </w:tblPrEx>
        <w:trPr>
          <w:gridAfter w:val="1"/>
          <w:wAfter w:w="320" w:type="dxa"/>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16C68DC9">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290F0B94">
            <w:pPr>
              <w:widowControl/>
              <w:jc w:val="left"/>
              <w:rPr>
                <w:kern w:val="0"/>
                <w:sz w:val="21"/>
                <w:szCs w:val="21"/>
                <w:highlight w:val="none"/>
              </w:rPr>
            </w:pPr>
          </w:p>
        </w:tc>
        <w:tc>
          <w:tcPr>
            <w:tcW w:w="1315" w:type="dxa"/>
            <w:tcBorders>
              <w:top w:val="nil"/>
              <w:left w:val="nil"/>
              <w:bottom w:val="single" w:color="auto" w:sz="4" w:space="0"/>
              <w:right w:val="single" w:color="auto" w:sz="4" w:space="0"/>
            </w:tcBorders>
            <w:vAlign w:val="center"/>
          </w:tcPr>
          <w:p w14:paraId="17B012E9">
            <w:pPr>
              <w:widowControl/>
              <w:jc w:val="left"/>
              <w:rPr>
                <w:kern w:val="0"/>
                <w:sz w:val="21"/>
                <w:szCs w:val="21"/>
                <w:highlight w:val="none"/>
              </w:rPr>
            </w:pPr>
          </w:p>
        </w:tc>
        <w:tc>
          <w:tcPr>
            <w:tcW w:w="2250" w:type="dxa"/>
            <w:tcBorders>
              <w:top w:val="nil"/>
              <w:left w:val="nil"/>
              <w:bottom w:val="single" w:color="auto" w:sz="4" w:space="0"/>
              <w:right w:val="single" w:color="auto" w:sz="4" w:space="0"/>
            </w:tcBorders>
            <w:vAlign w:val="center"/>
          </w:tcPr>
          <w:p w14:paraId="49136F39">
            <w:pPr>
              <w:widowControl/>
              <w:jc w:val="left"/>
              <w:rPr>
                <w:kern w:val="0"/>
                <w:sz w:val="21"/>
                <w:szCs w:val="21"/>
                <w:highlight w:val="none"/>
              </w:rPr>
            </w:pPr>
          </w:p>
        </w:tc>
        <w:tc>
          <w:tcPr>
            <w:tcW w:w="1233" w:type="dxa"/>
            <w:tcBorders>
              <w:top w:val="nil"/>
              <w:left w:val="nil"/>
              <w:bottom w:val="single" w:color="auto" w:sz="4" w:space="0"/>
              <w:right w:val="single" w:color="auto" w:sz="4" w:space="0"/>
            </w:tcBorders>
            <w:vAlign w:val="center"/>
          </w:tcPr>
          <w:p w14:paraId="7430102D">
            <w:pPr>
              <w:widowControl/>
              <w:jc w:val="left"/>
              <w:rPr>
                <w:kern w:val="0"/>
                <w:sz w:val="21"/>
                <w:szCs w:val="21"/>
                <w:highlight w:val="none"/>
              </w:rPr>
            </w:pPr>
          </w:p>
        </w:tc>
        <w:tc>
          <w:tcPr>
            <w:tcW w:w="1184" w:type="dxa"/>
            <w:gridSpan w:val="2"/>
            <w:tcBorders>
              <w:top w:val="nil"/>
              <w:left w:val="nil"/>
              <w:bottom w:val="single" w:color="auto" w:sz="4" w:space="0"/>
              <w:right w:val="single" w:color="auto" w:sz="4" w:space="0"/>
            </w:tcBorders>
            <w:vAlign w:val="center"/>
          </w:tcPr>
          <w:p w14:paraId="4584A2EB">
            <w:pPr>
              <w:widowControl/>
              <w:jc w:val="left"/>
              <w:rPr>
                <w:kern w:val="0"/>
                <w:sz w:val="21"/>
                <w:szCs w:val="21"/>
                <w:highlight w:val="none"/>
              </w:rPr>
            </w:pPr>
          </w:p>
        </w:tc>
        <w:tc>
          <w:tcPr>
            <w:tcW w:w="1099" w:type="dxa"/>
            <w:tcBorders>
              <w:top w:val="nil"/>
              <w:left w:val="nil"/>
              <w:bottom w:val="single" w:color="auto" w:sz="4" w:space="0"/>
              <w:right w:val="single" w:color="auto" w:sz="4" w:space="0"/>
            </w:tcBorders>
            <w:vAlign w:val="center"/>
          </w:tcPr>
          <w:p w14:paraId="7ED570A5">
            <w:pPr>
              <w:widowControl/>
              <w:jc w:val="left"/>
              <w:rPr>
                <w:kern w:val="0"/>
                <w:sz w:val="21"/>
                <w:szCs w:val="21"/>
                <w:highlight w:val="none"/>
              </w:rPr>
            </w:pPr>
          </w:p>
        </w:tc>
      </w:tr>
      <w:tr w14:paraId="75D1EB3E">
        <w:tblPrEx>
          <w:tblCellMar>
            <w:top w:w="0" w:type="dxa"/>
            <w:left w:w="108" w:type="dxa"/>
            <w:bottom w:w="0" w:type="dxa"/>
            <w:right w:w="108" w:type="dxa"/>
          </w:tblCellMar>
        </w:tblPrEx>
        <w:trPr>
          <w:gridAfter w:val="1"/>
          <w:wAfter w:w="320" w:type="dxa"/>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6A85C5AA">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133AF79D">
            <w:pPr>
              <w:widowControl/>
              <w:jc w:val="left"/>
              <w:rPr>
                <w:kern w:val="0"/>
                <w:sz w:val="21"/>
                <w:szCs w:val="21"/>
                <w:highlight w:val="none"/>
              </w:rPr>
            </w:pPr>
          </w:p>
        </w:tc>
        <w:tc>
          <w:tcPr>
            <w:tcW w:w="1315" w:type="dxa"/>
            <w:tcBorders>
              <w:top w:val="nil"/>
              <w:left w:val="nil"/>
              <w:bottom w:val="single" w:color="auto" w:sz="4" w:space="0"/>
              <w:right w:val="single" w:color="auto" w:sz="4" w:space="0"/>
            </w:tcBorders>
            <w:vAlign w:val="center"/>
          </w:tcPr>
          <w:p w14:paraId="2171EF92">
            <w:pPr>
              <w:widowControl/>
              <w:jc w:val="left"/>
              <w:rPr>
                <w:kern w:val="0"/>
                <w:sz w:val="21"/>
                <w:szCs w:val="21"/>
                <w:highlight w:val="none"/>
              </w:rPr>
            </w:pPr>
          </w:p>
        </w:tc>
        <w:tc>
          <w:tcPr>
            <w:tcW w:w="2250" w:type="dxa"/>
            <w:tcBorders>
              <w:top w:val="nil"/>
              <w:left w:val="nil"/>
              <w:bottom w:val="single" w:color="auto" w:sz="4" w:space="0"/>
              <w:right w:val="single" w:color="auto" w:sz="4" w:space="0"/>
            </w:tcBorders>
            <w:vAlign w:val="center"/>
          </w:tcPr>
          <w:p w14:paraId="192ACC17">
            <w:pPr>
              <w:widowControl/>
              <w:jc w:val="left"/>
              <w:rPr>
                <w:kern w:val="0"/>
                <w:sz w:val="21"/>
                <w:szCs w:val="21"/>
                <w:highlight w:val="none"/>
              </w:rPr>
            </w:pPr>
          </w:p>
        </w:tc>
        <w:tc>
          <w:tcPr>
            <w:tcW w:w="1233" w:type="dxa"/>
            <w:tcBorders>
              <w:top w:val="nil"/>
              <w:left w:val="nil"/>
              <w:bottom w:val="single" w:color="auto" w:sz="4" w:space="0"/>
              <w:right w:val="single" w:color="auto" w:sz="4" w:space="0"/>
            </w:tcBorders>
            <w:vAlign w:val="center"/>
          </w:tcPr>
          <w:p w14:paraId="3DF6A584">
            <w:pPr>
              <w:widowControl/>
              <w:jc w:val="left"/>
              <w:rPr>
                <w:kern w:val="0"/>
                <w:sz w:val="21"/>
                <w:szCs w:val="21"/>
                <w:highlight w:val="none"/>
              </w:rPr>
            </w:pPr>
          </w:p>
        </w:tc>
        <w:tc>
          <w:tcPr>
            <w:tcW w:w="1184" w:type="dxa"/>
            <w:gridSpan w:val="2"/>
            <w:tcBorders>
              <w:top w:val="nil"/>
              <w:left w:val="nil"/>
              <w:bottom w:val="single" w:color="auto" w:sz="4" w:space="0"/>
              <w:right w:val="single" w:color="auto" w:sz="4" w:space="0"/>
            </w:tcBorders>
            <w:vAlign w:val="center"/>
          </w:tcPr>
          <w:p w14:paraId="66965F40">
            <w:pPr>
              <w:widowControl/>
              <w:jc w:val="left"/>
              <w:rPr>
                <w:kern w:val="0"/>
                <w:sz w:val="21"/>
                <w:szCs w:val="21"/>
                <w:highlight w:val="none"/>
              </w:rPr>
            </w:pPr>
          </w:p>
        </w:tc>
        <w:tc>
          <w:tcPr>
            <w:tcW w:w="1099" w:type="dxa"/>
            <w:tcBorders>
              <w:top w:val="nil"/>
              <w:left w:val="nil"/>
              <w:bottom w:val="single" w:color="auto" w:sz="4" w:space="0"/>
              <w:right w:val="single" w:color="auto" w:sz="4" w:space="0"/>
            </w:tcBorders>
            <w:vAlign w:val="center"/>
          </w:tcPr>
          <w:p w14:paraId="3881A37D">
            <w:pPr>
              <w:widowControl/>
              <w:jc w:val="left"/>
              <w:rPr>
                <w:kern w:val="0"/>
                <w:sz w:val="21"/>
                <w:szCs w:val="21"/>
                <w:highlight w:val="none"/>
              </w:rPr>
            </w:pPr>
          </w:p>
        </w:tc>
      </w:tr>
      <w:tr w14:paraId="3630C4E4">
        <w:tblPrEx>
          <w:tblCellMar>
            <w:top w:w="0" w:type="dxa"/>
            <w:left w:w="108" w:type="dxa"/>
            <w:bottom w:w="0" w:type="dxa"/>
            <w:right w:w="108" w:type="dxa"/>
          </w:tblCellMar>
        </w:tblPrEx>
        <w:trPr>
          <w:gridAfter w:val="1"/>
          <w:wAfter w:w="320" w:type="dxa"/>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5CDA97A5">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758305BD">
            <w:pPr>
              <w:widowControl/>
              <w:jc w:val="left"/>
              <w:rPr>
                <w:kern w:val="0"/>
                <w:sz w:val="21"/>
                <w:szCs w:val="21"/>
                <w:highlight w:val="none"/>
              </w:rPr>
            </w:pPr>
          </w:p>
        </w:tc>
        <w:tc>
          <w:tcPr>
            <w:tcW w:w="1315" w:type="dxa"/>
            <w:tcBorders>
              <w:top w:val="nil"/>
              <w:left w:val="nil"/>
              <w:bottom w:val="single" w:color="auto" w:sz="4" w:space="0"/>
              <w:right w:val="single" w:color="auto" w:sz="4" w:space="0"/>
            </w:tcBorders>
            <w:vAlign w:val="center"/>
          </w:tcPr>
          <w:p w14:paraId="75007CBB">
            <w:pPr>
              <w:widowControl/>
              <w:jc w:val="left"/>
              <w:rPr>
                <w:kern w:val="0"/>
                <w:sz w:val="21"/>
                <w:szCs w:val="21"/>
                <w:highlight w:val="none"/>
              </w:rPr>
            </w:pPr>
          </w:p>
        </w:tc>
        <w:tc>
          <w:tcPr>
            <w:tcW w:w="2250" w:type="dxa"/>
            <w:tcBorders>
              <w:top w:val="nil"/>
              <w:left w:val="nil"/>
              <w:bottom w:val="single" w:color="auto" w:sz="4" w:space="0"/>
              <w:right w:val="single" w:color="auto" w:sz="4" w:space="0"/>
            </w:tcBorders>
            <w:vAlign w:val="center"/>
          </w:tcPr>
          <w:p w14:paraId="2EBD150F">
            <w:pPr>
              <w:widowControl/>
              <w:jc w:val="left"/>
              <w:rPr>
                <w:kern w:val="0"/>
                <w:sz w:val="21"/>
                <w:szCs w:val="21"/>
                <w:highlight w:val="none"/>
              </w:rPr>
            </w:pPr>
          </w:p>
        </w:tc>
        <w:tc>
          <w:tcPr>
            <w:tcW w:w="1233" w:type="dxa"/>
            <w:tcBorders>
              <w:top w:val="nil"/>
              <w:left w:val="nil"/>
              <w:bottom w:val="single" w:color="auto" w:sz="4" w:space="0"/>
              <w:right w:val="single" w:color="auto" w:sz="4" w:space="0"/>
            </w:tcBorders>
            <w:vAlign w:val="center"/>
          </w:tcPr>
          <w:p w14:paraId="38C0D768">
            <w:pPr>
              <w:widowControl/>
              <w:jc w:val="left"/>
              <w:rPr>
                <w:kern w:val="0"/>
                <w:sz w:val="21"/>
                <w:szCs w:val="21"/>
                <w:highlight w:val="none"/>
              </w:rPr>
            </w:pPr>
          </w:p>
        </w:tc>
        <w:tc>
          <w:tcPr>
            <w:tcW w:w="1184" w:type="dxa"/>
            <w:gridSpan w:val="2"/>
            <w:tcBorders>
              <w:top w:val="nil"/>
              <w:left w:val="nil"/>
              <w:bottom w:val="single" w:color="auto" w:sz="4" w:space="0"/>
              <w:right w:val="single" w:color="auto" w:sz="4" w:space="0"/>
            </w:tcBorders>
            <w:vAlign w:val="center"/>
          </w:tcPr>
          <w:p w14:paraId="55171312">
            <w:pPr>
              <w:widowControl/>
              <w:jc w:val="left"/>
              <w:rPr>
                <w:kern w:val="0"/>
                <w:sz w:val="21"/>
                <w:szCs w:val="21"/>
                <w:highlight w:val="none"/>
              </w:rPr>
            </w:pPr>
          </w:p>
        </w:tc>
        <w:tc>
          <w:tcPr>
            <w:tcW w:w="1099" w:type="dxa"/>
            <w:tcBorders>
              <w:top w:val="nil"/>
              <w:left w:val="nil"/>
              <w:bottom w:val="single" w:color="auto" w:sz="4" w:space="0"/>
              <w:right w:val="single" w:color="auto" w:sz="4" w:space="0"/>
            </w:tcBorders>
            <w:vAlign w:val="center"/>
          </w:tcPr>
          <w:p w14:paraId="125AE1F8">
            <w:pPr>
              <w:widowControl/>
              <w:jc w:val="left"/>
              <w:rPr>
                <w:kern w:val="0"/>
                <w:sz w:val="21"/>
                <w:szCs w:val="21"/>
                <w:highlight w:val="none"/>
              </w:rPr>
            </w:pPr>
          </w:p>
        </w:tc>
      </w:tr>
      <w:tr w14:paraId="2AACF5B9">
        <w:tblPrEx>
          <w:tblCellMar>
            <w:top w:w="0" w:type="dxa"/>
            <w:left w:w="108" w:type="dxa"/>
            <w:bottom w:w="0" w:type="dxa"/>
            <w:right w:w="108" w:type="dxa"/>
          </w:tblCellMar>
        </w:tblPrEx>
        <w:trPr>
          <w:gridAfter w:val="1"/>
          <w:wAfter w:w="320" w:type="dxa"/>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27287B8A">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7A723D51">
            <w:pPr>
              <w:widowControl/>
              <w:jc w:val="left"/>
              <w:rPr>
                <w:kern w:val="0"/>
                <w:sz w:val="21"/>
                <w:szCs w:val="21"/>
                <w:highlight w:val="none"/>
              </w:rPr>
            </w:pPr>
          </w:p>
        </w:tc>
        <w:tc>
          <w:tcPr>
            <w:tcW w:w="1315" w:type="dxa"/>
            <w:tcBorders>
              <w:top w:val="nil"/>
              <w:left w:val="nil"/>
              <w:bottom w:val="single" w:color="auto" w:sz="4" w:space="0"/>
              <w:right w:val="single" w:color="auto" w:sz="4" w:space="0"/>
            </w:tcBorders>
            <w:vAlign w:val="center"/>
          </w:tcPr>
          <w:p w14:paraId="1F6B11EE">
            <w:pPr>
              <w:widowControl/>
              <w:jc w:val="left"/>
              <w:rPr>
                <w:kern w:val="0"/>
                <w:sz w:val="21"/>
                <w:szCs w:val="21"/>
                <w:highlight w:val="none"/>
              </w:rPr>
            </w:pPr>
          </w:p>
        </w:tc>
        <w:tc>
          <w:tcPr>
            <w:tcW w:w="2250" w:type="dxa"/>
            <w:tcBorders>
              <w:top w:val="nil"/>
              <w:left w:val="nil"/>
              <w:bottom w:val="single" w:color="auto" w:sz="4" w:space="0"/>
              <w:right w:val="single" w:color="auto" w:sz="4" w:space="0"/>
            </w:tcBorders>
            <w:vAlign w:val="center"/>
          </w:tcPr>
          <w:p w14:paraId="1DA194E2">
            <w:pPr>
              <w:widowControl/>
              <w:jc w:val="left"/>
              <w:rPr>
                <w:kern w:val="0"/>
                <w:sz w:val="21"/>
                <w:szCs w:val="21"/>
                <w:highlight w:val="none"/>
              </w:rPr>
            </w:pPr>
          </w:p>
        </w:tc>
        <w:tc>
          <w:tcPr>
            <w:tcW w:w="1233" w:type="dxa"/>
            <w:tcBorders>
              <w:top w:val="nil"/>
              <w:left w:val="nil"/>
              <w:bottom w:val="single" w:color="auto" w:sz="4" w:space="0"/>
              <w:right w:val="single" w:color="auto" w:sz="4" w:space="0"/>
            </w:tcBorders>
            <w:vAlign w:val="center"/>
          </w:tcPr>
          <w:p w14:paraId="13B09B34">
            <w:pPr>
              <w:widowControl/>
              <w:jc w:val="left"/>
              <w:rPr>
                <w:kern w:val="0"/>
                <w:sz w:val="21"/>
                <w:szCs w:val="21"/>
                <w:highlight w:val="none"/>
              </w:rPr>
            </w:pPr>
          </w:p>
        </w:tc>
        <w:tc>
          <w:tcPr>
            <w:tcW w:w="1184" w:type="dxa"/>
            <w:gridSpan w:val="2"/>
            <w:tcBorders>
              <w:top w:val="nil"/>
              <w:left w:val="nil"/>
              <w:bottom w:val="single" w:color="auto" w:sz="4" w:space="0"/>
              <w:right w:val="single" w:color="auto" w:sz="4" w:space="0"/>
            </w:tcBorders>
            <w:vAlign w:val="center"/>
          </w:tcPr>
          <w:p w14:paraId="442F9159">
            <w:pPr>
              <w:widowControl/>
              <w:jc w:val="left"/>
              <w:rPr>
                <w:kern w:val="0"/>
                <w:sz w:val="21"/>
                <w:szCs w:val="21"/>
                <w:highlight w:val="none"/>
              </w:rPr>
            </w:pPr>
          </w:p>
        </w:tc>
        <w:tc>
          <w:tcPr>
            <w:tcW w:w="1099" w:type="dxa"/>
            <w:tcBorders>
              <w:top w:val="nil"/>
              <w:left w:val="nil"/>
              <w:bottom w:val="single" w:color="auto" w:sz="4" w:space="0"/>
              <w:right w:val="single" w:color="auto" w:sz="4" w:space="0"/>
            </w:tcBorders>
            <w:vAlign w:val="center"/>
          </w:tcPr>
          <w:p w14:paraId="05C41792">
            <w:pPr>
              <w:widowControl/>
              <w:jc w:val="left"/>
              <w:rPr>
                <w:kern w:val="0"/>
                <w:sz w:val="21"/>
                <w:szCs w:val="21"/>
                <w:highlight w:val="none"/>
              </w:rPr>
            </w:pPr>
          </w:p>
        </w:tc>
      </w:tr>
      <w:tr w14:paraId="4E8AA4FD">
        <w:tblPrEx>
          <w:tblCellMar>
            <w:top w:w="0" w:type="dxa"/>
            <w:left w:w="108" w:type="dxa"/>
            <w:bottom w:w="0" w:type="dxa"/>
            <w:right w:w="108" w:type="dxa"/>
          </w:tblCellMar>
        </w:tblPrEx>
        <w:trPr>
          <w:gridAfter w:val="1"/>
          <w:wAfter w:w="320" w:type="dxa"/>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136B8650">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07F3F190">
            <w:pPr>
              <w:widowControl/>
              <w:jc w:val="left"/>
              <w:rPr>
                <w:kern w:val="0"/>
                <w:sz w:val="21"/>
                <w:szCs w:val="21"/>
                <w:highlight w:val="none"/>
              </w:rPr>
            </w:pPr>
          </w:p>
        </w:tc>
        <w:tc>
          <w:tcPr>
            <w:tcW w:w="1315" w:type="dxa"/>
            <w:tcBorders>
              <w:top w:val="nil"/>
              <w:left w:val="nil"/>
              <w:bottom w:val="single" w:color="auto" w:sz="4" w:space="0"/>
              <w:right w:val="single" w:color="auto" w:sz="4" w:space="0"/>
            </w:tcBorders>
            <w:vAlign w:val="center"/>
          </w:tcPr>
          <w:p w14:paraId="42004DA9">
            <w:pPr>
              <w:widowControl/>
              <w:jc w:val="left"/>
              <w:rPr>
                <w:kern w:val="0"/>
                <w:sz w:val="21"/>
                <w:szCs w:val="21"/>
                <w:highlight w:val="none"/>
              </w:rPr>
            </w:pPr>
          </w:p>
        </w:tc>
        <w:tc>
          <w:tcPr>
            <w:tcW w:w="2250" w:type="dxa"/>
            <w:tcBorders>
              <w:top w:val="nil"/>
              <w:left w:val="nil"/>
              <w:bottom w:val="single" w:color="auto" w:sz="4" w:space="0"/>
              <w:right w:val="single" w:color="auto" w:sz="4" w:space="0"/>
            </w:tcBorders>
            <w:vAlign w:val="center"/>
          </w:tcPr>
          <w:p w14:paraId="74222671">
            <w:pPr>
              <w:widowControl/>
              <w:jc w:val="left"/>
              <w:rPr>
                <w:kern w:val="0"/>
                <w:sz w:val="21"/>
                <w:szCs w:val="21"/>
                <w:highlight w:val="none"/>
              </w:rPr>
            </w:pPr>
          </w:p>
        </w:tc>
        <w:tc>
          <w:tcPr>
            <w:tcW w:w="1233" w:type="dxa"/>
            <w:tcBorders>
              <w:top w:val="nil"/>
              <w:left w:val="nil"/>
              <w:bottom w:val="single" w:color="auto" w:sz="4" w:space="0"/>
              <w:right w:val="single" w:color="auto" w:sz="4" w:space="0"/>
            </w:tcBorders>
            <w:vAlign w:val="center"/>
          </w:tcPr>
          <w:p w14:paraId="2AE11344">
            <w:pPr>
              <w:widowControl/>
              <w:jc w:val="left"/>
              <w:rPr>
                <w:kern w:val="0"/>
                <w:sz w:val="21"/>
                <w:szCs w:val="21"/>
                <w:highlight w:val="none"/>
              </w:rPr>
            </w:pPr>
          </w:p>
        </w:tc>
        <w:tc>
          <w:tcPr>
            <w:tcW w:w="1184" w:type="dxa"/>
            <w:gridSpan w:val="2"/>
            <w:tcBorders>
              <w:top w:val="nil"/>
              <w:left w:val="nil"/>
              <w:bottom w:val="single" w:color="auto" w:sz="4" w:space="0"/>
              <w:right w:val="single" w:color="auto" w:sz="4" w:space="0"/>
            </w:tcBorders>
            <w:vAlign w:val="center"/>
          </w:tcPr>
          <w:p w14:paraId="74026252">
            <w:pPr>
              <w:widowControl/>
              <w:jc w:val="left"/>
              <w:rPr>
                <w:kern w:val="0"/>
                <w:sz w:val="21"/>
                <w:szCs w:val="21"/>
                <w:highlight w:val="none"/>
              </w:rPr>
            </w:pPr>
          </w:p>
        </w:tc>
        <w:tc>
          <w:tcPr>
            <w:tcW w:w="1099" w:type="dxa"/>
            <w:tcBorders>
              <w:top w:val="nil"/>
              <w:left w:val="nil"/>
              <w:bottom w:val="single" w:color="auto" w:sz="4" w:space="0"/>
              <w:right w:val="single" w:color="auto" w:sz="4" w:space="0"/>
            </w:tcBorders>
            <w:vAlign w:val="center"/>
          </w:tcPr>
          <w:p w14:paraId="461CBAB7">
            <w:pPr>
              <w:widowControl/>
              <w:jc w:val="left"/>
              <w:rPr>
                <w:kern w:val="0"/>
                <w:sz w:val="21"/>
                <w:szCs w:val="21"/>
                <w:highlight w:val="none"/>
              </w:rPr>
            </w:pPr>
          </w:p>
        </w:tc>
      </w:tr>
      <w:tr w14:paraId="07BC45EB">
        <w:tblPrEx>
          <w:tblCellMar>
            <w:top w:w="0" w:type="dxa"/>
            <w:left w:w="108" w:type="dxa"/>
            <w:bottom w:w="0" w:type="dxa"/>
            <w:right w:w="108" w:type="dxa"/>
          </w:tblCellMar>
        </w:tblPrEx>
        <w:trPr>
          <w:gridAfter w:val="1"/>
          <w:wAfter w:w="320" w:type="dxa"/>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57E54068">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22FED660">
            <w:pPr>
              <w:widowControl/>
              <w:jc w:val="left"/>
              <w:rPr>
                <w:kern w:val="0"/>
                <w:sz w:val="21"/>
                <w:szCs w:val="21"/>
                <w:highlight w:val="none"/>
              </w:rPr>
            </w:pPr>
          </w:p>
        </w:tc>
        <w:tc>
          <w:tcPr>
            <w:tcW w:w="1315" w:type="dxa"/>
            <w:tcBorders>
              <w:top w:val="nil"/>
              <w:left w:val="nil"/>
              <w:bottom w:val="single" w:color="auto" w:sz="4" w:space="0"/>
              <w:right w:val="single" w:color="auto" w:sz="4" w:space="0"/>
            </w:tcBorders>
            <w:vAlign w:val="center"/>
          </w:tcPr>
          <w:p w14:paraId="20292A0E">
            <w:pPr>
              <w:widowControl/>
              <w:jc w:val="left"/>
              <w:rPr>
                <w:kern w:val="0"/>
                <w:sz w:val="21"/>
                <w:szCs w:val="21"/>
                <w:highlight w:val="none"/>
              </w:rPr>
            </w:pPr>
          </w:p>
        </w:tc>
        <w:tc>
          <w:tcPr>
            <w:tcW w:w="2250" w:type="dxa"/>
            <w:tcBorders>
              <w:top w:val="nil"/>
              <w:left w:val="nil"/>
              <w:bottom w:val="single" w:color="auto" w:sz="4" w:space="0"/>
              <w:right w:val="single" w:color="auto" w:sz="4" w:space="0"/>
            </w:tcBorders>
            <w:vAlign w:val="center"/>
          </w:tcPr>
          <w:p w14:paraId="233F84D7">
            <w:pPr>
              <w:widowControl/>
              <w:jc w:val="left"/>
              <w:rPr>
                <w:kern w:val="0"/>
                <w:sz w:val="21"/>
                <w:szCs w:val="21"/>
                <w:highlight w:val="none"/>
              </w:rPr>
            </w:pPr>
          </w:p>
        </w:tc>
        <w:tc>
          <w:tcPr>
            <w:tcW w:w="1233" w:type="dxa"/>
            <w:tcBorders>
              <w:top w:val="nil"/>
              <w:left w:val="nil"/>
              <w:bottom w:val="single" w:color="auto" w:sz="4" w:space="0"/>
              <w:right w:val="single" w:color="auto" w:sz="4" w:space="0"/>
            </w:tcBorders>
            <w:vAlign w:val="center"/>
          </w:tcPr>
          <w:p w14:paraId="4C5E34AA">
            <w:pPr>
              <w:widowControl/>
              <w:jc w:val="left"/>
              <w:rPr>
                <w:kern w:val="0"/>
                <w:sz w:val="21"/>
                <w:szCs w:val="21"/>
                <w:highlight w:val="none"/>
              </w:rPr>
            </w:pPr>
          </w:p>
        </w:tc>
        <w:tc>
          <w:tcPr>
            <w:tcW w:w="1184" w:type="dxa"/>
            <w:gridSpan w:val="2"/>
            <w:tcBorders>
              <w:top w:val="nil"/>
              <w:left w:val="nil"/>
              <w:bottom w:val="single" w:color="auto" w:sz="4" w:space="0"/>
              <w:right w:val="single" w:color="auto" w:sz="4" w:space="0"/>
            </w:tcBorders>
            <w:vAlign w:val="center"/>
          </w:tcPr>
          <w:p w14:paraId="2CF08756">
            <w:pPr>
              <w:widowControl/>
              <w:jc w:val="left"/>
              <w:rPr>
                <w:kern w:val="0"/>
                <w:sz w:val="21"/>
                <w:szCs w:val="21"/>
                <w:highlight w:val="none"/>
              </w:rPr>
            </w:pPr>
          </w:p>
        </w:tc>
        <w:tc>
          <w:tcPr>
            <w:tcW w:w="1099" w:type="dxa"/>
            <w:tcBorders>
              <w:top w:val="nil"/>
              <w:left w:val="nil"/>
              <w:bottom w:val="single" w:color="auto" w:sz="4" w:space="0"/>
              <w:right w:val="single" w:color="auto" w:sz="4" w:space="0"/>
            </w:tcBorders>
            <w:vAlign w:val="center"/>
          </w:tcPr>
          <w:p w14:paraId="5C2FDC12">
            <w:pPr>
              <w:widowControl/>
              <w:jc w:val="left"/>
              <w:rPr>
                <w:kern w:val="0"/>
                <w:sz w:val="21"/>
                <w:szCs w:val="21"/>
                <w:highlight w:val="none"/>
              </w:rPr>
            </w:pPr>
          </w:p>
        </w:tc>
      </w:tr>
    </w:tbl>
    <w:p w14:paraId="27AD4B4B">
      <w:pPr>
        <w:rPr>
          <w:rFonts w:hint="default"/>
          <w:b w:val="0"/>
          <w:bCs w:val="0"/>
          <w:spacing w:val="0"/>
          <w:sz w:val="21"/>
          <w:szCs w:val="22"/>
          <w:highlight w:val="none"/>
          <w:lang w:val="en-US" w:eastAsia="zh-CN"/>
        </w:rPr>
      </w:pPr>
      <w:r>
        <w:rPr>
          <w:rFonts w:hint="default"/>
          <w:b w:val="0"/>
          <w:bCs w:val="0"/>
          <w:spacing w:val="0"/>
          <w:sz w:val="21"/>
          <w:szCs w:val="22"/>
          <w:highlight w:val="none"/>
          <w:lang w:val="en-US" w:eastAsia="zh-CN"/>
        </w:rPr>
        <w:br w:type="page"/>
      </w:r>
    </w:p>
    <w:p w14:paraId="1B0E7473">
      <w:pPr>
        <w:pStyle w:val="16"/>
        <w:spacing w:before="117" w:line="218" w:lineRule="auto"/>
        <w:jc w:val="center"/>
        <w:outlineLvl w:val="2"/>
        <w:rPr>
          <w:b w:val="0"/>
          <w:bCs w:val="0"/>
          <w:spacing w:val="-2"/>
          <w:sz w:val="28"/>
          <w:szCs w:val="28"/>
          <w:highlight w:val="none"/>
        </w:rPr>
      </w:pPr>
      <w:r>
        <w:rPr>
          <w:b w:val="0"/>
          <w:bCs w:val="0"/>
          <w:spacing w:val="-2"/>
          <w:sz w:val="28"/>
          <w:szCs w:val="28"/>
          <w:highlight w:val="none"/>
        </w:rPr>
        <w:t>分部分项工程</w:t>
      </w:r>
      <w:r>
        <w:rPr>
          <w:rFonts w:hint="eastAsia"/>
          <w:b w:val="0"/>
          <w:bCs w:val="0"/>
          <w:spacing w:val="-2"/>
          <w:sz w:val="28"/>
          <w:szCs w:val="28"/>
          <w:highlight w:val="none"/>
          <w:lang w:val="en-US" w:eastAsia="zh-CN"/>
        </w:rPr>
        <w:t>项目</w:t>
      </w:r>
      <w:r>
        <w:rPr>
          <w:b w:val="0"/>
          <w:bCs w:val="0"/>
          <w:spacing w:val="-2"/>
          <w:sz w:val="28"/>
          <w:szCs w:val="28"/>
          <w:highlight w:val="none"/>
        </w:rPr>
        <w:t>清单计价表</w:t>
      </w:r>
    </w:p>
    <w:p w14:paraId="2566F3B4">
      <w:pPr>
        <w:jc w:val="center"/>
        <w:outlineLvl w:val="9"/>
        <w:rPr>
          <w:rFonts w:hint="eastAsia" w:eastAsia="宋体" w:cs="Times New Roman"/>
          <w:b w:val="0"/>
          <w:bCs w:val="0"/>
          <w:spacing w:val="9"/>
          <w:sz w:val="24"/>
          <w:szCs w:val="24"/>
          <w:highlight w:val="none"/>
          <w:lang w:val="en-US" w:eastAsia="zh-CN"/>
        </w:rPr>
      </w:pPr>
    </w:p>
    <w:tbl>
      <w:tblPr>
        <w:tblStyle w:val="41"/>
        <w:tblW w:w="9181" w:type="dxa"/>
        <w:jc w:val="center"/>
        <w:tblLayout w:type="fixed"/>
        <w:tblCellMar>
          <w:top w:w="0" w:type="dxa"/>
          <w:left w:w="108" w:type="dxa"/>
          <w:bottom w:w="0" w:type="dxa"/>
          <w:right w:w="108" w:type="dxa"/>
        </w:tblCellMar>
      </w:tblPr>
      <w:tblGrid>
        <w:gridCol w:w="683"/>
        <w:gridCol w:w="1097"/>
        <w:gridCol w:w="1097"/>
        <w:gridCol w:w="1588"/>
        <w:gridCol w:w="798"/>
        <w:gridCol w:w="881"/>
        <w:gridCol w:w="1012"/>
        <w:gridCol w:w="1012"/>
        <w:gridCol w:w="1013"/>
      </w:tblGrid>
      <w:tr w14:paraId="27D7EAA1">
        <w:tblPrEx>
          <w:tblCellMar>
            <w:top w:w="0" w:type="dxa"/>
            <w:left w:w="108" w:type="dxa"/>
            <w:bottom w:w="0" w:type="dxa"/>
            <w:right w:w="108" w:type="dxa"/>
          </w:tblCellMar>
        </w:tblPrEx>
        <w:trPr>
          <w:trHeight w:val="496" w:hRule="atLeast"/>
          <w:jc w:val="center"/>
        </w:trPr>
        <w:tc>
          <w:tcPr>
            <w:tcW w:w="7156" w:type="dxa"/>
            <w:gridSpan w:val="7"/>
            <w:tcBorders>
              <w:top w:val="nil"/>
              <w:left w:val="nil"/>
              <w:bottom w:val="single" w:color="auto" w:sz="4" w:space="0"/>
              <w:right w:val="nil"/>
            </w:tcBorders>
            <w:vAlign w:val="center"/>
          </w:tcPr>
          <w:p w14:paraId="38D24AD8">
            <w:pPr>
              <w:widowControl/>
              <w:jc w:val="left"/>
              <w:rPr>
                <w:kern w:val="0"/>
                <w:sz w:val="21"/>
                <w:szCs w:val="21"/>
                <w:highlight w:val="none"/>
              </w:rPr>
            </w:pPr>
            <w:r>
              <w:rPr>
                <w:kern w:val="0"/>
                <w:sz w:val="21"/>
                <w:szCs w:val="21"/>
                <w:highlight w:val="none"/>
              </w:rPr>
              <w:t>工程名称：                     标段：</w:t>
            </w:r>
          </w:p>
        </w:tc>
        <w:tc>
          <w:tcPr>
            <w:tcW w:w="2025" w:type="dxa"/>
            <w:gridSpan w:val="2"/>
            <w:tcBorders>
              <w:top w:val="nil"/>
              <w:left w:val="nil"/>
              <w:bottom w:val="single" w:color="auto" w:sz="4" w:space="0"/>
              <w:right w:val="nil"/>
            </w:tcBorders>
            <w:vAlign w:val="center"/>
          </w:tcPr>
          <w:p w14:paraId="460686E1">
            <w:pPr>
              <w:widowControl/>
              <w:ind w:right="-167"/>
              <w:rPr>
                <w:kern w:val="0"/>
                <w:sz w:val="21"/>
                <w:szCs w:val="21"/>
                <w:highlight w:val="none"/>
              </w:rPr>
            </w:pPr>
            <w:r>
              <w:rPr>
                <w:kern w:val="0"/>
                <w:sz w:val="21"/>
                <w:szCs w:val="21"/>
                <w:highlight w:val="none"/>
              </w:rPr>
              <w:t>第  页   共  页</w:t>
            </w:r>
          </w:p>
        </w:tc>
      </w:tr>
      <w:tr w14:paraId="0FB0681D">
        <w:tblPrEx>
          <w:tblCellMar>
            <w:top w:w="0" w:type="dxa"/>
            <w:left w:w="108" w:type="dxa"/>
            <w:bottom w:w="0" w:type="dxa"/>
            <w:right w:w="108" w:type="dxa"/>
          </w:tblCellMar>
        </w:tblPrEx>
        <w:trPr>
          <w:trHeight w:val="417" w:hRule="atLeast"/>
          <w:jc w:val="center"/>
        </w:trPr>
        <w:tc>
          <w:tcPr>
            <w:tcW w:w="683" w:type="dxa"/>
            <w:vMerge w:val="restart"/>
            <w:tcBorders>
              <w:top w:val="nil"/>
              <w:left w:val="single" w:color="auto" w:sz="4" w:space="0"/>
              <w:bottom w:val="single" w:color="000000" w:sz="4" w:space="0"/>
              <w:right w:val="single" w:color="auto" w:sz="4" w:space="0"/>
            </w:tcBorders>
            <w:vAlign w:val="center"/>
          </w:tcPr>
          <w:p w14:paraId="797C6A9B">
            <w:pPr>
              <w:widowControl/>
              <w:jc w:val="center"/>
              <w:rPr>
                <w:kern w:val="0"/>
                <w:sz w:val="21"/>
                <w:szCs w:val="21"/>
                <w:highlight w:val="none"/>
              </w:rPr>
            </w:pPr>
            <w:r>
              <w:rPr>
                <w:kern w:val="0"/>
                <w:sz w:val="21"/>
                <w:szCs w:val="21"/>
                <w:highlight w:val="none"/>
              </w:rPr>
              <w:t>序号</w:t>
            </w:r>
          </w:p>
        </w:tc>
        <w:tc>
          <w:tcPr>
            <w:tcW w:w="1097" w:type="dxa"/>
            <w:vMerge w:val="restart"/>
            <w:tcBorders>
              <w:top w:val="nil"/>
              <w:left w:val="single" w:color="auto" w:sz="4" w:space="0"/>
              <w:bottom w:val="single" w:color="000000" w:sz="4" w:space="0"/>
              <w:right w:val="single" w:color="auto" w:sz="4" w:space="0"/>
            </w:tcBorders>
            <w:vAlign w:val="center"/>
          </w:tcPr>
          <w:p w14:paraId="401AF24F">
            <w:pPr>
              <w:widowControl/>
              <w:jc w:val="center"/>
              <w:rPr>
                <w:kern w:val="0"/>
                <w:sz w:val="21"/>
                <w:szCs w:val="21"/>
                <w:highlight w:val="none"/>
              </w:rPr>
            </w:pPr>
            <w:r>
              <w:rPr>
                <w:kern w:val="0"/>
                <w:sz w:val="21"/>
                <w:szCs w:val="21"/>
                <w:highlight w:val="none"/>
              </w:rPr>
              <w:t>项目编码</w:t>
            </w:r>
          </w:p>
        </w:tc>
        <w:tc>
          <w:tcPr>
            <w:tcW w:w="1097" w:type="dxa"/>
            <w:vMerge w:val="restart"/>
            <w:tcBorders>
              <w:top w:val="nil"/>
              <w:left w:val="single" w:color="auto" w:sz="4" w:space="0"/>
              <w:bottom w:val="single" w:color="000000" w:sz="4" w:space="0"/>
              <w:right w:val="single" w:color="auto" w:sz="4" w:space="0"/>
            </w:tcBorders>
            <w:vAlign w:val="center"/>
          </w:tcPr>
          <w:p w14:paraId="240016B3">
            <w:pPr>
              <w:widowControl/>
              <w:jc w:val="center"/>
              <w:rPr>
                <w:kern w:val="0"/>
                <w:sz w:val="21"/>
                <w:szCs w:val="21"/>
                <w:highlight w:val="none"/>
              </w:rPr>
            </w:pPr>
            <w:r>
              <w:rPr>
                <w:kern w:val="0"/>
                <w:sz w:val="21"/>
                <w:szCs w:val="21"/>
                <w:highlight w:val="none"/>
              </w:rPr>
              <w:t>项目名称</w:t>
            </w:r>
          </w:p>
        </w:tc>
        <w:tc>
          <w:tcPr>
            <w:tcW w:w="1588" w:type="dxa"/>
            <w:vMerge w:val="restart"/>
            <w:tcBorders>
              <w:top w:val="nil"/>
              <w:left w:val="single" w:color="auto" w:sz="4" w:space="0"/>
              <w:bottom w:val="single" w:color="000000" w:sz="4" w:space="0"/>
              <w:right w:val="single" w:color="auto" w:sz="4" w:space="0"/>
            </w:tcBorders>
            <w:vAlign w:val="center"/>
          </w:tcPr>
          <w:p w14:paraId="39AD4CBA">
            <w:pPr>
              <w:widowControl/>
              <w:jc w:val="center"/>
              <w:rPr>
                <w:kern w:val="0"/>
                <w:sz w:val="21"/>
                <w:szCs w:val="21"/>
                <w:highlight w:val="none"/>
              </w:rPr>
            </w:pPr>
            <w:r>
              <w:rPr>
                <w:kern w:val="0"/>
                <w:sz w:val="21"/>
                <w:szCs w:val="21"/>
                <w:highlight w:val="none"/>
              </w:rPr>
              <w:t>项目特征描述</w:t>
            </w:r>
          </w:p>
        </w:tc>
        <w:tc>
          <w:tcPr>
            <w:tcW w:w="798" w:type="dxa"/>
            <w:vMerge w:val="restart"/>
            <w:tcBorders>
              <w:top w:val="nil"/>
              <w:left w:val="single" w:color="auto" w:sz="4" w:space="0"/>
              <w:bottom w:val="single" w:color="000000" w:sz="4" w:space="0"/>
              <w:right w:val="single" w:color="auto" w:sz="4" w:space="0"/>
            </w:tcBorders>
            <w:vAlign w:val="center"/>
          </w:tcPr>
          <w:p w14:paraId="2B3CC33A">
            <w:pPr>
              <w:widowControl/>
              <w:jc w:val="center"/>
              <w:rPr>
                <w:kern w:val="0"/>
                <w:sz w:val="21"/>
                <w:szCs w:val="21"/>
                <w:highlight w:val="none"/>
              </w:rPr>
            </w:pPr>
            <w:r>
              <w:rPr>
                <w:kern w:val="0"/>
                <w:sz w:val="21"/>
                <w:szCs w:val="21"/>
                <w:highlight w:val="none"/>
              </w:rPr>
              <w:t>计量单位</w:t>
            </w:r>
          </w:p>
        </w:tc>
        <w:tc>
          <w:tcPr>
            <w:tcW w:w="881" w:type="dxa"/>
            <w:vMerge w:val="restart"/>
            <w:tcBorders>
              <w:top w:val="nil"/>
              <w:left w:val="single" w:color="auto" w:sz="4" w:space="0"/>
              <w:bottom w:val="single" w:color="000000" w:sz="4" w:space="0"/>
              <w:right w:val="single" w:color="auto" w:sz="4" w:space="0"/>
            </w:tcBorders>
            <w:vAlign w:val="center"/>
          </w:tcPr>
          <w:p w14:paraId="6DF5B504">
            <w:pPr>
              <w:widowControl/>
              <w:jc w:val="center"/>
              <w:rPr>
                <w:kern w:val="0"/>
                <w:sz w:val="21"/>
                <w:szCs w:val="21"/>
                <w:highlight w:val="none"/>
              </w:rPr>
            </w:pPr>
            <w:r>
              <w:rPr>
                <w:kern w:val="0"/>
                <w:sz w:val="21"/>
                <w:szCs w:val="21"/>
                <w:highlight w:val="none"/>
              </w:rPr>
              <w:t>工程量</w:t>
            </w:r>
          </w:p>
        </w:tc>
        <w:tc>
          <w:tcPr>
            <w:tcW w:w="3037" w:type="dxa"/>
            <w:gridSpan w:val="3"/>
            <w:tcBorders>
              <w:top w:val="single" w:color="auto" w:sz="4" w:space="0"/>
              <w:left w:val="nil"/>
              <w:bottom w:val="single" w:color="auto" w:sz="4" w:space="0"/>
              <w:right w:val="single" w:color="000000" w:sz="4" w:space="0"/>
            </w:tcBorders>
            <w:vAlign w:val="center"/>
          </w:tcPr>
          <w:p w14:paraId="22E39921">
            <w:pPr>
              <w:widowControl/>
              <w:jc w:val="center"/>
              <w:rPr>
                <w:rFonts w:hint="eastAsia"/>
                <w:kern w:val="0"/>
                <w:sz w:val="21"/>
                <w:szCs w:val="21"/>
                <w:highlight w:val="none"/>
              </w:rPr>
            </w:pPr>
            <w:r>
              <w:rPr>
                <w:kern w:val="0"/>
                <w:sz w:val="21"/>
                <w:szCs w:val="21"/>
                <w:highlight w:val="none"/>
              </w:rPr>
              <w:t>金额</w:t>
            </w:r>
            <w:r>
              <w:rPr>
                <w:rFonts w:hint="eastAsia"/>
                <w:kern w:val="0"/>
                <w:sz w:val="21"/>
                <w:szCs w:val="21"/>
                <w:highlight w:val="none"/>
                <w:lang w:eastAsia="zh-CN"/>
              </w:rPr>
              <w:t>（</w:t>
            </w:r>
            <w:r>
              <w:rPr>
                <w:rFonts w:hint="eastAsia"/>
                <w:kern w:val="0"/>
                <w:sz w:val="21"/>
                <w:szCs w:val="21"/>
                <w:highlight w:val="none"/>
                <w:lang w:val="en-US" w:eastAsia="zh-CN"/>
              </w:rPr>
              <w:t>元</w:t>
            </w:r>
            <w:r>
              <w:rPr>
                <w:rFonts w:hint="eastAsia"/>
                <w:kern w:val="0"/>
                <w:sz w:val="21"/>
                <w:szCs w:val="21"/>
                <w:highlight w:val="none"/>
                <w:lang w:eastAsia="zh-CN"/>
              </w:rPr>
              <w:t>）</w:t>
            </w:r>
          </w:p>
        </w:tc>
      </w:tr>
      <w:tr w14:paraId="2EB61D01">
        <w:tblPrEx>
          <w:tblCellMar>
            <w:top w:w="0" w:type="dxa"/>
            <w:left w:w="108" w:type="dxa"/>
            <w:bottom w:w="0" w:type="dxa"/>
            <w:right w:w="108" w:type="dxa"/>
          </w:tblCellMar>
        </w:tblPrEx>
        <w:trPr>
          <w:trHeight w:val="596" w:hRule="atLeast"/>
          <w:jc w:val="center"/>
        </w:trPr>
        <w:tc>
          <w:tcPr>
            <w:tcW w:w="683" w:type="dxa"/>
            <w:vMerge w:val="continue"/>
            <w:tcBorders>
              <w:top w:val="nil"/>
              <w:left w:val="single" w:color="auto" w:sz="4" w:space="0"/>
              <w:bottom w:val="single" w:color="000000" w:sz="4" w:space="0"/>
              <w:right w:val="single" w:color="auto" w:sz="4" w:space="0"/>
            </w:tcBorders>
            <w:vAlign w:val="center"/>
          </w:tcPr>
          <w:p w14:paraId="497AF25B">
            <w:pPr>
              <w:widowControl/>
              <w:jc w:val="left"/>
              <w:rPr>
                <w:kern w:val="0"/>
                <w:sz w:val="21"/>
                <w:szCs w:val="21"/>
                <w:highlight w:val="none"/>
              </w:rPr>
            </w:pPr>
          </w:p>
        </w:tc>
        <w:tc>
          <w:tcPr>
            <w:tcW w:w="1097" w:type="dxa"/>
            <w:vMerge w:val="continue"/>
            <w:tcBorders>
              <w:top w:val="nil"/>
              <w:left w:val="single" w:color="auto" w:sz="4" w:space="0"/>
              <w:bottom w:val="single" w:color="000000" w:sz="4" w:space="0"/>
              <w:right w:val="single" w:color="auto" w:sz="4" w:space="0"/>
            </w:tcBorders>
            <w:vAlign w:val="center"/>
          </w:tcPr>
          <w:p w14:paraId="65475A3F">
            <w:pPr>
              <w:widowControl/>
              <w:jc w:val="left"/>
              <w:rPr>
                <w:kern w:val="0"/>
                <w:sz w:val="21"/>
                <w:szCs w:val="21"/>
                <w:highlight w:val="none"/>
              </w:rPr>
            </w:pPr>
          </w:p>
        </w:tc>
        <w:tc>
          <w:tcPr>
            <w:tcW w:w="1097" w:type="dxa"/>
            <w:vMerge w:val="continue"/>
            <w:tcBorders>
              <w:top w:val="nil"/>
              <w:left w:val="single" w:color="auto" w:sz="4" w:space="0"/>
              <w:bottom w:val="single" w:color="000000" w:sz="4" w:space="0"/>
              <w:right w:val="single" w:color="auto" w:sz="4" w:space="0"/>
            </w:tcBorders>
            <w:vAlign w:val="center"/>
          </w:tcPr>
          <w:p w14:paraId="2C8EC580">
            <w:pPr>
              <w:widowControl/>
              <w:jc w:val="left"/>
              <w:rPr>
                <w:kern w:val="0"/>
                <w:sz w:val="21"/>
                <w:szCs w:val="21"/>
                <w:highlight w:val="none"/>
              </w:rPr>
            </w:pPr>
          </w:p>
        </w:tc>
        <w:tc>
          <w:tcPr>
            <w:tcW w:w="1588" w:type="dxa"/>
            <w:vMerge w:val="continue"/>
            <w:tcBorders>
              <w:top w:val="nil"/>
              <w:left w:val="single" w:color="auto" w:sz="4" w:space="0"/>
              <w:bottom w:val="single" w:color="000000" w:sz="4" w:space="0"/>
              <w:right w:val="single" w:color="auto" w:sz="4" w:space="0"/>
            </w:tcBorders>
            <w:vAlign w:val="center"/>
          </w:tcPr>
          <w:p w14:paraId="30B2F956">
            <w:pPr>
              <w:widowControl/>
              <w:jc w:val="left"/>
              <w:rPr>
                <w:kern w:val="0"/>
                <w:sz w:val="21"/>
                <w:szCs w:val="21"/>
                <w:highlight w:val="none"/>
              </w:rPr>
            </w:pPr>
          </w:p>
        </w:tc>
        <w:tc>
          <w:tcPr>
            <w:tcW w:w="798" w:type="dxa"/>
            <w:vMerge w:val="continue"/>
            <w:tcBorders>
              <w:top w:val="nil"/>
              <w:left w:val="single" w:color="auto" w:sz="4" w:space="0"/>
              <w:bottom w:val="single" w:color="000000" w:sz="4" w:space="0"/>
              <w:right w:val="single" w:color="auto" w:sz="4" w:space="0"/>
            </w:tcBorders>
            <w:vAlign w:val="center"/>
          </w:tcPr>
          <w:p w14:paraId="5ADB8174">
            <w:pPr>
              <w:widowControl/>
              <w:jc w:val="left"/>
              <w:rPr>
                <w:kern w:val="0"/>
                <w:sz w:val="21"/>
                <w:szCs w:val="21"/>
                <w:highlight w:val="none"/>
              </w:rPr>
            </w:pPr>
          </w:p>
        </w:tc>
        <w:tc>
          <w:tcPr>
            <w:tcW w:w="881" w:type="dxa"/>
            <w:vMerge w:val="continue"/>
            <w:tcBorders>
              <w:top w:val="nil"/>
              <w:left w:val="single" w:color="auto" w:sz="4" w:space="0"/>
              <w:bottom w:val="single" w:color="000000" w:sz="4" w:space="0"/>
              <w:right w:val="single" w:color="auto" w:sz="4" w:space="0"/>
            </w:tcBorders>
            <w:vAlign w:val="center"/>
          </w:tcPr>
          <w:p w14:paraId="3091439E">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69971200">
            <w:pPr>
              <w:widowControl/>
              <w:jc w:val="center"/>
              <w:rPr>
                <w:kern w:val="0"/>
                <w:sz w:val="21"/>
                <w:szCs w:val="21"/>
                <w:highlight w:val="none"/>
              </w:rPr>
            </w:pPr>
            <w:r>
              <w:rPr>
                <w:kern w:val="0"/>
                <w:sz w:val="21"/>
                <w:szCs w:val="21"/>
                <w:highlight w:val="none"/>
              </w:rPr>
              <w:t>综合</w:t>
            </w:r>
          </w:p>
          <w:p w14:paraId="18F2E190">
            <w:pPr>
              <w:widowControl/>
              <w:jc w:val="center"/>
              <w:rPr>
                <w:kern w:val="0"/>
                <w:sz w:val="21"/>
                <w:szCs w:val="21"/>
                <w:highlight w:val="none"/>
              </w:rPr>
            </w:pPr>
            <w:r>
              <w:rPr>
                <w:kern w:val="0"/>
                <w:sz w:val="21"/>
                <w:szCs w:val="21"/>
                <w:highlight w:val="none"/>
              </w:rPr>
              <w:t>单价</w:t>
            </w:r>
          </w:p>
        </w:tc>
        <w:tc>
          <w:tcPr>
            <w:tcW w:w="1012" w:type="dxa"/>
            <w:tcBorders>
              <w:top w:val="nil"/>
              <w:left w:val="nil"/>
              <w:bottom w:val="single" w:color="auto" w:sz="4" w:space="0"/>
              <w:right w:val="single" w:color="auto" w:sz="4" w:space="0"/>
            </w:tcBorders>
            <w:vAlign w:val="center"/>
          </w:tcPr>
          <w:p w14:paraId="15F00371">
            <w:pPr>
              <w:widowControl/>
              <w:jc w:val="center"/>
              <w:rPr>
                <w:kern w:val="0"/>
                <w:sz w:val="21"/>
                <w:szCs w:val="21"/>
                <w:highlight w:val="none"/>
              </w:rPr>
            </w:pPr>
            <w:r>
              <w:rPr>
                <w:kern w:val="0"/>
                <w:sz w:val="21"/>
                <w:szCs w:val="21"/>
                <w:highlight w:val="none"/>
              </w:rPr>
              <w:t>合价</w:t>
            </w:r>
          </w:p>
        </w:tc>
        <w:tc>
          <w:tcPr>
            <w:tcW w:w="1013" w:type="dxa"/>
            <w:tcBorders>
              <w:top w:val="nil"/>
              <w:left w:val="nil"/>
              <w:bottom w:val="single" w:color="auto" w:sz="4" w:space="0"/>
              <w:right w:val="single" w:color="auto" w:sz="4" w:space="0"/>
            </w:tcBorders>
            <w:vAlign w:val="center"/>
          </w:tcPr>
          <w:p w14:paraId="62B3C9CF">
            <w:pPr>
              <w:widowControl/>
              <w:jc w:val="center"/>
              <w:rPr>
                <w:kern w:val="0"/>
                <w:sz w:val="21"/>
                <w:szCs w:val="21"/>
                <w:highlight w:val="none"/>
              </w:rPr>
            </w:pPr>
            <w:r>
              <w:rPr>
                <w:rFonts w:hint="eastAsia"/>
                <w:kern w:val="0"/>
                <w:sz w:val="21"/>
                <w:szCs w:val="21"/>
                <w:highlight w:val="none"/>
                <w:lang w:val="en-US" w:eastAsia="zh-CN"/>
              </w:rPr>
              <w:t>其中：</w:t>
            </w:r>
            <w:r>
              <w:rPr>
                <w:kern w:val="0"/>
                <w:sz w:val="21"/>
                <w:szCs w:val="21"/>
                <w:highlight w:val="none"/>
              </w:rPr>
              <w:t>材料暂估合价</w:t>
            </w:r>
          </w:p>
        </w:tc>
      </w:tr>
      <w:tr w14:paraId="2FBC2E43">
        <w:tblPrEx>
          <w:tblCellMar>
            <w:top w:w="0" w:type="dxa"/>
            <w:left w:w="108" w:type="dxa"/>
            <w:bottom w:w="0" w:type="dxa"/>
            <w:right w:w="108" w:type="dxa"/>
          </w:tblCellMar>
        </w:tblPrEx>
        <w:trPr>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574416AB">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72040F63">
            <w:pPr>
              <w:widowControl/>
              <w:jc w:val="lef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53B6945D">
            <w:pPr>
              <w:widowControl/>
              <w:jc w:val="left"/>
              <w:rPr>
                <w:kern w:val="0"/>
                <w:sz w:val="21"/>
                <w:szCs w:val="21"/>
                <w:highlight w:val="none"/>
              </w:rPr>
            </w:pPr>
          </w:p>
        </w:tc>
        <w:tc>
          <w:tcPr>
            <w:tcW w:w="1588" w:type="dxa"/>
            <w:tcBorders>
              <w:top w:val="nil"/>
              <w:left w:val="nil"/>
              <w:bottom w:val="single" w:color="auto" w:sz="4" w:space="0"/>
              <w:right w:val="single" w:color="auto" w:sz="4" w:space="0"/>
            </w:tcBorders>
            <w:vAlign w:val="center"/>
          </w:tcPr>
          <w:p w14:paraId="28B9613D">
            <w:pPr>
              <w:widowControl/>
              <w:jc w:val="left"/>
              <w:rPr>
                <w:kern w:val="0"/>
                <w:sz w:val="21"/>
                <w:szCs w:val="21"/>
                <w:highlight w:val="none"/>
              </w:rPr>
            </w:pPr>
          </w:p>
        </w:tc>
        <w:tc>
          <w:tcPr>
            <w:tcW w:w="798" w:type="dxa"/>
            <w:tcBorders>
              <w:top w:val="nil"/>
              <w:left w:val="nil"/>
              <w:bottom w:val="single" w:color="auto" w:sz="4" w:space="0"/>
              <w:right w:val="single" w:color="auto" w:sz="4" w:space="0"/>
            </w:tcBorders>
            <w:vAlign w:val="center"/>
          </w:tcPr>
          <w:p w14:paraId="0708E7DB">
            <w:pPr>
              <w:widowControl/>
              <w:jc w:val="left"/>
              <w:rPr>
                <w:kern w:val="0"/>
                <w:sz w:val="21"/>
                <w:szCs w:val="21"/>
                <w:highlight w:val="none"/>
              </w:rPr>
            </w:pPr>
          </w:p>
        </w:tc>
        <w:tc>
          <w:tcPr>
            <w:tcW w:w="881" w:type="dxa"/>
            <w:tcBorders>
              <w:top w:val="nil"/>
              <w:left w:val="nil"/>
              <w:bottom w:val="single" w:color="auto" w:sz="4" w:space="0"/>
              <w:right w:val="single" w:color="auto" w:sz="4" w:space="0"/>
            </w:tcBorders>
            <w:vAlign w:val="center"/>
          </w:tcPr>
          <w:p w14:paraId="02C28BEF">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564212AE">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4D8617FB">
            <w:pPr>
              <w:widowControl/>
              <w:jc w:val="left"/>
              <w:rPr>
                <w:kern w:val="0"/>
                <w:sz w:val="21"/>
                <w:szCs w:val="21"/>
                <w:highlight w:val="none"/>
              </w:rPr>
            </w:pPr>
          </w:p>
        </w:tc>
        <w:tc>
          <w:tcPr>
            <w:tcW w:w="1013" w:type="dxa"/>
            <w:tcBorders>
              <w:top w:val="nil"/>
              <w:left w:val="nil"/>
              <w:bottom w:val="single" w:color="auto" w:sz="4" w:space="0"/>
              <w:right w:val="single" w:color="auto" w:sz="4" w:space="0"/>
            </w:tcBorders>
            <w:vAlign w:val="center"/>
          </w:tcPr>
          <w:p w14:paraId="60541F1A">
            <w:pPr>
              <w:widowControl/>
              <w:jc w:val="left"/>
              <w:rPr>
                <w:kern w:val="0"/>
                <w:sz w:val="21"/>
                <w:szCs w:val="21"/>
                <w:highlight w:val="none"/>
              </w:rPr>
            </w:pPr>
          </w:p>
        </w:tc>
      </w:tr>
      <w:tr w14:paraId="0FDC346B">
        <w:tblPrEx>
          <w:tblCellMar>
            <w:top w:w="0" w:type="dxa"/>
            <w:left w:w="108" w:type="dxa"/>
            <w:bottom w:w="0" w:type="dxa"/>
            <w:right w:w="108" w:type="dxa"/>
          </w:tblCellMar>
        </w:tblPrEx>
        <w:trPr>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42361418">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2FE4F8DB">
            <w:pPr>
              <w:widowControl/>
              <w:jc w:val="lef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3C30DC0A">
            <w:pPr>
              <w:widowControl/>
              <w:jc w:val="left"/>
              <w:rPr>
                <w:kern w:val="0"/>
                <w:sz w:val="21"/>
                <w:szCs w:val="21"/>
                <w:highlight w:val="none"/>
              </w:rPr>
            </w:pPr>
          </w:p>
        </w:tc>
        <w:tc>
          <w:tcPr>
            <w:tcW w:w="1588" w:type="dxa"/>
            <w:tcBorders>
              <w:top w:val="nil"/>
              <w:left w:val="nil"/>
              <w:bottom w:val="single" w:color="auto" w:sz="4" w:space="0"/>
              <w:right w:val="single" w:color="auto" w:sz="4" w:space="0"/>
            </w:tcBorders>
            <w:vAlign w:val="center"/>
          </w:tcPr>
          <w:p w14:paraId="52C2868D">
            <w:pPr>
              <w:widowControl/>
              <w:jc w:val="left"/>
              <w:rPr>
                <w:kern w:val="0"/>
                <w:sz w:val="21"/>
                <w:szCs w:val="21"/>
                <w:highlight w:val="none"/>
              </w:rPr>
            </w:pPr>
          </w:p>
        </w:tc>
        <w:tc>
          <w:tcPr>
            <w:tcW w:w="798" w:type="dxa"/>
            <w:tcBorders>
              <w:top w:val="nil"/>
              <w:left w:val="nil"/>
              <w:bottom w:val="single" w:color="auto" w:sz="4" w:space="0"/>
              <w:right w:val="single" w:color="auto" w:sz="4" w:space="0"/>
            </w:tcBorders>
            <w:vAlign w:val="center"/>
          </w:tcPr>
          <w:p w14:paraId="6BAD642A">
            <w:pPr>
              <w:widowControl/>
              <w:jc w:val="left"/>
              <w:rPr>
                <w:kern w:val="0"/>
                <w:sz w:val="21"/>
                <w:szCs w:val="21"/>
                <w:highlight w:val="none"/>
              </w:rPr>
            </w:pPr>
          </w:p>
        </w:tc>
        <w:tc>
          <w:tcPr>
            <w:tcW w:w="881" w:type="dxa"/>
            <w:tcBorders>
              <w:top w:val="nil"/>
              <w:left w:val="nil"/>
              <w:bottom w:val="single" w:color="auto" w:sz="4" w:space="0"/>
              <w:right w:val="single" w:color="auto" w:sz="4" w:space="0"/>
            </w:tcBorders>
            <w:vAlign w:val="center"/>
          </w:tcPr>
          <w:p w14:paraId="091D12F3">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4A510B64">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03DF0A34">
            <w:pPr>
              <w:widowControl/>
              <w:jc w:val="left"/>
              <w:rPr>
                <w:kern w:val="0"/>
                <w:sz w:val="21"/>
                <w:szCs w:val="21"/>
                <w:highlight w:val="none"/>
              </w:rPr>
            </w:pPr>
          </w:p>
        </w:tc>
        <w:tc>
          <w:tcPr>
            <w:tcW w:w="1013" w:type="dxa"/>
            <w:tcBorders>
              <w:top w:val="nil"/>
              <w:left w:val="nil"/>
              <w:bottom w:val="single" w:color="auto" w:sz="4" w:space="0"/>
              <w:right w:val="single" w:color="auto" w:sz="4" w:space="0"/>
            </w:tcBorders>
            <w:vAlign w:val="center"/>
          </w:tcPr>
          <w:p w14:paraId="43A7CCED">
            <w:pPr>
              <w:widowControl/>
              <w:jc w:val="left"/>
              <w:rPr>
                <w:kern w:val="0"/>
                <w:sz w:val="21"/>
                <w:szCs w:val="21"/>
                <w:highlight w:val="none"/>
              </w:rPr>
            </w:pPr>
          </w:p>
        </w:tc>
      </w:tr>
      <w:tr w14:paraId="7D021C1C">
        <w:tblPrEx>
          <w:tblCellMar>
            <w:top w:w="0" w:type="dxa"/>
            <w:left w:w="108" w:type="dxa"/>
            <w:bottom w:w="0" w:type="dxa"/>
            <w:right w:w="108" w:type="dxa"/>
          </w:tblCellMar>
        </w:tblPrEx>
        <w:trPr>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5FBB3C20">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0CF38FA5">
            <w:pPr>
              <w:widowControl/>
              <w:jc w:val="lef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2BA6BE11">
            <w:pPr>
              <w:widowControl/>
              <w:jc w:val="left"/>
              <w:rPr>
                <w:kern w:val="0"/>
                <w:sz w:val="21"/>
                <w:szCs w:val="21"/>
                <w:highlight w:val="none"/>
              </w:rPr>
            </w:pPr>
          </w:p>
        </w:tc>
        <w:tc>
          <w:tcPr>
            <w:tcW w:w="1588" w:type="dxa"/>
            <w:tcBorders>
              <w:top w:val="nil"/>
              <w:left w:val="nil"/>
              <w:bottom w:val="single" w:color="auto" w:sz="4" w:space="0"/>
              <w:right w:val="single" w:color="auto" w:sz="4" w:space="0"/>
            </w:tcBorders>
            <w:vAlign w:val="center"/>
          </w:tcPr>
          <w:p w14:paraId="361B2ED0">
            <w:pPr>
              <w:widowControl/>
              <w:jc w:val="left"/>
              <w:rPr>
                <w:kern w:val="0"/>
                <w:sz w:val="21"/>
                <w:szCs w:val="21"/>
                <w:highlight w:val="none"/>
              </w:rPr>
            </w:pPr>
          </w:p>
        </w:tc>
        <w:tc>
          <w:tcPr>
            <w:tcW w:w="798" w:type="dxa"/>
            <w:tcBorders>
              <w:top w:val="nil"/>
              <w:left w:val="nil"/>
              <w:bottom w:val="single" w:color="auto" w:sz="4" w:space="0"/>
              <w:right w:val="single" w:color="auto" w:sz="4" w:space="0"/>
            </w:tcBorders>
            <w:vAlign w:val="center"/>
          </w:tcPr>
          <w:p w14:paraId="100E00FD">
            <w:pPr>
              <w:widowControl/>
              <w:jc w:val="left"/>
              <w:rPr>
                <w:kern w:val="0"/>
                <w:sz w:val="21"/>
                <w:szCs w:val="21"/>
                <w:highlight w:val="none"/>
              </w:rPr>
            </w:pPr>
          </w:p>
        </w:tc>
        <w:tc>
          <w:tcPr>
            <w:tcW w:w="881" w:type="dxa"/>
            <w:tcBorders>
              <w:top w:val="nil"/>
              <w:left w:val="nil"/>
              <w:bottom w:val="single" w:color="auto" w:sz="4" w:space="0"/>
              <w:right w:val="single" w:color="auto" w:sz="4" w:space="0"/>
            </w:tcBorders>
            <w:vAlign w:val="center"/>
          </w:tcPr>
          <w:p w14:paraId="2EFF5368">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5836FB8C">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6B94D257">
            <w:pPr>
              <w:widowControl/>
              <w:jc w:val="left"/>
              <w:rPr>
                <w:kern w:val="0"/>
                <w:sz w:val="21"/>
                <w:szCs w:val="21"/>
                <w:highlight w:val="none"/>
              </w:rPr>
            </w:pPr>
          </w:p>
        </w:tc>
        <w:tc>
          <w:tcPr>
            <w:tcW w:w="1013" w:type="dxa"/>
            <w:tcBorders>
              <w:top w:val="nil"/>
              <w:left w:val="nil"/>
              <w:bottom w:val="single" w:color="auto" w:sz="4" w:space="0"/>
              <w:right w:val="single" w:color="auto" w:sz="4" w:space="0"/>
            </w:tcBorders>
            <w:vAlign w:val="center"/>
          </w:tcPr>
          <w:p w14:paraId="6E51AEA5">
            <w:pPr>
              <w:widowControl/>
              <w:jc w:val="left"/>
              <w:rPr>
                <w:kern w:val="0"/>
                <w:sz w:val="21"/>
                <w:szCs w:val="21"/>
                <w:highlight w:val="none"/>
              </w:rPr>
            </w:pPr>
          </w:p>
        </w:tc>
      </w:tr>
      <w:tr w14:paraId="0DBF14DE">
        <w:tblPrEx>
          <w:tblCellMar>
            <w:top w:w="0" w:type="dxa"/>
            <w:left w:w="108" w:type="dxa"/>
            <w:bottom w:w="0" w:type="dxa"/>
            <w:right w:w="108" w:type="dxa"/>
          </w:tblCellMar>
        </w:tblPrEx>
        <w:trPr>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43C838E5">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377F15BE">
            <w:pPr>
              <w:widowControl/>
              <w:jc w:val="lef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574CE111">
            <w:pPr>
              <w:widowControl/>
              <w:jc w:val="left"/>
              <w:rPr>
                <w:kern w:val="0"/>
                <w:sz w:val="21"/>
                <w:szCs w:val="21"/>
                <w:highlight w:val="none"/>
              </w:rPr>
            </w:pPr>
          </w:p>
        </w:tc>
        <w:tc>
          <w:tcPr>
            <w:tcW w:w="1588" w:type="dxa"/>
            <w:tcBorders>
              <w:top w:val="nil"/>
              <w:left w:val="nil"/>
              <w:bottom w:val="single" w:color="auto" w:sz="4" w:space="0"/>
              <w:right w:val="single" w:color="auto" w:sz="4" w:space="0"/>
            </w:tcBorders>
            <w:vAlign w:val="center"/>
          </w:tcPr>
          <w:p w14:paraId="150B4F30">
            <w:pPr>
              <w:widowControl/>
              <w:jc w:val="left"/>
              <w:rPr>
                <w:kern w:val="0"/>
                <w:sz w:val="21"/>
                <w:szCs w:val="21"/>
                <w:highlight w:val="none"/>
              </w:rPr>
            </w:pPr>
          </w:p>
        </w:tc>
        <w:tc>
          <w:tcPr>
            <w:tcW w:w="798" w:type="dxa"/>
            <w:tcBorders>
              <w:top w:val="nil"/>
              <w:left w:val="nil"/>
              <w:bottom w:val="single" w:color="auto" w:sz="4" w:space="0"/>
              <w:right w:val="single" w:color="auto" w:sz="4" w:space="0"/>
            </w:tcBorders>
            <w:vAlign w:val="center"/>
          </w:tcPr>
          <w:p w14:paraId="7EAAB972">
            <w:pPr>
              <w:widowControl/>
              <w:jc w:val="left"/>
              <w:rPr>
                <w:kern w:val="0"/>
                <w:sz w:val="21"/>
                <w:szCs w:val="21"/>
                <w:highlight w:val="none"/>
              </w:rPr>
            </w:pPr>
          </w:p>
        </w:tc>
        <w:tc>
          <w:tcPr>
            <w:tcW w:w="881" w:type="dxa"/>
            <w:tcBorders>
              <w:top w:val="nil"/>
              <w:left w:val="nil"/>
              <w:bottom w:val="single" w:color="auto" w:sz="4" w:space="0"/>
              <w:right w:val="single" w:color="auto" w:sz="4" w:space="0"/>
            </w:tcBorders>
            <w:vAlign w:val="center"/>
          </w:tcPr>
          <w:p w14:paraId="1864EB6A">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1205F148">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1238C551">
            <w:pPr>
              <w:widowControl/>
              <w:jc w:val="left"/>
              <w:rPr>
                <w:kern w:val="0"/>
                <w:sz w:val="21"/>
                <w:szCs w:val="21"/>
                <w:highlight w:val="none"/>
              </w:rPr>
            </w:pPr>
          </w:p>
        </w:tc>
        <w:tc>
          <w:tcPr>
            <w:tcW w:w="1013" w:type="dxa"/>
            <w:tcBorders>
              <w:top w:val="nil"/>
              <w:left w:val="nil"/>
              <w:bottom w:val="single" w:color="auto" w:sz="4" w:space="0"/>
              <w:right w:val="single" w:color="auto" w:sz="4" w:space="0"/>
            </w:tcBorders>
            <w:vAlign w:val="center"/>
          </w:tcPr>
          <w:p w14:paraId="68CA8AEC">
            <w:pPr>
              <w:widowControl/>
              <w:jc w:val="left"/>
              <w:rPr>
                <w:kern w:val="0"/>
                <w:sz w:val="21"/>
                <w:szCs w:val="21"/>
                <w:highlight w:val="none"/>
              </w:rPr>
            </w:pPr>
          </w:p>
        </w:tc>
      </w:tr>
      <w:tr w14:paraId="498B295C">
        <w:tblPrEx>
          <w:tblCellMar>
            <w:top w:w="0" w:type="dxa"/>
            <w:left w:w="108" w:type="dxa"/>
            <w:bottom w:w="0" w:type="dxa"/>
            <w:right w:w="108" w:type="dxa"/>
          </w:tblCellMar>
        </w:tblPrEx>
        <w:trPr>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6FE91581">
            <w:pPr>
              <w:widowControl/>
              <w:jc w:val="center"/>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2FB40510">
            <w:pPr>
              <w:widowControl/>
              <w:jc w:val="lef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2DEA3FF8">
            <w:pPr>
              <w:widowControl/>
              <w:jc w:val="left"/>
              <w:rPr>
                <w:kern w:val="0"/>
                <w:sz w:val="21"/>
                <w:szCs w:val="21"/>
                <w:highlight w:val="none"/>
              </w:rPr>
            </w:pPr>
          </w:p>
        </w:tc>
        <w:tc>
          <w:tcPr>
            <w:tcW w:w="1588" w:type="dxa"/>
            <w:tcBorders>
              <w:top w:val="nil"/>
              <w:left w:val="nil"/>
              <w:bottom w:val="single" w:color="auto" w:sz="4" w:space="0"/>
              <w:right w:val="single" w:color="auto" w:sz="4" w:space="0"/>
            </w:tcBorders>
            <w:vAlign w:val="center"/>
          </w:tcPr>
          <w:p w14:paraId="2E7DDA68">
            <w:pPr>
              <w:widowControl/>
              <w:jc w:val="left"/>
              <w:rPr>
                <w:kern w:val="0"/>
                <w:sz w:val="21"/>
                <w:szCs w:val="21"/>
                <w:highlight w:val="none"/>
              </w:rPr>
            </w:pPr>
          </w:p>
        </w:tc>
        <w:tc>
          <w:tcPr>
            <w:tcW w:w="798" w:type="dxa"/>
            <w:tcBorders>
              <w:top w:val="nil"/>
              <w:left w:val="nil"/>
              <w:bottom w:val="single" w:color="auto" w:sz="4" w:space="0"/>
              <w:right w:val="single" w:color="auto" w:sz="4" w:space="0"/>
            </w:tcBorders>
            <w:vAlign w:val="center"/>
          </w:tcPr>
          <w:p w14:paraId="403F2BFE">
            <w:pPr>
              <w:widowControl/>
              <w:jc w:val="left"/>
              <w:rPr>
                <w:kern w:val="0"/>
                <w:sz w:val="21"/>
                <w:szCs w:val="21"/>
                <w:highlight w:val="none"/>
              </w:rPr>
            </w:pPr>
          </w:p>
        </w:tc>
        <w:tc>
          <w:tcPr>
            <w:tcW w:w="881" w:type="dxa"/>
            <w:tcBorders>
              <w:top w:val="nil"/>
              <w:left w:val="nil"/>
              <w:bottom w:val="single" w:color="auto" w:sz="4" w:space="0"/>
              <w:right w:val="single" w:color="auto" w:sz="4" w:space="0"/>
            </w:tcBorders>
            <w:vAlign w:val="center"/>
          </w:tcPr>
          <w:p w14:paraId="2E3FFF8E">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334A2A7A">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4541CC6B">
            <w:pPr>
              <w:widowControl/>
              <w:jc w:val="left"/>
              <w:rPr>
                <w:kern w:val="0"/>
                <w:sz w:val="21"/>
                <w:szCs w:val="21"/>
                <w:highlight w:val="none"/>
              </w:rPr>
            </w:pPr>
          </w:p>
        </w:tc>
        <w:tc>
          <w:tcPr>
            <w:tcW w:w="1013" w:type="dxa"/>
            <w:tcBorders>
              <w:top w:val="nil"/>
              <w:left w:val="nil"/>
              <w:bottom w:val="single" w:color="auto" w:sz="4" w:space="0"/>
              <w:right w:val="single" w:color="auto" w:sz="4" w:space="0"/>
            </w:tcBorders>
            <w:vAlign w:val="center"/>
          </w:tcPr>
          <w:p w14:paraId="7DEFBF49">
            <w:pPr>
              <w:widowControl/>
              <w:jc w:val="left"/>
              <w:rPr>
                <w:kern w:val="0"/>
                <w:sz w:val="21"/>
                <w:szCs w:val="21"/>
                <w:highlight w:val="none"/>
              </w:rPr>
            </w:pPr>
          </w:p>
        </w:tc>
      </w:tr>
      <w:tr w14:paraId="69E114EB">
        <w:tblPrEx>
          <w:tblCellMar>
            <w:top w:w="0" w:type="dxa"/>
            <w:left w:w="108" w:type="dxa"/>
            <w:bottom w:w="0" w:type="dxa"/>
            <w:right w:w="108" w:type="dxa"/>
          </w:tblCellMar>
        </w:tblPrEx>
        <w:trPr>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73900713">
            <w:pPr>
              <w:widowControl/>
              <w:jc w:val="center"/>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5AE8C2F7">
            <w:pPr>
              <w:widowControl/>
              <w:jc w:val="lef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58928A72">
            <w:pPr>
              <w:widowControl/>
              <w:jc w:val="left"/>
              <w:rPr>
                <w:kern w:val="0"/>
                <w:sz w:val="21"/>
                <w:szCs w:val="21"/>
                <w:highlight w:val="none"/>
              </w:rPr>
            </w:pPr>
          </w:p>
        </w:tc>
        <w:tc>
          <w:tcPr>
            <w:tcW w:w="1588" w:type="dxa"/>
            <w:tcBorders>
              <w:top w:val="nil"/>
              <w:left w:val="nil"/>
              <w:bottom w:val="single" w:color="auto" w:sz="4" w:space="0"/>
              <w:right w:val="single" w:color="auto" w:sz="4" w:space="0"/>
            </w:tcBorders>
            <w:vAlign w:val="center"/>
          </w:tcPr>
          <w:p w14:paraId="07E561B8">
            <w:pPr>
              <w:widowControl/>
              <w:jc w:val="left"/>
              <w:rPr>
                <w:kern w:val="0"/>
                <w:sz w:val="21"/>
                <w:szCs w:val="21"/>
                <w:highlight w:val="none"/>
              </w:rPr>
            </w:pPr>
          </w:p>
        </w:tc>
        <w:tc>
          <w:tcPr>
            <w:tcW w:w="798" w:type="dxa"/>
            <w:tcBorders>
              <w:top w:val="nil"/>
              <w:left w:val="nil"/>
              <w:bottom w:val="single" w:color="auto" w:sz="4" w:space="0"/>
              <w:right w:val="single" w:color="auto" w:sz="4" w:space="0"/>
            </w:tcBorders>
            <w:vAlign w:val="center"/>
          </w:tcPr>
          <w:p w14:paraId="7BB7FFDA">
            <w:pPr>
              <w:widowControl/>
              <w:jc w:val="left"/>
              <w:rPr>
                <w:kern w:val="0"/>
                <w:sz w:val="21"/>
                <w:szCs w:val="21"/>
                <w:highlight w:val="none"/>
              </w:rPr>
            </w:pPr>
          </w:p>
        </w:tc>
        <w:tc>
          <w:tcPr>
            <w:tcW w:w="881" w:type="dxa"/>
            <w:tcBorders>
              <w:top w:val="nil"/>
              <w:left w:val="nil"/>
              <w:bottom w:val="single" w:color="auto" w:sz="4" w:space="0"/>
              <w:right w:val="single" w:color="auto" w:sz="4" w:space="0"/>
            </w:tcBorders>
            <w:vAlign w:val="center"/>
          </w:tcPr>
          <w:p w14:paraId="3A8D8DD0">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00C7CFC2">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4DE6907D">
            <w:pPr>
              <w:widowControl/>
              <w:jc w:val="left"/>
              <w:rPr>
                <w:kern w:val="0"/>
                <w:sz w:val="21"/>
                <w:szCs w:val="21"/>
                <w:highlight w:val="none"/>
              </w:rPr>
            </w:pPr>
          </w:p>
        </w:tc>
        <w:tc>
          <w:tcPr>
            <w:tcW w:w="1013" w:type="dxa"/>
            <w:tcBorders>
              <w:top w:val="nil"/>
              <w:left w:val="nil"/>
              <w:bottom w:val="single" w:color="auto" w:sz="4" w:space="0"/>
              <w:right w:val="single" w:color="auto" w:sz="4" w:space="0"/>
            </w:tcBorders>
            <w:vAlign w:val="center"/>
          </w:tcPr>
          <w:p w14:paraId="46C2040C">
            <w:pPr>
              <w:widowControl/>
              <w:jc w:val="left"/>
              <w:rPr>
                <w:kern w:val="0"/>
                <w:sz w:val="21"/>
                <w:szCs w:val="21"/>
                <w:highlight w:val="none"/>
              </w:rPr>
            </w:pPr>
          </w:p>
        </w:tc>
      </w:tr>
      <w:tr w14:paraId="261D7E48">
        <w:tblPrEx>
          <w:tblCellMar>
            <w:top w:w="0" w:type="dxa"/>
            <w:left w:w="108" w:type="dxa"/>
            <w:bottom w:w="0" w:type="dxa"/>
            <w:right w:w="108" w:type="dxa"/>
          </w:tblCellMar>
        </w:tblPrEx>
        <w:trPr>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28C9756B">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18F243D3">
            <w:pPr>
              <w:widowControl/>
              <w:jc w:val="lef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47B9F4E5">
            <w:pPr>
              <w:widowControl/>
              <w:jc w:val="left"/>
              <w:rPr>
                <w:kern w:val="0"/>
                <w:sz w:val="21"/>
                <w:szCs w:val="21"/>
                <w:highlight w:val="none"/>
              </w:rPr>
            </w:pPr>
          </w:p>
        </w:tc>
        <w:tc>
          <w:tcPr>
            <w:tcW w:w="1588" w:type="dxa"/>
            <w:tcBorders>
              <w:top w:val="nil"/>
              <w:left w:val="nil"/>
              <w:bottom w:val="single" w:color="auto" w:sz="4" w:space="0"/>
              <w:right w:val="single" w:color="auto" w:sz="4" w:space="0"/>
            </w:tcBorders>
            <w:vAlign w:val="center"/>
          </w:tcPr>
          <w:p w14:paraId="4CBF91E5">
            <w:pPr>
              <w:widowControl/>
              <w:jc w:val="left"/>
              <w:rPr>
                <w:kern w:val="0"/>
                <w:sz w:val="21"/>
                <w:szCs w:val="21"/>
                <w:highlight w:val="none"/>
              </w:rPr>
            </w:pPr>
          </w:p>
        </w:tc>
        <w:tc>
          <w:tcPr>
            <w:tcW w:w="798" w:type="dxa"/>
            <w:tcBorders>
              <w:top w:val="nil"/>
              <w:left w:val="nil"/>
              <w:bottom w:val="single" w:color="auto" w:sz="4" w:space="0"/>
              <w:right w:val="single" w:color="auto" w:sz="4" w:space="0"/>
            </w:tcBorders>
            <w:vAlign w:val="center"/>
          </w:tcPr>
          <w:p w14:paraId="2ADE2E4E">
            <w:pPr>
              <w:widowControl/>
              <w:jc w:val="left"/>
              <w:rPr>
                <w:kern w:val="0"/>
                <w:sz w:val="21"/>
                <w:szCs w:val="21"/>
                <w:highlight w:val="none"/>
              </w:rPr>
            </w:pPr>
          </w:p>
        </w:tc>
        <w:tc>
          <w:tcPr>
            <w:tcW w:w="881" w:type="dxa"/>
            <w:tcBorders>
              <w:top w:val="nil"/>
              <w:left w:val="nil"/>
              <w:bottom w:val="single" w:color="auto" w:sz="4" w:space="0"/>
              <w:right w:val="single" w:color="auto" w:sz="4" w:space="0"/>
            </w:tcBorders>
            <w:vAlign w:val="center"/>
          </w:tcPr>
          <w:p w14:paraId="2B63B3DA">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2BA3C9BA">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03E12B3D">
            <w:pPr>
              <w:widowControl/>
              <w:jc w:val="left"/>
              <w:rPr>
                <w:kern w:val="0"/>
                <w:sz w:val="21"/>
                <w:szCs w:val="21"/>
                <w:highlight w:val="none"/>
              </w:rPr>
            </w:pPr>
          </w:p>
        </w:tc>
        <w:tc>
          <w:tcPr>
            <w:tcW w:w="1013" w:type="dxa"/>
            <w:tcBorders>
              <w:top w:val="nil"/>
              <w:left w:val="nil"/>
              <w:bottom w:val="single" w:color="auto" w:sz="4" w:space="0"/>
              <w:right w:val="single" w:color="auto" w:sz="4" w:space="0"/>
            </w:tcBorders>
            <w:vAlign w:val="center"/>
          </w:tcPr>
          <w:p w14:paraId="38B5EF0F">
            <w:pPr>
              <w:widowControl/>
              <w:jc w:val="left"/>
              <w:rPr>
                <w:kern w:val="0"/>
                <w:sz w:val="21"/>
                <w:szCs w:val="21"/>
                <w:highlight w:val="none"/>
              </w:rPr>
            </w:pPr>
          </w:p>
        </w:tc>
      </w:tr>
      <w:tr w14:paraId="0D26EFE1">
        <w:tblPrEx>
          <w:tblCellMar>
            <w:top w:w="0" w:type="dxa"/>
            <w:left w:w="108" w:type="dxa"/>
            <w:bottom w:w="0" w:type="dxa"/>
            <w:right w:w="108" w:type="dxa"/>
          </w:tblCellMar>
        </w:tblPrEx>
        <w:trPr>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4F7D5978">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24544BC2">
            <w:pPr>
              <w:widowControl/>
              <w:jc w:val="lef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3E55C94E">
            <w:pPr>
              <w:widowControl/>
              <w:jc w:val="left"/>
              <w:rPr>
                <w:kern w:val="0"/>
                <w:sz w:val="21"/>
                <w:szCs w:val="21"/>
                <w:highlight w:val="none"/>
              </w:rPr>
            </w:pPr>
          </w:p>
        </w:tc>
        <w:tc>
          <w:tcPr>
            <w:tcW w:w="1588" w:type="dxa"/>
            <w:tcBorders>
              <w:top w:val="nil"/>
              <w:left w:val="nil"/>
              <w:bottom w:val="single" w:color="auto" w:sz="4" w:space="0"/>
              <w:right w:val="single" w:color="auto" w:sz="4" w:space="0"/>
            </w:tcBorders>
            <w:vAlign w:val="center"/>
          </w:tcPr>
          <w:p w14:paraId="3AE28327">
            <w:pPr>
              <w:widowControl/>
              <w:jc w:val="left"/>
              <w:rPr>
                <w:kern w:val="0"/>
                <w:sz w:val="21"/>
                <w:szCs w:val="21"/>
                <w:highlight w:val="none"/>
              </w:rPr>
            </w:pPr>
          </w:p>
        </w:tc>
        <w:tc>
          <w:tcPr>
            <w:tcW w:w="798" w:type="dxa"/>
            <w:tcBorders>
              <w:top w:val="nil"/>
              <w:left w:val="nil"/>
              <w:bottom w:val="single" w:color="auto" w:sz="4" w:space="0"/>
              <w:right w:val="single" w:color="auto" w:sz="4" w:space="0"/>
            </w:tcBorders>
            <w:vAlign w:val="center"/>
          </w:tcPr>
          <w:p w14:paraId="2A47BC91">
            <w:pPr>
              <w:widowControl/>
              <w:jc w:val="left"/>
              <w:rPr>
                <w:kern w:val="0"/>
                <w:sz w:val="21"/>
                <w:szCs w:val="21"/>
                <w:highlight w:val="none"/>
              </w:rPr>
            </w:pPr>
          </w:p>
        </w:tc>
        <w:tc>
          <w:tcPr>
            <w:tcW w:w="881" w:type="dxa"/>
            <w:tcBorders>
              <w:top w:val="nil"/>
              <w:left w:val="nil"/>
              <w:bottom w:val="single" w:color="auto" w:sz="4" w:space="0"/>
              <w:right w:val="single" w:color="auto" w:sz="4" w:space="0"/>
            </w:tcBorders>
            <w:vAlign w:val="center"/>
          </w:tcPr>
          <w:p w14:paraId="43765132">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62C1ED05">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2F2F0524">
            <w:pPr>
              <w:widowControl/>
              <w:jc w:val="left"/>
              <w:rPr>
                <w:kern w:val="0"/>
                <w:sz w:val="21"/>
                <w:szCs w:val="21"/>
                <w:highlight w:val="none"/>
              </w:rPr>
            </w:pPr>
          </w:p>
        </w:tc>
        <w:tc>
          <w:tcPr>
            <w:tcW w:w="1013" w:type="dxa"/>
            <w:tcBorders>
              <w:top w:val="nil"/>
              <w:left w:val="nil"/>
              <w:bottom w:val="single" w:color="auto" w:sz="4" w:space="0"/>
              <w:right w:val="single" w:color="auto" w:sz="4" w:space="0"/>
            </w:tcBorders>
            <w:vAlign w:val="center"/>
          </w:tcPr>
          <w:p w14:paraId="63F55B06">
            <w:pPr>
              <w:widowControl/>
              <w:jc w:val="left"/>
              <w:rPr>
                <w:kern w:val="0"/>
                <w:sz w:val="21"/>
                <w:szCs w:val="21"/>
                <w:highlight w:val="none"/>
              </w:rPr>
            </w:pPr>
          </w:p>
        </w:tc>
      </w:tr>
      <w:tr w14:paraId="213D3B5D">
        <w:tblPrEx>
          <w:tblCellMar>
            <w:top w:w="0" w:type="dxa"/>
            <w:left w:w="108" w:type="dxa"/>
            <w:bottom w:w="0" w:type="dxa"/>
            <w:right w:w="108" w:type="dxa"/>
          </w:tblCellMar>
        </w:tblPrEx>
        <w:trPr>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1D208A04">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74E6AC0F">
            <w:pPr>
              <w:widowControl/>
              <w:jc w:val="lef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45F37CD3">
            <w:pPr>
              <w:widowControl/>
              <w:jc w:val="left"/>
              <w:rPr>
                <w:kern w:val="0"/>
                <w:sz w:val="21"/>
                <w:szCs w:val="21"/>
                <w:highlight w:val="none"/>
              </w:rPr>
            </w:pPr>
          </w:p>
        </w:tc>
        <w:tc>
          <w:tcPr>
            <w:tcW w:w="1588" w:type="dxa"/>
            <w:tcBorders>
              <w:top w:val="nil"/>
              <w:left w:val="nil"/>
              <w:bottom w:val="single" w:color="auto" w:sz="4" w:space="0"/>
              <w:right w:val="single" w:color="auto" w:sz="4" w:space="0"/>
            </w:tcBorders>
            <w:vAlign w:val="center"/>
          </w:tcPr>
          <w:p w14:paraId="70C36028">
            <w:pPr>
              <w:widowControl/>
              <w:jc w:val="left"/>
              <w:rPr>
                <w:kern w:val="0"/>
                <w:sz w:val="21"/>
                <w:szCs w:val="21"/>
                <w:highlight w:val="none"/>
              </w:rPr>
            </w:pPr>
          </w:p>
        </w:tc>
        <w:tc>
          <w:tcPr>
            <w:tcW w:w="798" w:type="dxa"/>
            <w:tcBorders>
              <w:top w:val="nil"/>
              <w:left w:val="nil"/>
              <w:bottom w:val="single" w:color="auto" w:sz="4" w:space="0"/>
              <w:right w:val="single" w:color="auto" w:sz="4" w:space="0"/>
            </w:tcBorders>
            <w:vAlign w:val="center"/>
          </w:tcPr>
          <w:p w14:paraId="1C29A77D">
            <w:pPr>
              <w:widowControl/>
              <w:jc w:val="left"/>
              <w:rPr>
                <w:kern w:val="0"/>
                <w:sz w:val="21"/>
                <w:szCs w:val="21"/>
                <w:highlight w:val="none"/>
              </w:rPr>
            </w:pPr>
          </w:p>
        </w:tc>
        <w:tc>
          <w:tcPr>
            <w:tcW w:w="881" w:type="dxa"/>
            <w:tcBorders>
              <w:top w:val="nil"/>
              <w:left w:val="nil"/>
              <w:bottom w:val="single" w:color="auto" w:sz="4" w:space="0"/>
              <w:right w:val="single" w:color="auto" w:sz="4" w:space="0"/>
            </w:tcBorders>
            <w:vAlign w:val="center"/>
          </w:tcPr>
          <w:p w14:paraId="6F901F25">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1B39EF31">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43E39512">
            <w:pPr>
              <w:widowControl/>
              <w:jc w:val="left"/>
              <w:rPr>
                <w:kern w:val="0"/>
                <w:sz w:val="21"/>
                <w:szCs w:val="21"/>
                <w:highlight w:val="none"/>
              </w:rPr>
            </w:pPr>
          </w:p>
        </w:tc>
        <w:tc>
          <w:tcPr>
            <w:tcW w:w="1013" w:type="dxa"/>
            <w:tcBorders>
              <w:top w:val="nil"/>
              <w:left w:val="nil"/>
              <w:bottom w:val="single" w:color="auto" w:sz="4" w:space="0"/>
              <w:right w:val="single" w:color="auto" w:sz="4" w:space="0"/>
            </w:tcBorders>
            <w:vAlign w:val="center"/>
          </w:tcPr>
          <w:p w14:paraId="643ACD84">
            <w:pPr>
              <w:widowControl/>
              <w:jc w:val="left"/>
              <w:rPr>
                <w:kern w:val="0"/>
                <w:sz w:val="21"/>
                <w:szCs w:val="21"/>
                <w:highlight w:val="none"/>
              </w:rPr>
            </w:pPr>
          </w:p>
        </w:tc>
      </w:tr>
      <w:tr w14:paraId="1AD53928">
        <w:tblPrEx>
          <w:tblCellMar>
            <w:top w:w="0" w:type="dxa"/>
            <w:left w:w="108" w:type="dxa"/>
            <w:bottom w:w="0" w:type="dxa"/>
            <w:right w:w="108" w:type="dxa"/>
          </w:tblCellMar>
        </w:tblPrEx>
        <w:trPr>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458489CB">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04E586FD">
            <w:pPr>
              <w:widowControl/>
              <w:jc w:val="lef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6BBA5262">
            <w:pPr>
              <w:widowControl/>
              <w:jc w:val="left"/>
              <w:rPr>
                <w:kern w:val="0"/>
                <w:sz w:val="21"/>
                <w:szCs w:val="21"/>
                <w:highlight w:val="none"/>
              </w:rPr>
            </w:pPr>
          </w:p>
        </w:tc>
        <w:tc>
          <w:tcPr>
            <w:tcW w:w="1588" w:type="dxa"/>
            <w:tcBorders>
              <w:top w:val="nil"/>
              <w:left w:val="nil"/>
              <w:bottom w:val="single" w:color="auto" w:sz="4" w:space="0"/>
              <w:right w:val="single" w:color="auto" w:sz="4" w:space="0"/>
            </w:tcBorders>
            <w:vAlign w:val="center"/>
          </w:tcPr>
          <w:p w14:paraId="20F9B648">
            <w:pPr>
              <w:widowControl/>
              <w:jc w:val="left"/>
              <w:rPr>
                <w:kern w:val="0"/>
                <w:sz w:val="21"/>
                <w:szCs w:val="21"/>
                <w:highlight w:val="none"/>
              </w:rPr>
            </w:pPr>
          </w:p>
        </w:tc>
        <w:tc>
          <w:tcPr>
            <w:tcW w:w="798" w:type="dxa"/>
            <w:tcBorders>
              <w:top w:val="nil"/>
              <w:left w:val="nil"/>
              <w:bottom w:val="single" w:color="auto" w:sz="4" w:space="0"/>
              <w:right w:val="single" w:color="auto" w:sz="4" w:space="0"/>
            </w:tcBorders>
            <w:vAlign w:val="center"/>
          </w:tcPr>
          <w:p w14:paraId="7E1794E1">
            <w:pPr>
              <w:widowControl/>
              <w:jc w:val="left"/>
              <w:rPr>
                <w:kern w:val="0"/>
                <w:sz w:val="21"/>
                <w:szCs w:val="21"/>
                <w:highlight w:val="none"/>
              </w:rPr>
            </w:pPr>
          </w:p>
        </w:tc>
        <w:tc>
          <w:tcPr>
            <w:tcW w:w="881" w:type="dxa"/>
            <w:tcBorders>
              <w:top w:val="nil"/>
              <w:left w:val="nil"/>
              <w:bottom w:val="single" w:color="auto" w:sz="4" w:space="0"/>
              <w:right w:val="single" w:color="auto" w:sz="4" w:space="0"/>
            </w:tcBorders>
            <w:vAlign w:val="center"/>
          </w:tcPr>
          <w:p w14:paraId="32A53673">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610BBD17">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4C285904">
            <w:pPr>
              <w:widowControl/>
              <w:jc w:val="left"/>
              <w:rPr>
                <w:kern w:val="0"/>
                <w:sz w:val="21"/>
                <w:szCs w:val="21"/>
                <w:highlight w:val="none"/>
              </w:rPr>
            </w:pPr>
          </w:p>
        </w:tc>
        <w:tc>
          <w:tcPr>
            <w:tcW w:w="1013" w:type="dxa"/>
            <w:tcBorders>
              <w:top w:val="nil"/>
              <w:left w:val="nil"/>
              <w:bottom w:val="single" w:color="auto" w:sz="4" w:space="0"/>
              <w:right w:val="single" w:color="auto" w:sz="4" w:space="0"/>
            </w:tcBorders>
            <w:vAlign w:val="center"/>
          </w:tcPr>
          <w:p w14:paraId="24AA5130">
            <w:pPr>
              <w:widowControl/>
              <w:jc w:val="left"/>
              <w:rPr>
                <w:kern w:val="0"/>
                <w:sz w:val="21"/>
                <w:szCs w:val="21"/>
                <w:highlight w:val="none"/>
              </w:rPr>
            </w:pPr>
          </w:p>
        </w:tc>
      </w:tr>
      <w:tr w14:paraId="3953E014">
        <w:tblPrEx>
          <w:tblCellMar>
            <w:top w:w="0" w:type="dxa"/>
            <w:left w:w="108" w:type="dxa"/>
            <w:bottom w:w="0" w:type="dxa"/>
            <w:right w:w="108" w:type="dxa"/>
          </w:tblCellMar>
        </w:tblPrEx>
        <w:trPr>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1E1F3DD4">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1390A4F5">
            <w:pPr>
              <w:widowControl/>
              <w:jc w:val="lef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0DB8CDE1">
            <w:pPr>
              <w:widowControl/>
              <w:jc w:val="left"/>
              <w:rPr>
                <w:kern w:val="0"/>
                <w:sz w:val="21"/>
                <w:szCs w:val="21"/>
                <w:highlight w:val="none"/>
              </w:rPr>
            </w:pPr>
          </w:p>
        </w:tc>
        <w:tc>
          <w:tcPr>
            <w:tcW w:w="1588" w:type="dxa"/>
            <w:tcBorders>
              <w:top w:val="nil"/>
              <w:left w:val="nil"/>
              <w:bottom w:val="single" w:color="auto" w:sz="4" w:space="0"/>
              <w:right w:val="single" w:color="auto" w:sz="4" w:space="0"/>
            </w:tcBorders>
            <w:vAlign w:val="center"/>
          </w:tcPr>
          <w:p w14:paraId="12C0B26D">
            <w:pPr>
              <w:widowControl/>
              <w:jc w:val="left"/>
              <w:rPr>
                <w:kern w:val="0"/>
                <w:sz w:val="21"/>
                <w:szCs w:val="21"/>
                <w:highlight w:val="none"/>
              </w:rPr>
            </w:pPr>
          </w:p>
        </w:tc>
        <w:tc>
          <w:tcPr>
            <w:tcW w:w="798" w:type="dxa"/>
            <w:tcBorders>
              <w:top w:val="nil"/>
              <w:left w:val="nil"/>
              <w:bottom w:val="single" w:color="auto" w:sz="4" w:space="0"/>
              <w:right w:val="single" w:color="auto" w:sz="4" w:space="0"/>
            </w:tcBorders>
            <w:vAlign w:val="center"/>
          </w:tcPr>
          <w:p w14:paraId="318E9C56">
            <w:pPr>
              <w:widowControl/>
              <w:jc w:val="left"/>
              <w:rPr>
                <w:kern w:val="0"/>
                <w:sz w:val="21"/>
                <w:szCs w:val="21"/>
                <w:highlight w:val="none"/>
              </w:rPr>
            </w:pPr>
          </w:p>
        </w:tc>
        <w:tc>
          <w:tcPr>
            <w:tcW w:w="881" w:type="dxa"/>
            <w:tcBorders>
              <w:top w:val="nil"/>
              <w:left w:val="nil"/>
              <w:bottom w:val="single" w:color="auto" w:sz="4" w:space="0"/>
              <w:right w:val="single" w:color="auto" w:sz="4" w:space="0"/>
            </w:tcBorders>
            <w:vAlign w:val="center"/>
          </w:tcPr>
          <w:p w14:paraId="7F9CBAF3">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764BF2F0">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0616BCDD">
            <w:pPr>
              <w:widowControl/>
              <w:jc w:val="left"/>
              <w:rPr>
                <w:kern w:val="0"/>
                <w:sz w:val="21"/>
                <w:szCs w:val="21"/>
                <w:highlight w:val="none"/>
              </w:rPr>
            </w:pPr>
          </w:p>
        </w:tc>
        <w:tc>
          <w:tcPr>
            <w:tcW w:w="1013" w:type="dxa"/>
            <w:tcBorders>
              <w:top w:val="nil"/>
              <w:left w:val="nil"/>
              <w:bottom w:val="single" w:color="auto" w:sz="4" w:space="0"/>
              <w:right w:val="single" w:color="auto" w:sz="4" w:space="0"/>
            </w:tcBorders>
            <w:vAlign w:val="center"/>
          </w:tcPr>
          <w:p w14:paraId="13F11C6D">
            <w:pPr>
              <w:widowControl/>
              <w:jc w:val="left"/>
              <w:rPr>
                <w:kern w:val="0"/>
                <w:sz w:val="21"/>
                <w:szCs w:val="21"/>
                <w:highlight w:val="none"/>
              </w:rPr>
            </w:pPr>
          </w:p>
        </w:tc>
      </w:tr>
      <w:tr w14:paraId="1DDE6CEF">
        <w:tblPrEx>
          <w:tblCellMar>
            <w:top w:w="0" w:type="dxa"/>
            <w:left w:w="108" w:type="dxa"/>
            <w:bottom w:w="0" w:type="dxa"/>
            <w:right w:w="108" w:type="dxa"/>
          </w:tblCellMar>
        </w:tblPrEx>
        <w:trPr>
          <w:trHeight w:val="417" w:hRule="atLeast"/>
          <w:jc w:val="center"/>
        </w:trPr>
        <w:tc>
          <w:tcPr>
            <w:tcW w:w="683" w:type="dxa"/>
            <w:tcBorders>
              <w:top w:val="nil"/>
              <w:left w:val="single" w:color="auto" w:sz="4" w:space="0"/>
              <w:bottom w:val="single" w:color="auto" w:sz="4" w:space="0"/>
              <w:right w:val="single" w:color="auto" w:sz="4" w:space="0"/>
            </w:tcBorders>
            <w:vAlign w:val="center"/>
          </w:tcPr>
          <w:p w14:paraId="3357994F">
            <w:pPr>
              <w:widowControl/>
              <w:jc w:val="righ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2FC18ABA">
            <w:pPr>
              <w:widowControl/>
              <w:jc w:val="left"/>
              <w:rPr>
                <w:kern w:val="0"/>
                <w:sz w:val="21"/>
                <w:szCs w:val="21"/>
                <w:highlight w:val="none"/>
              </w:rPr>
            </w:pPr>
          </w:p>
        </w:tc>
        <w:tc>
          <w:tcPr>
            <w:tcW w:w="1097" w:type="dxa"/>
            <w:tcBorders>
              <w:top w:val="nil"/>
              <w:left w:val="nil"/>
              <w:bottom w:val="single" w:color="auto" w:sz="4" w:space="0"/>
              <w:right w:val="single" w:color="auto" w:sz="4" w:space="0"/>
            </w:tcBorders>
            <w:vAlign w:val="center"/>
          </w:tcPr>
          <w:p w14:paraId="5FA87E87">
            <w:pPr>
              <w:widowControl/>
              <w:jc w:val="left"/>
              <w:rPr>
                <w:kern w:val="0"/>
                <w:sz w:val="21"/>
                <w:szCs w:val="21"/>
                <w:highlight w:val="none"/>
              </w:rPr>
            </w:pPr>
          </w:p>
        </w:tc>
        <w:tc>
          <w:tcPr>
            <w:tcW w:w="1588" w:type="dxa"/>
            <w:tcBorders>
              <w:top w:val="nil"/>
              <w:left w:val="nil"/>
              <w:bottom w:val="single" w:color="auto" w:sz="4" w:space="0"/>
              <w:right w:val="single" w:color="auto" w:sz="4" w:space="0"/>
            </w:tcBorders>
            <w:vAlign w:val="center"/>
          </w:tcPr>
          <w:p w14:paraId="6D0702C2">
            <w:pPr>
              <w:widowControl/>
              <w:jc w:val="left"/>
              <w:rPr>
                <w:kern w:val="0"/>
                <w:sz w:val="21"/>
                <w:szCs w:val="21"/>
                <w:highlight w:val="none"/>
              </w:rPr>
            </w:pPr>
          </w:p>
        </w:tc>
        <w:tc>
          <w:tcPr>
            <w:tcW w:w="798" w:type="dxa"/>
            <w:tcBorders>
              <w:top w:val="nil"/>
              <w:left w:val="nil"/>
              <w:bottom w:val="single" w:color="auto" w:sz="4" w:space="0"/>
              <w:right w:val="single" w:color="auto" w:sz="4" w:space="0"/>
            </w:tcBorders>
            <w:vAlign w:val="center"/>
          </w:tcPr>
          <w:p w14:paraId="47652B66">
            <w:pPr>
              <w:widowControl/>
              <w:jc w:val="left"/>
              <w:rPr>
                <w:kern w:val="0"/>
                <w:sz w:val="21"/>
                <w:szCs w:val="21"/>
                <w:highlight w:val="none"/>
              </w:rPr>
            </w:pPr>
          </w:p>
        </w:tc>
        <w:tc>
          <w:tcPr>
            <w:tcW w:w="881" w:type="dxa"/>
            <w:tcBorders>
              <w:top w:val="nil"/>
              <w:left w:val="nil"/>
              <w:bottom w:val="single" w:color="auto" w:sz="4" w:space="0"/>
              <w:right w:val="single" w:color="auto" w:sz="4" w:space="0"/>
            </w:tcBorders>
            <w:vAlign w:val="center"/>
          </w:tcPr>
          <w:p w14:paraId="38CA5BF3">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77EB749A">
            <w:pPr>
              <w:widowControl/>
              <w:jc w:val="left"/>
              <w:rPr>
                <w:kern w:val="0"/>
                <w:sz w:val="21"/>
                <w:szCs w:val="21"/>
                <w:highlight w:val="none"/>
              </w:rPr>
            </w:pPr>
          </w:p>
        </w:tc>
        <w:tc>
          <w:tcPr>
            <w:tcW w:w="1012" w:type="dxa"/>
            <w:tcBorders>
              <w:top w:val="nil"/>
              <w:left w:val="nil"/>
              <w:bottom w:val="single" w:color="auto" w:sz="4" w:space="0"/>
              <w:right w:val="single" w:color="auto" w:sz="4" w:space="0"/>
            </w:tcBorders>
            <w:vAlign w:val="center"/>
          </w:tcPr>
          <w:p w14:paraId="7F80AF06">
            <w:pPr>
              <w:widowControl/>
              <w:jc w:val="left"/>
              <w:rPr>
                <w:kern w:val="0"/>
                <w:sz w:val="21"/>
                <w:szCs w:val="21"/>
                <w:highlight w:val="none"/>
              </w:rPr>
            </w:pPr>
          </w:p>
        </w:tc>
        <w:tc>
          <w:tcPr>
            <w:tcW w:w="1013" w:type="dxa"/>
            <w:tcBorders>
              <w:top w:val="nil"/>
              <w:left w:val="nil"/>
              <w:bottom w:val="single" w:color="auto" w:sz="4" w:space="0"/>
              <w:right w:val="single" w:color="auto" w:sz="4" w:space="0"/>
            </w:tcBorders>
            <w:vAlign w:val="center"/>
          </w:tcPr>
          <w:p w14:paraId="79118977">
            <w:pPr>
              <w:widowControl/>
              <w:jc w:val="left"/>
              <w:rPr>
                <w:kern w:val="0"/>
                <w:sz w:val="21"/>
                <w:szCs w:val="21"/>
                <w:highlight w:val="none"/>
              </w:rPr>
            </w:pPr>
          </w:p>
        </w:tc>
      </w:tr>
      <w:tr w14:paraId="795A5C0B">
        <w:tblPrEx>
          <w:tblCellMar>
            <w:top w:w="0" w:type="dxa"/>
            <w:left w:w="108" w:type="dxa"/>
            <w:bottom w:w="0" w:type="dxa"/>
            <w:right w:w="108" w:type="dxa"/>
          </w:tblCellMar>
        </w:tblPrEx>
        <w:trPr>
          <w:trHeight w:val="507" w:hRule="atLeast"/>
          <w:jc w:val="center"/>
        </w:trPr>
        <w:tc>
          <w:tcPr>
            <w:tcW w:w="7156" w:type="dxa"/>
            <w:gridSpan w:val="7"/>
            <w:tcBorders>
              <w:top w:val="single" w:color="auto" w:sz="4" w:space="0"/>
              <w:left w:val="single" w:color="auto" w:sz="4" w:space="0"/>
              <w:bottom w:val="single" w:color="auto" w:sz="4" w:space="0"/>
              <w:right w:val="single" w:color="000000" w:sz="4" w:space="0"/>
            </w:tcBorders>
            <w:vAlign w:val="center"/>
          </w:tcPr>
          <w:p w14:paraId="2F564684">
            <w:pPr>
              <w:widowControl/>
              <w:jc w:val="center"/>
              <w:rPr>
                <w:kern w:val="0"/>
                <w:sz w:val="21"/>
                <w:szCs w:val="21"/>
                <w:highlight w:val="none"/>
              </w:rPr>
            </w:pPr>
            <w:r>
              <w:rPr>
                <w:kern w:val="0"/>
                <w:sz w:val="21"/>
                <w:szCs w:val="21"/>
                <w:highlight w:val="none"/>
              </w:rPr>
              <w:t>本页小计</w:t>
            </w:r>
          </w:p>
        </w:tc>
        <w:tc>
          <w:tcPr>
            <w:tcW w:w="1012" w:type="dxa"/>
            <w:tcBorders>
              <w:top w:val="nil"/>
              <w:left w:val="nil"/>
              <w:bottom w:val="single" w:color="auto" w:sz="4" w:space="0"/>
              <w:right w:val="single" w:color="auto" w:sz="4" w:space="0"/>
            </w:tcBorders>
            <w:vAlign w:val="center"/>
          </w:tcPr>
          <w:p w14:paraId="779BE5A3">
            <w:pPr>
              <w:widowControl/>
              <w:jc w:val="left"/>
              <w:rPr>
                <w:kern w:val="0"/>
                <w:sz w:val="21"/>
                <w:szCs w:val="21"/>
                <w:highlight w:val="none"/>
              </w:rPr>
            </w:pPr>
          </w:p>
        </w:tc>
        <w:tc>
          <w:tcPr>
            <w:tcW w:w="1013" w:type="dxa"/>
            <w:tcBorders>
              <w:top w:val="nil"/>
              <w:left w:val="nil"/>
              <w:bottom w:val="single" w:color="auto" w:sz="4" w:space="0"/>
              <w:right w:val="single" w:color="auto" w:sz="4" w:space="0"/>
            </w:tcBorders>
            <w:vAlign w:val="center"/>
          </w:tcPr>
          <w:p w14:paraId="049C4500">
            <w:pPr>
              <w:widowControl/>
              <w:jc w:val="left"/>
              <w:rPr>
                <w:kern w:val="0"/>
                <w:sz w:val="21"/>
                <w:szCs w:val="21"/>
                <w:highlight w:val="none"/>
              </w:rPr>
            </w:pPr>
          </w:p>
        </w:tc>
      </w:tr>
      <w:tr w14:paraId="3895AA5E">
        <w:tblPrEx>
          <w:tblCellMar>
            <w:top w:w="0" w:type="dxa"/>
            <w:left w:w="108" w:type="dxa"/>
            <w:bottom w:w="0" w:type="dxa"/>
            <w:right w:w="108" w:type="dxa"/>
          </w:tblCellMar>
        </w:tblPrEx>
        <w:trPr>
          <w:trHeight w:val="507" w:hRule="atLeast"/>
          <w:jc w:val="center"/>
        </w:trPr>
        <w:tc>
          <w:tcPr>
            <w:tcW w:w="7156" w:type="dxa"/>
            <w:gridSpan w:val="7"/>
            <w:tcBorders>
              <w:top w:val="single" w:color="auto" w:sz="4" w:space="0"/>
              <w:left w:val="single" w:color="auto" w:sz="4" w:space="0"/>
              <w:bottom w:val="single" w:color="auto" w:sz="4" w:space="0"/>
              <w:right w:val="single" w:color="000000" w:sz="4" w:space="0"/>
            </w:tcBorders>
            <w:vAlign w:val="center"/>
          </w:tcPr>
          <w:p w14:paraId="10ACF86D">
            <w:pPr>
              <w:widowControl/>
              <w:jc w:val="center"/>
              <w:rPr>
                <w:kern w:val="0"/>
                <w:sz w:val="21"/>
                <w:szCs w:val="21"/>
                <w:highlight w:val="none"/>
              </w:rPr>
            </w:pPr>
            <w:r>
              <w:rPr>
                <w:kern w:val="0"/>
                <w:sz w:val="21"/>
                <w:szCs w:val="21"/>
                <w:highlight w:val="none"/>
              </w:rPr>
              <w:t>合计</w:t>
            </w:r>
          </w:p>
        </w:tc>
        <w:tc>
          <w:tcPr>
            <w:tcW w:w="1012" w:type="dxa"/>
            <w:tcBorders>
              <w:top w:val="nil"/>
              <w:left w:val="nil"/>
              <w:bottom w:val="single" w:color="auto" w:sz="4" w:space="0"/>
              <w:right w:val="single" w:color="auto" w:sz="4" w:space="0"/>
            </w:tcBorders>
            <w:vAlign w:val="center"/>
          </w:tcPr>
          <w:p w14:paraId="780D2A74">
            <w:pPr>
              <w:widowControl/>
              <w:jc w:val="left"/>
              <w:rPr>
                <w:kern w:val="0"/>
                <w:sz w:val="21"/>
                <w:szCs w:val="21"/>
                <w:highlight w:val="none"/>
              </w:rPr>
            </w:pPr>
          </w:p>
        </w:tc>
        <w:tc>
          <w:tcPr>
            <w:tcW w:w="1013" w:type="dxa"/>
            <w:tcBorders>
              <w:top w:val="nil"/>
              <w:left w:val="nil"/>
              <w:bottom w:val="single" w:color="auto" w:sz="4" w:space="0"/>
              <w:right w:val="single" w:color="auto" w:sz="4" w:space="0"/>
            </w:tcBorders>
            <w:vAlign w:val="center"/>
          </w:tcPr>
          <w:p w14:paraId="3A19759E">
            <w:pPr>
              <w:widowControl/>
              <w:jc w:val="left"/>
              <w:rPr>
                <w:kern w:val="0"/>
                <w:sz w:val="21"/>
                <w:szCs w:val="21"/>
                <w:highlight w:val="none"/>
              </w:rPr>
            </w:pPr>
          </w:p>
        </w:tc>
      </w:tr>
      <w:tr w14:paraId="2B77E29C">
        <w:tblPrEx>
          <w:tblCellMar>
            <w:top w:w="0" w:type="dxa"/>
            <w:left w:w="108" w:type="dxa"/>
            <w:bottom w:w="0" w:type="dxa"/>
            <w:right w:w="108" w:type="dxa"/>
          </w:tblCellMar>
        </w:tblPrEx>
        <w:trPr>
          <w:trHeight w:val="300" w:hRule="atLeast"/>
          <w:jc w:val="center"/>
        </w:trPr>
        <w:tc>
          <w:tcPr>
            <w:tcW w:w="9181" w:type="dxa"/>
            <w:gridSpan w:val="9"/>
            <w:tcBorders>
              <w:top w:val="single" w:color="auto" w:sz="4" w:space="0"/>
              <w:left w:val="nil"/>
              <w:bottom w:val="nil"/>
              <w:right w:val="nil"/>
            </w:tcBorders>
            <w:vAlign w:val="center"/>
          </w:tcPr>
          <w:p w14:paraId="546D300E">
            <w:pPr>
              <w:widowControl/>
              <w:jc w:val="left"/>
              <w:rPr>
                <w:kern w:val="0"/>
                <w:sz w:val="18"/>
                <w:szCs w:val="18"/>
                <w:highlight w:val="none"/>
              </w:rPr>
            </w:pPr>
          </w:p>
          <w:p w14:paraId="1B123268">
            <w:pPr>
              <w:widowControl/>
              <w:jc w:val="left"/>
              <w:rPr>
                <w:kern w:val="0"/>
                <w:sz w:val="18"/>
                <w:szCs w:val="18"/>
                <w:highlight w:val="none"/>
              </w:rPr>
            </w:pPr>
          </w:p>
        </w:tc>
      </w:tr>
    </w:tbl>
    <w:p w14:paraId="2C596185">
      <w:pPr>
        <w:widowControl/>
        <w:jc w:val="left"/>
        <w:outlineLvl w:val="9"/>
        <w:rPr>
          <w:rFonts w:hint="eastAsia" w:ascii="Times New Roman" w:hAnsi="Times New Roman" w:eastAsia="宋体" w:cs="Times New Roman"/>
          <w:b w:val="0"/>
          <w:bCs w:val="0"/>
          <w:spacing w:val="9"/>
          <w:sz w:val="28"/>
          <w:szCs w:val="28"/>
          <w:highlight w:val="none"/>
          <w:lang w:val="en-US" w:eastAsia="zh-CN"/>
        </w:rPr>
      </w:pPr>
      <w:r>
        <w:rPr>
          <w:rFonts w:hint="eastAsia" w:ascii="Times New Roman" w:hAnsi="Times New Roman" w:eastAsia="宋体" w:cs="Times New Roman"/>
          <w:b w:val="0"/>
          <w:bCs w:val="0"/>
          <w:spacing w:val="9"/>
          <w:sz w:val="28"/>
          <w:szCs w:val="28"/>
          <w:highlight w:val="none"/>
          <w:lang w:val="en-US" w:eastAsia="zh-CN"/>
        </w:rPr>
        <w:br w:type="page"/>
      </w:r>
    </w:p>
    <w:p w14:paraId="76A07A3D">
      <w:pPr>
        <w:widowControl/>
        <w:jc w:val="center"/>
        <w:outlineLvl w:val="2"/>
        <w:rPr>
          <w:b/>
          <w:bCs/>
          <w:kern w:val="0"/>
          <w:sz w:val="32"/>
          <w:szCs w:val="32"/>
          <w:highlight w:val="none"/>
        </w:rPr>
      </w:pPr>
      <w:r>
        <w:rPr>
          <w:b w:val="0"/>
          <w:bCs w:val="0"/>
          <w:kern w:val="0"/>
          <w:sz w:val="28"/>
          <w:szCs w:val="28"/>
          <w:highlight w:val="none"/>
        </w:rPr>
        <w:t>措施项目清单计价表</w:t>
      </w:r>
    </w:p>
    <w:tbl>
      <w:tblPr>
        <w:tblStyle w:val="41"/>
        <w:tblW w:w="9897" w:type="dxa"/>
        <w:jc w:val="center"/>
        <w:tblLayout w:type="fixed"/>
        <w:tblCellMar>
          <w:top w:w="0" w:type="dxa"/>
          <w:left w:w="108" w:type="dxa"/>
          <w:bottom w:w="0" w:type="dxa"/>
          <w:right w:w="108" w:type="dxa"/>
        </w:tblCellMar>
      </w:tblPr>
      <w:tblGrid>
        <w:gridCol w:w="734"/>
        <w:gridCol w:w="1161"/>
        <w:gridCol w:w="3102"/>
        <w:gridCol w:w="631"/>
        <w:gridCol w:w="432"/>
        <w:gridCol w:w="1062"/>
        <w:gridCol w:w="913"/>
        <w:gridCol w:w="1098"/>
        <w:gridCol w:w="764"/>
      </w:tblGrid>
      <w:tr w14:paraId="178F2E72">
        <w:tblPrEx>
          <w:tblCellMar>
            <w:top w:w="0" w:type="dxa"/>
            <w:left w:w="108" w:type="dxa"/>
            <w:bottom w:w="0" w:type="dxa"/>
            <w:right w:w="108" w:type="dxa"/>
          </w:tblCellMar>
        </w:tblPrEx>
        <w:trPr>
          <w:trHeight w:val="496" w:hRule="atLeast"/>
          <w:jc w:val="center"/>
        </w:trPr>
        <w:tc>
          <w:tcPr>
            <w:tcW w:w="5628" w:type="dxa"/>
            <w:gridSpan w:val="4"/>
            <w:tcBorders>
              <w:top w:val="nil"/>
              <w:left w:val="nil"/>
              <w:bottom w:val="single" w:color="auto" w:sz="4" w:space="0"/>
              <w:right w:val="nil"/>
            </w:tcBorders>
            <w:vAlign w:val="center"/>
          </w:tcPr>
          <w:p w14:paraId="79EEFF6F">
            <w:pPr>
              <w:widowControl/>
              <w:jc w:val="left"/>
              <w:rPr>
                <w:kern w:val="0"/>
                <w:sz w:val="21"/>
                <w:szCs w:val="21"/>
                <w:highlight w:val="none"/>
              </w:rPr>
            </w:pPr>
            <w:r>
              <w:rPr>
                <w:kern w:val="0"/>
                <w:sz w:val="21"/>
                <w:szCs w:val="21"/>
                <w:highlight w:val="none"/>
              </w:rPr>
              <w:t xml:space="preserve">工程名称：                标段： </w:t>
            </w:r>
          </w:p>
        </w:tc>
        <w:tc>
          <w:tcPr>
            <w:tcW w:w="4269" w:type="dxa"/>
            <w:gridSpan w:val="5"/>
            <w:tcBorders>
              <w:top w:val="nil"/>
              <w:left w:val="nil"/>
              <w:bottom w:val="single" w:color="auto" w:sz="4" w:space="0"/>
              <w:right w:val="nil"/>
            </w:tcBorders>
            <w:vAlign w:val="center"/>
          </w:tcPr>
          <w:p w14:paraId="5341DA6E">
            <w:pPr>
              <w:widowControl/>
              <w:tabs>
                <w:tab w:val="left" w:pos="2218"/>
                <w:tab w:val="left" w:pos="2677"/>
              </w:tabs>
              <w:ind w:right="-23"/>
              <w:jc w:val="right"/>
              <w:rPr>
                <w:kern w:val="0"/>
                <w:sz w:val="21"/>
                <w:szCs w:val="21"/>
                <w:highlight w:val="none"/>
              </w:rPr>
            </w:pPr>
            <w:r>
              <w:rPr>
                <w:kern w:val="0"/>
                <w:sz w:val="21"/>
                <w:szCs w:val="21"/>
                <w:highlight w:val="none"/>
              </w:rPr>
              <w:t>第   页  共   页</w:t>
            </w:r>
          </w:p>
        </w:tc>
      </w:tr>
      <w:tr w14:paraId="54486BC3">
        <w:tblPrEx>
          <w:tblCellMar>
            <w:top w:w="0" w:type="dxa"/>
            <w:left w:w="108" w:type="dxa"/>
            <w:bottom w:w="0" w:type="dxa"/>
            <w:right w:w="108" w:type="dxa"/>
          </w:tblCellMar>
        </w:tblPrEx>
        <w:trPr>
          <w:trHeight w:val="507" w:hRule="atLeast"/>
          <w:jc w:val="center"/>
        </w:trPr>
        <w:tc>
          <w:tcPr>
            <w:tcW w:w="734" w:type="dxa"/>
            <w:vMerge w:val="restart"/>
            <w:tcBorders>
              <w:top w:val="nil"/>
              <w:left w:val="single" w:color="auto" w:sz="4" w:space="0"/>
              <w:right w:val="single" w:color="auto" w:sz="4" w:space="0"/>
            </w:tcBorders>
            <w:vAlign w:val="center"/>
          </w:tcPr>
          <w:p w14:paraId="6C77B563">
            <w:pPr>
              <w:widowControl/>
              <w:jc w:val="center"/>
              <w:rPr>
                <w:kern w:val="0"/>
                <w:sz w:val="21"/>
                <w:szCs w:val="21"/>
                <w:highlight w:val="none"/>
              </w:rPr>
            </w:pPr>
            <w:r>
              <w:rPr>
                <w:kern w:val="0"/>
                <w:sz w:val="21"/>
                <w:szCs w:val="21"/>
                <w:highlight w:val="none"/>
              </w:rPr>
              <w:t>序号</w:t>
            </w:r>
          </w:p>
        </w:tc>
        <w:tc>
          <w:tcPr>
            <w:tcW w:w="1161" w:type="dxa"/>
            <w:vMerge w:val="restart"/>
            <w:tcBorders>
              <w:top w:val="nil"/>
              <w:left w:val="single" w:color="auto" w:sz="4" w:space="0"/>
              <w:right w:val="single" w:color="auto" w:sz="4" w:space="0"/>
            </w:tcBorders>
            <w:vAlign w:val="center"/>
          </w:tcPr>
          <w:p w14:paraId="17037D73">
            <w:pPr>
              <w:widowControl/>
              <w:jc w:val="center"/>
              <w:rPr>
                <w:kern w:val="0"/>
                <w:sz w:val="21"/>
                <w:szCs w:val="21"/>
                <w:highlight w:val="none"/>
              </w:rPr>
            </w:pPr>
            <w:r>
              <w:rPr>
                <w:kern w:val="0"/>
                <w:sz w:val="21"/>
                <w:szCs w:val="21"/>
                <w:highlight w:val="none"/>
              </w:rPr>
              <w:t>项目编码</w:t>
            </w:r>
          </w:p>
        </w:tc>
        <w:tc>
          <w:tcPr>
            <w:tcW w:w="3102" w:type="dxa"/>
            <w:vMerge w:val="restart"/>
            <w:tcBorders>
              <w:top w:val="nil"/>
              <w:left w:val="single" w:color="auto" w:sz="4" w:space="0"/>
              <w:right w:val="single" w:color="auto" w:sz="4" w:space="0"/>
            </w:tcBorders>
            <w:vAlign w:val="center"/>
          </w:tcPr>
          <w:p w14:paraId="4E484DF9">
            <w:pPr>
              <w:widowControl/>
              <w:jc w:val="center"/>
              <w:rPr>
                <w:kern w:val="0"/>
                <w:sz w:val="21"/>
                <w:szCs w:val="21"/>
                <w:highlight w:val="none"/>
              </w:rPr>
            </w:pPr>
            <w:r>
              <w:rPr>
                <w:kern w:val="0"/>
                <w:sz w:val="21"/>
                <w:szCs w:val="21"/>
                <w:highlight w:val="none"/>
              </w:rPr>
              <w:t>项目名称</w:t>
            </w:r>
          </w:p>
        </w:tc>
        <w:tc>
          <w:tcPr>
            <w:tcW w:w="1063" w:type="dxa"/>
            <w:gridSpan w:val="2"/>
            <w:vMerge w:val="restart"/>
            <w:tcBorders>
              <w:top w:val="nil"/>
              <w:left w:val="single" w:color="auto" w:sz="4" w:space="0"/>
              <w:right w:val="single" w:color="auto" w:sz="4" w:space="0"/>
            </w:tcBorders>
            <w:vAlign w:val="center"/>
          </w:tcPr>
          <w:p w14:paraId="537C7E5A">
            <w:pPr>
              <w:widowControl/>
              <w:jc w:val="center"/>
              <w:rPr>
                <w:rFonts w:hint="default" w:eastAsia="宋体"/>
                <w:kern w:val="0"/>
                <w:sz w:val="21"/>
                <w:szCs w:val="21"/>
                <w:highlight w:val="none"/>
                <w:lang w:val="en-US" w:eastAsia="zh-CN"/>
              </w:rPr>
            </w:pPr>
            <w:r>
              <w:rPr>
                <w:rFonts w:hint="eastAsia"/>
                <w:kern w:val="0"/>
                <w:sz w:val="21"/>
                <w:szCs w:val="21"/>
                <w:highlight w:val="none"/>
                <w:lang w:val="en-US" w:eastAsia="zh-CN"/>
              </w:rPr>
              <w:t>工作内容</w:t>
            </w:r>
          </w:p>
        </w:tc>
        <w:tc>
          <w:tcPr>
            <w:tcW w:w="1062" w:type="dxa"/>
            <w:vMerge w:val="restart"/>
            <w:tcBorders>
              <w:top w:val="nil"/>
              <w:left w:val="single" w:color="auto" w:sz="4" w:space="0"/>
              <w:right w:val="single" w:color="auto" w:sz="4" w:space="0"/>
            </w:tcBorders>
            <w:vAlign w:val="center"/>
          </w:tcPr>
          <w:p w14:paraId="407E5299">
            <w:pPr>
              <w:widowControl/>
              <w:jc w:val="center"/>
              <w:rPr>
                <w:rFonts w:hint="default"/>
                <w:kern w:val="0"/>
                <w:sz w:val="21"/>
                <w:szCs w:val="21"/>
                <w:highlight w:val="none"/>
                <w:lang w:val="en-US" w:eastAsia="zh-CN"/>
              </w:rPr>
            </w:pPr>
            <w:r>
              <w:rPr>
                <w:rFonts w:hint="eastAsia"/>
                <w:kern w:val="0"/>
                <w:sz w:val="21"/>
                <w:szCs w:val="21"/>
                <w:highlight w:val="none"/>
                <w:lang w:val="en-US" w:eastAsia="zh-CN"/>
              </w:rPr>
              <w:t>计量单位</w:t>
            </w:r>
          </w:p>
        </w:tc>
        <w:tc>
          <w:tcPr>
            <w:tcW w:w="913" w:type="dxa"/>
            <w:vMerge w:val="restart"/>
            <w:tcBorders>
              <w:top w:val="nil"/>
              <w:left w:val="single" w:color="auto" w:sz="4" w:space="0"/>
              <w:right w:val="single" w:color="auto" w:sz="4" w:space="0"/>
            </w:tcBorders>
            <w:vAlign w:val="center"/>
          </w:tcPr>
          <w:p w14:paraId="472B9FB1">
            <w:pPr>
              <w:widowControl/>
              <w:jc w:val="center"/>
              <w:rPr>
                <w:rFonts w:hint="default"/>
                <w:kern w:val="0"/>
                <w:sz w:val="21"/>
                <w:szCs w:val="21"/>
                <w:highlight w:val="none"/>
                <w:lang w:val="en-US" w:eastAsia="zh-CN"/>
              </w:rPr>
            </w:pPr>
            <w:r>
              <w:rPr>
                <w:rFonts w:hint="eastAsia"/>
                <w:kern w:val="0"/>
                <w:sz w:val="21"/>
                <w:szCs w:val="21"/>
                <w:highlight w:val="none"/>
                <w:lang w:val="en-US" w:eastAsia="zh-CN"/>
              </w:rPr>
              <w:t>工程量</w:t>
            </w:r>
          </w:p>
        </w:tc>
        <w:tc>
          <w:tcPr>
            <w:tcW w:w="1862" w:type="dxa"/>
            <w:gridSpan w:val="2"/>
            <w:tcBorders>
              <w:top w:val="nil"/>
              <w:left w:val="single" w:color="auto" w:sz="4" w:space="0"/>
              <w:bottom w:val="single" w:color="000000" w:sz="4" w:space="0"/>
              <w:right w:val="single" w:color="auto" w:sz="4" w:space="0"/>
            </w:tcBorders>
            <w:vAlign w:val="center"/>
          </w:tcPr>
          <w:p w14:paraId="2986B805">
            <w:pPr>
              <w:widowControl/>
              <w:jc w:val="center"/>
              <w:rPr>
                <w:rFonts w:hint="eastAsia"/>
                <w:kern w:val="0"/>
                <w:sz w:val="21"/>
                <w:szCs w:val="21"/>
                <w:highlight w:val="none"/>
                <w:lang w:val="en-US" w:eastAsia="zh-CN"/>
              </w:rPr>
            </w:pPr>
            <w:r>
              <w:rPr>
                <w:rFonts w:hint="eastAsia"/>
                <w:kern w:val="0"/>
                <w:sz w:val="21"/>
                <w:szCs w:val="21"/>
                <w:highlight w:val="none"/>
                <w:lang w:val="en-US" w:eastAsia="zh-CN"/>
              </w:rPr>
              <w:t>金额</w:t>
            </w:r>
            <w:r>
              <w:rPr>
                <w:rFonts w:hint="eastAsia"/>
                <w:kern w:val="0"/>
                <w:sz w:val="21"/>
                <w:szCs w:val="21"/>
                <w:highlight w:val="none"/>
                <w:lang w:eastAsia="zh-CN"/>
              </w:rPr>
              <w:t>（</w:t>
            </w:r>
            <w:r>
              <w:rPr>
                <w:rFonts w:hint="eastAsia"/>
                <w:kern w:val="0"/>
                <w:sz w:val="21"/>
                <w:szCs w:val="21"/>
                <w:highlight w:val="none"/>
                <w:lang w:val="en-US" w:eastAsia="zh-CN"/>
              </w:rPr>
              <w:t>元</w:t>
            </w:r>
            <w:r>
              <w:rPr>
                <w:rFonts w:hint="eastAsia"/>
                <w:kern w:val="0"/>
                <w:sz w:val="21"/>
                <w:szCs w:val="21"/>
                <w:highlight w:val="none"/>
                <w:lang w:eastAsia="zh-CN"/>
              </w:rPr>
              <w:t>）</w:t>
            </w:r>
          </w:p>
        </w:tc>
      </w:tr>
      <w:tr w14:paraId="330C3FF9">
        <w:tblPrEx>
          <w:tblCellMar>
            <w:top w:w="0" w:type="dxa"/>
            <w:left w:w="108" w:type="dxa"/>
            <w:bottom w:w="0" w:type="dxa"/>
            <w:right w:w="108" w:type="dxa"/>
          </w:tblCellMar>
        </w:tblPrEx>
        <w:trPr>
          <w:trHeight w:val="507" w:hRule="atLeast"/>
          <w:jc w:val="center"/>
        </w:trPr>
        <w:tc>
          <w:tcPr>
            <w:tcW w:w="734" w:type="dxa"/>
            <w:vMerge w:val="continue"/>
            <w:tcBorders>
              <w:left w:val="single" w:color="auto" w:sz="4" w:space="0"/>
              <w:bottom w:val="single" w:color="000000" w:sz="4" w:space="0"/>
              <w:right w:val="single" w:color="auto" w:sz="4" w:space="0"/>
            </w:tcBorders>
            <w:vAlign w:val="center"/>
          </w:tcPr>
          <w:p w14:paraId="33366A6D">
            <w:pPr>
              <w:widowControl/>
              <w:jc w:val="center"/>
              <w:rPr>
                <w:szCs w:val="21"/>
                <w:highlight w:val="none"/>
              </w:rPr>
            </w:pPr>
          </w:p>
        </w:tc>
        <w:tc>
          <w:tcPr>
            <w:tcW w:w="1161" w:type="dxa"/>
            <w:vMerge w:val="continue"/>
            <w:tcBorders>
              <w:left w:val="single" w:color="auto" w:sz="4" w:space="0"/>
              <w:bottom w:val="single" w:color="000000" w:sz="4" w:space="0"/>
              <w:right w:val="single" w:color="auto" w:sz="4" w:space="0"/>
            </w:tcBorders>
            <w:vAlign w:val="center"/>
          </w:tcPr>
          <w:p w14:paraId="0AA1B03D">
            <w:pPr>
              <w:widowControl/>
              <w:jc w:val="center"/>
              <w:rPr>
                <w:szCs w:val="21"/>
                <w:highlight w:val="none"/>
              </w:rPr>
            </w:pPr>
          </w:p>
        </w:tc>
        <w:tc>
          <w:tcPr>
            <w:tcW w:w="3102" w:type="dxa"/>
            <w:vMerge w:val="continue"/>
            <w:tcBorders>
              <w:left w:val="single" w:color="auto" w:sz="4" w:space="0"/>
              <w:bottom w:val="single" w:color="000000" w:sz="4" w:space="0"/>
              <w:right w:val="single" w:color="auto" w:sz="4" w:space="0"/>
            </w:tcBorders>
            <w:vAlign w:val="center"/>
          </w:tcPr>
          <w:p w14:paraId="64CD7ABB">
            <w:pPr>
              <w:widowControl/>
              <w:jc w:val="center"/>
              <w:rPr>
                <w:szCs w:val="21"/>
                <w:highlight w:val="none"/>
              </w:rPr>
            </w:pPr>
          </w:p>
        </w:tc>
        <w:tc>
          <w:tcPr>
            <w:tcW w:w="1063" w:type="dxa"/>
            <w:gridSpan w:val="2"/>
            <w:vMerge w:val="continue"/>
            <w:tcBorders>
              <w:left w:val="single" w:color="auto" w:sz="4" w:space="0"/>
              <w:bottom w:val="single" w:color="000000" w:sz="4" w:space="0"/>
              <w:right w:val="single" w:color="auto" w:sz="4" w:space="0"/>
            </w:tcBorders>
            <w:vAlign w:val="center"/>
          </w:tcPr>
          <w:p w14:paraId="3AE150F5">
            <w:pPr>
              <w:widowControl/>
              <w:jc w:val="center"/>
              <w:rPr>
                <w:szCs w:val="21"/>
                <w:highlight w:val="none"/>
              </w:rPr>
            </w:pPr>
          </w:p>
        </w:tc>
        <w:tc>
          <w:tcPr>
            <w:tcW w:w="1062" w:type="dxa"/>
            <w:vMerge w:val="continue"/>
            <w:tcBorders>
              <w:left w:val="single" w:color="auto" w:sz="4" w:space="0"/>
              <w:bottom w:val="single" w:color="000000" w:sz="4" w:space="0"/>
              <w:right w:val="single" w:color="auto" w:sz="4" w:space="0"/>
            </w:tcBorders>
            <w:vAlign w:val="center"/>
          </w:tcPr>
          <w:p w14:paraId="53CBE31D">
            <w:pPr>
              <w:widowControl/>
              <w:jc w:val="center"/>
              <w:rPr>
                <w:szCs w:val="21"/>
                <w:highlight w:val="none"/>
              </w:rPr>
            </w:pPr>
          </w:p>
        </w:tc>
        <w:tc>
          <w:tcPr>
            <w:tcW w:w="913" w:type="dxa"/>
            <w:vMerge w:val="continue"/>
            <w:tcBorders>
              <w:left w:val="single" w:color="auto" w:sz="4" w:space="0"/>
              <w:bottom w:val="single" w:color="000000" w:sz="4" w:space="0"/>
              <w:right w:val="single" w:color="auto" w:sz="4" w:space="0"/>
            </w:tcBorders>
            <w:vAlign w:val="center"/>
          </w:tcPr>
          <w:p w14:paraId="06FB34DB">
            <w:pPr>
              <w:widowControl/>
              <w:jc w:val="center"/>
              <w:rPr>
                <w:szCs w:val="21"/>
                <w:highlight w:val="none"/>
              </w:rPr>
            </w:pPr>
          </w:p>
        </w:tc>
        <w:tc>
          <w:tcPr>
            <w:tcW w:w="1098" w:type="dxa"/>
            <w:tcBorders>
              <w:top w:val="nil"/>
              <w:left w:val="single" w:color="auto" w:sz="4" w:space="0"/>
              <w:bottom w:val="single" w:color="000000" w:sz="4" w:space="0"/>
              <w:right w:val="single" w:color="auto" w:sz="4" w:space="0"/>
            </w:tcBorders>
            <w:vAlign w:val="center"/>
          </w:tcPr>
          <w:p w14:paraId="78CE43B0">
            <w:pPr>
              <w:widowControl/>
              <w:jc w:val="center"/>
              <w:rPr>
                <w:rFonts w:hint="default"/>
                <w:kern w:val="0"/>
                <w:sz w:val="21"/>
                <w:szCs w:val="21"/>
                <w:highlight w:val="none"/>
                <w:lang w:val="en-US" w:eastAsia="zh-CN"/>
              </w:rPr>
            </w:pPr>
            <w:r>
              <w:rPr>
                <w:rFonts w:hint="eastAsia"/>
                <w:kern w:val="0"/>
                <w:sz w:val="21"/>
                <w:szCs w:val="21"/>
                <w:highlight w:val="none"/>
                <w:lang w:val="en-US" w:eastAsia="zh-CN"/>
              </w:rPr>
              <w:t>综合单价</w:t>
            </w:r>
          </w:p>
        </w:tc>
        <w:tc>
          <w:tcPr>
            <w:tcW w:w="764" w:type="dxa"/>
            <w:tcBorders>
              <w:left w:val="single" w:color="auto" w:sz="4" w:space="0"/>
              <w:bottom w:val="single" w:color="000000" w:sz="4" w:space="0"/>
              <w:right w:val="single" w:color="auto" w:sz="4" w:space="0"/>
            </w:tcBorders>
            <w:vAlign w:val="center"/>
          </w:tcPr>
          <w:p w14:paraId="5F2C7D3C">
            <w:pPr>
              <w:widowControl/>
              <w:jc w:val="center"/>
              <w:rPr>
                <w:rFonts w:hint="default"/>
                <w:kern w:val="0"/>
                <w:sz w:val="21"/>
                <w:szCs w:val="21"/>
                <w:highlight w:val="none"/>
                <w:lang w:val="en-US" w:eastAsia="zh-CN"/>
              </w:rPr>
            </w:pPr>
            <w:r>
              <w:rPr>
                <w:rFonts w:hint="eastAsia"/>
                <w:kern w:val="0"/>
                <w:sz w:val="21"/>
                <w:szCs w:val="21"/>
                <w:highlight w:val="none"/>
                <w:lang w:val="en-US" w:eastAsia="zh-CN"/>
              </w:rPr>
              <w:t>合价</w:t>
            </w:r>
          </w:p>
        </w:tc>
      </w:tr>
      <w:tr w14:paraId="6B9C7EF2">
        <w:tblPrEx>
          <w:tblCellMar>
            <w:top w:w="0" w:type="dxa"/>
            <w:left w:w="108" w:type="dxa"/>
            <w:bottom w:w="0" w:type="dxa"/>
            <w:right w:w="108" w:type="dxa"/>
          </w:tblCellMar>
        </w:tblPrEx>
        <w:trPr>
          <w:trHeight w:val="418" w:hRule="atLeast"/>
          <w:jc w:val="center"/>
        </w:trPr>
        <w:tc>
          <w:tcPr>
            <w:tcW w:w="734" w:type="dxa"/>
            <w:tcBorders>
              <w:top w:val="nil"/>
              <w:left w:val="single" w:color="auto" w:sz="4" w:space="0"/>
              <w:bottom w:val="single" w:color="auto" w:sz="4" w:space="0"/>
              <w:right w:val="single" w:color="auto" w:sz="4" w:space="0"/>
            </w:tcBorders>
            <w:shd w:val="clear" w:color="auto" w:fill="auto"/>
            <w:vAlign w:val="center"/>
          </w:tcPr>
          <w:p w14:paraId="02B373C8">
            <w:pPr>
              <w:widowControl/>
              <w:jc w:val="center"/>
              <w:rPr>
                <w:rFonts w:ascii="Times New Roman" w:hAnsi="Times New Roman" w:eastAsia="宋体" w:cs="Times New Roman"/>
                <w:kern w:val="0"/>
                <w:sz w:val="21"/>
                <w:szCs w:val="21"/>
                <w:highlight w:val="none"/>
                <w:lang w:val="en-US" w:eastAsia="zh-CN" w:bidi="ar-SA"/>
              </w:rPr>
            </w:pPr>
            <w:r>
              <w:rPr>
                <w:kern w:val="0"/>
                <w:sz w:val="21"/>
                <w:szCs w:val="21"/>
                <w:highlight w:val="none"/>
              </w:rPr>
              <w:t>1</w:t>
            </w:r>
          </w:p>
        </w:tc>
        <w:tc>
          <w:tcPr>
            <w:tcW w:w="1161" w:type="dxa"/>
            <w:tcBorders>
              <w:top w:val="nil"/>
              <w:left w:val="nil"/>
              <w:bottom w:val="single" w:color="auto" w:sz="4" w:space="0"/>
              <w:right w:val="single" w:color="auto" w:sz="4" w:space="0"/>
            </w:tcBorders>
            <w:vAlign w:val="center"/>
          </w:tcPr>
          <w:p w14:paraId="59304CC0">
            <w:pPr>
              <w:widowControl/>
              <w:jc w:val="center"/>
              <w:rPr>
                <w:rFonts w:hint="default" w:eastAsia="宋体"/>
                <w:kern w:val="0"/>
                <w:sz w:val="21"/>
                <w:szCs w:val="21"/>
                <w:highlight w:val="none"/>
                <w:lang w:val="en-US" w:eastAsia="zh-CN"/>
              </w:rPr>
            </w:pPr>
            <w:r>
              <w:rPr>
                <w:rFonts w:hint="eastAsia" w:ascii="宋体" w:hAnsi="宋体" w:eastAsia="宋体" w:cs="宋体"/>
                <w:kern w:val="0"/>
                <w:sz w:val="21"/>
                <w:szCs w:val="21"/>
                <w:highlight w:val="none"/>
                <w:lang w:val="en-US" w:eastAsia="zh-CN"/>
              </w:rPr>
              <w:t>……</w:t>
            </w:r>
          </w:p>
        </w:tc>
        <w:tc>
          <w:tcPr>
            <w:tcW w:w="3102" w:type="dxa"/>
            <w:tcBorders>
              <w:top w:val="nil"/>
              <w:left w:val="nil"/>
              <w:bottom w:val="single" w:color="auto" w:sz="4" w:space="0"/>
              <w:right w:val="single" w:color="auto" w:sz="4" w:space="0"/>
            </w:tcBorders>
            <w:shd w:val="clear" w:color="auto" w:fill="auto"/>
            <w:vAlign w:val="center"/>
          </w:tcPr>
          <w:p w14:paraId="448480B1">
            <w:pPr>
              <w:widowControl/>
              <w:rPr>
                <w:rFonts w:ascii="Times New Roman" w:hAnsi="Times New Roman" w:eastAsia="宋体" w:cs="Times New Roman"/>
                <w:kern w:val="0"/>
                <w:sz w:val="21"/>
                <w:szCs w:val="21"/>
                <w:highlight w:val="none"/>
                <w:lang w:val="en-US" w:eastAsia="zh-CN" w:bidi="ar-SA"/>
              </w:rPr>
            </w:pPr>
            <w:r>
              <w:rPr>
                <w:kern w:val="0"/>
                <w:sz w:val="21"/>
                <w:szCs w:val="21"/>
                <w:highlight w:val="none"/>
              </w:rPr>
              <w:t>安全文明施工费</w:t>
            </w:r>
          </w:p>
        </w:tc>
        <w:tc>
          <w:tcPr>
            <w:tcW w:w="1063" w:type="dxa"/>
            <w:gridSpan w:val="2"/>
            <w:tcBorders>
              <w:top w:val="nil"/>
              <w:left w:val="nil"/>
              <w:bottom w:val="single" w:color="auto" w:sz="4" w:space="0"/>
              <w:right w:val="single" w:color="auto" w:sz="4" w:space="0"/>
            </w:tcBorders>
            <w:vAlign w:val="center"/>
          </w:tcPr>
          <w:p w14:paraId="34CDA881">
            <w:pPr>
              <w:widowControl/>
              <w:jc w:val="left"/>
              <w:rPr>
                <w:kern w:val="0"/>
                <w:sz w:val="21"/>
                <w:szCs w:val="21"/>
                <w:highlight w:val="none"/>
              </w:rPr>
            </w:pPr>
          </w:p>
        </w:tc>
        <w:tc>
          <w:tcPr>
            <w:tcW w:w="1062" w:type="dxa"/>
            <w:tcBorders>
              <w:top w:val="nil"/>
              <w:left w:val="nil"/>
              <w:bottom w:val="single" w:color="auto" w:sz="4" w:space="0"/>
              <w:right w:val="single" w:color="auto" w:sz="4" w:space="0"/>
            </w:tcBorders>
            <w:vAlign w:val="center"/>
          </w:tcPr>
          <w:p w14:paraId="61F273FC">
            <w:pPr>
              <w:widowControl/>
              <w:jc w:val="left"/>
              <w:rPr>
                <w:kern w:val="0"/>
                <w:sz w:val="21"/>
                <w:szCs w:val="21"/>
                <w:highlight w:val="none"/>
              </w:rPr>
            </w:pPr>
          </w:p>
        </w:tc>
        <w:tc>
          <w:tcPr>
            <w:tcW w:w="913" w:type="dxa"/>
            <w:tcBorders>
              <w:top w:val="nil"/>
              <w:left w:val="nil"/>
              <w:bottom w:val="single" w:color="auto" w:sz="4" w:space="0"/>
              <w:right w:val="single" w:color="auto" w:sz="4" w:space="0"/>
            </w:tcBorders>
            <w:vAlign w:val="center"/>
          </w:tcPr>
          <w:p w14:paraId="6DB98E15">
            <w:pPr>
              <w:widowControl/>
              <w:jc w:val="left"/>
              <w:rPr>
                <w:kern w:val="0"/>
                <w:sz w:val="21"/>
                <w:szCs w:val="21"/>
                <w:highlight w:val="none"/>
              </w:rPr>
            </w:pPr>
          </w:p>
        </w:tc>
        <w:tc>
          <w:tcPr>
            <w:tcW w:w="1098" w:type="dxa"/>
            <w:tcBorders>
              <w:top w:val="nil"/>
              <w:left w:val="nil"/>
              <w:bottom w:val="single" w:color="auto" w:sz="4" w:space="0"/>
              <w:right w:val="single" w:color="auto" w:sz="4" w:space="0"/>
            </w:tcBorders>
            <w:vAlign w:val="center"/>
          </w:tcPr>
          <w:p w14:paraId="15BC0DAD">
            <w:pPr>
              <w:widowControl/>
              <w:jc w:val="left"/>
              <w:rPr>
                <w:kern w:val="0"/>
                <w:sz w:val="21"/>
                <w:szCs w:val="21"/>
                <w:highlight w:val="none"/>
              </w:rPr>
            </w:pPr>
          </w:p>
        </w:tc>
        <w:tc>
          <w:tcPr>
            <w:tcW w:w="764" w:type="dxa"/>
            <w:tcBorders>
              <w:top w:val="nil"/>
              <w:left w:val="nil"/>
              <w:bottom w:val="single" w:color="auto" w:sz="4" w:space="0"/>
              <w:right w:val="single" w:color="auto" w:sz="4" w:space="0"/>
            </w:tcBorders>
            <w:vAlign w:val="center"/>
          </w:tcPr>
          <w:p w14:paraId="6B8805B5">
            <w:pPr>
              <w:widowControl/>
              <w:jc w:val="left"/>
              <w:rPr>
                <w:kern w:val="0"/>
                <w:sz w:val="21"/>
                <w:szCs w:val="21"/>
                <w:highlight w:val="none"/>
              </w:rPr>
            </w:pPr>
          </w:p>
        </w:tc>
      </w:tr>
      <w:tr w14:paraId="5172B3F7">
        <w:tblPrEx>
          <w:tblCellMar>
            <w:top w:w="0" w:type="dxa"/>
            <w:left w:w="108" w:type="dxa"/>
            <w:bottom w:w="0" w:type="dxa"/>
            <w:right w:w="108" w:type="dxa"/>
          </w:tblCellMar>
        </w:tblPrEx>
        <w:trPr>
          <w:trHeight w:val="418" w:hRule="atLeast"/>
          <w:jc w:val="center"/>
        </w:trPr>
        <w:tc>
          <w:tcPr>
            <w:tcW w:w="734" w:type="dxa"/>
            <w:tcBorders>
              <w:top w:val="nil"/>
              <w:left w:val="single" w:color="auto" w:sz="4" w:space="0"/>
              <w:bottom w:val="single" w:color="auto" w:sz="4" w:space="0"/>
              <w:right w:val="single" w:color="auto" w:sz="4" w:space="0"/>
            </w:tcBorders>
            <w:shd w:val="clear" w:color="auto" w:fill="auto"/>
            <w:vAlign w:val="center"/>
          </w:tcPr>
          <w:p w14:paraId="04A6A1EA">
            <w:pPr>
              <w:widowControl/>
              <w:jc w:val="center"/>
              <w:rPr>
                <w:rFonts w:hint="default" w:ascii="Times New Roman" w:hAnsi="Times New Roman" w:eastAsia="宋体" w:cs="Times New Roman"/>
                <w:kern w:val="0"/>
                <w:sz w:val="21"/>
                <w:szCs w:val="21"/>
                <w:highlight w:val="none"/>
                <w:lang w:val="en-US" w:eastAsia="zh-CN" w:bidi="ar-SA"/>
              </w:rPr>
            </w:pPr>
            <w:r>
              <w:rPr>
                <w:rFonts w:hint="eastAsia"/>
                <w:kern w:val="0"/>
                <w:sz w:val="21"/>
                <w:szCs w:val="21"/>
                <w:highlight w:val="none"/>
                <w:lang w:val="en-US" w:eastAsia="zh-CN"/>
              </w:rPr>
              <w:t>1.1</w:t>
            </w:r>
          </w:p>
        </w:tc>
        <w:tc>
          <w:tcPr>
            <w:tcW w:w="1161" w:type="dxa"/>
            <w:tcBorders>
              <w:top w:val="nil"/>
              <w:left w:val="nil"/>
              <w:bottom w:val="single" w:color="auto" w:sz="4" w:space="0"/>
              <w:right w:val="single" w:color="auto" w:sz="4" w:space="0"/>
            </w:tcBorders>
            <w:shd w:val="clear" w:color="auto" w:fill="auto"/>
            <w:vAlign w:val="center"/>
          </w:tcPr>
          <w:p w14:paraId="1D629A63">
            <w:pPr>
              <w:widowControl/>
              <w:jc w:val="center"/>
              <w:rPr>
                <w:rFonts w:hint="default" w:ascii="Times New Roman" w:hAnsi="Times New Roman" w:eastAsia="宋体" w:cs="Times New Roman"/>
                <w:kern w:val="0"/>
                <w:sz w:val="21"/>
                <w:szCs w:val="21"/>
                <w:highlight w:val="none"/>
                <w:lang w:val="en-US" w:eastAsia="zh-CN" w:bidi="ar-SA"/>
              </w:rPr>
            </w:pPr>
            <w:r>
              <w:rPr>
                <w:rFonts w:hint="eastAsia" w:ascii="宋体" w:hAnsi="宋体" w:eastAsia="宋体" w:cs="宋体"/>
                <w:kern w:val="0"/>
                <w:sz w:val="21"/>
                <w:szCs w:val="21"/>
                <w:highlight w:val="none"/>
                <w:lang w:val="en-US" w:eastAsia="zh-CN"/>
              </w:rPr>
              <w:t>……</w:t>
            </w:r>
          </w:p>
        </w:tc>
        <w:tc>
          <w:tcPr>
            <w:tcW w:w="3102" w:type="dxa"/>
            <w:tcBorders>
              <w:top w:val="nil"/>
              <w:left w:val="nil"/>
              <w:bottom w:val="single" w:color="auto" w:sz="4" w:space="0"/>
              <w:right w:val="single" w:color="auto" w:sz="4" w:space="0"/>
            </w:tcBorders>
            <w:shd w:val="clear" w:color="auto" w:fill="auto"/>
            <w:vAlign w:val="center"/>
          </w:tcPr>
          <w:p w14:paraId="434A25C4">
            <w:pPr>
              <w:widowControl/>
              <w:ind w:firstLine="0" w:firstLineChars="0"/>
              <w:jc w:val="left"/>
              <w:rPr>
                <w:rFonts w:ascii="Times New Roman" w:hAnsi="Times New Roman" w:eastAsia="宋体" w:cs="Times New Roman"/>
                <w:kern w:val="0"/>
                <w:sz w:val="21"/>
                <w:szCs w:val="21"/>
                <w:highlight w:val="none"/>
                <w:lang w:val="en-US" w:eastAsia="zh-CN" w:bidi="ar-SA"/>
              </w:rPr>
            </w:pPr>
            <w:r>
              <w:rPr>
                <w:rFonts w:hint="eastAsia"/>
                <w:kern w:val="0"/>
                <w:sz w:val="21"/>
                <w:szCs w:val="21"/>
                <w:highlight w:val="none"/>
              </w:rPr>
              <w:t>安全文明施工费（按费率计算）</w:t>
            </w:r>
          </w:p>
        </w:tc>
        <w:tc>
          <w:tcPr>
            <w:tcW w:w="1063" w:type="dxa"/>
            <w:gridSpan w:val="2"/>
            <w:tcBorders>
              <w:top w:val="nil"/>
              <w:left w:val="nil"/>
              <w:bottom w:val="single" w:color="auto" w:sz="4" w:space="0"/>
              <w:right w:val="single" w:color="auto" w:sz="4" w:space="0"/>
            </w:tcBorders>
            <w:vAlign w:val="center"/>
          </w:tcPr>
          <w:p w14:paraId="5B4FEBD5">
            <w:pPr>
              <w:widowControl/>
              <w:jc w:val="left"/>
              <w:rPr>
                <w:kern w:val="0"/>
                <w:sz w:val="21"/>
                <w:szCs w:val="21"/>
                <w:highlight w:val="none"/>
              </w:rPr>
            </w:pPr>
          </w:p>
        </w:tc>
        <w:tc>
          <w:tcPr>
            <w:tcW w:w="1062" w:type="dxa"/>
            <w:tcBorders>
              <w:top w:val="nil"/>
              <w:left w:val="nil"/>
              <w:bottom w:val="single" w:color="auto" w:sz="4" w:space="0"/>
              <w:right w:val="single" w:color="auto" w:sz="4" w:space="0"/>
            </w:tcBorders>
            <w:vAlign w:val="center"/>
          </w:tcPr>
          <w:p w14:paraId="23E5E35D">
            <w:pPr>
              <w:widowControl/>
              <w:jc w:val="left"/>
              <w:rPr>
                <w:kern w:val="0"/>
                <w:sz w:val="21"/>
                <w:szCs w:val="21"/>
                <w:highlight w:val="none"/>
              </w:rPr>
            </w:pPr>
          </w:p>
        </w:tc>
        <w:tc>
          <w:tcPr>
            <w:tcW w:w="913" w:type="dxa"/>
            <w:tcBorders>
              <w:top w:val="nil"/>
              <w:left w:val="nil"/>
              <w:bottom w:val="single" w:color="auto" w:sz="4" w:space="0"/>
              <w:right w:val="single" w:color="auto" w:sz="4" w:space="0"/>
            </w:tcBorders>
            <w:vAlign w:val="center"/>
          </w:tcPr>
          <w:p w14:paraId="63825A16">
            <w:pPr>
              <w:widowControl/>
              <w:jc w:val="left"/>
              <w:rPr>
                <w:kern w:val="0"/>
                <w:sz w:val="21"/>
                <w:szCs w:val="21"/>
                <w:highlight w:val="none"/>
              </w:rPr>
            </w:pPr>
          </w:p>
        </w:tc>
        <w:tc>
          <w:tcPr>
            <w:tcW w:w="1098" w:type="dxa"/>
            <w:tcBorders>
              <w:top w:val="nil"/>
              <w:left w:val="nil"/>
              <w:bottom w:val="single" w:color="auto" w:sz="4" w:space="0"/>
              <w:right w:val="single" w:color="auto" w:sz="4" w:space="0"/>
            </w:tcBorders>
            <w:vAlign w:val="center"/>
          </w:tcPr>
          <w:p w14:paraId="5B4B7EA5">
            <w:pPr>
              <w:widowControl/>
              <w:jc w:val="left"/>
              <w:rPr>
                <w:kern w:val="0"/>
                <w:sz w:val="21"/>
                <w:szCs w:val="21"/>
                <w:highlight w:val="none"/>
              </w:rPr>
            </w:pPr>
          </w:p>
        </w:tc>
        <w:tc>
          <w:tcPr>
            <w:tcW w:w="764" w:type="dxa"/>
            <w:tcBorders>
              <w:top w:val="nil"/>
              <w:left w:val="nil"/>
              <w:bottom w:val="single" w:color="auto" w:sz="4" w:space="0"/>
              <w:right w:val="single" w:color="auto" w:sz="4" w:space="0"/>
            </w:tcBorders>
            <w:vAlign w:val="center"/>
          </w:tcPr>
          <w:p w14:paraId="72C75844">
            <w:pPr>
              <w:widowControl/>
              <w:jc w:val="left"/>
              <w:rPr>
                <w:kern w:val="0"/>
                <w:sz w:val="21"/>
                <w:szCs w:val="21"/>
                <w:highlight w:val="none"/>
              </w:rPr>
            </w:pPr>
          </w:p>
        </w:tc>
      </w:tr>
      <w:tr w14:paraId="76FA5D10">
        <w:tblPrEx>
          <w:tblCellMar>
            <w:top w:w="0" w:type="dxa"/>
            <w:left w:w="108" w:type="dxa"/>
            <w:bottom w:w="0" w:type="dxa"/>
            <w:right w:w="108" w:type="dxa"/>
          </w:tblCellMar>
        </w:tblPrEx>
        <w:trPr>
          <w:trHeight w:val="418" w:hRule="atLeast"/>
          <w:jc w:val="center"/>
        </w:trPr>
        <w:tc>
          <w:tcPr>
            <w:tcW w:w="734" w:type="dxa"/>
            <w:tcBorders>
              <w:top w:val="nil"/>
              <w:left w:val="single" w:color="auto" w:sz="4" w:space="0"/>
              <w:bottom w:val="single" w:color="auto" w:sz="4" w:space="0"/>
              <w:right w:val="single" w:color="auto" w:sz="4" w:space="0"/>
            </w:tcBorders>
            <w:shd w:val="clear" w:color="auto" w:fill="auto"/>
            <w:vAlign w:val="center"/>
          </w:tcPr>
          <w:p w14:paraId="35329214">
            <w:pPr>
              <w:widowControl/>
              <w:jc w:val="center"/>
              <w:rPr>
                <w:rFonts w:hint="default" w:ascii="Times New Roman" w:hAnsi="Times New Roman" w:eastAsia="宋体" w:cs="Times New Roman"/>
                <w:kern w:val="0"/>
                <w:sz w:val="21"/>
                <w:szCs w:val="21"/>
                <w:highlight w:val="none"/>
                <w:lang w:val="en-US" w:eastAsia="zh-CN" w:bidi="ar-SA"/>
              </w:rPr>
            </w:pPr>
            <w:r>
              <w:rPr>
                <w:rFonts w:hint="eastAsia"/>
                <w:kern w:val="0"/>
                <w:sz w:val="21"/>
                <w:szCs w:val="21"/>
                <w:highlight w:val="none"/>
                <w:lang w:val="en-US" w:eastAsia="zh-CN"/>
              </w:rPr>
              <w:t>1.2</w:t>
            </w:r>
          </w:p>
        </w:tc>
        <w:tc>
          <w:tcPr>
            <w:tcW w:w="1161" w:type="dxa"/>
            <w:tcBorders>
              <w:top w:val="nil"/>
              <w:left w:val="nil"/>
              <w:bottom w:val="single" w:color="auto" w:sz="4" w:space="0"/>
              <w:right w:val="single" w:color="auto" w:sz="4" w:space="0"/>
            </w:tcBorders>
            <w:shd w:val="clear" w:color="auto" w:fill="auto"/>
            <w:vAlign w:val="center"/>
          </w:tcPr>
          <w:p w14:paraId="46E54213">
            <w:pPr>
              <w:widowControl/>
              <w:jc w:val="center"/>
              <w:rPr>
                <w:rFonts w:hint="default" w:ascii="Times New Roman" w:hAnsi="Times New Roman" w:eastAsia="宋体" w:cs="Times New Roman"/>
                <w:kern w:val="0"/>
                <w:sz w:val="21"/>
                <w:szCs w:val="21"/>
                <w:highlight w:val="none"/>
                <w:lang w:val="en-US" w:eastAsia="zh-CN" w:bidi="ar-SA"/>
              </w:rPr>
            </w:pPr>
            <w:r>
              <w:rPr>
                <w:rFonts w:hint="eastAsia" w:ascii="宋体" w:hAnsi="宋体" w:eastAsia="宋体" w:cs="宋体"/>
                <w:kern w:val="0"/>
                <w:sz w:val="21"/>
                <w:szCs w:val="21"/>
                <w:highlight w:val="none"/>
                <w:lang w:val="en-US" w:eastAsia="zh-CN"/>
              </w:rPr>
              <w:t>……</w:t>
            </w:r>
          </w:p>
        </w:tc>
        <w:tc>
          <w:tcPr>
            <w:tcW w:w="3102" w:type="dxa"/>
            <w:tcBorders>
              <w:top w:val="nil"/>
              <w:left w:val="nil"/>
              <w:bottom w:val="single" w:color="auto" w:sz="4" w:space="0"/>
              <w:right w:val="single" w:color="auto" w:sz="4" w:space="0"/>
            </w:tcBorders>
            <w:shd w:val="clear" w:color="auto" w:fill="auto"/>
            <w:vAlign w:val="center"/>
          </w:tcPr>
          <w:p w14:paraId="265F32D5">
            <w:pPr>
              <w:widowControl/>
              <w:ind w:firstLine="0" w:firstLineChars="0"/>
              <w:jc w:val="left"/>
              <w:rPr>
                <w:rFonts w:ascii="Times New Roman" w:hAnsi="Times New Roman" w:eastAsia="宋体" w:cs="Times New Roman"/>
                <w:kern w:val="0"/>
                <w:sz w:val="21"/>
                <w:szCs w:val="21"/>
                <w:highlight w:val="none"/>
                <w:lang w:val="en-US" w:eastAsia="zh-CN" w:bidi="ar-SA"/>
              </w:rPr>
            </w:pPr>
            <w:r>
              <w:rPr>
                <w:rFonts w:hint="eastAsia"/>
                <w:kern w:val="0"/>
                <w:sz w:val="21"/>
                <w:szCs w:val="21"/>
                <w:highlight w:val="none"/>
              </w:rPr>
              <w:t>安全文明施工</w:t>
            </w:r>
            <w:r>
              <w:rPr>
                <w:rFonts w:hint="eastAsia"/>
                <w:kern w:val="0"/>
                <w:sz w:val="21"/>
                <w:szCs w:val="21"/>
                <w:highlight w:val="none"/>
                <w:lang w:val="en-US" w:eastAsia="zh-CN"/>
              </w:rPr>
              <w:t>费</w:t>
            </w:r>
            <w:r>
              <w:rPr>
                <w:rFonts w:hint="eastAsia"/>
                <w:kern w:val="0"/>
                <w:sz w:val="21"/>
                <w:szCs w:val="21"/>
                <w:highlight w:val="none"/>
              </w:rPr>
              <w:t>（按清单列项）</w:t>
            </w:r>
          </w:p>
        </w:tc>
        <w:tc>
          <w:tcPr>
            <w:tcW w:w="1063" w:type="dxa"/>
            <w:gridSpan w:val="2"/>
            <w:tcBorders>
              <w:top w:val="nil"/>
              <w:left w:val="nil"/>
              <w:bottom w:val="single" w:color="auto" w:sz="4" w:space="0"/>
              <w:right w:val="single" w:color="auto" w:sz="4" w:space="0"/>
            </w:tcBorders>
            <w:vAlign w:val="center"/>
          </w:tcPr>
          <w:p w14:paraId="730B2676">
            <w:pPr>
              <w:widowControl/>
              <w:jc w:val="left"/>
              <w:rPr>
                <w:kern w:val="0"/>
                <w:sz w:val="21"/>
                <w:szCs w:val="21"/>
                <w:highlight w:val="none"/>
              </w:rPr>
            </w:pPr>
          </w:p>
        </w:tc>
        <w:tc>
          <w:tcPr>
            <w:tcW w:w="1062" w:type="dxa"/>
            <w:tcBorders>
              <w:top w:val="nil"/>
              <w:left w:val="nil"/>
              <w:bottom w:val="single" w:color="auto" w:sz="4" w:space="0"/>
              <w:right w:val="single" w:color="auto" w:sz="4" w:space="0"/>
            </w:tcBorders>
            <w:vAlign w:val="center"/>
          </w:tcPr>
          <w:p w14:paraId="4855D4E4">
            <w:pPr>
              <w:widowControl/>
              <w:jc w:val="left"/>
              <w:rPr>
                <w:kern w:val="0"/>
                <w:sz w:val="21"/>
                <w:szCs w:val="21"/>
                <w:highlight w:val="none"/>
              </w:rPr>
            </w:pPr>
          </w:p>
        </w:tc>
        <w:tc>
          <w:tcPr>
            <w:tcW w:w="913" w:type="dxa"/>
            <w:tcBorders>
              <w:top w:val="nil"/>
              <w:left w:val="nil"/>
              <w:bottom w:val="single" w:color="auto" w:sz="4" w:space="0"/>
              <w:right w:val="single" w:color="auto" w:sz="4" w:space="0"/>
            </w:tcBorders>
            <w:vAlign w:val="center"/>
          </w:tcPr>
          <w:p w14:paraId="6DC50223">
            <w:pPr>
              <w:widowControl/>
              <w:jc w:val="left"/>
              <w:rPr>
                <w:kern w:val="0"/>
                <w:sz w:val="21"/>
                <w:szCs w:val="21"/>
                <w:highlight w:val="none"/>
              </w:rPr>
            </w:pPr>
          </w:p>
        </w:tc>
        <w:tc>
          <w:tcPr>
            <w:tcW w:w="1098" w:type="dxa"/>
            <w:tcBorders>
              <w:top w:val="nil"/>
              <w:left w:val="nil"/>
              <w:bottom w:val="single" w:color="auto" w:sz="4" w:space="0"/>
              <w:right w:val="single" w:color="auto" w:sz="4" w:space="0"/>
            </w:tcBorders>
            <w:vAlign w:val="center"/>
          </w:tcPr>
          <w:p w14:paraId="70EF4686">
            <w:pPr>
              <w:widowControl/>
              <w:jc w:val="left"/>
              <w:rPr>
                <w:kern w:val="0"/>
                <w:sz w:val="21"/>
                <w:szCs w:val="21"/>
                <w:highlight w:val="none"/>
              </w:rPr>
            </w:pPr>
          </w:p>
        </w:tc>
        <w:tc>
          <w:tcPr>
            <w:tcW w:w="764" w:type="dxa"/>
            <w:tcBorders>
              <w:top w:val="nil"/>
              <w:left w:val="nil"/>
              <w:bottom w:val="single" w:color="auto" w:sz="4" w:space="0"/>
              <w:right w:val="single" w:color="auto" w:sz="4" w:space="0"/>
            </w:tcBorders>
            <w:vAlign w:val="center"/>
          </w:tcPr>
          <w:p w14:paraId="3D53F61B">
            <w:pPr>
              <w:widowControl/>
              <w:jc w:val="left"/>
              <w:rPr>
                <w:kern w:val="0"/>
                <w:sz w:val="21"/>
                <w:szCs w:val="21"/>
                <w:highlight w:val="none"/>
              </w:rPr>
            </w:pPr>
          </w:p>
        </w:tc>
      </w:tr>
      <w:tr w14:paraId="24F8A5EC">
        <w:tblPrEx>
          <w:tblCellMar>
            <w:top w:w="0" w:type="dxa"/>
            <w:left w:w="108" w:type="dxa"/>
            <w:bottom w:w="0" w:type="dxa"/>
            <w:right w:w="108" w:type="dxa"/>
          </w:tblCellMar>
        </w:tblPrEx>
        <w:trPr>
          <w:trHeight w:val="418" w:hRule="atLeast"/>
          <w:jc w:val="center"/>
        </w:trPr>
        <w:tc>
          <w:tcPr>
            <w:tcW w:w="734" w:type="dxa"/>
            <w:tcBorders>
              <w:top w:val="nil"/>
              <w:left w:val="single" w:color="auto" w:sz="4" w:space="0"/>
              <w:bottom w:val="single" w:color="auto" w:sz="4" w:space="0"/>
              <w:right w:val="single" w:color="auto" w:sz="4" w:space="0"/>
            </w:tcBorders>
            <w:shd w:val="clear" w:color="auto" w:fill="auto"/>
            <w:vAlign w:val="center"/>
          </w:tcPr>
          <w:p w14:paraId="5E418C77">
            <w:pPr>
              <w:widowControl/>
              <w:jc w:val="center"/>
              <w:rPr>
                <w:rFonts w:hint="default" w:ascii="Times New Roman" w:hAnsi="Times New Roman" w:eastAsia="宋体" w:cs="Times New Roman"/>
                <w:kern w:val="0"/>
                <w:sz w:val="21"/>
                <w:szCs w:val="21"/>
                <w:highlight w:val="none"/>
                <w:lang w:val="en-US" w:eastAsia="zh-CN" w:bidi="ar-SA"/>
              </w:rPr>
            </w:pPr>
            <w:r>
              <w:rPr>
                <w:rFonts w:hint="eastAsia"/>
                <w:kern w:val="0"/>
                <w:sz w:val="21"/>
                <w:szCs w:val="21"/>
                <w:highlight w:val="none"/>
                <w:lang w:val="en-US" w:eastAsia="zh-CN"/>
              </w:rPr>
              <w:t>1.2.1</w:t>
            </w:r>
          </w:p>
        </w:tc>
        <w:tc>
          <w:tcPr>
            <w:tcW w:w="1161" w:type="dxa"/>
            <w:tcBorders>
              <w:top w:val="nil"/>
              <w:left w:val="nil"/>
              <w:bottom w:val="single" w:color="auto" w:sz="4" w:space="0"/>
              <w:right w:val="single" w:color="auto" w:sz="4" w:space="0"/>
            </w:tcBorders>
            <w:shd w:val="clear" w:color="auto" w:fill="auto"/>
            <w:vAlign w:val="center"/>
          </w:tcPr>
          <w:p w14:paraId="6B4D41DC">
            <w:pPr>
              <w:widowControl/>
              <w:jc w:val="center"/>
              <w:rPr>
                <w:rFonts w:hint="default" w:ascii="Times New Roman" w:hAnsi="Times New Roman" w:eastAsia="宋体" w:cs="Times New Roman"/>
                <w:kern w:val="0"/>
                <w:sz w:val="21"/>
                <w:szCs w:val="21"/>
                <w:highlight w:val="none"/>
                <w:lang w:val="en-US" w:eastAsia="zh-CN" w:bidi="ar-SA"/>
              </w:rPr>
            </w:pPr>
            <w:r>
              <w:rPr>
                <w:rFonts w:hint="eastAsia" w:ascii="宋体" w:hAnsi="宋体" w:eastAsia="宋体" w:cs="宋体"/>
                <w:kern w:val="0"/>
                <w:sz w:val="21"/>
                <w:szCs w:val="21"/>
                <w:highlight w:val="none"/>
                <w:lang w:val="en-US" w:eastAsia="zh-CN"/>
              </w:rPr>
              <w:t>……</w:t>
            </w:r>
          </w:p>
        </w:tc>
        <w:tc>
          <w:tcPr>
            <w:tcW w:w="3102" w:type="dxa"/>
            <w:tcBorders>
              <w:top w:val="nil"/>
              <w:left w:val="nil"/>
              <w:bottom w:val="single" w:color="auto" w:sz="4" w:space="0"/>
              <w:right w:val="single" w:color="auto" w:sz="4" w:space="0"/>
            </w:tcBorders>
            <w:shd w:val="clear" w:color="auto" w:fill="auto"/>
            <w:vAlign w:val="center"/>
          </w:tcPr>
          <w:p w14:paraId="54318B0E">
            <w:pPr>
              <w:widowControl/>
              <w:jc w:val="left"/>
              <w:rPr>
                <w:rFonts w:ascii="Times New Roman" w:hAnsi="Times New Roman" w:eastAsia="宋体" w:cs="Times New Roman"/>
                <w:kern w:val="0"/>
                <w:sz w:val="21"/>
                <w:szCs w:val="21"/>
                <w:highlight w:val="none"/>
                <w:lang w:val="en-US" w:eastAsia="zh-CN" w:bidi="ar-SA"/>
              </w:rPr>
            </w:pPr>
            <w:r>
              <w:rPr>
                <w:rFonts w:hint="eastAsia"/>
                <w:kern w:val="0"/>
                <w:sz w:val="21"/>
                <w:szCs w:val="21"/>
                <w:highlight w:val="none"/>
              </w:rPr>
              <w:t>施工区与外部环境隔离的装配式钢结构围挡、PVC围挡、铁马、水马</w:t>
            </w:r>
          </w:p>
        </w:tc>
        <w:tc>
          <w:tcPr>
            <w:tcW w:w="1063" w:type="dxa"/>
            <w:gridSpan w:val="2"/>
            <w:tcBorders>
              <w:top w:val="nil"/>
              <w:left w:val="nil"/>
              <w:bottom w:val="single" w:color="auto" w:sz="4" w:space="0"/>
              <w:right w:val="single" w:color="auto" w:sz="4" w:space="0"/>
            </w:tcBorders>
            <w:vAlign w:val="center"/>
          </w:tcPr>
          <w:p w14:paraId="647DCDBA">
            <w:pPr>
              <w:widowControl/>
              <w:jc w:val="left"/>
              <w:rPr>
                <w:kern w:val="0"/>
                <w:sz w:val="21"/>
                <w:szCs w:val="21"/>
                <w:highlight w:val="none"/>
              </w:rPr>
            </w:pPr>
          </w:p>
        </w:tc>
        <w:tc>
          <w:tcPr>
            <w:tcW w:w="1062" w:type="dxa"/>
            <w:tcBorders>
              <w:top w:val="nil"/>
              <w:left w:val="nil"/>
              <w:bottom w:val="single" w:color="auto" w:sz="4" w:space="0"/>
              <w:right w:val="single" w:color="auto" w:sz="4" w:space="0"/>
            </w:tcBorders>
            <w:vAlign w:val="center"/>
          </w:tcPr>
          <w:p w14:paraId="5D9E4EF0">
            <w:pPr>
              <w:widowControl/>
              <w:jc w:val="left"/>
              <w:rPr>
                <w:kern w:val="0"/>
                <w:sz w:val="21"/>
                <w:szCs w:val="21"/>
                <w:highlight w:val="none"/>
              </w:rPr>
            </w:pPr>
          </w:p>
        </w:tc>
        <w:tc>
          <w:tcPr>
            <w:tcW w:w="913" w:type="dxa"/>
            <w:tcBorders>
              <w:top w:val="nil"/>
              <w:left w:val="nil"/>
              <w:bottom w:val="single" w:color="auto" w:sz="4" w:space="0"/>
              <w:right w:val="single" w:color="auto" w:sz="4" w:space="0"/>
            </w:tcBorders>
            <w:vAlign w:val="center"/>
          </w:tcPr>
          <w:p w14:paraId="668E137A">
            <w:pPr>
              <w:widowControl/>
              <w:jc w:val="left"/>
              <w:rPr>
                <w:kern w:val="0"/>
                <w:sz w:val="21"/>
                <w:szCs w:val="21"/>
                <w:highlight w:val="none"/>
              </w:rPr>
            </w:pPr>
          </w:p>
        </w:tc>
        <w:tc>
          <w:tcPr>
            <w:tcW w:w="1098" w:type="dxa"/>
            <w:tcBorders>
              <w:top w:val="nil"/>
              <w:left w:val="nil"/>
              <w:bottom w:val="single" w:color="auto" w:sz="4" w:space="0"/>
              <w:right w:val="single" w:color="auto" w:sz="4" w:space="0"/>
            </w:tcBorders>
            <w:vAlign w:val="center"/>
          </w:tcPr>
          <w:p w14:paraId="67FA232D">
            <w:pPr>
              <w:widowControl/>
              <w:jc w:val="left"/>
              <w:rPr>
                <w:kern w:val="0"/>
                <w:sz w:val="21"/>
                <w:szCs w:val="21"/>
                <w:highlight w:val="none"/>
              </w:rPr>
            </w:pPr>
          </w:p>
        </w:tc>
        <w:tc>
          <w:tcPr>
            <w:tcW w:w="764" w:type="dxa"/>
            <w:tcBorders>
              <w:top w:val="nil"/>
              <w:left w:val="nil"/>
              <w:bottom w:val="single" w:color="auto" w:sz="4" w:space="0"/>
              <w:right w:val="single" w:color="auto" w:sz="4" w:space="0"/>
            </w:tcBorders>
            <w:vAlign w:val="center"/>
          </w:tcPr>
          <w:p w14:paraId="3181E66D">
            <w:pPr>
              <w:widowControl/>
              <w:jc w:val="left"/>
              <w:rPr>
                <w:kern w:val="0"/>
                <w:sz w:val="21"/>
                <w:szCs w:val="21"/>
                <w:highlight w:val="none"/>
              </w:rPr>
            </w:pPr>
          </w:p>
        </w:tc>
      </w:tr>
      <w:tr w14:paraId="1E4E0679">
        <w:tblPrEx>
          <w:tblCellMar>
            <w:top w:w="0" w:type="dxa"/>
            <w:left w:w="108" w:type="dxa"/>
            <w:bottom w:w="0" w:type="dxa"/>
            <w:right w:w="108" w:type="dxa"/>
          </w:tblCellMar>
        </w:tblPrEx>
        <w:trPr>
          <w:trHeight w:val="418" w:hRule="atLeast"/>
          <w:jc w:val="center"/>
        </w:trPr>
        <w:tc>
          <w:tcPr>
            <w:tcW w:w="734" w:type="dxa"/>
            <w:tcBorders>
              <w:top w:val="nil"/>
              <w:left w:val="single" w:color="auto" w:sz="4" w:space="0"/>
              <w:bottom w:val="single" w:color="auto" w:sz="4" w:space="0"/>
              <w:right w:val="single" w:color="auto" w:sz="4" w:space="0"/>
            </w:tcBorders>
            <w:shd w:val="clear" w:color="auto" w:fill="auto"/>
            <w:vAlign w:val="center"/>
          </w:tcPr>
          <w:p w14:paraId="03FC084E">
            <w:pPr>
              <w:widowControl/>
              <w:jc w:val="center"/>
              <w:rPr>
                <w:rFonts w:hint="default" w:ascii="Times New Roman" w:hAnsi="Times New Roman" w:eastAsia="宋体" w:cs="Times New Roman"/>
                <w:kern w:val="0"/>
                <w:sz w:val="21"/>
                <w:szCs w:val="21"/>
                <w:highlight w:val="none"/>
                <w:lang w:val="en-US" w:eastAsia="zh-CN" w:bidi="ar-SA"/>
              </w:rPr>
            </w:pPr>
            <w:r>
              <w:rPr>
                <w:rFonts w:hint="eastAsia"/>
                <w:kern w:val="0"/>
                <w:sz w:val="21"/>
                <w:szCs w:val="21"/>
                <w:highlight w:val="none"/>
                <w:lang w:val="en-US" w:eastAsia="zh-CN"/>
              </w:rPr>
              <w:t>1.2.2</w:t>
            </w:r>
          </w:p>
        </w:tc>
        <w:tc>
          <w:tcPr>
            <w:tcW w:w="1161" w:type="dxa"/>
            <w:tcBorders>
              <w:top w:val="nil"/>
              <w:left w:val="nil"/>
              <w:bottom w:val="single" w:color="auto" w:sz="4" w:space="0"/>
              <w:right w:val="single" w:color="auto" w:sz="4" w:space="0"/>
            </w:tcBorders>
            <w:shd w:val="clear" w:color="auto" w:fill="auto"/>
            <w:vAlign w:val="center"/>
          </w:tcPr>
          <w:p w14:paraId="2F88D2D8">
            <w:pPr>
              <w:widowControl/>
              <w:jc w:val="center"/>
              <w:rPr>
                <w:rFonts w:hint="default" w:ascii="Times New Roman" w:hAnsi="Times New Roman" w:eastAsia="宋体" w:cs="Times New Roman"/>
                <w:kern w:val="0"/>
                <w:sz w:val="21"/>
                <w:szCs w:val="21"/>
                <w:highlight w:val="none"/>
                <w:lang w:val="en-US" w:eastAsia="zh-CN" w:bidi="ar-SA"/>
              </w:rPr>
            </w:pPr>
            <w:r>
              <w:rPr>
                <w:rFonts w:hint="eastAsia" w:ascii="宋体" w:hAnsi="宋体" w:eastAsia="宋体" w:cs="宋体"/>
                <w:kern w:val="0"/>
                <w:sz w:val="21"/>
                <w:szCs w:val="21"/>
                <w:highlight w:val="none"/>
                <w:lang w:val="en-US" w:eastAsia="zh-CN"/>
              </w:rPr>
              <w:t>……</w:t>
            </w:r>
          </w:p>
        </w:tc>
        <w:tc>
          <w:tcPr>
            <w:tcW w:w="3102" w:type="dxa"/>
            <w:tcBorders>
              <w:top w:val="nil"/>
              <w:left w:val="nil"/>
              <w:bottom w:val="single" w:color="auto" w:sz="4" w:space="0"/>
              <w:right w:val="single" w:color="auto" w:sz="4" w:space="0"/>
            </w:tcBorders>
            <w:shd w:val="clear" w:color="auto" w:fill="auto"/>
            <w:vAlign w:val="center"/>
          </w:tcPr>
          <w:p w14:paraId="2F34B402">
            <w:pPr>
              <w:widowControl/>
              <w:jc w:val="left"/>
              <w:rPr>
                <w:rFonts w:hint="eastAsia" w:ascii="Times New Roman" w:hAnsi="Times New Roman" w:eastAsia="宋体" w:cs="Times New Roman"/>
                <w:kern w:val="0"/>
                <w:sz w:val="21"/>
                <w:szCs w:val="21"/>
                <w:highlight w:val="none"/>
                <w:lang w:val="en-US" w:eastAsia="zh-CN" w:bidi="ar-SA"/>
              </w:rPr>
            </w:pPr>
            <w:r>
              <w:rPr>
                <w:kern w:val="0"/>
                <w:sz w:val="21"/>
                <w:szCs w:val="21"/>
                <w:highlight w:val="none"/>
              </w:rPr>
              <w:t>基坑内场地硬地化</w:t>
            </w:r>
          </w:p>
        </w:tc>
        <w:tc>
          <w:tcPr>
            <w:tcW w:w="1063" w:type="dxa"/>
            <w:gridSpan w:val="2"/>
            <w:tcBorders>
              <w:top w:val="nil"/>
              <w:left w:val="nil"/>
              <w:bottom w:val="single" w:color="auto" w:sz="4" w:space="0"/>
              <w:right w:val="single" w:color="auto" w:sz="4" w:space="0"/>
            </w:tcBorders>
            <w:vAlign w:val="center"/>
          </w:tcPr>
          <w:p w14:paraId="687ADAF6">
            <w:pPr>
              <w:widowControl/>
              <w:jc w:val="left"/>
              <w:rPr>
                <w:kern w:val="0"/>
                <w:sz w:val="21"/>
                <w:szCs w:val="21"/>
                <w:highlight w:val="none"/>
              </w:rPr>
            </w:pPr>
          </w:p>
        </w:tc>
        <w:tc>
          <w:tcPr>
            <w:tcW w:w="1062" w:type="dxa"/>
            <w:tcBorders>
              <w:top w:val="nil"/>
              <w:left w:val="nil"/>
              <w:bottom w:val="single" w:color="auto" w:sz="4" w:space="0"/>
              <w:right w:val="single" w:color="auto" w:sz="4" w:space="0"/>
            </w:tcBorders>
            <w:vAlign w:val="center"/>
          </w:tcPr>
          <w:p w14:paraId="5B83CDA6">
            <w:pPr>
              <w:widowControl/>
              <w:jc w:val="left"/>
              <w:rPr>
                <w:kern w:val="0"/>
                <w:sz w:val="21"/>
                <w:szCs w:val="21"/>
                <w:highlight w:val="none"/>
              </w:rPr>
            </w:pPr>
          </w:p>
        </w:tc>
        <w:tc>
          <w:tcPr>
            <w:tcW w:w="913" w:type="dxa"/>
            <w:tcBorders>
              <w:top w:val="nil"/>
              <w:left w:val="nil"/>
              <w:bottom w:val="single" w:color="auto" w:sz="4" w:space="0"/>
              <w:right w:val="single" w:color="auto" w:sz="4" w:space="0"/>
            </w:tcBorders>
            <w:vAlign w:val="center"/>
          </w:tcPr>
          <w:p w14:paraId="260610F5">
            <w:pPr>
              <w:widowControl/>
              <w:jc w:val="left"/>
              <w:rPr>
                <w:kern w:val="0"/>
                <w:sz w:val="21"/>
                <w:szCs w:val="21"/>
                <w:highlight w:val="none"/>
              </w:rPr>
            </w:pPr>
          </w:p>
        </w:tc>
        <w:tc>
          <w:tcPr>
            <w:tcW w:w="1098" w:type="dxa"/>
            <w:tcBorders>
              <w:top w:val="nil"/>
              <w:left w:val="nil"/>
              <w:bottom w:val="single" w:color="auto" w:sz="4" w:space="0"/>
              <w:right w:val="single" w:color="auto" w:sz="4" w:space="0"/>
            </w:tcBorders>
            <w:vAlign w:val="center"/>
          </w:tcPr>
          <w:p w14:paraId="78C42E91">
            <w:pPr>
              <w:widowControl/>
              <w:jc w:val="left"/>
              <w:rPr>
                <w:kern w:val="0"/>
                <w:sz w:val="21"/>
                <w:szCs w:val="21"/>
                <w:highlight w:val="none"/>
              </w:rPr>
            </w:pPr>
          </w:p>
        </w:tc>
        <w:tc>
          <w:tcPr>
            <w:tcW w:w="764" w:type="dxa"/>
            <w:tcBorders>
              <w:top w:val="nil"/>
              <w:left w:val="nil"/>
              <w:bottom w:val="single" w:color="auto" w:sz="4" w:space="0"/>
              <w:right w:val="single" w:color="auto" w:sz="4" w:space="0"/>
            </w:tcBorders>
            <w:vAlign w:val="center"/>
          </w:tcPr>
          <w:p w14:paraId="302AFFA2">
            <w:pPr>
              <w:widowControl/>
              <w:jc w:val="left"/>
              <w:rPr>
                <w:kern w:val="0"/>
                <w:sz w:val="21"/>
                <w:szCs w:val="21"/>
                <w:highlight w:val="none"/>
              </w:rPr>
            </w:pPr>
          </w:p>
        </w:tc>
      </w:tr>
      <w:tr w14:paraId="68EEBC24">
        <w:tblPrEx>
          <w:tblCellMar>
            <w:top w:w="0" w:type="dxa"/>
            <w:left w:w="108" w:type="dxa"/>
            <w:bottom w:w="0" w:type="dxa"/>
            <w:right w:w="108" w:type="dxa"/>
          </w:tblCellMar>
        </w:tblPrEx>
        <w:trPr>
          <w:trHeight w:val="418" w:hRule="atLeast"/>
          <w:jc w:val="center"/>
        </w:trPr>
        <w:tc>
          <w:tcPr>
            <w:tcW w:w="734" w:type="dxa"/>
            <w:tcBorders>
              <w:top w:val="nil"/>
              <w:left w:val="single" w:color="auto" w:sz="4" w:space="0"/>
              <w:bottom w:val="single" w:color="auto" w:sz="4" w:space="0"/>
              <w:right w:val="single" w:color="auto" w:sz="4" w:space="0"/>
            </w:tcBorders>
            <w:shd w:val="clear" w:color="auto" w:fill="auto"/>
            <w:vAlign w:val="center"/>
          </w:tcPr>
          <w:p w14:paraId="684BBCA9">
            <w:pPr>
              <w:widowControl/>
              <w:jc w:val="center"/>
              <w:rPr>
                <w:rFonts w:hint="default" w:ascii="Times New Roman" w:hAnsi="Times New Roman" w:eastAsia="宋体" w:cs="Times New Roman"/>
                <w:kern w:val="0"/>
                <w:sz w:val="21"/>
                <w:szCs w:val="21"/>
                <w:highlight w:val="none"/>
                <w:lang w:val="en-US" w:eastAsia="zh-CN" w:bidi="ar-SA"/>
              </w:rPr>
            </w:pPr>
            <w:r>
              <w:rPr>
                <w:rFonts w:hint="eastAsia"/>
                <w:kern w:val="0"/>
                <w:sz w:val="21"/>
                <w:szCs w:val="21"/>
                <w:highlight w:val="none"/>
                <w:lang w:val="en-US" w:eastAsia="zh-CN"/>
              </w:rPr>
              <w:t>1.2.3</w:t>
            </w:r>
          </w:p>
        </w:tc>
        <w:tc>
          <w:tcPr>
            <w:tcW w:w="1161" w:type="dxa"/>
            <w:tcBorders>
              <w:top w:val="nil"/>
              <w:left w:val="nil"/>
              <w:bottom w:val="single" w:color="auto" w:sz="4" w:space="0"/>
              <w:right w:val="single" w:color="auto" w:sz="4" w:space="0"/>
            </w:tcBorders>
            <w:shd w:val="clear" w:color="auto" w:fill="auto"/>
            <w:vAlign w:val="center"/>
          </w:tcPr>
          <w:p w14:paraId="3055C6B7">
            <w:pPr>
              <w:widowControl/>
              <w:jc w:val="center"/>
              <w:rPr>
                <w:rFonts w:hint="default" w:ascii="Times New Roman" w:hAnsi="Times New Roman" w:eastAsia="宋体" w:cs="Times New Roman"/>
                <w:kern w:val="0"/>
                <w:sz w:val="21"/>
                <w:szCs w:val="21"/>
                <w:highlight w:val="none"/>
                <w:lang w:val="en-US" w:eastAsia="zh-CN" w:bidi="ar-SA"/>
              </w:rPr>
            </w:pPr>
            <w:r>
              <w:rPr>
                <w:rFonts w:hint="eastAsia" w:ascii="宋体" w:hAnsi="宋体" w:eastAsia="宋体" w:cs="宋体"/>
                <w:kern w:val="0"/>
                <w:sz w:val="21"/>
                <w:szCs w:val="21"/>
                <w:highlight w:val="none"/>
                <w:lang w:val="en-US" w:eastAsia="zh-CN"/>
              </w:rPr>
              <w:t>……</w:t>
            </w:r>
          </w:p>
        </w:tc>
        <w:tc>
          <w:tcPr>
            <w:tcW w:w="3102" w:type="dxa"/>
            <w:tcBorders>
              <w:top w:val="nil"/>
              <w:left w:val="nil"/>
              <w:bottom w:val="single" w:color="auto" w:sz="4" w:space="0"/>
              <w:right w:val="single" w:color="auto" w:sz="4" w:space="0"/>
            </w:tcBorders>
            <w:shd w:val="clear" w:color="auto" w:fill="auto"/>
            <w:vAlign w:val="center"/>
          </w:tcPr>
          <w:p w14:paraId="399E2045">
            <w:pPr>
              <w:widowControl/>
              <w:jc w:val="left"/>
              <w:rPr>
                <w:rFonts w:ascii="Times New Roman" w:hAnsi="Times New Roman" w:eastAsia="宋体" w:cs="Times New Roman"/>
                <w:kern w:val="0"/>
                <w:sz w:val="21"/>
                <w:szCs w:val="21"/>
                <w:highlight w:val="none"/>
                <w:lang w:val="en-US" w:eastAsia="zh-CN" w:bidi="ar-SA"/>
              </w:rPr>
            </w:pPr>
            <w:r>
              <w:rPr>
                <w:rFonts w:hint="eastAsia"/>
                <w:kern w:val="0"/>
                <w:sz w:val="21"/>
                <w:szCs w:val="21"/>
                <w:highlight w:val="none"/>
              </w:rPr>
              <w:t>施工区裸土覆盖、施工区临时排水沟、施工区临时集水井</w:t>
            </w:r>
          </w:p>
        </w:tc>
        <w:tc>
          <w:tcPr>
            <w:tcW w:w="1063" w:type="dxa"/>
            <w:gridSpan w:val="2"/>
            <w:tcBorders>
              <w:top w:val="nil"/>
              <w:left w:val="nil"/>
              <w:bottom w:val="single" w:color="auto" w:sz="4" w:space="0"/>
              <w:right w:val="single" w:color="auto" w:sz="4" w:space="0"/>
            </w:tcBorders>
            <w:vAlign w:val="center"/>
          </w:tcPr>
          <w:p w14:paraId="781D9481">
            <w:pPr>
              <w:widowControl/>
              <w:jc w:val="left"/>
              <w:rPr>
                <w:kern w:val="0"/>
                <w:sz w:val="21"/>
                <w:szCs w:val="21"/>
                <w:highlight w:val="none"/>
              </w:rPr>
            </w:pPr>
          </w:p>
        </w:tc>
        <w:tc>
          <w:tcPr>
            <w:tcW w:w="1062" w:type="dxa"/>
            <w:tcBorders>
              <w:top w:val="nil"/>
              <w:left w:val="nil"/>
              <w:bottom w:val="single" w:color="auto" w:sz="4" w:space="0"/>
              <w:right w:val="single" w:color="auto" w:sz="4" w:space="0"/>
            </w:tcBorders>
            <w:vAlign w:val="center"/>
          </w:tcPr>
          <w:p w14:paraId="508E12D8">
            <w:pPr>
              <w:widowControl/>
              <w:jc w:val="left"/>
              <w:rPr>
                <w:kern w:val="0"/>
                <w:sz w:val="21"/>
                <w:szCs w:val="21"/>
                <w:highlight w:val="none"/>
              </w:rPr>
            </w:pPr>
          </w:p>
        </w:tc>
        <w:tc>
          <w:tcPr>
            <w:tcW w:w="913" w:type="dxa"/>
            <w:tcBorders>
              <w:top w:val="nil"/>
              <w:left w:val="nil"/>
              <w:bottom w:val="single" w:color="auto" w:sz="4" w:space="0"/>
              <w:right w:val="single" w:color="auto" w:sz="4" w:space="0"/>
            </w:tcBorders>
            <w:vAlign w:val="center"/>
          </w:tcPr>
          <w:p w14:paraId="49B46E26">
            <w:pPr>
              <w:widowControl/>
              <w:jc w:val="left"/>
              <w:rPr>
                <w:kern w:val="0"/>
                <w:sz w:val="21"/>
                <w:szCs w:val="21"/>
                <w:highlight w:val="none"/>
              </w:rPr>
            </w:pPr>
          </w:p>
        </w:tc>
        <w:tc>
          <w:tcPr>
            <w:tcW w:w="1098" w:type="dxa"/>
            <w:tcBorders>
              <w:top w:val="nil"/>
              <w:left w:val="nil"/>
              <w:bottom w:val="single" w:color="auto" w:sz="4" w:space="0"/>
              <w:right w:val="single" w:color="auto" w:sz="4" w:space="0"/>
            </w:tcBorders>
            <w:vAlign w:val="center"/>
          </w:tcPr>
          <w:p w14:paraId="1BCC9A3A">
            <w:pPr>
              <w:widowControl/>
              <w:jc w:val="left"/>
              <w:rPr>
                <w:kern w:val="0"/>
                <w:sz w:val="21"/>
                <w:szCs w:val="21"/>
                <w:highlight w:val="none"/>
              </w:rPr>
            </w:pPr>
          </w:p>
        </w:tc>
        <w:tc>
          <w:tcPr>
            <w:tcW w:w="764" w:type="dxa"/>
            <w:tcBorders>
              <w:top w:val="nil"/>
              <w:left w:val="nil"/>
              <w:bottom w:val="single" w:color="auto" w:sz="4" w:space="0"/>
              <w:right w:val="single" w:color="auto" w:sz="4" w:space="0"/>
            </w:tcBorders>
            <w:vAlign w:val="center"/>
          </w:tcPr>
          <w:p w14:paraId="41A3B43B">
            <w:pPr>
              <w:widowControl/>
              <w:jc w:val="left"/>
              <w:rPr>
                <w:kern w:val="0"/>
                <w:sz w:val="21"/>
                <w:szCs w:val="21"/>
                <w:highlight w:val="none"/>
              </w:rPr>
            </w:pPr>
          </w:p>
        </w:tc>
      </w:tr>
      <w:tr w14:paraId="4458AF2A">
        <w:tblPrEx>
          <w:tblCellMar>
            <w:top w:w="0" w:type="dxa"/>
            <w:left w:w="108" w:type="dxa"/>
            <w:bottom w:w="0" w:type="dxa"/>
            <w:right w:w="108" w:type="dxa"/>
          </w:tblCellMar>
        </w:tblPrEx>
        <w:trPr>
          <w:trHeight w:val="418" w:hRule="atLeast"/>
          <w:jc w:val="center"/>
        </w:trPr>
        <w:tc>
          <w:tcPr>
            <w:tcW w:w="734" w:type="dxa"/>
            <w:tcBorders>
              <w:top w:val="nil"/>
              <w:left w:val="single" w:color="auto" w:sz="4" w:space="0"/>
              <w:bottom w:val="single" w:color="auto" w:sz="4" w:space="0"/>
              <w:right w:val="single" w:color="auto" w:sz="4" w:space="0"/>
            </w:tcBorders>
            <w:shd w:val="clear" w:color="auto" w:fill="auto"/>
            <w:vAlign w:val="center"/>
          </w:tcPr>
          <w:p w14:paraId="12EEF875">
            <w:pPr>
              <w:widowControl/>
              <w:jc w:val="center"/>
              <w:rPr>
                <w:rFonts w:hint="default" w:ascii="Times New Roman" w:hAnsi="Times New Roman" w:eastAsia="宋体" w:cs="Times New Roman"/>
                <w:kern w:val="0"/>
                <w:sz w:val="21"/>
                <w:szCs w:val="21"/>
                <w:highlight w:val="none"/>
                <w:lang w:val="en-US" w:eastAsia="zh-CN" w:bidi="ar-SA"/>
              </w:rPr>
            </w:pPr>
            <w:r>
              <w:rPr>
                <w:rFonts w:hint="eastAsia"/>
                <w:kern w:val="0"/>
                <w:sz w:val="21"/>
                <w:szCs w:val="21"/>
                <w:highlight w:val="none"/>
                <w:lang w:val="en-US" w:eastAsia="zh-CN"/>
              </w:rPr>
              <w:t>1.2.4</w:t>
            </w:r>
          </w:p>
        </w:tc>
        <w:tc>
          <w:tcPr>
            <w:tcW w:w="1161" w:type="dxa"/>
            <w:tcBorders>
              <w:top w:val="nil"/>
              <w:left w:val="nil"/>
              <w:bottom w:val="single" w:color="auto" w:sz="4" w:space="0"/>
              <w:right w:val="single" w:color="auto" w:sz="4" w:space="0"/>
            </w:tcBorders>
            <w:shd w:val="clear" w:color="auto" w:fill="auto"/>
            <w:vAlign w:val="center"/>
          </w:tcPr>
          <w:p w14:paraId="240698B4">
            <w:pPr>
              <w:widowControl/>
              <w:jc w:val="center"/>
              <w:rPr>
                <w:rFonts w:hint="default" w:ascii="Times New Roman" w:hAnsi="Times New Roman" w:eastAsia="宋体" w:cs="Times New Roman"/>
                <w:kern w:val="0"/>
                <w:sz w:val="21"/>
                <w:szCs w:val="21"/>
                <w:highlight w:val="none"/>
                <w:lang w:val="en-US" w:eastAsia="zh-CN" w:bidi="ar-SA"/>
              </w:rPr>
            </w:pPr>
            <w:r>
              <w:rPr>
                <w:rFonts w:hint="eastAsia" w:ascii="宋体" w:hAnsi="宋体" w:eastAsia="宋体" w:cs="宋体"/>
                <w:kern w:val="0"/>
                <w:sz w:val="21"/>
                <w:szCs w:val="21"/>
                <w:highlight w:val="none"/>
                <w:lang w:val="en-US" w:eastAsia="zh-CN"/>
              </w:rPr>
              <w:t>……</w:t>
            </w:r>
          </w:p>
        </w:tc>
        <w:tc>
          <w:tcPr>
            <w:tcW w:w="3102" w:type="dxa"/>
            <w:tcBorders>
              <w:top w:val="nil"/>
              <w:left w:val="nil"/>
              <w:bottom w:val="single" w:color="auto" w:sz="4" w:space="0"/>
              <w:right w:val="single" w:color="auto" w:sz="4" w:space="0"/>
            </w:tcBorders>
            <w:shd w:val="clear" w:color="auto" w:fill="auto"/>
            <w:vAlign w:val="center"/>
          </w:tcPr>
          <w:p w14:paraId="26C80343">
            <w:pPr>
              <w:widowControl/>
              <w:jc w:val="left"/>
              <w:rPr>
                <w:rFonts w:ascii="Times New Roman" w:hAnsi="Times New Roman" w:eastAsia="宋体" w:cs="Times New Roman"/>
                <w:kern w:val="0"/>
                <w:sz w:val="21"/>
                <w:szCs w:val="21"/>
                <w:highlight w:val="none"/>
                <w:lang w:val="en-US" w:eastAsia="zh-CN" w:bidi="ar-SA"/>
              </w:rPr>
            </w:pPr>
            <w:r>
              <w:rPr>
                <w:rFonts w:hint="eastAsia"/>
                <w:kern w:val="0"/>
                <w:sz w:val="21"/>
                <w:szCs w:val="21"/>
                <w:highlight w:val="none"/>
              </w:rPr>
              <w:t>隔音屏、声屏障</w:t>
            </w:r>
          </w:p>
        </w:tc>
        <w:tc>
          <w:tcPr>
            <w:tcW w:w="1063" w:type="dxa"/>
            <w:gridSpan w:val="2"/>
            <w:tcBorders>
              <w:top w:val="nil"/>
              <w:left w:val="nil"/>
              <w:bottom w:val="single" w:color="auto" w:sz="4" w:space="0"/>
              <w:right w:val="single" w:color="auto" w:sz="4" w:space="0"/>
            </w:tcBorders>
            <w:vAlign w:val="center"/>
          </w:tcPr>
          <w:p w14:paraId="278566D3">
            <w:pPr>
              <w:widowControl/>
              <w:jc w:val="left"/>
              <w:rPr>
                <w:kern w:val="0"/>
                <w:sz w:val="21"/>
                <w:szCs w:val="21"/>
                <w:highlight w:val="none"/>
              </w:rPr>
            </w:pPr>
          </w:p>
        </w:tc>
        <w:tc>
          <w:tcPr>
            <w:tcW w:w="1062" w:type="dxa"/>
            <w:tcBorders>
              <w:top w:val="nil"/>
              <w:left w:val="nil"/>
              <w:bottom w:val="single" w:color="auto" w:sz="4" w:space="0"/>
              <w:right w:val="single" w:color="auto" w:sz="4" w:space="0"/>
            </w:tcBorders>
            <w:vAlign w:val="center"/>
          </w:tcPr>
          <w:p w14:paraId="757E8B9F">
            <w:pPr>
              <w:widowControl/>
              <w:jc w:val="left"/>
              <w:rPr>
                <w:kern w:val="0"/>
                <w:sz w:val="21"/>
                <w:szCs w:val="21"/>
                <w:highlight w:val="none"/>
              </w:rPr>
            </w:pPr>
          </w:p>
        </w:tc>
        <w:tc>
          <w:tcPr>
            <w:tcW w:w="913" w:type="dxa"/>
            <w:tcBorders>
              <w:top w:val="nil"/>
              <w:left w:val="nil"/>
              <w:bottom w:val="single" w:color="auto" w:sz="4" w:space="0"/>
              <w:right w:val="single" w:color="auto" w:sz="4" w:space="0"/>
            </w:tcBorders>
            <w:vAlign w:val="center"/>
          </w:tcPr>
          <w:p w14:paraId="1CEB352D">
            <w:pPr>
              <w:widowControl/>
              <w:jc w:val="left"/>
              <w:rPr>
                <w:kern w:val="0"/>
                <w:sz w:val="21"/>
                <w:szCs w:val="21"/>
                <w:highlight w:val="none"/>
              </w:rPr>
            </w:pPr>
          </w:p>
        </w:tc>
        <w:tc>
          <w:tcPr>
            <w:tcW w:w="1098" w:type="dxa"/>
            <w:tcBorders>
              <w:top w:val="nil"/>
              <w:left w:val="nil"/>
              <w:bottom w:val="single" w:color="auto" w:sz="4" w:space="0"/>
              <w:right w:val="single" w:color="auto" w:sz="4" w:space="0"/>
            </w:tcBorders>
            <w:vAlign w:val="center"/>
          </w:tcPr>
          <w:p w14:paraId="277BBEFC">
            <w:pPr>
              <w:widowControl/>
              <w:jc w:val="left"/>
              <w:rPr>
                <w:kern w:val="0"/>
                <w:sz w:val="21"/>
                <w:szCs w:val="21"/>
                <w:highlight w:val="none"/>
              </w:rPr>
            </w:pPr>
          </w:p>
        </w:tc>
        <w:tc>
          <w:tcPr>
            <w:tcW w:w="764" w:type="dxa"/>
            <w:tcBorders>
              <w:top w:val="nil"/>
              <w:left w:val="nil"/>
              <w:bottom w:val="single" w:color="auto" w:sz="4" w:space="0"/>
              <w:right w:val="single" w:color="auto" w:sz="4" w:space="0"/>
            </w:tcBorders>
            <w:vAlign w:val="center"/>
          </w:tcPr>
          <w:p w14:paraId="7800AD57">
            <w:pPr>
              <w:widowControl/>
              <w:jc w:val="left"/>
              <w:rPr>
                <w:kern w:val="0"/>
                <w:sz w:val="21"/>
                <w:szCs w:val="21"/>
                <w:highlight w:val="none"/>
              </w:rPr>
            </w:pPr>
          </w:p>
        </w:tc>
      </w:tr>
      <w:tr w14:paraId="2368A411">
        <w:tblPrEx>
          <w:tblCellMar>
            <w:top w:w="0" w:type="dxa"/>
            <w:left w:w="108" w:type="dxa"/>
            <w:bottom w:w="0" w:type="dxa"/>
            <w:right w:w="108" w:type="dxa"/>
          </w:tblCellMar>
        </w:tblPrEx>
        <w:trPr>
          <w:trHeight w:val="418" w:hRule="atLeast"/>
          <w:jc w:val="center"/>
        </w:trPr>
        <w:tc>
          <w:tcPr>
            <w:tcW w:w="734" w:type="dxa"/>
            <w:tcBorders>
              <w:top w:val="nil"/>
              <w:left w:val="single" w:color="auto" w:sz="4" w:space="0"/>
              <w:bottom w:val="single" w:color="auto" w:sz="4" w:space="0"/>
              <w:right w:val="single" w:color="auto" w:sz="4" w:space="0"/>
            </w:tcBorders>
            <w:shd w:val="clear" w:color="auto" w:fill="auto"/>
            <w:vAlign w:val="center"/>
          </w:tcPr>
          <w:p w14:paraId="2D406AB1">
            <w:pPr>
              <w:widowControl/>
              <w:jc w:val="center"/>
              <w:rPr>
                <w:rFonts w:hint="eastAsia" w:ascii="Times New Roman" w:hAnsi="Times New Roman" w:eastAsia="宋体" w:cs="Times New Roman"/>
                <w:kern w:val="0"/>
                <w:sz w:val="21"/>
                <w:szCs w:val="21"/>
                <w:highlight w:val="none"/>
                <w:lang w:val="en-US" w:eastAsia="zh-CN" w:bidi="ar-SA"/>
              </w:rPr>
            </w:pPr>
          </w:p>
        </w:tc>
        <w:tc>
          <w:tcPr>
            <w:tcW w:w="1161" w:type="dxa"/>
            <w:tcBorders>
              <w:top w:val="nil"/>
              <w:left w:val="nil"/>
              <w:bottom w:val="single" w:color="auto" w:sz="4" w:space="0"/>
              <w:right w:val="single" w:color="auto" w:sz="4" w:space="0"/>
            </w:tcBorders>
            <w:shd w:val="clear" w:color="auto" w:fill="auto"/>
            <w:vAlign w:val="center"/>
          </w:tcPr>
          <w:p w14:paraId="6CFE0DD1">
            <w:pPr>
              <w:widowControl/>
              <w:jc w:val="center"/>
              <w:rPr>
                <w:rFonts w:hint="default" w:ascii="Times New Roman" w:hAnsi="Times New Roman" w:eastAsia="宋体" w:cs="Times New Roman"/>
                <w:kern w:val="0"/>
                <w:sz w:val="21"/>
                <w:szCs w:val="21"/>
                <w:highlight w:val="none"/>
                <w:lang w:val="en-US" w:eastAsia="zh-CN" w:bidi="ar-SA"/>
              </w:rPr>
            </w:pPr>
            <w:r>
              <w:rPr>
                <w:rFonts w:hint="eastAsia" w:ascii="宋体" w:hAnsi="宋体" w:eastAsia="宋体" w:cs="宋体"/>
                <w:kern w:val="0"/>
                <w:sz w:val="21"/>
                <w:szCs w:val="21"/>
                <w:highlight w:val="none"/>
                <w:lang w:val="en-US" w:eastAsia="zh-CN"/>
              </w:rPr>
              <w:t>……</w:t>
            </w:r>
          </w:p>
        </w:tc>
        <w:tc>
          <w:tcPr>
            <w:tcW w:w="3102" w:type="dxa"/>
            <w:tcBorders>
              <w:top w:val="nil"/>
              <w:left w:val="nil"/>
              <w:bottom w:val="single" w:color="auto" w:sz="4" w:space="0"/>
              <w:right w:val="single" w:color="auto" w:sz="4" w:space="0"/>
            </w:tcBorders>
            <w:shd w:val="clear" w:color="auto" w:fill="auto"/>
            <w:vAlign w:val="center"/>
          </w:tcPr>
          <w:p w14:paraId="2724CB39">
            <w:pPr>
              <w:widowControl/>
              <w:jc w:val="center"/>
              <w:rPr>
                <w:rFonts w:hint="default" w:ascii="Times New Roman" w:hAnsi="Times New Roman" w:eastAsia="宋体" w:cs="Times New Roman"/>
                <w:kern w:val="0"/>
                <w:sz w:val="21"/>
                <w:szCs w:val="21"/>
                <w:highlight w:val="none"/>
                <w:lang w:val="en-US" w:eastAsia="zh-CN" w:bidi="ar-SA"/>
              </w:rPr>
            </w:pPr>
            <w:r>
              <w:rPr>
                <w:rFonts w:hint="eastAsia" w:ascii="宋体" w:hAnsi="宋体" w:eastAsia="宋体" w:cs="宋体"/>
                <w:kern w:val="0"/>
                <w:sz w:val="21"/>
                <w:szCs w:val="21"/>
                <w:highlight w:val="none"/>
                <w:lang w:val="en-US" w:eastAsia="zh-CN"/>
              </w:rPr>
              <w:t>……</w:t>
            </w:r>
          </w:p>
        </w:tc>
        <w:tc>
          <w:tcPr>
            <w:tcW w:w="1063" w:type="dxa"/>
            <w:gridSpan w:val="2"/>
            <w:tcBorders>
              <w:top w:val="nil"/>
              <w:left w:val="nil"/>
              <w:bottom w:val="single" w:color="auto" w:sz="4" w:space="0"/>
              <w:right w:val="single" w:color="auto" w:sz="4" w:space="0"/>
            </w:tcBorders>
            <w:vAlign w:val="center"/>
          </w:tcPr>
          <w:p w14:paraId="7B31D83C">
            <w:pPr>
              <w:widowControl/>
              <w:jc w:val="left"/>
              <w:rPr>
                <w:kern w:val="0"/>
                <w:sz w:val="21"/>
                <w:szCs w:val="21"/>
                <w:highlight w:val="none"/>
              </w:rPr>
            </w:pPr>
          </w:p>
        </w:tc>
        <w:tc>
          <w:tcPr>
            <w:tcW w:w="1062" w:type="dxa"/>
            <w:tcBorders>
              <w:top w:val="nil"/>
              <w:left w:val="nil"/>
              <w:bottom w:val="single" w:color="auto" w:sz="4" w:space="0"/>
              <w:right w:val="single" w:color="auto" w:sz="4" w:space="0"/>
            </w:tcBorders>
            <w:vAlign w:val="center"/>
          </w:tcPr>
          <w:p w14:paraId="0278F7A1">
            <w:pPr>
              <w:widowControl/>
              <w:jc w:val="left"/>
              <w:rPr>
                <w:kern w:val="0"/>
                <w:sz w:val="21"/>
                <w:szCs w:val="21"/>
                <w:highlight w:val="none"/>
              </w:rPr>
            </w:pPr>
          </w:p>
        </w:tc>
        <w:tc>
          <w:tcPr>
            <w:tcW w:w="913" w:type="dxa"/>
            <w:tcBorders>
              <w:top w:val="nil"/>
              <w:left w:val="nil"/>
              <w:bottom w:val="single" w:color="auto" w:sz="4" w:space="0"/>
              <w:right w:val="single" w:color="auto" w:sz="4" w:space="0"/>
            </w:tcBorders>
            <w:vAlign w:val="center"/>
          </w:tcPr>
          <w:p w14:paraId="296D215A">
            <w:pPr>
              <w:widowControl/>
              <w:jc w:val="left"/>
              <w:rPr>
                <w:kern w:val="0"/>
                <w:sz w:val="21"/>
                <w:szCs w:val="21"/>
                <w:highlight w:val="none"/>
              </w:rPr>
            </w:pPr>
          </w:p>
        </w:tc>
        <w:tc>
          <w:tcPr>
            <w:tcW w:w="1098" w:type="dxa"/>
            <w:tcBorders>
              <w:top w:val="nil"/>
              <w:left w:val="nil"/>
              <w:bottom w:val="single" w:color="auto" w:sz="4" w:space="0"/>
              <w:right w:val="single" w:color="auto" w:sz="4" w:space="0"/>
            </w:tcBorders>
            <w:vAlign w:val="center"/>
          </w:tcPr>
          <w:p w14:paraId="399A1F03">
            <w:pPr>
              <w:widowControl/>
              <w:jc w:val="left"/>
              <w:rPr>
                <w:kern w:val="0"/>
                <w:sz w:val="21"/>
                <w:szCs w:val="21"/>
                <w:highlight w:val="none"/>
              </w:rPr>
            </w:pPr>
          </w:p>
        </w:tc>
        <w:tc>
          <w:tcPr>
            <w:tcW w:w="764" w:type="dxa"/>
            <w:tcBorders>
              <w:top w:val="nil"/>
              <w:left w:val="nil"/>
              <w:bottom w:val="single" w:color="auto" w:sz="4" w:space="0"/>
              <w:right w:val="single" w:color="auto" w:sz="4" w:space="0"/>
            </w:tcBorders>
            <w:vAlign w:val="center"/>
          </w:tcPr>
          <w:p w14:paraId="2CF09FDF">
            <w:pPr>
              <w:widowControl/>
              <w:jc w:val="left"/>
              <w:rPr>
                <w:kern w:val="0"/>
                <w:sz w:val="21"/>
                <w:szCs w:val="21"/>
                <w:highlight w:val="none"/>
              </w:rPr>
            </w:pPr>
          </w:p>
        </w:tc>
      </w:tr>
      <w:tr w14:paraId="7708F1FF">
        <w:tblPrEx>
          <w:tblCellMar>
            <w:top w:w="0" w:type="dxa"/>
            <w:left w:w="108" w:type="dxa"/>
            <w:bottom w:w="0" w:type="dxa"/>
            <w:right w:w="108" w:type="dxa"/>
          </w:tblCellMar>
        </w:tblPrEx>
        <w:trPr>
          <w:trHeight w:val="418" w:hRule="atLeast"/>
          <w:jc w:val="center"/>
        </w:trPr>
        <w:tc>
          <w:tcPr>
            <w:tcW w:w="734" w:type="dxa"/>
            <w:tcBorders>
              <w:top w:val="nil"/>
              <w:left w:val="single" w:color="auto" w:sz="4" w:space="0"/>
              <w:bottom w:val="single" w:color="auto" w:sz="4" w:space="0"/>
              <w:right w:val="single" w:color="auto" w:sz="4" w:space="0"/>
            </w:tcBorders>
            <w:shd w:val="clear" w:color="auto" w:fill="auto"/>
            <w:vAlign w:val="center"/>
          </w:tcPr>
          <w:p w14:paraId="6332F618">
            <w:pPr>
              <w:widowControl/>
              <w:jc w:val="center"/>
              <w:rPr>
                <w:rFonts w:hint="default" w:ascii="Times New Roman" w:hAnsi="Times New Roman" w:eastAsia="宋体" w:cs="Times New Roman"/>
                <w:kern w:val="0"/>
                <w:sz w:val="21"/>
                <w:szCs w:val="21"/>
                <w:highlight w:val="none"/>
                <w:lang w:val="en-US" w:eastAsia="zh-CN" w:bidi="ar-SA"/>
              </w:rPr>
            </w:pPr>
            <w:r>
              <w:rPr>
                <w:rFonts w:hint="eastAsia"/>
                <w:kern w:val="0"/>
                <w:sz w:val="21"/>
                <w:szCs w:val="21"/>
                <w:highlight w:val="none"/>
                <w:lang w:val="en-US" w:eastAsia="zh-CN"/>
              </w:rPr>
              <w:t>1.3</w:t>
            </w:r>
          </w:p>
        </w:tc>
        <w:tc>
          <w:tcPr>
            <w:tcW w:w="1161" w:type="dxa"/>
            <w:tcBorders>
              <w:top w:val="nil"/>
              <w:left w:val="nil"/>
              <w:bottom w:val="single" w:color="auto" w:sz="4" w:space="0"/>
              <w:right w:val="single" w:color="auto" w:sz="4" w:space="0"/>
            </w:tcBorders>
            <w:shd w:val="clear" w:color="auto" w:fill="auto"/>
            <w:vAlign w:val="center"/>
          </w:tcPr>
          <w:p w14:paraId="6A8D45AB">
            <w:pPr>
              <w:widowControl/>
              <w:jc w:val="center"/>
              <w:rPr>
                <w:rFonts w:hint="default" w:ascii="Times New Roman" w:hAnsi="Times New Roman" w:eastAsia="宋体" w:cs="Times New Roman"/>
                <w:kern w:val="0"/>
                <w:sz w:val="21"/>
                <w:szCs w:val="21"/>
                <w:highlight w:val="none"/>
                <w:lang w:val="en-US" w:eastAsia="zh-CN" w:bidi="ar-SA"/>
              </w:rPr>
            </w:pPr>
            <w:r>
              <w:rPr>
                <w:rFonts w:hint="eastAsia" w:ascii="宋体" w:hAnsi="宋体" w:eastAsia="宋体" w:cs="宋体"/>
                <w:kern w:val="0"/>
                <w:sz w:val="21"/>
                <w:szCs w:val="21"/>
                <w:highlight w:val="none"/>
                <w:lang w:val="en-US" w:eastAsia="zh-CN"/>
              </w:rPr>
              <w:t>……</w:t>
            </w:r>
          </w:p>
        </w:tc>
        <w:tc>
          <w:tcPr>
            <w:tcW w:w="3102" w:type="dxa"/>
            <w:tcBorders>
              <w:top w:val="nil"/>
              <w:left w:val="nil"/>
              <w:bottom w:val="single" w:color="auto" w:sz="4" w:space="0"/>
              <w:right w:val="single" w:color="auto" w:sz="4" w:space="0"/>
            </w:tcBorders>
            <w:shd w:val="clear" w:color="auto" w:fill="auto"/>
            <w:vAlign w:val="center"/>
          </w:tcPr>
          <w:p w14:paraId="49365E77">
            <w:pPr>
              <w:widowControl/>
              <w:ind w:firstLine="0" w:firstLineChars="0"/>
              <w:jc w:val="left"/>
              <w:rPr>
                <w:rFonts w:ascii="Times New Roman" w:hAnsi="Times New Roman" w:eastAsia="宋体" w:cs="Times New Roman"/>
                <w:kern w:val="0"/>
                <w:sz w:val="21"/>
                <w:szCs w:val="21"/>
                <w:highlight w:val="none"/>
                <w:lang w:val="en-US" w:eastAsia="zh-CN" w:bidi="ar-SA"/>
              </w:rPr>
            </w:pPr>
            <w:r>
              <w:rPr>
                <w:rFonts w:hint="eastAsia"/>
                <w:kern w:val="0"/>
                <w:sz w:val="21"/>
                <w:szCs w:val="21"/>
                <w:highlight w:val="none"/>
              </w:rPr>
              <w:t>产业工人职业训练专项经费</w:t>
            </w:r>
          </w:p>
        </w:tc>
        <w:tc>
          <w:tcPr>
            <w:tcW w:w="1063" w:type="dxa"/>
            <w:gridSpan w:val="2"/>
            <w:tcBorders>
              <w:top w:val="nil"/>
              <w:left w:val="nil"/>
              <w:bottom w:val="single" w:color="auto" w:sz="4" w:space="0"/>
              <w:right w:val="single" w:color="auto" w:sz="4" w:space="0"/>
            </w:tcBorders>
            <w:vAlign w:val="center"/>
          </w:tcPr>
          <w:p w14:paraId="56663534">
            <w:pPr>
              <w:widowControl/>
              <w:jc w:val="left"/>
              <w:rPr>
                <w:kern w:val="0"/>
                <w:sz w:val="21"/>
                <w:szCs w:val="21"/>
                <w:highlight w:val="none"/>
              </w:rPr>
            </w:pPr>
          </w:p>
        </w:tc>
        <w:tc>
          <w:tcPr>
            <w:tcW w:w="1062" w:type="dxa"/>
            <w:tcBorders>
              <w:top w:val="nil"/>
              <w:left w:val="nil"/>
              <w:bottom w:val="single" w:color="auto" w:sz="4" w:space="0"/>
              <w:right w:val="single" w:color="auto" w:sz="4" w:space="0"/>
            </w:tcBorders>
            <w:vAlign w:val="center"/>
          </w:tcPr>
          <w:p w14:paraId="29361D97">
            <w:pPr>
              <w:widowControl/>
              <w:jc w:val="left"/>
              <w:rPr>
                <w:kern w:val="0"/>
                <w:sz w:val="21"/>
                <w:szCs w:val="21"/>
                <w:highlight w:val="none"/>
              </w:rPr>
            </w:pPr>
          </w:p>
        </w:tc>
        <w:tc>
          <w:tcPr>
            <w:tcW w:w="913" w:type="dxa"/>
            <w:tcBorders>
              <w:top w:val="nil"/>
              <w:left w:val="nil"/>
              <w:bottom w:val="single" w:color="auto" w:sz="4" w:space="0"/>
              <w:right w:val="single" w:color="auto" w:sz="4" w:space="0"/>
            </w:tcBorders>
            <w:vAlign w:val="center"/>
          </w:tcPr>
          <w:p w14:paraId="1AEEEDD8">
            <w:pPr>
              <w:widowControl/>
              <w:jc w:val="left"/>
              <w:rPr>
                <w:kern w:val="0"/>
                <w:sz w:val="21"/>
                <w:szCs w:val="21"/>
                <w:highlight w:val="none"/>
              </w:rPr>
            </w:pPr>
          </w:p>
        </w:tc>
        <w:tc>
          <w:tcPr>
            <w:tcW w:w="1098" w:type="dxa"/>
            <w:tcBorders>
              <w:top w:val="nil"/>
              <w:left w:val="nil"/>
              <w:bottom w:val="single" w:color="auto" w:sz="4" w:space="0"/>
              <w:right w:val="single" w:color="auto" w:sz="4" w:space="0"/>
            </w:tcBorders>
            <w:vAlign w:val="center"/>
          </w:tcPr>
          <w:p w14:paraId="0308BAED">
            <w:pPr>
              <w:widowControl/>
              <w:jc w:val="left"/>
              <w:rPr>
                <w:kern w:val="0"/>
                <w:sz w:val="21"/>
                <w:szCs w:val="21"/>
                <w:highlight w:val="none"/>
              </w:rPr>
            </w:pPr>
          </w:p>
        </w:tc>
        <w:tc>
          <w:tcPr>
            <w:tcW w:w="764" w:type="dxa"/>
            <w:tcBorders>
              <w:top w:val="nil"/>
              <w:left w:val="nil"/>
              <w:bottom w:val="single" w:color="auto" w:sz="4" w:space="0"/>
              <w:right w:val="single" w:color="auto" w:sz="4" w:space="0"/>
            </w:tcBorders>
            <w:vAlign w:val="center"/>
          </w:tcPr>
          <w:p w14:paraId="0F6C91DF">
            <w:pPr>
              <w:widowControl/>
              <w:jc w:val="left"/>
              <w:rPr>
                <w:kern w:val="0"/>
                <w:sz w:val="21"/>
                <w:szCs w:val="21"/>
                <w:highlight w:val="none"/>
              </w:rPr>
            </w:pPr>
          </w:p>
        </w:tc>
      </w:tr>
      <w:tr w14:paraId="7FF3364B">
        <w:tblPrEx>
          <w:tblCellMar>
            <w:top w:w="0" w:type="dxa"/>
            <w:left w:w="108" w:type="dxa"/>
            <w:bottom w:w="0" w:type="dxa"/>
            <w:right w:w="108" w:type="dxa"/>
          </w:tblCellMar>
        </w:tblPrEx>
        <w:trPr>
          <w:trHeight w:val="418" w:hRule="atLeast"/>
          <w:jc w:val="center"/>
        </w:trPr>
        <w:tc>
          <w:tcPr>
            <w:tcW w:w="734" w:type="dxa"/>
            <w:tcBorders>
              <w:top w:val="nil"/>
              <w:left w:val="single" w:color="auto" w:sz="4" w:space="0"/>
              <w:bottom w:val="single" w:color="auto" w:sz="4" w:space="0"/>
              <w:right w:val="single" w:color="auto" w:sz="4" w:space="0"/>
            </w:tcBorders>
            <w:shd w:val="clear" w:color="auto" w:fill="auto"/>
            <w:vAlign w:val="center"/>
          </w:tcPr>
          <w:p w14:paraId="7C8C1B1A">
            <w:pPr>
              <w:widowControl/>
              <w:jc w:val="center"/>
              <w:rPr>
                <w:rFonts w:hint="eastAsia" w:ascii="Times New Roman" w:hAnsi="Times New Roman" w:eastAsia="宋体" w:cs="Times New Roman"/>
                <w:kern w:val="0"/>
                <w:sz w:val="21"/>
                <w:szCs w:val="21"/>
                <w:highlight w:val="none"/>
                <w:lang w:val="en-US" w:eastAsia="zh-CN" w:bidi="ar-SA"/>
              </w:rPr>
            </w:pPr>
            <w:r>
              <w:rPr>
                <w:rFonts w:hint="eastAsia"/>
                <w:kern w:val="0"/>
                <w:sz w:val="21"/>
                <w:szCs w:val="21"/>
                <w:highlight w:val="none"/>
                <w:lang w:val="en-US" w:eastAsia="zh-CN"/>
              </w:rPr>
              <w:t>2</w:t>
            </w:r>
          </w:p>
        </w:tc>
        <w:tc>
          <w:tcPr>
            <w:tcW w:w="1161" w:type="dxa"/>
            <w:tcBorders>
              <w:top w:val="nil"/>
              <w:left w:val="nil"/>
              <w:bottom w:val="single" w:color="auto" w:sz="4" w:space="0"/>
              <w:right w:val="single" w:color="auto" w:sz="4" w:space="0"/>
            </w:tcBorders>
            <w:shd w:val="clear" w:color="auto" w:fill="auto"/>
            <w:vAlign w:val="center"/>
          </w:tcPr>
          <w:p w14:paraId="12388769">
            <w:pPr>
              <w:widowControl/>
              <w:jc w:val="center"/>
              <w:rPr>
                <w:rFonts w:hint="default" w:ascii="Times New Roman" w:hAnsi="Times New Roman" w:eastAsia="宋体" w:cs="Times New Roman"/>
                <w:kern w:val="0"/>
                <w:sz w:val="21"/>
                <w:szCs w:val="21"/>
                <w:highlight w:val="none"/>
                <w:lang w:val="en-US" w:eastAsia="zh-CN" w:bidi="ar-SA"/>
              </w:rPr>
            </w:pPr>
            <w:r>
              <w:rPr>
                <w:rFonts w:hint="eastAsia" w:ascii="宋体" w:hAnsi="宋体" w:eastAsia="宋体" w:cs="宋体"/>
                <w:kern w:val="0"/>
                <w:sz w:val="21"/>
                <w:szCs w:val="21"/>
                <w:highlight w:val="none"/>
                <w:lang w:val="en-US" w:eastAsia="zh-CN"/>
              </w:rPr>
              <w:t>……</w:t>
            </w:r>
          </w:p>
        </w:tc>
        <w:tc>
          <w:tcPr>
            <w:tcW w:w="3102" w:type="dxa"/>
            <w:tcBorders>
              <w:top w:val="nil"/>
              <w:left w:val="nil"/>
              <w:bottom w:val="single" w:color="auto" w:sz="4" w:space="0"/>
              <w:right w:val="single" w:color="auto" w:sz="4" w:space="0"/>
            </w:tcBorders>
            <w:shd w:val="clear" w:color="auto" w:fill="auto"/>
            <w:vAlign w:val="center"/>
          </w:tcPr>
          <w:p w14:paraId="4CB68689">
            <w:pPr>
              <w:widowControl/>
              <w:rPr>
                <w:rFonts w:hint="eastAsia" w:ascii="Times New Roman" w:hAnsi="Times New Roman" w:eastAsia="宋体" w:cs="Times New Roman"/>
                <w:kern w:val="0"/>
                <w:sz w:val="21"/>
                <w:szCs w:val="21"/>
                <w:highlight w:val="none"/>
                <w:lang w:val="en-US" w:eastAsia="zh-CN" w:bidi="ar-SA"/>
              </w:rPr>
            </w:pPr>
            <w:r>
              <w:rPr>
                <w:rFonts w:hint="eastAsia"/>
                <w:kern w:val="0"/>
                <w:sz w:val="21"/>
                <w:szCs w:val="21"/>
                <w:highlight w:val="none"/>
                <w:lang w:val="en-US" w:eastAsia="zh-CN"/>
              </w:rPr>
              <w:t>赶工措施</w:t>
            </w:r>
          </w:p>
        </w:tc>
        <w:tc>
          <w:tcPr>
            <w:tcW w:w="1063" w:type="dxa"/>
            <w:gridSpan w:val="2"/>
            <w:tcBorders>
              <w:top w:val="nil"/>
              <w:left w:val="nil"/>
              <w:bottom w:val="single" w:color="auto" w:sz="4" w:space="0"/>
              <w:right w:val="single" w:color="auto" w:sz="4" w:space="0"/>
            </w:tcBorders>
            <w:vAlign w:val="center"/>
          </w:tcPr>
          <w:p w14:paraId="662A7A9F">
            <w:pPr>
              <w:widowControl/>
              <w:jc w:val="left"/>
              <w:rPr>
                <w:kern w:val="0"/>
                <w:sz w:val="21"/>
                <w:szCs w:val="21"/>
                <w:highlight w:val="none"/>
              </w:rPr>
            </w:pPr>
          </w:p>
        </w:tc>
        <w:tc>
          <w:tcPr>
            <w:tcW w:w="1062" w:type="dxa"/>
            <w:tcBorders>
              <w:top w:val="nil"/>
              <w:left w:val="nil"/>
              <w:bottom w:val="single" w:color="auto" w:sz="4" w:space="0"/>
              <w:right w:val="single" w:color="auto" w:sz="4" w:space="0"/>
            </w:tcBorders>
            <w:vAlign w:val="center"/>
          </w:tcPr>
          <w:p w14:paraId="769B2778">
            <w:pPr>
              <w:widowControl/>
              <w:jc w:val="left"/>
              <w:rPr>
                <w:kern w:val="0"/>
                <w:sz w:val="21"/>
                <w:szCs w:val="21"/>
                <w:highlight w:val="none"/>
              </w:rPr>
            </w:pPr>
          </w:p>
        </w:tc>
        <w:tc>
          <w:tcPr>
            <w:tcW w:w="913" w:type="dxa"/>
            <w:tcBorders>
              <w:top w:val="nil"/>
              <w:left w:val="nil"/>
              <w:bottom w:val="single" w:color="auto" w:sz="4" w:space="0"/>
              <w:right w:val="single" w:color="auto" w:sz="4" w:space="0"/>
            </w:tcBorders>
            <w:vAlign w:val="center"/>
          </w:tcPr>
          <w:p w14:paraId="6711F162">
            <w:pPr>
              <w:widowControl/>
              <w:jc w:val="left"/>
              <w:rPr>
                <w:kern w:val="0"/>
                <w:sz w:val="21"/>
                <w:szCs w:val="21"/>
                <w:highlight w:val="none"/>
              </w:rPr>
            </w:pPr>
          </w:p>
        </w:tc>
        <w:tc>
          <w:tcPr>
            <w:tcW w:w="1098" w:type="dxa"/>
            <w:tcBorders>
              <w:top w:val="nil"/>
              <w:left w:val="nil"/>
              <w:bottom w:val="single" w:color="auto" w:sz="4" w:space="0"/>
              <w:right w:val="single" w:color="auto" w:sz="4" w:space="0"/>
            </w:tcBorders>
            <w:vAlign w:val="center"/>
          </w:tcPr>
          <w:p w14:paraId="6565B629">
            <w:pPr>
              <w:widowControl/>
              <w:jc w:val="left"/>
              <w:rPr>
                <w:kern w:val="0"/>
                <w:sz w:val="21"/>
                <w:szCs w:val="21"/>
                <w:highlight w:val="none"/>
              </w:rPr>
            </w:pPr>
          </w:p>
        </w:tc>
        <w:tc>
          <w:tcPr>
            <w:tcW w:w="764" w:type="dxa"/>
            <w:tcBorders>
              <w:top w:val="nil"/>
              <w:left w:val="nil"/>
              <w:bottom w:val="single" w:color="auto" w:sz="4" w:space="0"/>
              <w:right w:val="single" w:color="auto" w:sz="4" w:space="0"/>
            </w:tcBorders>
            <w:vAlign w:val="center"/>
          </w:tcPr>
          <w:p w14:paraId="4B322967">
            <w:pPr>
              <w:widowControl/>
              <w:jc w:val="left"/>
              <w:rPr>
                <w:kern w:val="0"/>
                <w:sz w:val="21"/>
                <w:szCs w:val="21"/>
                <w:highlight w:val="none"/>
              </w:rPr>
            </w:pPr>
          </w:p>
        </w:tc>
      </w:tr>
      <w:tr w14:paraId="204F0773">
        <w:tblPrEx>
          <w:tblCellMar>
            <w:top w:w="0" w:type="dxa"/>
            <w:left w:w="108" w:type="dxa"/>
            <w:bottom w:w="0" w:type="dxa"/>
            <w:right w:w="108" w:type="dxa"/>
          </w:tblCellMar>
        </w:tblPrEx>
        <w:trPr>
          <w:trHeight w:val="418" w:hRule="atLeast"/>
          <w:jc w:val="center"/>
        </w:trPr>
        <w:tc>
          <w:tcPr>
            <w:tcW w:w="734" w:type="dxa"/>
            <w:tcBorders>
              <w:top w:val="nil"/>
              <w:left w:val="single" w:color="auto" w:sz="4" w:space="0"/>
              <w:bottom w:val="single" w:color="auto" w:sz="4" w:space="0"/>
              <w:right w:val="single" w:color="auto" w:sz="4" w:space="0"/>
            </w:tcBorders>
            <w:shd w:val="clear" w:color="auto" w:fill="auto"/>
            <w:vAlign w:val="center"/>
          </w:tcPr>
          <w:p w14:paraId="7D1D6AD5">
            <w:pPr>
              <w:widowControl/>
              <w:jc w:val="center"/>
              <w:rPr>
                <w:rFonts w:hint="eastAsia" w:ascii="Times New Roman" w:hAnsi="Times New Roman" w:eastAsia="宋体" w:cs="Times New Roman"/>
                <w:kern w:val="0"/>
                <w:sz w:val="21"/>
                <w:szCs w:val="21"/>
                <w:highlight w:val="none"/>
                <w:lang w:val="en-US" w:eastAsia="zh-CN" w:bidi="ar-SA"/>
              </w:rPr>
            </w:pPr>
            <w:r>
              <w:rPr>
                <w:rFonts w:hint="eastAsia"/>
                <w:kern w:val="0"/>
                <w:sz w:val="21"/>
                <w:szCs w:val="21"/>
                <w:highlight w:val="none"/>
                <w:lang w:val="en-US" w:eastAsia="zh-CN"/>
              </w:rPr>
              <w:t>3</w:t>
            </w:r>
          </w:p>
        </w:tc>
        <w:tc>
          <w:tcPr>
            <w:tcW w:w="1161" w:type="dxa"/>
            <w:tcBorders>
              <w:top w:val="nil"/>
              <w:left w:val="nil"/>
              <w:bottom w:val="single" w:color="auto" w:sz="4" w:space="0"/>
              <w:right w:val="single" w:color="auto" w:sz="4" w:space="0"/>
            </w:tcBorders>
            <w:shd w:val="clear" w:color="auto" w:fill="auto"/>
            <w:vAlign w:val="center"/>
          </w:tcPr>
          <w:p w14:paraId="1148306A">
            <w:pPr>
              <w:widowControl/>
              <w:jc w:val="center"/>
              <w:rPr>
                <w:rFonts w:hint="default" w:ascii="Times New Roman" w:hAnsi="Times New Roman" w:eastAsia="宋体" w:cs="Times New Roman"/>
                <w:kern w:val="0"/>
                <w:sz w:val="21"/>
                <w:szCs w:val="21"/>
                <w:highlight w:val="none"/>
                <w:lang w:val="en-US" w:eastAsia="zh-CN" w:bidi="ar-SA"/>
              </w:rPr>
            </w:pPr>
            <w:r>
              <w:rPr>
                <w:rFonts w:hint="eastAsia" w:ascii="宋体" w:hAnsi="宋体" w:eastAsia="宋体" w:cs="宋体"/>
                <w:kern w:val="0"/>
                <w:sz w:val="21"/>
                <w:szCs w:val="21"/>
                <w:highlight w:val="none"/>
                <w:lang w:val="en-US" w:eastAsia="zh-CN"/>
              </w:rPr>
              <w:t>……</w:t>
            </w:r>
          </w:p>
        </w:tc>
        <w:tc>
          <w:tcPr>
            <w:tcW w:w="3102" w:type="dxa"/>
            <w:tcBorders>
              <w:top w:val="nil"/>
              <w:left w:val="nil"/>
              <w:bottom w:val="single" w:color="auto" w:sz="4" w:space="0"/>
              <w:right w:val="single" w:color="auto" w:sz="4" w:space="0"/>
            </w:tcBorders>
            <w:shd w:val="clear" w:color="auto" w:fill="auto"/>
            <w:vAlign w:val="center"/>
          </w:tcPr>
          <w:p w14:paraId="5839D5ED">
            <w:pPr>
              <w:widowControl/>
              <w:jc w:val="left"/>
              <w:rPr>
                <w:rFonts w:hint="default" w:ascii="Times New Roman" w:hAnsi="Times New Roman" w:eastAsia="宋体" w:cs="Times New Roman"/>
                <w:kern w:val="0"/>
                <w:sz w:val="21"/>
                <w:szCs w:val="21"/>
                <w:highlight w:val="none"/>
                <w:lang w:val="en-US" w:eastAsia="zh-CN" w:bidi="ar-SA"/>
              </w:rPr>
            </w:pPr>
            <w:r>
              <w:rPr>
                <w:rFonts w:hint="eastAsia"/>
                <w:kern w:val="0"/>
                <w:sz w:val="21"/>
                <w:szCs w:val="21"/>
                <w:highlight w:val="none"/>
                <w:lang w:val="en-US" w:eastAsia="zh-CN"/>
              </w:rPr>
              <w:t>脚手架</w:t>
            </w:r>
          </w:p>
        </w:tc>
        <w:tc>
          <w:tcPr>
            <w:tcW w:w="1063" w:type="dxa"/>
            <w:gridSpan w:val="2"/>
            <w:tcBorders>
              <w:top w:val="nil"/>
              <w:left w:val="nil"/>
              <w:bottom w:val="single" w:color="auto" w:sz="4" w:space="0"/>
              <w:right w:val="single" w:color="auto" w:sz="4" w:space="0"/>
            </w:tcBorders>
            <w:vAlign w:val="center"/>
          </w:tcPr>
          <w:p w14:paraId="69241646">
            <w:pPr>
              <w:widowControl/>
              <w:jc w:val="left"/>
              <w:rPr>
                <w:kern w:val="0"/>
                <w:sz w:val="21"/>
                <w:szCs w:val="21"/>
                <w:highlight w:val="none"/>
              </w:rPr>
            </w:pPr>
          </w:p>
        </w:tc>
        <w:tc>
          <w:tcPr>
            <w:tcW w:w="1062" w:type="dxa"/>
            <w:tcBorders>
              <w:top w:val="nil"/>
              <w:left w:val="nil"/>
              <w:bottom w:val="single" w:color="auto" w:sz="4" w:space="0"/>
              <w:right w:val="single" w:color="auto" w:sz="4" w:space="0"/>
            </w:tcBorders>
            <w:vAlign w:val="center"/>
          </w:tcPr>
          <w:p w14:paraId="23C149E3">
            <w:pPr>
              <w:widowControl/>
              <w:jc w:val="left"/>
              <w:rPr>
                <w:kern w:val="0"/>
                <w:sz w:val="21"/>
                <w:szCs w:val="21"/>
                <w:highlight w:val="none"/>
              </w:rPr>
            </w:pPr>
          </w:p>
        </w:tc>
        <w:tc>
          <w:tcPr>
            <w:tcW w:w="913" w:type="dxa"/>
            <w:tcBorders>
              <w:top w:val="nil"/>
              <w:left w:val="nil"/>
              <w:bottom w:val="single" w:color="auto" w:sz="4" w:space="0"/>
              <w:right w:val="single" w:color="auto" w:sz="4" w:space="0"/>
            </w:tcBorders>
            <w:vAlign w:val="center"/>
          </w:tcPr>
          <w:p w14:paraId="3CD44D6D">
            <w:pPr>
              <w:widowControl/>
              <w:jc w:val="left"/>
              <w:rPr>
                <w:kern w:val="0"/>
                <w:sz w:val="21"/>
                <w:szCs w:val="21"/>
                <w:highlight w:val="none"/>
              </w:rPr>
            </w:pPr>
          </w:p>
        </w:tc>
        <w:tc>
          <w:tcPr>
            <w:tcW w:w="1098" w:type="dxa"/>
            <w:tcBorders>
              <w:top w:val="nil"/>
              <w:left w:val="nil"/>
              <w:bottom w:val="single" w:color="auto" w:sz="4" w:space="0"/>
              <w:right w:val="single" w:color="auto" w:sz="4" w:space="0"/>
            </w:tcBorders>
            <w:vAlign w:val="center"/>
          </w:tcPr>
          <w:p w14:paraId="0D8DCFF0">
            <w:pPr>
              <w:widowControl/>
              <w:jc w:val="left"/>
              <w:rPr>
                <w:kern w:val="0"/>
                <w:sz w:val="21"/>
                <w:szCs w:val="21"/>
                <w:highlight w:val="none"/>
              </w:rPr>
            </w:pPr>
          </w:p>
        </w:tc>
        <w:tc>
          <w:tcPr>
            <w:tcW w:w="764" w:type="dxa"/>
            <w:tcBorders>
              <w:top w:val="nil"/>
              <w:left w:val="nil"/>
              <w:bottom w:val="single" w:color="auto" w:sz="4" w:space="0"/>
              <w:right w:val="single" w:color="auto" w:sz="4" w:space="0"/>
            </w:tcBorders>
            <w:vAlign w:val="center"/>
          </w:tcPr>
          <w:p w14:paraId="46D9E7E1">
            <w:pPr>
              <w:widowControl/>
              <w:jc w:val="left"/>
              <w:rPr>
                <w:kern w:val="0"/>
                <w:sz w:val="21"/>
                <w:szCs w:val="21"/>
                <w:highlight w:val="none"/>
              </w:rPr>
            </w:pPr>
          </w:p>
        </w:tc>
      </w:tr>
      <w:tr w14:paraId="2A91084E">
        <w:tblPrEx>
          <w:tblCellMar>
            <w:top w:w="0" w:type="dxa"/>
            <w:left w:w="108" w:type="dxa"/>
            <w:bottom w:w="0" w:type="dxa"/>
            <w:right w:w="108" w:type="dxa"/>
          </w:tblCellMar>
        </w:tblPrEx>
        <w:trPr>
          <w:trHeight w:val="418" w:hRule="atLeast"/>
          <w:jc w:val="center"/>
        </w:trPr>
        <w:tc>
          <w:tcPr>
            <w:tcW w:w="734" w:type="dxa"/>
            <w:tcBorders>
              <w:top w:val="nil"/>
              <w:left w:val="single" w:color="auto" w:sz="4" w:space="0"/>
              <w:bottom w:val="single" w:color="auto" w:sz="4" w:space="0"/>
              <w:right w:val="single" w:color="auto" w:sz="4" w:space="0"/>
            </w:tcBorders>
            <w:shd w:val="clear" w:color="auto" w:fill="auto"/>
            <w:vAlign w:val="center"/>
          </w:tcPr>
          <w:p w14:paraId="07DC6FB4">
            <w:pPr>
              <w:widowControl/>
              <w:jc w:val="center"/>
              <w:rPr>
                <w:rFonts w:hint="eastAsia" w:ascii="Times New Roman" w:hAnsi="Times New Roman" w:eastAsia="宋体" w:cs="Times New Roman"/>
                <w:kern w:val="0"/>
                <w:sz w:val="21"/>
                <w:szCs w:val="21"/>
                <w:highlight w:val="none"/>
                <w:lang w:val="en-US" w:eastAsia="zh-CN" w:bidi="ar-SA"/>
              </w:rPr>
            </w:pPr>
            <w:r>
              <w:rPr>
                <w:rFonts w:hint="eastAsia"/>
                <w:kern w:val="0"/>
                <w:sz w:val="21"/>
                <w:szCs w:val="21"/>
                <w:highlight w:val="none"/>
                <w:lang w:val="en-US" w:eastAsia="zh-CN"/>
              </w:rPr>
              <w:t>4</w:t>
            </w:r>
          </w:p>
        </w:tc>
        <w:tc>
          <w:tcPr>
            <w:tcW w:w="1161" w:type="dxa"/>
            <w:tcBorders>
              <w:top w:val="nil"/>
              <w:left w:val="nil"/>
              <w:bottom w:val="single" w:color="auto" w:sz="4" w:space="0"/>
              <w:right w:val="single" w:color="auto" w:sz="4" w:space="0"/>
            </w:tcBorders>
            <w:shd w:val="clear" w:color="auto" w:fill="auto"/>
            <w:vAlign w:val="center"/>
          </w:tcPr>
          <w:p w14:paraId="04FE9CAA">
            <w:pPr>
              <w:widowControl/>
              <w:jc w:val="center"/>
              <w:rPr>
                <w:rFonts w:hint="default" w:ascii="Times New Roman" w:hAnsi="Times New Roman" w:eastAsia="宋体" w:cs="Times New Roman"/>
                <w:kern w:val="0"/>
                <w:sz w:val="21"/>
                <w:szCs w:val="21"/>
                <w:highlight w:val="none"/>
                <w:lang w:val="en-US" w:eastAsia="zh-CN" w:bidi="ar-SA"/>
              </w:rPr>
            </w:pPr>
            <w:r>
              <w:rPr>
                <w:rFonts w:hint="eastAsia" w:ascii="宋体" w:hAnsi="宋体" w:eastAsia="宋体" w:cs="宋体"/>
                <w:kern w:val="0"/>
                <w:sz w:val="21"/>
                <w:szCs w:val="21"/>
                <w:highlight w:val="none"/>
                <w:lang w:val="en-US" w:eastAsia="zh-CN"/>
              </w:rPr>
              <w:t>……</w:t>
            </w:r>
          </w:p>
        </w:tc>
        <w:tc>
          <w:tcPr>
            <w:tcW w:w="3102" w:type="dxa"/>
            <w:tcBorders>
              <w:top w:val="nil"/>
              <w:left w:val="nil"/>
              <w:bottom w:val="single" w:color="auto" w:sz="4" w:space="0"/>
              <w:right w:val="single" w:color="auto" w:sz="4" w:space="0"/>
            </w:tcBorders>
            <w:shd w:val="clear" w:color="auto" w:fill="auto"/>
            <w:vAlign w:val="center"/>
          </w:tcPr>
          <w:p w14:paraId="616ABD10">
            <w:pPr>
              <w:widowControl/>
              <w:jc w:val="left"/>
              <w:rPr>
                <w:rFonts w:hint="default" w:ascii="Times New Roman" w:hAnsi="Times New Roman" w:eastAsia="宋体" w:cs="Times New Roman"/>
                <w:kern w:val="0"/>
                <w:sz w:val="21"/>
                <w:szCs w:val="21"/>
                <w:highlight w:val="none"/>
                <w:lang w:val="en-US" w:eastAsia="zh-CN" w:bidi="ar-SA"/>
              </w:rPr>
            </w:pPr>
            <w:r>
              <w:rPr>
                <w:rFonts w:hint="eastAsia"/>
                <w:kern w:val="0"/>
                <w:sz w:val="21"/>
                <w:szCs w:val="21"/>
                <w:highlight w:val="none"/>
                <w:lang w:val="en-US" w:eastAsia="zh-CN"/>
              </w:rPr>
              <w:t>施工排水</w:t>
            </w:r>
          </w:p>
        </w:tc>
        <w:tc>
          <w:tcPr>
            <w:tcW w:w="1063" w:type="dxa"/>
            <w:gridSpan w:val="2"/>
            <w:tcBorders>
              <w:top w:val="nil"/>
              <w:left w:val="nil"/>
              <w:bottom w:val="single" w:color="auto" w:sz="4" w:space="0"/>
              <w:right w:val="single" w:color="auto" w:sz="4" w:space="0"/>
            </w:tcBorders>
            <w:vAlign w:val="center"/>
          </w:tcPr>
          <w:p w14:paraId="04D3B7FA">
            <w:pPr>
              <w:widowControl/>
              <w:jc w:val="left"/>
              <w:rPr>
                <w:kern w:val="0"/>
                <w:sz w:val="21"/>
                <w:szCs w:val="21"/>
                <w:highlight w:val="none"/>
              </w:rPr>
            </w:pPr>
          </w:p>
        </w:tc>
        <w:tc>
          <w:tcPr>
            <w:tcW w:w="1062" w:type="dxa"/>
            <w:tcBorders>
              <w:top w:val="nil"/>
              <w:left w:val="nil"/>
              <w:bottom w:val="single" w:color="auto" w:sz="4" w:space="0"/>
              <w:right w:val="single" w:color="auto" w:sz="4" w:space="0"/>
            </w:tcBorders>
            <w:vAlign w:val="center"/>
          </w:tcPr>
          <w:p w14:paraId="7FBE7D48">
            <w:pPr>
              <w:widowControl/>
              <w:jc w:val="left"/>
              <w:rPr>
                <w:kern w:val="0"/>
                <w:sz w:val="21"/>
                <w:szCs w:val="21"/>
                <w:highlight w:val="none"/>
              </w:rPr>
            </w:pPr>
          </w:p>
        </w:tc>
        <w:tc>
          <w:tcPr>
            <w:tcW w:w="913" w:type="dxa"/>
            <w:tcBorders>
              <w:top w:val="nil"/>
              <w:left w:val="nil"/>
              <w:bottom w:val="single" w:color="auto" w:sz="4" w:space="0"/>
              <w:right w:val="single" w:color="auto" w:sz="4" w:space="0"/>
            </w:tcBorders>
            <w:vAlign w:val="center"/>
          </w:tcPr>
          <w:p w14:paraId="4CD437D6">
            <w:pPr>
              <w:widowControl/>
              <w:jc w:val="left"/>
              <w:rPr>
                <w:kern w:val="0"/>
                <w:sz w:val="21"/>
                <w:szCs w:val="21"/>
                <w:highlight w:val="none"/>
              </w:rPr>
            </w:pPr>
          </w:p>
        </w:tc>
        <w:tc>
          <w:tcPr>
            <w:tcW w:w="1098" w:type="dxa"/>
            <w:tcBorders>
              <w:top w:val="nil"/>
              <w:left w:val="nil"/>
              <w:bottom w:val="single" w:color="auto" w:sz="4" w:space="0"/>
              <w:right w:val="single" w:color="auto" w:sz="4" w:space="0"/>
            </w:tcBorders>
            <w:vAlign w:val="center"/>
          </w:tcPr>
          <w:p w14:paraId="18BF3E84">
            <w:pPr>
              <w:widowControl/>
              <w:jc w:val="left"/>
              <w:rPr>
                <w:kern w:val="0"/>
                <w:sz w:val="21"/>
                <w:szCs w:val="21"/>
                <w:highlight w:val="none"/>
              </w:rPr>
            </w:pPr>
          </w:p>
        </w:tc>
        <w:tc>
          <w:tcPr>
            <w:tcW w:w="764" w:type="dxa"/>
            <w:tcBorders>
              <w:top w:val="nil"/>
              <w:left w:val="nil"/>
              <w:bottom w:val="single" w:color="auto" w:sz="4" w:space="0"/>
              <w:right w:val="single" w:color="auto" w:sz="4" w:space="0"/>
            </w:tcBorders>
            <w:vAlign w:val="center"/>
          </w:tcPr>
          <w:p w14:paraId="3E6DD1B0">
            <w:pPr>
              <w:widowControl/>
              <w:jc w:val="left"/>
              <w:rPr>
                <w:kern w:val="0"/>
                <w:sz w:val="21"/>
                <w:szCs w:val="21"/>
                <w:highlight w:val="none"/>
              </w:rPr>
            </w:pPr>
          </w:p>
        </w:tc>
      </w:tr>
      <w:tr w14:paraId="42679247">
        <w:tblPrEx>
          <w:tblCellMar>
            <w:top w:w="0" w:type="dxa"/>
            <w:left w:w="108" w:type="dxa"/>
            <w:bottom w:w="0" w:type="dxa"/>
            <w:right w:w="108" w:type="dxa"/>
          </w:tblCellMar>
        </w:tblPrEx>
        <w:trPr>
          <w:trHeight w:val="418" w:hRule="atLeast"/>
          <w:jc w:val="center"/>
        </w:trPr>
        <w:tc>
          <w:tcPr>
            <w:tcW w:w="734" w:type="dxa"/>
            <w:tcBorders>
              <w:top w:val="nil"/>
              <w:left w:val="single" w:color="auto" w:sz="4" w:space="0"/>
              <w:bottom w:val="single" w:color="auto" w:sz="4" w:space="0"/>
              <w:right w:val="single" w:color="auto" w:sz="4" w:space="0"/>
            </w:tcBorders>
            <w:shd w:val="clear" w:color="auto" w:fill="auto"/>
            <w:vAlign w:val="center"/>
          </w:tcPr>
          <w:p w14:paraId="22237F00">
            <w:pPr>
              <w:widowControl/>
              <w:jc w:val="center"/>
              <w:rPr>
                <w:rFonts w:hint="eastAsia" w:ascii="Times New Roman" w:hAnsi="Times New Roman" w:eastAsia="宋体" w:cs="Times New Roman"/>
                <w:kern w:val="0"/>
                <w:sz w:val="21"/>
                <w:szCs w:val="21"/>
                <w:highlight w:val="none"/>
                <w:lang w:val="en-US" w:eastAsia="zh-CN" w:bidi="ar-SA"/>
              </w:rPr>
            </w:pPr>
            <w:r>
              <w:rPr>
                <w:rFonts w:hint="eastAsia"/>
                <w:kern w:val="0"/>
                <w:sz w:val="21"/>
                <w:szCs w:val="21"/>
                <w:highlight w:val="none"/>
                <w:lang w:val="en-US" w:eastAsia="zh-CN"/>
              </w:rPr>
              <w:t>5</w:t>
            </w:r>
          </w:p>
        </w:tc>
        <w:tc>
          <w:tcPr>
            <w:tcW w:w="1161" w:type="dxa"/>
            <w:tcBorders>
              <w:top w:val="nil"/>
              <w:left w:val="nil"/>
              <w:bottom w:val="single" w:color="auto" w:sz="4" w:space="0"/>
              <w:right w:val="single" w:color="auto" w:sz="4" w:space="0"/>
            </w:tcBorders>
            <w:shd w:val="clear" w:color="auto" w:fill="auto"/>
            <w:vAlign w:val="center"/>
          </w:tcPr>
          <w:p w14:paraId="71688316">
            <w:pPr>
              <w:widowControl/>
              <w:jc w:val="center"/>
              <w:rPr>
                <w:rFonts w:hint="default" w:ascii="Times New Roman" w:hAnsi="Times New Roman" w:eastAsia="宋体" w:cs="Times New Roman"/>
                <w:kern w:val="0"/>
                <w:sz w:val="21"/>
                <w:szCs w:val="21"/>
                <w:highlight w:val="none"/>
                <w:lang w:val="en-US" w:eastAsia="zh-CN" w:bidi="ar-SA"/>
              </w:rPr>
            </w:pPr>
            <w:r>
              <w:rPr>
                <w:rFonts w:hint="eastAsia" w:ascii="宋体" w:hAnsi="宋体" w:eastAsia="宋体" w:cs="宋体"/>
                <w:kern w:val="0"/>
                <w:sz w:val="21"/>
                <w:szCs w:val="21"/>
                <w:highlight w:val="none"/>
                <w:lang w:val="en-US" w:eastAsia="zh-CN"/>
              </w:rPr>
              <w:t>……</w:t>
            </w:r>
          </w:p>
        </w:tc>
        <w:tc>
          <w:tcPr>
            <w:tcW w:w="3102" w:type="dxa"/>
            <w:tcBorders>
              <w:top w:val="nil"/>
              <w:left w:val="nil"/>
              <w:bottom w:val="single" w:color="auto" w:sz="4" w:space="0"/>
              <w:right w:val="single" w:color="auto" w:sz="4" w:space="0"/>
            </w:tcBorders>
            <w:shd w:val="clear" w:color="auto" w:fill="auto"/>
            <w:vAlign w:val="center"/>
          </w:tcPr>
          <w:p w14:paraId="52DD2383">
            <w:pPr>
              <w:widowControl/>
              <w:jc w:val="left"/>
              <w:rPr>
                <w:rFonts w:hint="default" w:ascii="Times New Roman" w:hAnsi="Times New Roman" w:eastAsia="宋体" w:cs="Times New Roman"/>
                <w:kern w:val="0"/>
                <w:sz w:val="21"/>
                <w:szCs w:val="21"/>
                <w:highlight w:val="none"/>
                <w:lang w:val="en-US" w:eastAsia="zh-CN" w:bidi="ar-SA"/>
              </w:rPr>
            </w:pPr>
            <w:r>
              <w:rPr>
                <w:rFonts w:hint="eastAsia"/>
                <w:kern w:val="0"/>
                <w:sz w:val="21"/>
                <w:szCs w:val="21"/>
                <w:highlight w:val="none"/>
                <w:lang w:val="en-US" w:eastAsia="zh-CN"/>
              </w:rPr>
              <w:t>施工降水</w:t>
            </w:r>
          </w:p>
        </w:tc>
        <w:tc>
          <w:tcPr>
            <w:tcW w:w="1063" w:type="dxa"/>
            <w:gridSpan w:val="2"/>
            <w:tcBorders>
              <w:top w:val="nil"/>
              <w:left w:val="nil"/>
              <w:bottom w:val="single" w:color="auto" w:sz="4" w:space="0"/>
              <w:right w:val="single" w:color="auto" w:sz="4" w:space="0"/>
            </w:tcBorders>
            <w:vAlign w:val="center"/>
          </w:tcPr>
          <w:p w14:paraId="244F93E4">
            <w:pPr>
              <w:widowControl/>
              <w:jc w:val="left"/>
              <w:rPr>
                <w:kern w:val="0"/>
                <w:sz w:val="21"/>
                <w:szCs w:val="21"/>
                <w:highlight w:val="none"/>
              </w:rPr>
            </w:pPr>
          </w:p>
        </w:tc>
        <w:tc>
          <w:tcPr>
            <w:tcW w:w="1062" w:type="dxa"/>
            <w:tcBorders>
              <w:top w:val="nil"/>
              <w:left w:val="nil"/>
              <w:bottom w:val="single" w:color="auto" w:sz="4" w:space="0"/>
              <w:right w:val="single" w:color="auto" w:sz="4" w:space="0"/>
            </w:tcBorders>
            <w:vAlign w:val="center"/>
          </w:tcPr>
          <w:p w14:paraId="4D86650F">
            <w:pPr>
              <w:widowControl/>
              <w:jc w:val="left"/>
              <w:rPr>
                <w:kern w:val="0"/>
                <w:sz w:val="21"/>
                <w:szCs w:val="21"/>
                <w:highlight w:val="none"/>
              </w:rPr>
            </w:pPr>
          </w:p>
        </w:tc>
        <w:tc>
          <w:tcPr>
            <w:tcW w:w="913" w:type="dxa"/>
            <w:tcBorders>
              <w:top w:val="nil"/>
              <w:left w:val="nil"/>
              <w:bottom w:val="single" w:color="auto" w:sz="4" w:space="0"/>
              <w:right w:val="single" w:color="auto" w:sz="4" w:space="0"/>
            </w:tcBorders>
            <w:vAlign w:val="center"/>
          </w:tcPr>
          <w:p w14:paraId="160651C7">
            <w:pPr>
              <w:widowControl/>
              <w:jc w:val="left"/>
              <w:rPr>
                <w:kern w:val="0"/>
                <w:sz w:val="21"/>
                <w:szCs w:val="21"/>
                <w:highlight w:val="none"/>
              </w:rPr>
            </w:pPr>
          </w:p>
        </w:tc>
        <w:tc>
          <w:tcPr>
            <w:tcW w:w="1098" w:type="dxa"/>
            <w:tcBorders>
              <w:top w:val="nil"/>
              <w:left w:val="nil"/>
              <w:bottom w:val="single" w:color="auto" w:sz="4" w:space="0"/>
              <w:right w:val="single" w:color="auto" w:sz="4" w:space="0"/>
            </w:tcBorders>
            <w:vAlign w:val="center"/>
          </w:tcPr>
          <w:p w14:paraId="60E2BD48">
            <w:pPr>
              <w:widowControl/>
              <w:jc w:val="left"/>
              <w:rPr>
                <w:kern w:val="0"/>
                <w:sz w:val="21"/>
                <w:szCs w:val="21"/>
                <w:highlight w:val="none"/>
              </w:rPr>
            </w:pPr>
          </w:p>
        </w:tc>
        <w:tc>
          <w:tcPr>
            <w:tcW w:w="764" w:type="dxa"/>
            <w:tcBorders>
              <w:top w:val="nil"/>
              <w:left w:val="nil"/>
              <w:bottom w:val="single" w:color="auto" w:sz="4" w:space="0"/>
              <w:right w:val="single" w:color="auto" w:sz="4" w:space="0"/>
            </w:tcBorders>
            <w:vAlign w:val="center"/>
          </w:tcPr>
          <w:p w14:paraId="1CA05A96">
            <w:pPr>
              <w:widowControl/>
              <w:jc w:val="left"/>
              <w:rPr>
                <w:kern w:val="0"/>
                <w:sz w:val="21"/>
                <w:szCs w:val="21"/>
                <w:highlight w:val="none"/>
              </w:rPr>
            </w:pPr>
          </w:p>
        </w:tc>
      </w:tr>
      <w:tr w14:paraId="5808B8B3">
        <w:tblPrEx>
          <w:tblCellMar>
            <w:top w:w="0" w:type="dxa"/>
            <w:left w:w="108" w:type="dxa"/>
            <w:bottom w:w="0" w:type="dxa"/>
            <w:right w:w="108" w:type="dxa"/>
          </w:tblCellMar>
        </w:tblPrEx>
        <w:trPr>
          <w:trHeight w:val="418" w:hRule="atLeast"/>
          <w:jc w:val="center"/>
        </w:trPr>
        <w:tc>
          <w:tcPr>
            <w:tcW w:w="734" w:type="dxa"/>
            <w:tcBorders>
              <w:top w:val="nil"/>
              <w:left w:val="single" w:color="auto" w:sz="4" w:space="0"/>
              <w:bottom w:val="single" w:color="auto" w:sz="4" w:space="0"/>
              <w:right w:val="single" w:color="auto" w:sz="4" w:space="0"/>
            </w:tcBorders>
            <w:vAlign w:val="center"/>
          </w:tcPr>
          <w:p w14:paraId="63964B37">
            <w:pPr>
              <w:widowControl/>
              <w:jc w:val="right"/>
              <w:rPr>
                <w:kern w:val="0"/>
                <w:sz w:val="21"/>
                <w:szCs w:val="21"/>
                <w:highlight w:val="none"/>
              </w:rPr>
            </w:pPr>
          </w:p>
        </w:tc>
        <w:tc>
          <w:tcPr>
            <w:tcW w:w="1161" w:type="dxa"/>
            <w:tcBorders>
              <w:top w:val="nil"/>
              <w:left w:val="nil"/>
              <w:bottom w:val="single" w:color="auto" w:sz="4" w:space="0"/>
              <w:right w:val="single" w:color="auto" w:sz="4" w:space="0"/>
            </w:tcBorders>
            <w:vAlign w:val="center"/>
          </w:tcPr>
          <w:p w14:paraId="1EFA1F8C">
            <w:pPr>
              <w:widowControl/>
              <w:jc w:val="left"/>
              <w:rPr>
                <w:kern w:val="0"/>
                <w:sz w:val="21"/>
                <w:szCs w:val="21"/>
                <w:highlight w:val="none"/>
              </w:rPr>
            </w:pPr>
          </w:p>
        </w:tc>
        <w:tc>
          <w:tcPr>
            <w:tcW w:w="3102" w:type="dxa"/>
            <w:tcBorders>
              <w:top w:val="nil"/>
              <w:left w:val="nil"/>
              <w:bottom w:val="single" w:color="auto" w:sz="4" w:space="0"/>
              <w:right w:val="single" w:color="auto" w:sz="4" w:space="0"/>
            </w:tcBorders>
            <w:vAlign w:val="center"/>
          </w:tcPr>
          <w:p w14:paraId="123F54D8">
            <w:pPr>
              <w:widowControl/>
              <w:jc w:val="left"/>
              <w:rPr>
                <w:kern w:val="0"/>
                <w:sz w:val="21"/>
                <w:szCs w:val="21"/>
                <w:highlight w:val="none"/>
              </w:rPr>
            </w:pPr>
          </w:p>
        </w:tc>
        <w:tc>
          <w:tcPr>
            <w:tcW w:w="1063" w:type="dxa"/>
            <w:gridSpan w:val="2"/>
            <w:tcBorders>
              <w:top w:val="nil"/>
              <w:left w:val="nil"/>
              <w:bottom w:val="single" w:color="auto" w:sz="4" w:space="0"/>
              <w:right w:val="single" w:color="auto" w:sz="4" w:space="0"/>
            </w:tcBorders>
            <w:vAlign w:val="center"/>
          </w:tcPr>
          <w:p w14:paraId="6BFD7FB9">
            <w:pPr>
              <w:widowControl/>
              <w:jc w:val="left"/>
              <w:rPr>
                <w:kern w:val="0"/>
                <w:sz w:val="21"/>
                <w:szCs w:val="21"/>
                <w:highlight w:val="none"/>
              </w:rPr>
            </w:pPr>
          </w:p>
        </w:tc>
        <w:tc>
          <w:tcPr>
            <w:tcW w:w="1062" w:type="dxa"/>
            <w:tcBorders>
              <w:top w:val="nil"/>
              <w:left w:val="nil"/>
              <w:bottom w:val="single" w:color="auto" w:sz="4" w:space="0"/>
              <w:right w:val="single" w:color="auto" w:sz="4" w:space="0"/>
            </w:tcBorders>
            <w:vAlign w:val="center"/>
          </w:tcPr>
          <w:p w14:paraId="26D87F89">
            <w:pPr>
              <w:widowControl/>
              <w:jc w:val="left"/>
              <w:rPr>
                <w:kern w:val="0"/>
                <w:sz w:val="21"/>
                <w:szCs w:val="21"/>
                <w:highlight w:val="none"/>
              </w:rPr>
            </w:pPr>
          </w:p>
        </w:tc>
        <w:tc>
          <w:tcPr>
            <w:tcW w:w="913" w:type="dxa"/>
            <w:tcBorders>
              <w:top w:val="nil"/>
              <w:left w:val="nil"/>
              <w:bottom w:val="single" w:color="auto" w:sz="4" w:space="0"/>
              <w:right w:val="single" w:color="auto" w:sz="4" w:space="0"/>
            </w:tcBorders>
            <w:vAlign w:val="center"/>
          </w:tcPr>
          <w:p w14:paraId="47651171">
            <w:pPr>
              <w:widowControl/>
              <w:jc w:val="left"/>
              <w:rPr>
                <w:kern w:val="0"/>
                <w:sz w:val="21"/>
                <w:szCs w:val="21"/>
                <w:highlight w:val="none"/>
              </w:rPr>
            </w:pPr>
          </w:p>
        </w:tc>
        <w:tc>
          <w:tcPr>
            <w:tcW w:w="1098" w:type="dxa"/>
            <w:tcBorders>
              <w:top w:val="nil"/>
              <w:left w:val="nil"/>
              <w:bottom w:val="single" w:color="auto" w:sz="4" w:space="0"/>
              <w:right w:val="single" w:color="auto" w:sz="4" w:space="0"/>
            </w:tcBorders>
            <w:vAlign w:val="center"/>
          </w:tcPr>
          <w:p w14:paraId="5C026418">
            <w:pPr>
              <w:widowControl/>
              <w:jc w:val="left"/>
              <w:rPr>
                <w:kern w:val="0"/>
                <w:sz w:val="21"/>
                <w:szCs w:val="21"/>
                <w:highlight w:val="none"/>
              </w:rPr>
            </w:pPr>
          </w:p>
        </w:tc>
        <w:tc>
          <w:tcPr>
            <w:tcW w:w="764" w:type="dxa"/>
            <w:tcBorders>
              <w:top w:val="nil"/>
              <w:left w:val="nil"/>
              <w:bottom w:val="single" w:color="auto" w:sz="4" w:space="0"/>
              <w:right w:val="single" w:color="auto" w:sz="4" w:space="0"/>
            </w:tcBorders>
            <w:vAlign w:val="center"/>
          </w:tcPr>
          <w:p w14:paraId="6E8AB1D5">
            <w:pPr>
              <w:widowControl/>
              <w:jc w:val="left"/>
              <w:rPr>
                <w:kern w:val="0"/>
                <w:sz w:val="21"/>
                <w:szCs w:val="21"/>
                <w:highlight w:val="none"/>
              </w:rPr>
            </w:pPr>
          </w:p>
        </w:tc>
      </w:tr>
      <w:tr w14:paraId="5CACE79D">
        <w:tblPrEx>
          <w:tblCellMar>
            <w:top w:w="0" w:type="dxa"/>
            <w:left w:w="108" w:type="dxa"/>
            <w:bottom w:w="0" w:type="dxa"/>
            <w:right w:w="108" w:type="dxa"/>
          </w:tblCellMar>
        </w:tblPrEx>
        <w:trPr>
          <w:trHeight w:val="418" w:hRule="atLeast"/>
          <w:jc w:val="center"/>
        </w:trPr>
        <w:tc>
          <w:tcPr>
            <w:tcW w:w="734" w:type="dxa"/>
            <w:tcBorders>
              <w:top w:val="nil"/>
              <w:left w:val="single" w:color="auto" w:sz="4" w:space="0"/>
              <w:bottom w:val="single" w:color="auto" w:sz="4" w:space="0"/>
              <w:right w:val="single" w:color="auto" w:sz="4" w:space="0"/>
            </w:tcBorders>
            <w:vAlign w:val="center"/>
          </w:tcPr>
          <w:p w14:paraId="7551EB94">
            <w:pPr>
              <w:widowControl/>
              <w:jc w:val="center"/>
              <w:rPr>
                <w:kern w:val="0"/>
                <w:sz w:val="21"/>
                <w:szCs w:val="21"/>
                <w:highlight w:val="none"/>
              </w:rPr>
            </w:pPr>
          </w:p>
        </w:tc>
        <w:tc>
          <w:tcPr>
            <w:tcW w:w="1161" w:type="dxa"/>
            <w:tcBorders>
              <w:top w:val="nil"/>
              <w:left w:val="nil"/>
              <w:bottom w:val="single" w:color="auto" w:sz="4" w:space="0"/>
              <w:right w:val="single" w:color="auto" w:sz="4" w:space="0"/>
            </w:tcBorders>
            <w:vAlign w:val="center"/>
          </w:tcPr>
          <w:p w14:paraId="19E26ED7">
            <w:pPr>
              <w:widowControl/>
              <w:jc w:val="left"/>
              <w:rPr>
                <w:kern w:val="0"/>
                <w:sz w:val="21"/>
                <w:szCs w:val="21"/>
                <w:highlight w:val="none"/>
              </w:rPr>
            </w:pPr>
          </w:p>
        </w:tc>
        <w:tc>
          <w:tcPr>
            <w:tcW w:w="3102" w:type="dxa"/>
            <w:tcBorders>
              <w:top w:val="nil"/>
              <w:left w:val="nil"/>
              <w:bottom w:val="single" w:color="auto" w:sz="4" w:space="0"/>
              <w:right w:val="single" w:color="auto" w:sz="4" w:space="0"/>
            </w:tcBorders>
            <w:vAlign w:val="center"/>
          </w:tcPr>
          <w:p w14:paraId="11C774B3">
            <w:pPr>
              <w:widowControl/>
              <w:jc w:val="left"/>
              <w:rPr>
                <w:kern w:val="0"/>
                <w:sz w:val="21"/>
                <w:szCs w:val="21"/>
                <w:highlight w:val="none"/>
              </w:rPr>
            </w:pPr>
          </w:p>
        </w:tc>
        <w:tc>
          <w:tcPr>
            <w:tcW w:w="1063" w:type="dxa"/>
            <w:gridSpan w:val="2"/>
            <w:tcBorders>
              <w:top w:val="nil"/>
              <w:left w:val="nil"/>
              <w:bottom w:val="single" w:color="auto" w:sz="4" w:space="0"/>
              <w:right w:val="single" w:color="auto" w:sz="4" w:space="0"/>
            </w:tcBorders>
            <w:vAlign w:val="center"/>
          </w:tcPr>
          <w:p w14:paraId="2E19F10A">
            <w:pPr>
              <w:widowControl/>
              <w:jc w:val="left"/>
              <w:rPr>
                <w:kern w:val="0"/>
                <w:sz w:val="21"/>
                <w:szCs w:val="21"/>
                <w:highlight w:val="none"/>
              </w:rPr>
            </w:pPr>
          </w:p>
        </w:tc>
        <w:tc>
          <w:tcPr>
            <w:tcW w:w="1062" w:type="dxa"/>
            <w:tcBorders>
              <w:top w:val="nil"/>
              <w:left w:val="nil"/>
              <w:bottom w:val="single" w:color="auto" w:sz="4" w:space="0"/>
              <w:right w:val="single" w:color="auto" w:sz="4" w:space="0"/>
            </w:tcBorders>
            <w:vAlign w:val="center"/>
          </w:tcPr>
          <w:p w14:paraId="27C8CCC8">
            <w:pPr>
              <w:widowControl/>
              <w:jc w:val="left"/>
              <w:rPr>
                <w:kern w:val="0"/>
                <w:sz w:val="21"/>
                <w:szCs w:val="21"/>
                <w:highlight w:val="none"/>
              </w:rPr>
            </w:pPr>
          </w:p>
        </w:tc>
        <w:tc>
          <w:tcPr>
            <w:tcW w:w="913" w:type="dxa"/>
            <w:tcBorders>
              <w:top w:val="nil"/>
              <w:left w:val="nil"/>
              <w:bottom w:val="single" w:color="auto" w:sz="4" w:space="0"/>
              <w:right w:val="single" w:color="auto" w:sz="4" w:space="0"/>
            </w:tcBorders>
            <w:vAlign w:val="center"/>
          </w:tcPr>
          <w:p w14:paraId="17207CDE">
            <w:pPr>
              <w:widowControl/>
              <w:jc w:val="left"/>
              <w:rPr>
                <w:kern w:val="0"/>
                <w:sz w:val="21"/>
                <w:szCs w:val="21"/>
                <w:highlight w:val="none"/>
              </w:rPr>
            </w:pPr>
          </w:p>
        </w:tc>
        <w:tc>
          <w:tcPr>
            <w:tcW w:w="1098" w:type="dxa"/>
            <w:tcBorders>
              <w:top w:val="nil"/>
              <w:left w:val="nil"/>
              <w:bottom w:val="single" w:color="auto" w:sz="4" w:space="0"/>
              <w:right w:val="single" w:color="auto" w:sz="4" w:space="0"/>
            </w:tcBorders>
            <w:vAlign w:val="center"/>
          </w:tcPr>
          <w:p w14:paraId="36EAFC64">
            <w:pPr>
              <w:widowControl/>
              <w:jc w:val="left"/>
              <w:rPr>
                <w:kern w:val="0"/>
                <w:sz w:val="21"/>
                <w:szCs w:val="21"/>
                <w:highlight w:val="none"/>
              </w:rPr>
            </w:pPr>
          </w:p>
        </w:tc>
        <w:tc>
          <w:tcPr>
            <w:tcW w:w="764" w:type="dxa"/>
            <w:tcBorders>
              <w:top w:val="nil"/>
              <w:left w:val="nil"/>
              <w:bottom w:val="single" w:color="auto" w:sz="4" w:space="0"/>
              <w:right w:val="single" w:color="auto" w:sz="4" w:space="0"/>
            </w:tcBorders>
            <w:vAlign w:val="center"/>
          </w:tcPr>
          <w:p w14:paraId="06F3A540">
            <w:pPr>
              <w:widowControl/>
              <w:jc w:val="left"/>
              <w:rPr>
                <w:kern w:val="0"/>
                <w:sz w:val="21"/>
                <w:szCs w:val="21"/>
                <w:highlight w:val="none"/>
              </w:rPr>
            </w:pPr>
          </w:p>
        </w:tc>
      </w:tr>
      <w:tr w14:paraId="4BBCF77F">
        <w:tblPrEx>
          <w:tblCellMar>
            <w:top w:w="0" w:type="dxa"/>
            <w:left w:w="108" w:type="dxa"/>
            <w:bottom w:w="0" w:type="dxa"/>
            <w:right w:w="108" w:type="dxa"/>
          </w:tblCellMar>
        </w:tblPrEx>
        <w:trPr>
          <w:trHeight w:val="418" w:hRule="atLeast"/>
          <w:jc w:val="center"/>
        </w:trPr>
        <w:tc>
          <w:tcPr>
            <w:tcW w:w="734" w:type="dxa"/>
            <w:tcBorders>
              <w:top w:val="nil"/>
              <w:left w:val="single" w:color="auto" w:sz="4" w:space="0"/>
              <w:bottom w:val="single" w:color="auto" w:sz="4" w:space="0"/>
              <w:right w:val="single" w:color="auto" w:sz="4" w:space="0"/>
            </w:tcBorders>
            <w:vAlign w:val="center"/>
          </w:tcPr>
          <w:p w14:paraId="7958CE7A">
            <w:pPr>
              <w:widowControl/>
              <w:jc w:val="right"/>
              <w:rPr>
                <w:kern w:val="0"/>
                <w:sz w:val="21"/>
                <w:szCs w:val="21"/>
                <w:highlight w:val="none"/>
              </w:rPr>
            </w:pPr>
          </w:p>
        </w:tc>
        <w:tc>
          <w:tcPr>
            <w:tcW w:w="1161" w:type="dxa"/>
            <w:tcBorders>
              <w:top w:val="nil"/>
              <w:left w:val="nil"/>
              <w:bottom w:val="single" w:color="auto" w:sz="4" w:space="0"/>
              <w:right w:val="single" w:color="auto" w:sz="4" w:space="0"/>
            </w:tcBorders>
            <w:vAlign w:val="center"/>
          </w:tcPr>
          <w:p w14:paraId="4930035A">
            <w:pPr>
              <w:widowControl/>
              <w:jc w:val="left"/>
              <w:rPr>
                <w:kern w:val="0"/>
                <w:sz w:val="21"/>
                <w:szCs w:val="21"/>
                <w:highlight w:val="none"/>
              </w:rPr>
            </w:pPr>
          </w:p>
        </w:tc>
        <w:tc>
          <w:tcPr>
            <w:tcW w:w="3102" w:type="dxa"/>
            <w:tcBorders>
              <w:top w:val="nil"/>
              <w:left w:val="nil"/>
              <w:bottom w:val="single" w:color="auto" w:sz="4" w:space="0"/>
              <w:right w:val="single" w:color="auto" w:sz="4" w:space="0"/>
            </w:tcBorders>
            <w:vAlign w:val="center"/>
          </w:tcPr>
          <w:p w14:paraId="6503B5CE">
            <w:pPr>
              <w:widowControl/>
              <w:jc w:val="left"/>
              <w:rPr>
                <w:kern w:val="0"/>
                <w:sz w:val="21"/>
                <w:szCs w:val="21"/>
                <w:highlight w:val="none"/>
              </w:rPr>
            </w:pPr>
          </w:p>
        </w:tc>
        <w:tc>
          <w:tcPr>
            <w:tcW w:w="1063" w:type="dxa"/>
            <w:gridSpan w:val="2"/>
            <w:tcBorders>
              <w:top w:val="nil"/>
              <w:left w:val="nil"/>
              <w:bottom w:val="single" w:color="auto" w:sz="4" w:space="0"/>
              <w:right w:val="single" w:color="auto" w:sz="4" w:space="0"/>
            </w:tcBorders>
            <w:vAlign w:val="center"/>
          </w:tcPr>
          <w:p w14:paraId="5772CDC7">
            <w:pPr>
              <w:widowControl/>
              <w:jc w:val="left"/>
              <w:rPr>
                <w:kern w:val="0"/>
                <w:sz w:val="21"/>
                <w:szCs w:val="21"/>
                <w:highlight w:val="none"/>
              </w:rPr>
            </w:pPr>
          </w:p>
        </w:tc>
        <w:tc>
          <w:tcPr>
            <w:tcW w:w="1062" w:type="dxa"/>
            <w:tcBorders>
              <w:top w:val="nil"/>
              <w:left w:val="nil"/>
              <w:bottom w:val="single" w:color="auto" w:sz="4" w:space="0"/>
              <w:right w:val="single" w:color="auto" w:sz="4" w:space="0"/>
            </w:tcBorders>
            <w:vAlign w:val="center"/>
          </w:tcPr>
          <w:p w14:paraId="3DE44426">
            <w:pPr>
              <w:widowControl/>
              <w:jc w:val="left"/>
              <w:rPr>
                <w:kern w:val="0"/>
                <w:sz w:val="21"/>
                <w:szCs w:val="21"/>
                <w:highlight w:val="none"/>
              </w:rPr>
            </w:pPr>
          </w:p>
        </w:tc>
        <w:tc>
          <w:tcPr>
            <w:tcW w:w="913" w:type="dxa"/>
            <w:tcBorders>
              <w:top w:val="nil"/>
              <w:left w:val="nil"/>
              <w:bottom w:val="single" w:color="auto" w:sz="4" w:space="0"/>
              <w:right w:val="single" w:color="auto" w:sz="4" w:space="0"/>
            </w:tcBorders>
            <w:vAlign w:val="center"/>
          </w:tcPr>
          <w:p w14:paraId="70A777D4">
            <w:pPr>
              <w:widowControl/>
              <w:jc w:val="left"/>
              <w:rPr>
                <w:kern w:val="0"/>
                <w:sz w:val="21"/>
                <w:szCs w:val="21"/>
                <w:highlight w:val="none"/>
              </w:rPr>
            </w:pPr>
          </w:p>
        </w:tc>
        <w:tc>
          <w:tcPr>
            <w:tcW w:w="1098" w:type="dxa"/>
            <w:tcBorders>
              <w:top w:val="nil"/>
              <w:left w:val="nil"/>
              <w:bottom w:val="single" w:color="auto" w:sz="4" w:space="0"/>
              <w:right w:val="single" w:color="auto" w:sz="4" w:space="0"/>
            </w:tcBorders>
            <w:vAlign w:val="center"/>
          </w:tcPr>
          <w:p w14:paraId="46E335E7">
            <w:pPr>
              <w:widowControl/>
              <w:jc w:val="left"/>
              <w:rPr>
                <w:kern w:val="0"/>
                <w:sz w:val="21"/>
                <w:szCs w:val="21"/>
                <w:highlight w:val="none"/>
              </w:rPr>
            </w:pPr>
          </w:p>
        </w:tc>
        <w:tc>
          <w:tcPr>
            <w:tcW w:w="764" w:type="dxa"/>
            <w:tcBorders>
              <w:top w:val="nil"/>
              <w:left w:val="nil"/>
              <w:bottom w:val="single" w:color="auto" w:sz="4" w:space="0"/>
              <w:right w:val="single" w:color="auto" w:sz="4" w:space="0"/>
            </w:tcBorders>
            <w:vAlign w:val="center"/>
          </w:tcPr>
          <w:p w14:paraId="1A531209">
            <w:pPr>
              <w:widowControl/>
              <w:jc w:val="left"/>
              <w:rPr>
                <w:kern w:val="0"/>
                <w:sz w:val="21"/>
                <w:szCs w:val="21"/>
                <w:highlight w:val="none"/>
              </w:rPr>
            </w:pPr>
          </w:p>
        </w:tc>
      </w:tr>
      <w:tr w14:paraId="7237BFF5">
        <w:tblPrEx>
          <w:tblCellMar>
            <w:top w:w="0" w:type="dxa"/>
            <w:left w:w="108" w:type="dxa"/>
            <w:bottom w:w="0" w:type="dxa"/>
            <w:right w:w="108" w:type="dxa"/>
          </w:tblCellMar>
        </w:tblPrEx>
        <w:trPr>
          <w:trHeight w:val="507" w:hRule="atLeast"/>
          <w:jc w:val="center"/>
        </w:trPr>
        <w:tc>
          <w:tcPr>
            <w:tcW w:w="6060" w:type="dxa"/>
            <w:gridSpan w:val="5"/>
            <w:tcBorders>
              <w:top w:val="single" w:color="auto" w:sz="4" w:space="0"/>
              <w:left w:val="single" w:color="auto" w:sz="4" w:space="0"/>
              <w:bottom w:val="single" w:color="auto" w:sz="4" w:space="0"/>
              <w:right w:val="single" w:color="000000" w:sz="4" w:space="0"/>
            </w:tcBorders>
            <w:vAlign w:val="center"/>
          </w:tcPr>
          <w:p w14:paraId="3FD35716">
            <w:pPr>
              <w:widowControl/>
              <w:jc w:val="center"/>
              <w:rPr>
                <w:kern w:val="0"/>
                <w:sz w:val="21"/>
                <w:szCs w:val="21"/>
                <w:highlight w:val="none"/>
              </w:rPr>
            </w:pPr>
            <w:r>
              <w:rPr>
                <w:kern w:val="0"/>
                <w:sz w:val="21"/>
                <w:szCs w:val="21"/>
                <w:highlight w:val="none"/>
              </w:rPr>
              <w:t>本页小计</w:t>
            </w:r>
          </w:p>
        </w:tc>
        <w:tc>
          <w:tcPr>
            <w:tcW w:w="1062" w:type="dxa"/>
            <w:tcBorders>
              <w:top w:val="nil"/>
              <w:left w:val="nil"/>
              <w:bottom w:val="single" w:color="auto" w:sz="4" w:space="0"/>
              <w:right w:val="single" w:color="auto" w:sz="4" w:space="0"/>
            </w:tcBorders>
            <w:vAlign w:val="center"/>
          </w:tcPr>
          <w:p w14:paraId="03F2FC5B">
            <w:pPr>
              <w:widowControl/>
              <w:jc w:val="left"/>
              <w:rPr>
                <w:kern w:val="0"/>
                <w:sz w:val="21"/>
                <w:szCs w:val="21"/>
                <w:highlight w:val="none"/>
              </w:rPr>
            </w:pPr>
          </w:p>
        </w:tc>
        <w:tc>
          <w:tcPr>
            <w:tcW w:w="913" w:type="dxa"/>
            <w:tcBorders>
              <w:top w:val="nil"/>
              <w:left w:val="nil"/>
              <w:bottom w:val="single" w:color="auto" w:sz="4" w:space="0"/>
              <w:right w:val="single" w:color="auto" w:sz="4" w:space="0"/>
            </w:tcBorders>
            <w:vAlign w:val="center"/>
          </w:tcPr>
          <w:p w14:paraId="454C6D20">
            <w:pPr>
              <w:widowControl/>
              <w:jc w:val="left"/>
              <w:rPr>
                <w:kern w:val="0"/>
                <w:sz w:val="21"/>
                <w:szCs w:val="21"/>
                <w:highlight w:val="none"/>
              </w:rPr>
            </w:pPr>
          </w:p>
        </w:tc>
        <w:tc>
          <w:tcPr>
            <w:tcW w:w="1098" w:type="dxa"/>
            <w:tcBorders>
              <w:top w:val="nil"/>
              <w:left w:val="nil"/>
              <w:bottom w:val="single" w:color="auto" w:sz="4" w:space="0"/>
              <w:right w:val="single" w:color="auto" w:sz="4" w:space="0"/>
            </w:tcBorders>
            <w:vAlign w:val="center"/>
          </w:tcPr>
          <w:p w14:paraId="096AB107">
            <w:pPr>
              <w:widowControl/>
              <w:jc w:val="left"/>
              <w:rPr>
                <w:kern w:val="0"/>
                <w:sz w:val="21"/>
                <w:szCs w:val="21"/>
                <w:highlight w:val="none"/>
              </w:rPr>
            </w:pPr>
            <w:r>
              <w:rPr>
                <w:kern w:val="0"/>
                <w:sz w:val="21"/>
                <w:szCs w:val="21"/>
                <w:highlight w:val="none"/>
              </w:rPr>
              <w:t>　</w:t>
            </w:r>
          </w:p>
        </w:tc>
        <w:tc>
          <w:tcPr>
            <w:tcW w:w="764" w:type="dxa"/>
            <w:tcBorders>
              <w:top w:val="nil"/>
              <w:left w:val="nil"/>
              <w:bottom w:val="single" w:color="auto" w:sz="4" w:space="0"/>
              <w:right w:val="single" w:color="auto" w:sz="4" w:space="0"/>
            </w:tcBorders>
            <w:vAlign w:val="center"/>
          </w:tcPr>
          <w:p w14:paraId="6272A4CC">
            <w:pPr>
              <w:widowControl/>
              <w:jc w:val="left"/>
              <w:rPr>
                <w:kern w:val="0"/>
                <w:sz w:val="21"/>
                <w:szCs w:val="21"/>
                <w:highlight w:val="none"/>
              </w:rPr>
            </w:pPr>
          </w:p>
        </w:tc>
      </w:tr>
      <w:tr w14:paraId="5D9B5071">
        <w:tblPrEx>
          <w:tblCellMar>
            <w:top w:w="0" w:type="dxa"/>
            <w:left w:w="108" w:type="dxa"/>
            <w:bottom w:w="0" w:type="dxa"/>
            <w:right w:w="108" w:type="dxa"/>
          </w:tblCellMar>
        </w:tblPrEx>
        <w:trPr>
          <w:trHeight w:val="507" w:hRule="atLeast"/>
          <w:jc w:val="center"/>
        </w:trPr>
        <w:tc>
          <w:tcPr>
            <w:tcW w:w="6060" w:type="dxa"/>
            <w:gridSpan w:val="5"/>
            <w:tcBorders>
              <w:top w:val="single" w:color="auto" w:sz="4" w:space="0"/>
              <w:left w:val="single" w:color="auto" w:sz="4" w:space="0"/>
              <w:bottom w:val="single" w:color="auto" w:sz="4" w:space="0"/>
              <w:right w:val="single" w:color="000000" w:sz="4" w:space="0"/>
            </w:tcBorders>
            <w:vAlign w:val="center"/>
          </w:tcPr>
          <w:p w14:paraId="28C923A7">
            <w:pPr>
              <w:widowControl/>
              <w:jc w:val="center"/>
              <w:rPr>
                <w:kern w:val="0"/>
                <w:sz w:val="21"/>
                <w:szCs w:val="21"/>
                <w:highlight w:val="none"/>
              </w:rPr>
            </w:pPr>
            <w:r>
              <w:rPr>
                <w:kern w:val="0"/>
                <w:sz w:val="21"/>
                <w:szCs w:val="21"/>
                <w:highlight w:val="none"/>
              </w:rPr>
              <w:t>合计</w:t>
            </w:r>
          </w:p>
        </w:tc>
        <w:tc>
          <w:tcPr>
            <w:tcW w:w="1062" w:type="dxa"/>
            <w:tcBorders>
              <w:top w:val="nil"/>
              <w:left w:val="nil"/>
              <w:bottom w:val="single" w:color="auto" w:sz="4" w:space="0"/>
              <w:right w:val="single" w:color="auto" w:sz="4" w:space="0"/>
            </w:tcBorders>
            <w:vAlign w:val="center"/>
          </w:tcPr>
          <w:p w14:paraId="7226997E">
            <w:pPr>
              <w:widowControl/>
              <w:jc w:val="left"/>
              <w:rPr>
                <w:kern w:val="0"/>
                <w:sz w:val="21"/>
                <w:szCs w:val="21"/>
                <w:highlight w:val="none"/>
              </w:rPr>
            </w:pPr>
          </w:p>
        </w:tc>
        <w:tc>
          <w:tcPr>
            <w:tcW w:w="913" w:type="dxa"/>
            <w:tcBorders>
              <w:top w:val="nil"/>
              <w:left w:val="nil"/>
              <w:bottom w:val="single" w:color="auto" w:sz="4" w:space="0"/>
              <w:right w:val="single" w:color="auto" w:sz="4" w:space="0"/>
            </w:tcBorders>
            <w:vAlign w:val="center"/>
          </w:tcPr>
          <w:p w14:paraId="1BF36B43">
            <w:pPr>
              <w:widowControl/>
              <w:jc w:val="left"/>
              <w:rPr>
                <w:kern w:val="0"/>
                <w:sz w:val="21"/>
                <w:szCs w:val="21"/>
                <w:highlight w:val="none"/>
              </w:rPr>
            </w:pPr>
          </w:p>
        </w:tc>
        <w:tc>
          <w:tcPr>
            <w:tcW w:w="1098" w:type="dxa"/>
            <w:tcBorders>
              <w:top w:val="nil"/>
              <w:left w:val="nil"/>
              <w:bottom w:val="single" w:color="auto" w:sz="4" w:space="0"/>
              <w:right w:val="single" w:color="auto" w:sz="4" w:space="0"/>
            </w:tcBorders>
            <w:vAlign w:val="center"/>
          </w:tcPr>
          <w:p w14:paraId="0EABC20A">
            <w:pPr>
              <w:widowControl/>
              <w:jc w:val="left"/>
              <w:rPr>
                <w:kern w:val="0"/>
                <w:sz w:val="21"/>
                <w:szCs w:val="21"/>
                <w:highlight w:val="none"/>
              </w:rPr>
            </w:pPr>
            <w:r>
              <w:rPr>
                <w:kern w:val="0"/>
                <w:sz w:val="21"/>
                <w:szCs w:val="21"/>
                <w:highlight w:val="none"/>
              </w:rPr>
              <w:t>　</w:t>
            </w:r>
          </w:p>
        </w:tc>
        <w:tc>
          <w:tcPr>
            <w:tcW w:w="764" w:type="dxa"/>
            <w:tcBorders>
              <w:top w:val="nil"/>
              <w:left w:val="nil"/>
              <w:bottom w:val="single" w:color="auto" w:sz="4" w:space="0"/>
              <w:right w:val="single" w:color="auto" w:sz="4" w:space="0"/>
            </w:tcBorders>
            <w:vAlign w:val="center"/>
          </w:tcPr>
          <w:p w14:paraId="1C1B0EBB">
            <w:pPr>
              <w:widowControl/>
              <w:jc w:val="left"/>
              <w:rPr>
                <w:kern w:val="0"/>
                <w:sz w:val="21"/>
                <w:szCs w:val="21"/>
                <w:highlight w:val="none"/>
              </w:rPr>
            </w:pPr>
          </w:p>
        </w:tc>
      </w:tr>
    </w:tbl>
    <w:p w14:paraId="7C34FD50">
      <w:pPr>
        <w:rPr>
          <w:sz w:val="21"/>
          <w:szCs w:val="21"/>
          <w:highlight w:val="none"/>
        </w:rPr>
      </w:pPr>
      <w:r>
        <w:rPr>
          <w:kern w:val="0"/>
          <w:sz w:val="21"/>
          <w:szCs w:val="21"/>
          <w:highlight w:val="none"/>
        </w:rPr>
        <w:t>注：</w:t>
      </w:r>
      <w:r>
        <w:rPr>
          <w:rFonts w:hint="eastAsia" w:ascii="Times New Roman" w:hAnsi="Times New Roman" w:eastAsia="宋体" w:cs="宋体"/>
          <w:sz w:val="21"/>
          <w:szCs w:val="21"/>
          <w:highlight w:val="none"/>
          <w:lang w:val="en-US" w:eastAsia="zh-CN"/>
        </w:rPr>
        <w:t>措施项目清单中的安全文明施工</w:t>
      </w:r>
      <w:r>
        <w:rPr>
          <w:rFonts w:hint="eastAsia" w:cs="宋体"/>
          <w:sz w:val="21"/>
          <w:szCs w:val="21"/>
          <w:highlight w:val="none"/>
          <w:lang w:val="en-US" w:eastAsia="zh-CN"/>
        </w:rPr>
        <w:t>费</w:t>
      </w:r>
      <w:r>
        <w:rPr>
          <w:rFonts w:hint="eastAsia" w:ascii="Times New Roman" w:hAnsi="Times New Roman" w:eastAsia="宋体" w:cs="宋体"/>
          <w:sz w:val="21"/>
          <w:szCs w:val="21"/>
          <w:highlight w:val="none"/>
          <w:lang w:val="en-US" w:eastAsia="zh-CN"/>
        </w:rPr>
        <w:t>属于不可竞争项目，其计价应符合本</w:t>
      </w:r>
      <w:r>
        <w:rPr>
          <w:rFonts w:hint="eastAsia" w:cs="宋体"/>
          <w:sz w:val="21"/>
          <w:szCs w:val="21"/>
          <w:highlight w:val="none"/>
          <w:lang w:eastAsia="zh-CN"/>
        </w:rPr>
        <w:t>指引</w:t>
      </w:r>
      <w:r>
        <w:rPr>
          <w:rFonts w:hint="eastAsia" w:ascii="Times New Roman" w:hAnsi="Times New Roman" w:eastAsia="宋体" w:cs="宋体"/>
          <w:sz w:val="21"/>
          <w:szCs w:val="21"/>
          <w:highlight w:val="none"/>
          <w:lang w:val="en-US" w:eastAsia="zh-CN"/>
        </w:rPr>
        <w:t>及深圳市相关规定</w:t>
      </w:r>
      <w:r>
        <w:rPr>
          <w:kern w:val="0"/>
          <w:sz w:val="21"/>
          <w:szCs w:val="21"/>
          <w:highlight w:val="none"/>
        </w:rPr>
        <w:t>。</w:t>
      </w:r>
    </w:p>
    <w:p w14:paraId="06F19776">
      <w:pPr>
        <w:rPr>
          <w:szCs w:val="21"/>
          <w:highlight w:val="none"/>
        </w:rPr>
      </w:pPr>
      <w:r>
        <w:rPr>
          <w:szCs w:val="21"/>
          <w:highlight w:val="none"/>
        </w:rPr>
        <w:br w:type="page"/>
      </w:r>
    </w:p>
    <w:p w14:paraId="07F9BD1C">
      <w:pPr>
        <w:widowControl/>
        <w:jc w:val="center"/>
        <w:outlineLvl w:val="2"/>
        <w:rPr>
          <w:b w:val="0"/>
          <w:bCs w:val="0"/>
          <w:kern w:val="0"/>
          <w:sz w:val="28"/>
          <w:szCs w:val="28"/>
          <w:highlight w:val="none"/>
        </w:rPr>
      </w:pPr>
      <w:r>
        <w:rPr>
          <w:rFonts w:hint="eastAsia" w:eastAsia="宋体"/>
          <w:b w:val="0"/>
          <w:bCs w:val="0"/>
          <w:kern w:val="0"/>
          <w:sz w:val="28"/>
          <w:szCs w:val="28"/>
          <w:highlight w:val="none"/>
          <w:lang w:val="en-US" w:eastAsia="zh-CN"/>
        </w:rPr>
        <w:t>工程量</w:t>
      </w:r>
      <w:r>
        <w:rPr>
          <w:rFonts w:hint="eastAsia"/>
          <w:b w:val="0"/>
          <w:bCs w:val="0"/>
          <w:kern w:val="0"/>
          <w:sz w:val="28"/>
          <w:szCs w:val="28"/>
          <w:highlight w:val="none"/>
        </w:rPr>
        <w:t>清单综合单价分析表</w:t>
      </w:r>
    </w:p>
    <w:p w14:paraId="64DD3578">
      <w:pPr>
        <w:jc w:val="center"/>
        <w:rPr>
          <w:szCs w:val="21"/>
          <w:highlight w:val="none"/>
        </w:rPr>
      </w:pPr>
    </w:p>
    <w:tbl>
      <w:tblPr>
        <w:tblStyle w:val="41"/>
        <w:tblW w:w="8748" w:type="dxa"/>
        <w:jc w:val="center"/>
        <w:tblLayout w:type="fixed"/>
        <w:tblCellMar>
          <w:top w:w="0" w:type="dxa"/>
          <w:left w:w="108" w:type="dxa"/>
          <w:bottom w:w="0" w:type="dxa"/>
          <w:right w:w="108" w:type="dxa"/>
        </w:tblCellMar>
      </w:tblPr>
      <w:tblGrid>
        <w:gridCol w:w="527"/>
        <w:gridCol w:w="143"/>
        <w:gridCol w:w="516"/>
        <w:gridCol w:w="319"/>
        <w:gridCol w:w="492"/>
        <w:gridCol w:w="419"/>
        <w:gridCol w:w="440"/>
        <w:gridCol w:w="331"/>
        <w:gridCol w:w="744"/>
        <w:gridCol w:w="27"/>
        <w:gridCol w:w="260"/>
        <w:gridCol w:w="228"/>
        <w:gridCol w:w="260"/>
        <w:gridCol w:w="23"/>
        <w:gridCol w:w="771"/>
        <w:gridCol w:w="812"/>
        <w:gridCol w:w="812"/>
        <w:gridCol w:w="166"/>
        <w:gridCol w:w="646"/>
        <w:gridCol w:w="812"/>
      </w:tblGrid>
      <w:tr w14:paraId="01ACFC62">
        <w:tblPrEx>
          <w:tblCellMar>
            <w:top w:w="0" w:type="dxa"/>
            <w:left w:w="108" w:type="dxa"/>
            <w:bottom w:w="0" w:type="dxa"/>
            <w:right w:w="108" w:type="dxa"/>
          </w:tblCellMar>
        </w:tblPrEx>
        <w:trPr>
          <w:trHeight w:val="493" w:hRule="atLeast"/>
          <w:jc w:val="center"/>
        </w:trPr>
        <w:tc>
          <w:tcPr>
            <w:tcW w:w="3931" w:type="dxa"/>
            <w:gridSpan w:val="9"/>
            <w:tcBorders>
              <w:top w:val="nil"/>
              <w:left w:val="nil"/>
              <w:bottom w:val="single" w:color="auto" w:sz="4" w:space="0"/>
              <w:right w:val="nil"/>
            </w:tcBorders>
            <w:vAlign w:val="center"/>
          </w:tcPr>
          <w:p w14:paraId="0B984FDD">
            <w:pPr>
              <w:widowControl/>
              <w:jc w:val="left"/>
              <w:rPr>
                <w:kern w:val="0"/>
                <w:sz w:val="21"/>
                <w:szCs w:val="21"/>
                <w:highlight w:val="none"/>
              </w:rPr>
            </w:pPr>
            <w:r>
              <w:rPr>
                <w:kern w:val="0"/>
                <w:sz w:val="21"/>
                <w:szCs w:val="21"/>
                <w:highlight w:val="none"/>
              </w:rPr>
              <w:t>工程名称：</w:t>
            </w:r>
          </w:p>
        </w:tc>
        <w:tc>
          <w:tcPr>
            <w:tcW w:w="2381" w:type="dxa"/>
            <w:gridSpan w:val="7"/>
            <w:tcBorders>
              <w:top w:val="nil"/>
              <w:left w:val="nil"/>
            </w:tcBorders>
            <w:vAlign w:val="center"/>
          </w:tcPr>
          <w:p w14:paraId="323ED608">
            <w:pPr>
              <w:widowControl/>
              <w:jc w:val="left"/>
              <w:rPr>
                <w:kern w:val="0"/>
                <w:sz w:val="21"/>
                <w:szCs w:val="21"/>
                <w:highlight w:val="none"/>
              </w:rPr>
            </w:pPr>
            <w:r>
              <w:rPr>
                <w:kern w:val="0"/>
                <w:sz w:val="21"/>
                <w:szCs w:val="21"/>
                <w:highlight w:val="none"/>
              </w:rPr>
              <w:t>　标段：</w:t>
            </w:r>
          </w:p>
        </w:tc>
        <w:tc>
          <w:tcPr>
            <w:tcW w:w="2436" w:type="dxa"/>
            <w:gridSpan w:val="4"/>
            <w:tcBorders>
              <w:top w:val="nil"/>
              <w:left w:val="nil"/>
              <w:right w:val="nil"/>
            </w:tcBorders>
            <w:vAlign w:val="center"/>
          </w:tcPr>
          <w:p w14:paraId="02076D0C">
            <w:pPr>
              <w:widowControl/>
              <w:ind w:right="-147"/>
              <w:jc w:val="center"/>
              <w:rPr>
                <w:kern w:val="0"/>
                <w:sz w:val="21"/>
                <w:szCs w:val="21"/>
                <w:highlight w:val="none"/>
              </w:rPr>
            </w:pPr>
            <w:r>
              <w:rPr>
                <w:rFonts w:hint="eastAsia"/>
                <w:kern w:val="0"/>
                <w:sz w:val="21"/>
                <w:szCs w:val="21"/>
                <w:highlight w:val="none"/>
                <w:lang w:val="en-US" w:eastAsia="zh-CN"/>
              </w:rPr>
              <w:t xml:space="preserve">     </w:t>
            </w:r>
            <w:r>
              <w:rPr>
                <w:kern w:val="0"/>
                <w:sz w:val="21"/>
                <w:szCs w:val="21"/>
                <w:highlight w:val="none"/>
              </w:rPr>
              <w:t>第   页  共  页</w:t>
            </w:r>
          </w:p>
        </w:tc>
      </w:tr>
      <w:tr w14:paraId="0E547E56">
        <w:tblPrEx>
          <w:tblCellMar>
            <w:top w:w="0" w:type="dxa"/>
            <w:left w:w="108" w:type="dxa"/>
            <w:bottom w:w="0" w:type="dxa"/>
            <w:right w:w="108" w:type="dxa"/>
          </w:tblCellMar>
        </w:tblPrEx>
        <w:trPr>
          <w:trHeight w:val="420" w:hRule="atLeast"/>
          <w:jc w:val="center"/>
        </w:trPr>
        <w:tc>
          <w:tcPr>
            <w:tcW w:w="1505" w:type="dxa"/>
            <w:gridSpan w:val="4"/>
            <w:tcBorders>
              <w:top w:val="single" w:color="auto" w:sz="4" w:space="0"/>
              <w:left w:val="single" w:color="auto" w:sz="4" w:space="0"/>
              <w:bottom w:val="single" w:color="auto" w:sz="4" w:space="0"/>
              <w:right w:val="single" w:color="000000" w:sz="4" w:space="0"/>
            </w:tcBorders>
            <w:vAlign w:val="center"/>
          </w:tcPr>
          <w:p w14:paraId="4D035A27">
            <w:pPr>
              <w:widowControl/>
              <w:jc w:val="center"/>
              <w:rPr>
                <w:kern w:val="0"/>
                <w:sz w:val="21"/>
                <w:szCs w:val="21"/>
                <w:highlight w:val="none"/>
              </w:rPr>
            </w:pPr>
            <w:r>
              <w:rPr>
                <w:kern w:val="0"/>
                <w:sz w:val="21"/>
                <w:szCs w:val="21"/>
                <w:highlight w:val="none"/>
              </w:rPr>
              <w:t>项目编码</w:t>
            </w:r>
          </w:p>
        </w:tc>
        <w:tc>
          <w:tcPr>
            <w:tcW w:w="1351" w:type="dxa"/>
            <w:gridSpan w:val="3"/>
            <w:tcBorders>
              <w:top w:val="single" w:color="auto" w:sz="4" w:space="0"/>
              <w:left w:val="nil"/>
              <w:bottom w:val="single" w:color="auto" w:sz="4" w:space="0"/>
              <w:right w:val="single" w:color="000000" w:sz="4" w:space="0"/>
            </w:tcBorders>
            <w:vAlign w:val="center"/>
          </w:tcPr>
          <w:p w14:paraId="20FEB2E0">
            <w:pPr>
              <w:widowControl/>
              <w:jc w:val="center"/>
              <w:rPr>
                <w:kern w:val="0"/>
                <w:sz w:val="21"/>
                <w:szCs w:val="21"/>
                <w:highlight w:val="none"/>
              </w:rPr>
            </w:pPr>
          </w:p>
        </w:tc>
        <w:tc>
          <w:tcPr>
            <w:tcW w:w="1590" w:type="dxa"/>
            <w:gridSpan w:val="5"/>
            <w:tcBorders>
              <w:top w:val="single" w:color="auto" w:sz="4" w:space="0"/>
              <w:left w:val="nil"/>
              <w:bottom w:val="single" w:color="auto" w:sz="4" w:space="0"/>
              <w:right w:val="single" w:color="000000" w:sz="4" w:space="0"/>
            </w:tcBorders>
            <w:vAlign w:val="center"/>
          </w:tcPr>
          <w:p w14:paraId="2E60770B">
            <w:pPr>
              <w:widowControl/>
              <w:jc w:val="center"/>
              <w:rPr>
                <w:kern w:val="0"/>
                <w:sz w:val="21"/>
                <w:szCs w:val="21"/>
                <w:highlight w:val="none"/>
              </w:rPr>
            </w:pPr>
            <w:r>
              <w:rPr>
                <w:kern w:val="0"/>
                <w:sz w:val="21"/>
                <w:szCs w:val="21"/>
                <w:highlight w:val="none"/>
              </w:rPr>
              <w:t>项目名称</w:t>
            </w:r>
          </w:p>
        </w:tc>
        <w:tc>
          <w:tcPr>
            <w:tcW w:w="1054" w:type="dxa"/>
            <w:gridSpan w:val="3"/>
            <w:tcBorders>
              <w:top w:val="single" w:color="auto" w:sz="4" w:space="0"/>
              <w:left w:val="nil"/>
              <w:bottom w:val="single" w:color="auto" w:sz="4" w:space="0"/>
              <w:right w:val="single" w:color="000000" w:sz="4" w:space="0"/>
            </w:tcBorders>
            <w:vAlign w:val="center"/>
          </w:tcPr>
          <w:p w14:paraId="695DE98B">
            <w:pPr>
              <w:widowControl/>
              <w:jc w:val="center"/>
              <w:rPr>
                <w:kern w:val="0"/>
                <w:sz w:val="21"/>
                <w:szCs w:val="21"/>
                <w:highlight w:val="none"/>
              </w:rPr>
            </w:pPr>
          </w:p>
        </w:tc>
        <w:tc>
          <w:tcPr>
            <w:tcW w:w="1790" w:type="dxa"/>
            <w:gridSpan w:val="3"/>
            <w:tcBorders>
              <w:top w:val="single" w:color="auto" w:sz="4" w:space="0"/>
              <w:left w:val="nil"/>
              <w:bottom w:val="single" w:color="auto" w:sz="4" w:space="0"/>
              <w:right w:val="single" w:color="000000" w:sz="4" w:space="0"/>
            </w:tcBorders>
            <w:vAlign w:val="center"/>
          </w:tcPr>
          <w:p w14:paraId="660219B0">
            <w:pPr>
              <w:widowControl/>
              <w:jc w:val="center"/>
              <w:rPr>
                <w:kern w:val="0"/>
                <w:sz w:val="21"/>
                <w:szCs w:val="21"/>
                <w:highlight w:val="none"/>
              </w:rPr>
            </w:pPr>
            <w:r>
              <w:rPr>
                <w:kern w:val="0"/>
                <w:sz w:val="21"/>
                <w:szCs w:val="21"/>
                <w:highlight w:val="none"/>
              </w:rPr>
              <w:t>计量单位</w:t>
            </w:r>
          </w:p>
        </w:tc>
        <w:tc>
          <w:tcPr>
            <w:tcW w:w="1458" w:type="dxa"/>
            <w:gridSpan w:val="2"/>
            <w:tcBorders>
              <w:top w:val="single" w:color="auto" w:sz="4" w:space="0"/>
              <w:left w:val="nil"/>
              <w:bottom w:val="single" w:color="auto" w:sz="4" w:space="0"/>
              <w:right w:val="single" w:color="000000" w:sz="4" w:space="0"/>
            </w:tcBorders>
            <w:vAlign w:val="center"/>
          </w:tcPr>
          <w:p w14:paraId="59AEA733">
            <w:pPr>
              <w:widowControl/>
              <w:jc w:val="center"/>
              <w:rPr>
                <w:kern w:val="0"/>
                <w:sz w:val="21"/>
                <w:szCs w:val="21"/>
                <w:highlight w:val="none"/>
              </w:rPr>
            </w:pPr>
          </w:p>
        </w:tc>
      </w:tr>
      <w:tr w14:paraId="6C0084C5">
        <w:tblPrEx>
          <w:tblCellMar>
            <w:top w:w="0" w:type="dxa"/>
            <w:left w:w="108" w:type="dxa"/>
            <w:bottom w:w="0" w:type="dxa"/>
            <w:right w:w="108" w:type="dxa"/>
          </w:tblCellMar>
        </w:tblPrEx>
        <w:trPr>
          <w:trHeight w:val="420" w:hRule="atLeast"/>
          <w:jc w:val="center"/>
        </w:trPr>
        <w:tc>
          <w:tcPr>
            <w:tcW w:w="8748" w:type="dxa"/>
            <w:gridSpan w:val="20"/>
            <w:tcBorders>
              <w:top w:val="single" w:color="auto" w:sz="4" w:space="0"/>
              <w:left w:val="single" w:color="auto" w:sz="4" w:space="0"/>
              <w:bottom w:val="single" w:color="auto" w:sz="4" w:space="0"/>
              <w:right w:val="single" w:color="000000" w:sz="4" w:space="0"/>
            </w:tcBorders>
            <w:vAlign w:val="center"/>
          </w:tcPr>
          <w:p w14:paraId="0262A3B7">
            <w:pPr>
              <w:widowControl/>
              <w:jc w:val="center"/>
              <w:rPr>
                <w:kern w:val="0"/>
                <w:sz w:val="21"/>
                <w:szCs w:val="21"/>
                <w:highlight w:val="none"/>
              </w:rPr>
            </w:pPr>
            <w:r>
              <w:rPr>
                <w:kern w:val="0"/>
                <w:sz w:val="21"/>
                <w:szCs w:val="21"/>
                <w:highlight w:val="none"/>
              </w:rPr>
              <w:t>清单综合单价组成明细</w:t>
            </w:r>
          </w:p>
        </w:tc>
      </w:tr>
      <w:tr w14:paraId="6F0E4DF2">
        <w:tblPrEx>
          <w:tblCellMar>
            <w:top w:w="0" w:type="dxa"/>
            <w:left w:w="108" w:type="dxa"/>
            <w:bottom w:w="0" w:type="dxa"/>
            <w:right w:w="108" w:type="dxa"/>
          </w:tblCellMar>
        </w:tblPrEx>
        <w:trPr>
          <w:trHeight w:val="420" w:hRule="atLeast"/>
          <w:jc w:val="center"/>
        </w:trPr>
        <w:tc>
          <w:tcPr>
            <w:tcW w:w="527" w:type="dxa"/>
            <w:vMerge w:val="restart"/>
            <w:tcBorders>
              <w:top w:val="nil"/>
              <w:left w:val="single" w:color="auto" w:sz="4" w:space="0"/>
              <w:right w:val="single" w:color="auto" w:sz="4" w:space="0"/>
            </w:tcBorders>
            <w:vAlign w:val="center"/>
          </w:tcPr>
          <w:p w14:paraId="45072CFA">
            <w:pPr>
              <w:widowControl/>
              <w:ind w:right="-88" w:rightChars="-42"/>
              <w:jc w:val="center"/>
              <w:rPr>
                <w:kern w:val="0"/>
                <w:sz w:val="18"/>
                <w:szCs w:val="18"/>
                <w:highlight w:val="none"/>
              </w:rPr>
            </w:pPr>
            <w:r>
              <w:rPr>
                <w:kern w:val="0"/>
                <w:sz w:val="18"/>
                <w:szCs w:val="18"/>
                <w:highlight w:val="none"/>
              </w:rPr>
              <w:t>编号</w:t>
            </w:r>
          </w:p>
        </w:tc>
        <w:tc>
          <w:tcPr>
            <w:tcW w:w="978" w:type="dxa"/>
            <w:gridSpan w:val="3"/>
            <w:vMerge w:val="restart"/>
            <w:tcBorders>
              <w:top w:val="single" w:color="auto" w:sz="4" w:space="0"/>
              <w:left w:val="single" w:color="auto" w:sz="4" w:space="0"/>
              <w:right w:val="single" w:color="000000" w:sz="4" w:space="0"/>
            </w:tcBorders>
            <w:vAlign w:val="center"/>
          </w:tcPr>
          <w:p w14:paraId="0DD37531">
            <w:pPr>
              <w:widowControl/>
              <w:jc w:val="center"/>
              <w:rPr>
                <w:kern w:val="0"/>
                <w:sz w:val="18"/>
                <w:szCs w:val="18"/>
                <w:highlight w:val="none"/>
              </w:rPr>
            </w:pPr>
            <w:r>
              <w:rPr>
                <w:kern w:val="0"/>
                <w:sz w:val="18"/>
                <w:szCs w:val="18"/>
                <w:highlight w:val="none"/>
              </w:rPr>
              <w:t>名称</w:t>
            </w:r>
          </w:p>
        </w:tc>
        <w:tc>
          <w:tcPr>
            <w:tcW w:w="492" w:type="dxa"/>
            <w:vMerge w:val="restart"/>
            <w:tcBorders>
              <w:top w:val="nil"/>
              <w:left w:val="single" w:color="auto" w:sz="4" w:space="0"/>
              <w:right w:val="single" w:color="auto" w:sz="4" w:space="0"/>
            </w:tcBorders>
            <w:vAlign w:val="center"/>
          </w:tcPr>
          <w:p w14:paraId="138568E7">
            <w:pPr>
              <w:widowControl/>
              <w:jc w:val="center"/>
              <w:rPr>
                <w:kern w:val="0"/>
                <w:sz w:val="18"/>
                <w:szCs w:val="18"/>
                <w:highlight w:val="none"/>
              </w:rPr>
            </w:pPr>
            <w:r>
              <w:rPr>
                <w:kern w:val="0"/>
                <w:sz w:val="18"/>
                <w:szCs w:val="18"/>
                <w:highlight w:val="none"/>
              </w:rPr>
              <w:t>单位</w:t>
            </w:r>
          </w:p>
        </w:tc>
        <w:tc>
          <w:tcPr>
            <w:tcW w:w="419" w:type="dxa"/>
            <w:vMerge w:val="restart"/>
            <w:tcBorders>
              <w:top w:val="nil"/>
              <w:left w:val="single" w:color="auto" w:sz="4" w:space="0"/>
              <w:right w:val="single" w:color="auto" w:sz="4" w:space="0"/>
            </w:tcBorders>
            <w:vAlign w:val="center"/>
          </w:tcPr>
          <w:p w14:paraId="431873B5">
            <w:pPr>
              <w:widowControl/>
              <w:jc w:val="center"/>
              <w:rPr>
                <w:kern w:val="0"/>
                <w:sz w:val="18"/>
                <w:szCs w:val="18"/>
                <w:highlight w:val="none"/>
              </w:rPr>
            </w:pPr>
            <w:r>
              <w:rPr>
                <w:kern w:val="0"/>
                <w:sz w:val="18"/>
                <w:szCs w:val="18"/>
                <w:highlight w:val="none"/>
              </w:rPr>
              <w:t>数量</w:t>
            </w:r>
          </w:p>
        </w:tc>
        <w:tc>
          <w:tcPr>
            <w:tcW w:w="3084" w:type="dxa"/>
            <w:gridSpan w:val="9"/>
            <w:tcBorders>
              <w:top w:val="single" w:color="auto" w:sz="4" w:space="0"/>
              <w:left w:val="nil"/>
              <w:bottom w:val="single" w:color="auto" w:sz="4" w:space="0"/>
              <w:right w:val="single" w:color="000000" w:sz="4" w:space="0"/>
            </w:tcBorders>
            <w:vAlign w:val="center"/>
          </w:tcPr>
          <w:p w14:paraId="08D41780">
            <w:pPr>
              <w:widowControl/>
              <w:jc w:val="center"/>
              <w:rPr>
                <w:kern w:val="0"/>
                <w:sz w:val="18"/>
                <w:szCs w:val="18"/>
                <w:highlight w:val="none"/>
              </w:rPr>
            </w:pPr>
            <w:r>
              <w:rPr>
                <w:kern w:val="0"/>
                <w:sz w:val="18"/>
                <w:szCs w:val="18"/>
                <w:highlight w:val="none"/>
              </w:rPr>
              <w:t>单价</w:t>
            </w:r>
          </w:p>
        </w:tc>
        <w:tc>
          <w:tcPr>
            <w:tcW w:w="3248" w:type="dxa"/>
            <w:gridSpan w:val="5"/>
            <w:tcBorders>
              <w:top w:val="single" w:color="auto" w:sz="4" w:space="0"/>
              <w:left w:val="nil"/>
              <w:bottom w:val="single" w:color="auto" w:sz="4" w:space="0"/>
              <w:right w:val="single" w:color="000000" w:sz="4" w:space="0"/>
            </w:tcBorders>
            <w:vAlign w:val="center"/>
          </w:tcPr>
          <w:p w14:paraId="0AC7B497">
            <w:pPr>
              <w:widowControl/>
              <w:jc w:val="center"/>
              <w:rPr>
                <w:kern w:val="0"/>
                <w:sz w:val="18"/>
                <w:szCs w:val="18"/>
                <w:highlight w:val="none"/>
              </w:rPr>
            </w:pPr>
            <w:r>
              <w:rPr>
                <w:kern w:val="0"/>
                <w:sz w:val="18"/>
                <w:szCs w:val="18"/>
                <w:highlight w:val="none"/>
              </w:rPr>
              <w:t>合价</w:t>
            </w:r>
          </w:p>
        </w:tc>
      </w:tr>
      <w:tr w14:paraId="325692A8">
        <w:tblPrEx>
          <w:tblCellMar>
            <w:top w:w="0" w:type="dxa"/>
            <w:left w:w="108" w:type="dxa"/>
            <w:bottom w:w="0" w:type="dxa"/>
            <w:right w:w="108" w:type="dxa"/>
          </w:tblCellMar>
        </w:tblPrEx>
        <w:trPr>
          <w:trHeight w:val="514" w:hRule="atLeast"/>
          <w:jc w:val="center"/>
        </w:trPr>
        <w:tc>
          <w:tcPr>
            <w:tcW w:w="527" w:type="dxa"/>
            <w:vMerge w:val="continue"/>
            <w:tcBorders>
              <w:left w:val="single" w:color="auto" w:sz="4" w:space="0"/>
              <w:bottom w:val="single" w:color="000000" w:sz="4" w:space="0"/>
              <w:right w:val="single" w:color="auto" w:sz="4" w:space="0"/>
            </w:tcBorders>
            <w:vAlign w:val="center"/>
          </w:tcPr>
          <w:p w14:paraId="48B2DD32">
            <w:pPr>
              <w:widowControl/>
              <w:jc w:val="left"/>
              <w:rPr>
                <w:kern w:val="0"/>
                <w:sz w:val="18"/>
                <w:szCs w:val="18"/>
                <w:highlight w:val="none"/>
              </w:rPr>
            </w:pPr>
          </w:p>
        </w:tc>
        <w:tc>
          <w:tcPr>
            <w:tcW w:w="978" w:type="dxa"/>
            <w:gridSpan w:val="3"/>
            <w:vMerge w:val="continue"/>
            <w:tcBorders>
              <w:left w:val="single" w:color="auto" w:sz="4" w:space="0"/>
              <w:bottom w:val="single" w:color="000000" w:sz="4" w:space="0"/>
              <w:right w:val="single" w:color="000000" w:sz="4" w:space="0"/>
            </w:tcBorders>
            <w:vAlign w:val="center"/>
          </w:tcPr>
          <w:p w14:paraId="0624258A">
            <w:pPr>
              <w:widowControl/>
              <w:jc w:val="left"/>
              <w:rPr>
                <w:kern w:val="0"/>
                <w:sz w:val="18"/>
                <w:szCs w:val="18"/>
                <w:highlight w:val="none"/>
              </w:rPr>
            </w:pPr>
          </w:p>
        </w:tc>
        <w:tc>
          <w:tcPr>
            <w:tcW w:w="492" w:type="dxa"/>
            <w:vMerge w:val="continue"/>
            <w:tcBorders>
              <w:left w:val="single" w:color="auto" w:sz="4" w:space="0"/>
              <w:bottom w:val="single" w:color="000000" w:sz="4" w:space="0"/>
              <w:right w:val="single" w:color="auto" w:sz="4" w:space="0"/>
            </w:tcBorders>
            <w:vAlign w:val="center"/>
          </w:tcPr>
          <w:p w14:paraId="34C8CB9A">
            <w:pPr>
              <w:widowControl/>
              <w:jc w:val="left"/>
              <w:rPr>
                <w:kern w:val="0"/>
                <w:sz w:val="18"/>
                <w:szCs w:val="18"/>
                <w:highlight w:val="none"/>
              </w:rPr>
            </w:pPr>
          </w:p>
        </w:tc>
        <w:tc>
          <w:tcPr>
            <w:tcW w:w="419" w:type="dxa"/>
            <w:vMerge w:val="continue"/>
            <w:tcBorders>
              <w:left w:val="single" w:color="auto" w:sz="4" w:space="0"/>
              <w:bottom w:val="single" w:color="000000" w:sz="4" w:space="0"/>
              <w:right w:val="single" w:color="auto" w:sz="4" w:space="0"/>
            </w:tcBorders>
            <w:vAlign w:val="center"/>
          </w:tcPr>
          <w:p w14:paraId="257E58B7">
            <w:pPr>
              <w:widowControl/>
              <w:jc w:val="left"/>
              <w:rPr>
                <w:kern w:val="0"/>
                <w:sz w:val="18"/>
                <w:szCs w:val="18"/>
                <w:highlight w:val="none"/>
              </w:rPr>
            </w:pPr>
          </w:p>
        </w:tc>
        <w:tc>
          <w:tcPr>
            <w:tcW w:w="771" w:type="dxa"/>
            <w:gridSpan w:val="2"/>
            <w:tcBorders>
              <w:top w:val="nil"/>
              <w:left w:val="nil"/>
              <w:bottom w:val="single" w:color="auto" w:sz="4" w:space="0"/>
              <w:right w:val="single" w:color="auto" w:sz="4" w:space="0"/>
            </w:tcBorders>
            <w:vAlign w:val="center"/>
          </w:tcPr>
          <w:p w14:paraId="12BE0C2D">
            <w:pPr>
              <w:widowControl/>
              <w:ind w:right="-105" w:rightChars="-50"/>
              <w:jc w:val="center"/>
              <w:rPr>
                <w:kern w:val="0"/>
                <w:sz w:val="18"/>
                <w:szCs w:val="18"/>
                <w:highlight w:val="none"/>
              </w:rPr>
            </w:pPr>
            <w:r>
              <w:rPr>
                <w:kern w:val="0"/>
                <w:sz w:val="18"/>
                <w:szCs w:val="18"/>
                <w:highlight w:val="none"/>
              </w:rPr>
              <w:t>人工费</w:t>
            </w:r>
          </w:p>
        </w:tc>
        <w:tc>
          <w:tcPr>
            <w:tcW w:w="771" w:type="dxa"/>
            <w:gridSpan w:val="2"/>
            <w:tcBorders>
              <w:top w:val="nil"/>
              <w:left w:val="nil"/>
              <w:bottom w:val="single" w:color="auto" w:sz="4" w:space="0"/>
              <w:right w:val="single" w:color="auto" w:sz="4" w:space="0"/>
            </w:tcBorders>
            <w:vAlign w:val="center"/>
          </w:tcPr>
          <w:p w14:paraId="57409534">
            <w:pPr>
              <w:widowControl/>
              <w:ind w:right="-92" w:rightChars="-44"/>
              <w:jc w:val="center"/>
              <w:rPr>
                <w:kern w:val="0"/>
                <w:sz w:val="18"/>
                <w:szCs w:val="18"/>
                <w:highlight w:val="none"/>
              </w:rPr>
            </w:pPr>
            <w:r>
              <w:rPr>
                <w:kern w:val="0"/>
                <w:sz w:val="18"/>
                <w:szCs w:val="18"/>
                <w:highlight w:val="none"/>
              </w:rPr>
              <w:t>材料费</w:t>
            </w:r>
          </w:p>
        </w:tc>
        <w:tc>
          <w:tcPr>
            <w:tcW w:w="771" w:type="dxa"/>
            <w:gridSpan w:val="4"/>
            <w:tcBorders>
              <w:top w:val="single" w:color="auto" w:sz="4" w:space="0"/>
              <w:left w:val="single" w:color="auto" w:sz="4" w:space="0"/>
              <w:bottom w:val="single" w:color="auto" w:sz="4" w:space="0"/>
              <w:right w:val="single" w:color="auto" w:sz="4" w:space="0"/>
            </w:tcBorders>
            <w:vAlign w:val="center"/>
          </w:tcPr>
          <w:p w14:paraId="773DBF1D">
            <w:pPr>
              <w:widowControl/>
              <w:ind w:right="-90" w:rightChars="-43"/>
              <w:jc w:val="center"/>
              <w:rPr>
                <w:kern w:val="0"/>
                <w:sz w:val="18"/>
                <w:szCs w:val="18"/>
                <w:highlight w:val="none"/>
              </w:rPr>
            </w:pPr>
            <w:r>
              <w:rPr>
                <w:kern w:val="0"/>
                <w:sz w:val="18"/>
                <w:szCs w:val="18"/>
                <w:highlight w:val="none"/>
              </w:rPr>
              <w:t>机械费</w:t>
            </w:r>
          </w:p>
        </w:tc>
        <w:tc>
          <w:tcPr>
            <w:tcW w:w="771" w:type="dxa"/>
            <w:tcBorders>
              <w:top w:val="single" w:color="auto" w:sz="4" w:space="0"/>
              <w:left w:val="single" w:color="auto" w:sz="4" w:space="0"/>
              <w:bottom w:val="single" w:color="auto" w:sz="4" w:space="0"/>
              <w:right w:val="single" w:color="auto" w:sz="4" w:space="0"/>
            </w:tcBorders>
            <w:vAlign w:val="center"/>
          </w:tcPr>
          <w:p w14:paraId="417F6EFB">
            <w:pPr>
              <w:widowControl/>
              <w:ind w:right="-99" w:rightChars="-47"/>
              <w:jc w:val="center"/>
              <w:rPr>
                <w:kern w:val="0"/>
                <w:sz w:val="18"/>
                <w:szCs w:val="18"/>
                <w:highlight w:val="none"/>
              </w:rPr>
            </w:pPr>
            <w:r>
              <w:rPr>
                <w:kern w:val="0"/>
                <w:sz w:val="18"/>
                <w:szCs w:val="18"/>
                <w:highlight w:val="none"/>
              </w:rPr>
              <w:t>企业管理费和利润</w:t>
            </w:r>
          </w:p>
        </w:tc>
        <w:tc>
          <w:tcPr>
            <w:tcW w:w="812" w:type="dxa"/>
            <w:tcBorders>
              <w:top w:val="single" w:color="auto" w:sz="4" w:space="0"/>
              <w:left w:val="single" w:color="auto" w:sz="4" w:space="0"/>
              <w:bottom w:val="single" w:color="auto" w:sz="4" w:space="0"/>
              <w:right w:val="single" w:color="auto" w:sz="4" w:space="0"/>
            </w:tcBorders>
            <w:vAlign w:val="center"/>
          </w:tcPr>
          <w:p w14:paraId="748D452F">
            <w:pPr>
              <w:widowControl/>
              <w:ind w:right="-84" w:rightChars="-40"/>
              <w:jc w:val="center"/>
              <w:rPr>
                <w:kern w:val="0"/>
                <w:sz w:val="18"/>
                <w:szCs w:val="18"/>
                <w:highlight w:val="none"/>
              </w:rPr>
            </w:pPr>
            <w:r>
              <w:rPr>
                <w:kern w:val="0"/>
                <w:sz w:val="18"/>
                <w:szCs w:val="18"/>
                <w:highlight w:val="none"/>
              </w:rPr>
              <w:t>人工费</w:t>
            </w:r>
          </w:p>
        </w:tc>
        <w:tc>
          <w:tcPr>
            <w:tcW w:w="812" w:type="dxa"/>
            <w:tcBorders>
              <w:top w:val="single" w:color="auto" w:sz="4" w:space="0"/>
              <w:left w:val="single" w:color="auto" w:sz="4" w:space="0"/>
              <w:bottom w:val="single" w:color="auto" w:sz="4" w:space="0"/>
              <w:right w:val="single" w:color="auto" w:sz="4" w:space="0"/>
            </w:tcBorders>
            <w:vAlign w:val="center"/>
          </w:tcPr>
          <w:p w14:paraId="0306DBBB">
            <w:pPr>
              <w:widowControl/>
              <w:ind w:right="-99" w:rightChars="-47"/>
              <w:jc w:val="center"/>
              <w:rPr>
                <w:kern w:val="0"/>
                <w:sz w:val="18"/>
                <w:szCs w:val="18"/>
                <w:highlight w:val="none"/>
              </w:rPr>
            </w:pPr>
            <w:r>
              <w:rPr>
                <w:kern w:val="0"/>
                <w:sz w:val="18"/>
                <w:szCs w:val="18"/>
                <w:highlight w:val="none"/>
              </w:rPr>
              <w:t>材料费</w:t>
            </w:r>
          </w:p>
        </w:tc>
        <w:tc>
          <w:tcPr>
            <w:tcW w:w="812" w:type="dxa"/>
            <w:gridSpan w:val="2"/>
            <w:tcBorders>
              <w:top w:val="single" w:color="auto" w:sz="4" w:space="0"/>
              <w:left w:val="single" w:color="auto" w:sz="4" w:space="0"/>
              <w:bottom w:val="single" w:color="auto" w:sz="4" w:space="0"/>
              <w:right w:val="single" w:color="auto" w:sz="4" w:space="0"/>
            </w:tcBorders>
            <w:vAlign w:val="center"/>
          </w:tcPr>
          <w:p w14:paraId="270B8DAC">
            <w:pPr>
              <w:widowControl/>
              <w:jc w:val="center"/>
              <w:rPr>
                <w:kern w:val="0"/>
                <w:sz w:val="18"/>
                <w:szCs w:val="18"/>
                <w:highlight w:val="none"/>
              </w:rPr>
            </w:pPr>
            <w:r>
              <w:rPr>
                <w:kern w:val="0"/>
                <w:sz w:val="18"/>
                <w:szCs w:val="18"/>
                <w:highlight w:val="none"/>
              </w:rPr>
              <w:t>机械费</w:t>
            </w:r>
          </w:p>
        </w:tc>
        <w:tc>
          <w:tcPr>
            <w:tcW w:w="812" w:type="dxa"/>
            <w:tcBorders>
              <w:top w:val="nil"/>
              <w:left w:val="nil"/>
              <w:bottom w:val="single" w:color="auto" w:sz="4" w:space="0"/>
              <w:right w:val="single" w:color="auto" w:sz="4" w:space="0"/>
            </w:tcBorders>
            <w:vAlign w:val="center"/>
          </w:tcPr>
          <w:p w14:paraId="44F82EE0">
            <w:pPr>
              <w:widowControl/>
              <w:ind w:right="-99" w:rightChars="-47"/>
              <w:jc w:val="center"/>
              <w:rPr>
                <w:kern w:val="0"/>
                <w:sz w:val="18"/>
                <w:szCs w:val="18"/>
                <w:highlight w:val="none"/>
              </w:rPr>
            </w:pPr>
            <w:r>
              <w:rPr>
                <w:kern w:val="0"/>
                <w:sz w:val="18"/>
                <w:szCs w:val="18"/>
                <w:highlight w:val="none"/>
              </w:rPr>
              <w:t>企业管理费和利润</w:t>
            </w:r>
          </w:p>
        </w:tc>
      </w:tr>
      <w:tr w14:paraId="6623D54B">
        <w:tblPrEx>
          <w:tblCellMar>
            <w:top w:w="0" w:type="dxa"/>
            <w:left w:w="108" w:type="dxa"/>
            <w:bottom w:w="0" w:type="dxa"/>
            <w:right w:w="108" w:type="dxa"/>
          </w:tblCellMar>
        </w:tblPrEx>
        <w:trPr>
          <w:trHeight w:val="420" w:hRule="atLeast"/>
          <w:jc w:val="center"/>
        </w:trPr>
        <w:tc>
          <w:tcPr>
            <w:tcW w:w="527" w:type="dxa"/>
            <w:tcBorders>
              <w:top w:val="nil"/>
              <w:left w:val="single" w:color="auto" w:sz="4" w:space="0"/>
              <w:bottom w:val="single" w:color="auto" w:sz="4" w:space="0"/>
              <w:right w:val="single" w:color="auto" w:sz="4" w:space="0"/>
            </w:tcBorders>
            <w:vAlign w:val="center"/>
          </w:tcPr>
          <w:p w14:paraId="52263AA8">
            <w:pPr>
              <w:widowControl/>
              <w:jc w:val="center"/>
              <w:rPr>
                <w:kern w:val="0"/>
                <w:sz w:val="22"/>
                <w:szCs w:val="22"/>
                <w:highlight w:val="none"/>
              </w:rPr>
            </w:pPr>
          </w:p>
        </w:tc>
        <w:tc>
          <w:tcPr>
            <w:tcW w:w="978" w:type="dxa"/>
            <w:gridSpan w:val="3"/>
            <w:tcBorders>
              <w:top w:val="single" w:color="auto" w:sz="4" w:space="0"/>
              <w:left w:val="nil"/>
              <w:bottom w:val="single" w:color="auto" w:sz="4" w:space="0"/>
              <w:right w:val="single" w:color="000000" w:sz="4" w:space="0"/>
            </w:tcBorders>
            <w:vAlign w:val="center"/>
          </w:tcPr>
          <w:p w14:paraId="75A92160">
            <w:pPr>
              <w:widowControl/>
              <w:jc w:val="center"/>
              <w:rPr>
                <w:kern w:val="0"/>
                <w:sz w:val="22"/>
                <w:szCs w:val="22"/>
                <w:highlight w:val="none"/>
              </w:rPr>
            </w:pPr>
          </w:p>
        </w:tc>
        <w:tc>
          <w:tcPr>
            <w:tcW w:w="492" w:type="dxa"/>
            <w:tcBorders>
              <w:top w:val="nil"/>
              <w:left w:val="nil"/>
              <w:bottom w:val="single" w:color="auto" w:sz="4" w:space="0"/>
              <w:right w:val="single" w:color="auto" w:sz="4" w:space="0"/>
            </w:tcBorders>
            <w:vAlign w:val="center"/>
          </w:tcPr>
          <w:p w14:paraId="4B5E5A66">
            <w:pPr>
              <w:widowControl/>
              <w:jc w:val="center"/>
              <w:rPr>
                <w:kern w:val="0"/>
                <w:sz w:val="22"/>
                <w:szCs w:val="22"/>
                <w:highlight w:val="none"/>
              </w:rPr>
            </w:pPr>
          </w:p>
        </w:tc>
        <w:tc>
          <w:tcPr>
            <w:tcW w:w="419" w:type="dxa"/>
            <w:tcBorders>
              <w:top w:val="nil"/>
              <w:left w:val="nil"/>
              <w:bottom w:val="single" w:color="auto" w:sz="4" w:space="0"/>
              <w:right w:val="single" w:color="auto" w:sz="4" w:space="0"/>
            </w:tcBorders>
            <w:vAlign w:val="center"/>
          </w:tcPr>
          <w:p w14:paraId="7C379140">
            <w:pPr>
              <w:widowControl/>
              <w:jc w:val="center"/>
              <w:rPr>
                <w:kern w:val="0"/>
                <w:sz w:val="22"/>
                <w:szCs w:val="22"/>
                <w:highlight w:val="none"/>
              </w:rPr>
            </w:pPr>
          </w:p>
        </w:tc>
        <w:tc>
          <w:tcPr>
            <w:tcW w:w="771" w:type="dxa"/>
            <w:gridSpan w:val="2"/>
            <w:tcBorders>
              <w:top w:val="nil"/>
              <w:left w:val="nil"/>
              <w:bottom w:val="single" w:color="auto" w:sz="4" w:space="0"/>
              <w:right w:val="single" w:color="auto" w:sz="4" w:space="0"/>
            </w:tcBorders>
            <w:vAlign w:val="center"/>
          </w:tcPr>
          <w:p w14:paraId="733FFCD9">
            <w:pPr>
              <w:widowControl/>
              <w:jc w:val="center"/>
              <w:rPr>
                <w:kern w:val="0"/>
                <w:sz w:val="22"/>
                <w:szCs w:val="22"/>
                <w:highlight w:val="none"/>
              </w:rPr>
            </w:pPr>
          </w:p>
        </w:tc>
        <w:tc>
          <w:tcPr>
            <w:tcW w:w="771" w:type="dxa"/>
            <w:gridSpan w:val="2"/>
            <w:tcBorders>
              <w:top w:val="nil"/>
              <w:left w:val="nil"/>
              <w:bottom w:val="single" w:color="auto" w:sz="4" w:space="0"/>
              <w:right w:val="single" w:color="auto" w:sz="4" w:space="0"/>
            </w:tcBorders>
            <w:vAlign w:val="center"/>
          </w:tcPr>
          <w:p w14:paraId="68FF23C4">
            <w:pPr>
              <w:widowControl/>
              <w:jc w:val="center"/>
              <w:rPr>
                <w:kern w:val="0"/>
                <w:sz w:val="22"/>
                <w:szCs w:val="22"/>
                <w:highlight w:val="none"/>
              </w:rPr>
            </w:pPr>
          </w:p>
        </w:tc>
        <w:tc>
          <w:tcPr>
            <w:tcW w:w="771" w:type="dxa"/>
            <w:gridSpan w:val="4"/>
            <w:tcBorders>
              <w:top w:val="single" w:color="auto" w:sz="4" w:space="0"/>
              <w:left w:val="single" w:color="auto" w:sz="4" w:space="0"/>
              <w:bottom w:val="single" w:color="auto" w:sz="4" w:space="0"/>
              <w:right w:val="single" w:color="auto" w:sz="4" w:space="0"/>
            </w:tcBorders>
            <w:vAlign w:val="center"/>
          </w:tcPr>
          <w:p w14:paraId="6FB3B8BF">
            <w:pPr>
              <w:widowControl/>
              <w:jc w:val="center"/>
              <w:rPr>
                <w:kern w:val="0"/>
                <w:sz w:val="22"/>
                <w:szCs w:val="22"/>
                <w:highlight w:val="none"/>
              </w:rPr>
            </w:pPr>
          </w:p>
        </w:tc>
        <w:tc>
          <w:tcPr>
            <w:tcW w:w="771" w:type="dxa"/>
            <w:tcBorders>
              <w:top w:val="single" w:color="auto" w:sz="4" w:space="0"/>
              <w:left w:val="single" w:color="auto" w:sz="4" w:space="0"/>
              <w:bottom w:val="single" w:color="auto" w:sz="4" w:space="0"/>
              <w:right w:val="single" w:color="auto" w:sz="4" w:space="0"/>
            </w:tcBorders>
            <w:vAlign w:val="center"/>
          </w:tcPr>
          <w:p w14:paraId="223EF83E">
            <w:pPr>
              <w:widowControl/>
              <w:jc w:val="center"/>
              <w:rPr>
                <w:kern w:val="0"/>
                <w:sz w:val="22"/>
                <w:szCs w:val="22"/>
                <w:highlight w:val="none"/>
              </w:rPr>
            </w:pPr>
          </w:p>
        </w:tc>
        <w:tc>
          <w:tcPr>
            <w:tcW w:w="812" w:type="dxa"/>
            <w:tcBorders>
              <w:top w:val="single" w:color="auto" w:sz="4" w:space="0"/>
              <w:left w:val="single" w:color="auto" w:sz="4" w:space="0"/>
              <w:bottom w:val="single" w:color="auto" w:sz="4" w:space="0"/>
              <w:right w:val="single" w:color="auto" w:sz="4" w:space="0"/>
            </w:tcBorders>
            <w:vAlign w:val="center"/>
          </w:tcPr>
          <w:p w14:paraId="7F2BEE7C">
            <w:pPr>
              <w:widowControl/>
              <w:jc w:val="center"/>
              <w:rPr>
                <w:kern w:val="0"/>
                <w:sz w:val="22"/>
                <w:szCs w:val="22"/>
                <w:highlight w:val="none"/>
              </w:rPr>
            </w:pPr>
          </w:p>
        </w:tc>
        <w:tc>
          <w:tcPr>
            <w:tcW w:w="812" w:type="dxa"/>
            <w:tcBorders>
              <w:top w:val="single" w:color="auto" w:sz="4" w:space="0"/>
              <w:left w:val="single" w:color="auto" w:sz="4" w:space="0"/>
              <w:bottom w:val="single" w:color="auto" w:sz="4" w:space="0"/>
              <w:right w:val="single" w:color="auto" w:sz="4" w:space="0"/>
            </w:tcBorders>
            <w:vAlign w:val="center"/>
          </w:tcPr>
          <w:p w14:paraId="2D75595D">
            <w:pPr>
              <w:widowControl/>
              <w:jc w:val="center"/>
              <w:rPr>
                <w:kern w:val="0"/>
                <w:sz w:val="22"/>
                <w:szCs w:val="22"/>
                <w:highlight w:val="none"/>
              </w:rPr>
            </w:pPr>
          </w:p>
        </w:tc>
        <w:tc>
          <w:tcPr>
            <w:tcW w:w="812" w:type="dxa"/>
            <w:gridSpan w:val="2"/>
            <w:tcBorders>
              <w:top w:val="single" w:color="auto" w:sz="4" w:space="0"/>
              <w:left w:val="single" w:color="auto" w:sz="4" w:space="0"/>
              <w:bottom w:val="single" w:color="auto" w:sz="4" w:space="0"/>
              <w:right w:val="single" w:color="auto" w:sz="4" w:space="0"/>
            </w:tcBorders>
            <w:vAlign w:val="center"/>
          </w:tcPr>
          <w:p w14:paraId="208D1004">
            <w:pPr>
              <w:widowControl/>
              <w:jc w:val="center"/>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111DA34F">
            <w:pPr>
              <w:widowControl/>
              <w:jc w:val="center"/>
              <w:rPr>
                <w:kern w:val="0"/>
                <w:sz w:val="22"/>
                <w:szCs w:val="22"/>
                <w:highlight w:val="none"/>
              </w:rPr>
            </w:pPr>
          </w:p>
        </w:tc>
      </w:tr>
      <w:tr w14:paraId="76585630">
        <w:tblPrEx>
          <w:tblCellMar>
            <w:top w:w="0" w:type="dxa"/>
            <w:left w:w="108" w:type="dxa"/>
            <w:bottom w:w="0" w:type="dxa"/>
            <w:right w:w="108" w:type="dxa"/>
          </w:tblCellMar>
        </w:tblPrEx>
        <w:trPr>
          <w:trHeight w:val="420" w:hRule="atLeast"/>
          <w:jc w:val="center"/>
        </w:trPr>
        <w:tc>
          <w:tcPr>
            <w:tcW w:w="527" w:type="dxa"/>
            <w:tcBorders>
              <w:top w:val="nil"/>
              <w:left w:val="single" w:color="auto" w:sz="4" w:space="0"/>
              <w:bottom w:val="single" w:color="auto" w:sz="4" w:space="0"/>
              <w:right w:val="single" w:color="auto" w:sz="4" w:space="0"/>
            </w:tcBorders>
            <w:vAlign w:val="center"/>
          </w:tcPr>
          <w:p w14:paraId="275D6BD3">
            <w:pPr>
              <w:widowControl/>
              <w:jc w:val="center"/>
              <w:rPr>
                <w:kern w:val="0"/>
                <w:sz w:val="22"/>
                <w:szCs w:val="22"/>
                <w:highlight w:val="none"/>
              </w:rPr>
            </w:pPr>
          </w:p>
        </w:tc>
        <w:tc>
          <w:tcPr>
            <w:tcW w:w="978" w:type="dxa"/>
            <w:gridSpan w:val="3"/>
            <w:tcBorders>
              <w:top w:val="single" w:color="auto" w:sz="4" w:space="0"/>
              <w:left w:val="nil"/>
              <w:bottom w:val="single" w:color="auto" w:sz="4" w:space="0"/>
              <w:right w:val="single" w:color="000000" w:sz="4" w:space="0"/>
            </w:tcBorders>
            <w:vAlign w:val="center"/>
          </w:tcPr>
          <w:p w14:paraId="470C6648">
            <w:pPr>
              <w:widowControl/>
              <w:jc w:val="center"/>
              <w:rPr>
                <w:kern w:val="0"/>
                <w:sz w:val="22"/>
                <w:szCs w:val="22"/>
                <w:highlight w:val="none"/>
              </w:rPr>
            </w:pPr>
          </w:p>
        </w:tc>
        <w:tc>
          <w:tcPr>
            <w:tcW w:w="492" w:type="dxa"/>
            <w:tcBorders>
              <w:top w:val="nil"/>
              <w:left w:val="nil"/>
              <w:bottom w:val="single" w:color="auto" w:sz="4" w:space="0"/>
              <w:right w:val="single" w:color="auto" w:sz="4" w:space="0"/>
            </w:tcBorders>
            <w:vAlign w:val="center"/>
          </w:tcPr>
          <w:p w14:paraId="46ADE5A6">
            <w:pPr>
              <w:widowControl/>
              <w:jc w:val="center"/>
              <w:rPr>
                <w:kern w:val="0"/>
                <w:sz w:val="22"/>
                <w:szCs w:val="22"/>
                <w:highlight w:val="none"/>
              </w:rPr>
            </w:pPr>
          </w:p>
        </w:tc>
        <w:tc>
          <w:tcPr>
            <w:tcW w:w="419" w:type="dxa"/>
            <w:tcBorders>
              <w:top w:val="nil"/>
              <w:left w:val="nil"/>
              <w:bottom w:val="single" w:color="auto" w:sz="4" w:space="0"/>
              <w:right w:val="single" w:color="auto" w:sz="4" w:space="0"/>
            </w:tcBorders>
            <w:vAlign w:val="center"/>
          </w:tcPr>
          <w:p w14:paraId="0334FDC5">
            <w:pPr>
              <w:widowControl/>
              <w:jc w:val="center"/>
              <w:rPr>
                <w:kern w:val="0"/>
                <w:sz w:val="22"/>
                <w:szCs w:val="22"/>
                <w:highlight w:val="none"/>
              </w:rPr>
            </w:pPr>
          </w:p>
        </w:tc>
        <w:tc>
          <w:tcPr>
            <w:tcW w:w="771" w:type="dxa"/>
            <w:gridSpan w:val="2"/>
            <w:tcBorders>
              <w:top w:val="nil"/>
              <w:left w:val="nil"/>
              <w:bottom w:val="single" w:color="auto" w:sz="4" w:space="0"/>
              <w:right w:val="single" w:color="auto" w:sz="4" w:space="0"/>
            </w:tcBorders>
            <w:vAlign w:val="center"/>
          </w:tcPr>
          <w:p w14:paraId="060D6D5B">
            <w:pPr>
              <w:widowControl/>
              <w:jc w:val="center"/>
              <w:rPr>
                <w:kern w:val="0"/>
                <w:sz w:val="22"/>
                <w:szCs w:val="22"/>
                <w:highlight w:val="none"/>
              </w:rPr>
            </w:pPr>
          </w:p>
        </w:tc>
        <w:tc>
          <w:tcPr>
            <w:tcW w:w="771" w:type="dxa"/>
            <w:gridSpan w:val="2"/>
            <w:tcBorders>
              <w:top w:val="nil"/>
              <w:left w:val="nil"/>
              <w:bottom w:val="single" w:color="auto" w:sz="4" w:space="0"/>
              <w:right w:val="single" w:color="auto" w:sz="4" w:space="0"/>
            </w:tcBorders>
            <w:vAlign w:val="center"/>
          </w:tcPr>
          <w:p w14:paraId="3EFFA2AE">
            <w:pPr>
              <w:widowControl/>
              <w:jc w:val="center"/>
              <w:rPr>
                <w:kern w:val="0"/>
                <w:sz w:val="22"/>
                <w:szCs w:val="22"/>
                <w:highlight w:val="none"/>
              </w:rPr>
            </w:pPr>
          </w:p>
        </w:tc>
        <w:tc>
          <w:tcPr>
            <w:tcW w:w="771" w:type="dxa"/>
            <w:gridSpan w:val="4"/>
            <w:tcBorders>
              <w:top w:val="single" w:color="auto" w:sz="4" w:space="0"/>
              <w:left w:val="single" w:color="auto" w:sz="4" w:space="0"/>
              <w:bottom w:val="single" w:color="auto" w:sz="4" w:space="0"/>
              <w:right w:val="single" w:color="auto" w:sz="4" w:space="0"/>
            </w:tcBorders>
            <w:vAlign w:val="center"/>
          </w:tcPr>
          <w:p w14:paraId="238AA892">
            <w:pPr>
              <w:widowControl/>
              <w:jc w:val="center"/>
              <w:rPr>
                <w:kern w:val="0"/>
                <w:sz w:val="22"/>
                <w:szCs w:val="22"/>
                <w:highlight w:val="none"/>
              </w:rPr>
            </w:pPr>
          </w:p>
        </w:tc>
        <w:tc>
          <w:tcPr>
            <w:tcW w:w="771" w:type="dxa"/>
            <w:tcBorders>
              <w:top w:val="single" w:color="auto" w:sz="4" w:space="0"/>
              <w:left w:val="single" w:color="auto" w:sz="4" w:space="0"/>
              <w:bottom w:val="single" w:color="auto" w:sz="4" w:space="0"/>
              <w:right w:val="single" w:color="auto" w:sz="4" w:space="0"/>
            </w:tcBorders>
            <w:vAlign w:val="center"/>
          </w:tcPr>
          <w:p w14:paraId="74B11D0E">
            <w:pPr>
              <w:widowControl/>
              <w:jc w:val="center"/>
              <w:rPr>
                <w:kern w:val="0"/>
                <w:sz w:val="22"/>
                <w:szCs w:val="22"/>
                <w:highlight w:val="none"/>
              </w:rPr>
            </w:pPr>
          </w:p>
        </w:tc>
        <w:tc>
          <w:tcPr>
            <w:tcW w:w="812" w:type="dxa"/>
            <w:tcBorders>
              <w:top w:val="single" w:color="auto" w:sz="4" w:space="0"/>
              <w:left w:val="single" w:color="auto" w:sz="4" w:space="0"/>
              <w:bottom w:val="single" w:color="auto" w:sz="4" w:space="0"/>
              <w:right w:val="single" w:color="auto" w:sz="4" w:space="0"/>
            </w:tcBorders>
            <w:vAlign w:val="center"/>
          </w:tcPr>
          <w:p w14:paraId="5314EEAC">
            <w:pPr>
              <w:widowControl/>
              <w:jc w:val="center"/>
              <w:rPr>
                <w:kern w:val="0"/>
                <w:sz w:val="22"/>
                <w:szCs w:val="22"/>
                <w:highlight w:val="none"/>
              </w:rPr>
            </w:pPr>
          </w:p>
        </w:tc>
        <w:tc>
          <w:tcPr>
            <w:tcW w:w="812" w:type="dxa"/>
            <w:tcBorders>
              <w:top w:val="single" w:color="auto" w:sz="4" w:space="0"/>
              <w:left w:val="single" w:color="auto" w:sz="4" w:space="0"/>
              <w:bottom w:val="single" w:color="auto" w:sz="4" w:space="0"/>
              <w:right w:val="single" w:color="auto" w:sz="4" w:space="0"/>
            </w:tcBorders>
            <w:vAlign w:val="center"/>
          </w:tcPr>
          <w:p w14:paraId="7C1E36E1">
            <w:pPr>
              <w:widowControl/>
              <w:jc w:val="center"/>
              <w:rPr>
                <w:kern w:val="0"/>
                <w:sz w:val="22"/>
                <w:szCs w:val="22"/>
                <w:highlight w:val="none"/>
              </w:rPr>
            </w:pPr>
          </w:p>
        </w:tc>
        <w:tc>
          <w:tcPr>
            <w:tcW w:w="812" w:type="dxa"/>
            <w:gridSpan w:val="2"/>
            <w:tcBorders>
              <w:top w:val="single" w:color="auto" w:sz="4" w:space="0"/>
              <w:left w:val="single" w:color="auto" w:sz="4" w:space="0"/>
              <w:bottom w:val="single" w:color="auto" w:sz="4" w:space="0"/>
              <w:right w:val="single" w:color="auto" w:sz="4" w:space="0"/>
            </w:tcBorders>
            <w:vAlign w:val="center"/>
          </w:tcPr>
          <w:p w14:paraId="2123B37D">
            <w:pPr>
              <w:widowControl/>
              <w:jc w:val="center"/>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4A7BF089">
            <w:pPr>
              <w:widowControl/>
              <w:jc w:val="center"/>
              <w:rPr>
                <w:kern w:val="0"/>
                <w:sz w:val="22"/>
                <w:szCs w:val="22"/>
                <w:highlight w:val="none"/>
              </w:rPr>
            </w:pPr>
          </w:p>
        </w:tc>
      </w:tr>
      <w:tr w14:paraId="4F490449">
        <w:tblPrEx>
          <w:tblCellMar>
            <w:top w:w="0" w:type="dxa"/>
            <w:left w:w="108" w:type="dxa"/>
            <w:bottom w:w="0" w:type="dxa"/>
            <w:right w:w="108" w:type="dxa"/>
          </w:tblCellMar>
        </w:tblPrEx>
        <w:trPr>
          <w:trHeight w:val="420" w:hRule="atLeast"/>
          <w:jc w:val="center"/>
        </w:trPr>
        <w:tc>
          <w:tcPr>
            <w:tcW w:w="527" w:type="dxa"/>
            <w:tcBorders>
              <w:top w:val="nil"/>
              <w:left w:val="single" w:color="auto" w:sz="4" w:space="0"/>
              <w:bottom w:val="single" w:color="auto" w:sz="4" w:space="0"/>
              <w:right w:val="single" w:color="auto" w:sz="4" w:space="0"/>
            </w:tcBorders>
            <w:vAlign w:val="center"/>
          </w:tcPr>
          <w:p w14:paraId="2F5CC427">
            <w:pPr>
              <w:widowControl/>
              <w:jc w:val="center"/>
              <w:rPr>
                <w:kern w:val="0"/>
                <w:sz w:val="22"/>
                <w:szCs w:val="22"/>
                <w:highlight w:val="none"/>
              </w:rPr>
            </w:pPr>
          </w:p>
        </w:tc>
        <w:tc>
          <w:tcPr>
            <w:tcW w:w="978" w:type="dxa"/>
            <w:gridSpan w:val="3"/>
            <w:tcBorders>
              <w:top w:val="single" w:color="auto" w:sz="4" w:space="0"/>
              <w:left w:val="nil"/>
              <w:bottom w:val="single" w:color="auto" w:sz="4" w:space="0"/>
              <w:right w:val="single" w:color="000000" w:sz="4" w:space="0"/>
            </w:tcBorders>
            <w:vAlign w:val="center"/>
          </w:tcPr>
          <w:p w14:paraId="55C3936E">
            <w:pPr>
              <w:widowControl/>
              <w:jc w:val="center"/>
              <w:rPr>
                <w:kern w:val="0"/>
                <w:sz w:val="22"/>
                <w:szCs w:val="22"/>
                <w:highlight w:val="none"/>
              </w:rPr>
            </w:pPr>
          </w:p>
        </w:tc>
        <w:tc>
          <w:tcPr>
            <w:tcW w:w="492" w:type="dxa"/>
            <w:tcBorders>
              <w:top w:val="nil"/>
              <w:left w:val="nil"/>
              <w:bottom w:val="single" w:color="auto" w:sz="4" w:space="0"/>
              <w:right w:val="single" w:color="auto" w:sz="4" w:space="0"/>
            </w:tcBorders>
            <w:vAlign w:val="center"/>
          </w:tcPr>
          <w:p w14:paraId="477AF995">
            <w:pPr>
              <w:widowControl/>
              <w:jc w:val="center"/>
              <w:rPr>
                <w:kern w:val="0"/>
                <w:sz w:val="22"/>
                <w:szCs w:val="22"/>
                <w:highlight w:val="none"/>
              </w:rPr>
            </w:pPr>
          </w:p>
        </w:tc>
        <w:tc>
          <w:tcPr>
            <w:tcW w:w="419" w:type="dxa"/>
            <w:tcBorders>
              <w:top w:val="nil"/>
              <w:left w:val="nil"/>
              <w:bottom w:val="single" w:color="auto" w:sz="4" w:space="0"/>
              <w:right w:val="single" w:color="auto" w:sz="4" w:space="0"/>
            </w:tcBorders>
            <w:vAlign w:val="center"/>
          </w:tcPr>
          <w:p w14:paraId="324B6496">
            <w:pPr>
              <w:widowControl/>
              <w:jc w:val="center"/>
              <w:rPr>
                <w:kern w:val="0"/>
                <w:sz w:val="22"/>
                <w:szCs w:val="22"/>
                <w:highlight w:val="none"/>
              </w:rPr>
            </w:pPr>
          </w:p>
        </w:tc>
        <w:tc>
          <w:tcPr>
            <w:tcW w:w="771" w:type="dxa"/>
            <w:gridSpan w:val="2"/>
            <w:tcBorders>
              <w:top w:val="nil"/>
              <w:left w:val="nil"/>
              <w:bottom w:val="single" w:color="auto" w:sz="4" w:space="0"/>
              <w:right w:val="single" w:color="auto" w:sz="4" w:space="0"/>
            </w:tcBorders>
            <w:vAlign w:val="center"/>
          </w:tcPr>
          <w:p w14:paraId="3BBD1BD5">
            <w:pPr>
              <w:widowControl/>
              <w:jc w:val="center"/>
              <w:rPr>
                <w:kern w:val="0"/>
                <w:sz w:val="22"/>
                <w:szCs w:val="22"/>
                <w:highlight w:val="none"/>
              </w:rPr>
            </w:pPr>
          </w:p>
        </w:tc>
        <w:tc>
          <w:tcPr>
            <w:tcW w:w="771" w:type="dxa"/>
            <w:gridSpan w:val="2"/>
            <w:tcBorders>
              <w:top w:val="nil"/>
              <w:left w:val="nil"/>
              <w:bottom w:val="single" w:color="auto" w:sz="4" w:space="0"/>
              <w:right w:val="single" w:color="auto" w:sz="4" w:space="0"/>
            </w:tcBorders>
            <w:vAlign w:val="center"/>
          </w:tcPr>
          <w:p w14:paraId="014B08B6">
            <w:pPr>
              <w:widowControl/>
              <w:jc w:val="center"/>
              <w:rPr>
                <w:kern w:val="0"/>
                <w:sz w:val="22"/>
                <w:szCs w:val="22"/>
                <w:highlight w:val="none"/>
              </w:rPr>
            </w:pPr>
          </w:p>
        </w:tc>
        <w:tc>
          <w:tcPr>
            <w:tcW w:w="771" w:type="dxa"/>
            <w:gridSpan w:val="4"/>
            <w:tcBorders>
              <w:top w:val="single" w:color="auto" w:sz="4" w:space="0"/>
              <w:left w:val="single" w:color="auto" w:sz="4" w:space="0"/>
              <w:bottom w:val="single" w:color="auto" w:sz="4" w:space="0"/>
              <w:right w:val="single" w:color="auto" w:sz="4" w:space="0"/>
            </w:tcBorders>
            <w:vAlign w:val="center"/>
          </w:tcPr>
          <w:p w14:paraId="5A187710">
            <w:pPr>
              <w:widowControl/>
              <w:jc w:val="center"/>
              <w:rPr>
                <w:kern w:val="0"/>
                <w:sz w:val="22"/>
                <w:szCs w:val="22"/>
                <w:highlight w:val="none"/>
              </w:rPr>
            </w:pPr>
          </w:p>
        </w:tc>
        <w:tc>
          <w:tcPr>
            <w:tcW w:w="771" w:type="dxa"/>
            <w:tcBorders>
              <w:top w:val="single" w:color="auto" w:sz="4" w:space="0"/>
              <w:left w:val="single" w:color="auto" w:sz="4" w:space="0"/>
              <w:bottom w:val="single" w:color="auto" w:sz="4" w:space="0"/>
              <w:right w:val="single" w:color="auto" w:sz="4" w:space="0"/>
            </w:tcBorders>
            <w:vAlign w:val="center"/>
          </w:tcPr>
          <w:p w14:paraId="14E29395">
            <w:pPr>
              <w:widowControl/>
              <w:jc w:val="center"/>
              <w:rPr>
                <w:kern w:val="0"/>
                <w:sz w:val="22"/>
                <w:szCs w:val="22"/>
                <w:highlight w:val="none"/>
              </w:rPr>
            </w:pPr>
          </w:p>
        </w:tc>
        <w:tc>
          <w:tcPr>
            <w:tcW w:w="812" w:type="dxa"/>
            <w:tcBorders>
              <w:top w:val="single" w:color="auto" w:sz="4" w:space="0"/>
              <w:left w:val="single" w:color="auto" w:sz="4" w:space="0"/>
              <w:bottom w:val="single" w:color="auto" w:sz="4" w:space="0"/>
              <w:right w:val="single" w:color="auto" w:sz="4" w:space="0"/>
            </w:tcBorders>
            <w:vAlign w:val="center"/>
          </w:tcPr>
          <w:p w14:paraId="40DE4FB4">
            <w:pPr>
              <w:widowControl/>
              <w:jc w:val="center"/>
              <w:rPr>
                <w:kern w:val="0"/>
                <w:sz w:val="22"/>
                <w:szCs w:val="22"/>
                <w:highlight w:val="none"/>
              </w:rPr>
            </w:pPr>
          </w:p>
        </w:tc>
        <w:tc>
          <w:tcPr>
            <w:tcW w:w="812" w:type="dxa"/>
            <w:tcBorders>
              <w:top w:val="single" w:color="auto" w:sz="4" w:space="0"/>
              <w:left w:val="single" w:color="auto" w:sz="4" w:space="0"/>
              <w:bottom w:val="single" w:color="auto" w:sz="4" w:space="0"/>
              <w:right w:val="single" w:color="auto" w:sz="4" w:space="0"/>
            </w:tcBorders>
            <w:vAlign w:val="center"/>
          </w:tcPr>
          <w:p w14:paraId="594FC1C9">
            <w:pPr>
              <w:widowControl/>
              <w:jc w:val="center"/>
              <w:rPr>
                <w:kern w:val="0"/>
                <w:sz w:val="22"/>
                <w:szCs w:val="22"/>
                <w:highlight w:val="none"/>
              </w:rPr>
            </w:pPr>
          </w:p>
        </w:tc>
        <w:tc>
          <w:tcPr>
            <w:tcW w:w="812" w:type="dxa"/>
            <w:gridSpan w:val="2"/>
            <w:tcBorders>
              <w:top w:val="single" w:color="auto" w:sz="4" w:space="0"/>
              <w:left w:val="single" w:color="auto" w:sz="4" w:space="0"/>
              <w:bottom w:val="single" w:color="auto" w:sz="4" w:space="0"/>
              <w:right w:val="single" w:color="auto" w:sz="4" w:space="0"/>
            </w:tcBorders>
            <w:vAlign w:val="center"/>
          </w:tcPr>
          <w:p w14:paraId="2CCB45A8">
            <w:pPr>
              <w:widowControl/>
              <w:jc w:val="center"/>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3109C319">
            <w:pPr>
              <w:widowControl/>
              <w:jc w:val="center"/>
              <w:rPr>
                <w:kern w:val="0"/>
                <w:sz w:val="22"/>
                <w:szCs w:val="22"/>
                <w:highlight w:val="none"/>
              </w:rPr>
            </w:pPr>
          </w:p>
        </w:tc>
      </w:tr>
      <w:tr w14:paraId="4C77E69C">
        <w:tblPrEx>
          <w:tblCellMar>
            <w:top w:w="0" w:type="dxa"/>
            <w:left w:w="108" w:type="dxa"/>
            <w:bottom w:w="0" w:type="dxa"/>
            <w:right w:w="108" w:type="dxa"/>
          </w:tblCellMar>
        </w:tblPrEx>
        <w:trPr>
          <w:trHeight w:val="420" w:hRule="atLeast"/>
          <w:jc w:val="center"/>
        </w:trPr>
        <w:tc>
          <w:tcPr>
            <w:tcW w:w="5500" w:type="dxa"/>
            <w:gridSpan w:val="15"/>
            <w:tcBorders>
              <w:top w:val="single" w:color="auto" w:sz="4" w:space="0"/>
              <w:left w:val="single" w:color="auto" w:sz="4" w:space="0"/>
              <w:bottom w:val="single" w:color="auto" w:sz="4" w:space="0"/>
              <w:right w:val="single" w:color="auto" w:sz="4" w:space="0"/>
            </w:tcBorders>
            <w:vAlign w:val="center"/>
          </w:tcPr>
          <w:p w14:paraId="5B166842">
            <w:pPr>
              <w:widowControl/>
              <w:jc w:val="center"/>
              <w:rPr>
                <w:kern w:val="0"/>
                <w:sz w:val="21"/>
                <w:szCs w:val="21"/>
                <w:highlight w:val="none"/>
              </w:rPr>
            </w:pPr>
            <w:r>
              <w:rPr>
                <w:kern w:val="0"/>
                <w:sz w:val="21"/>
                <w:szCs w:val="21"/>
                <w:highlight w:val="none"/>
              </w:rPr>
              <w:t>小计</w:t>
            </w:r>
          </w:p>
        </w:tc>
        <w:tc>
          <w:tcPr>
            <w:tcW w:w="812" w:type="dxa"/>
            <w:tcBorders>
              <w:top w:val="single" w:color="auto" w:sz="4" w:space="0"/>
              <w:left w:val="single" w:color="auto" w:sz="4" w:space="0"/>
              <w:bottom w:val="single" w:color="auto" w:sz="4" w:space="0"/>
              <w:right w:val="single" w:color="auto" w:sz="4" w:space="0"/>
            </w:tcBorders>
            <w:vAlign w:val="center"/>
          </w:tcPr>
          <w:p w14:paraId="743343E7">
            <w:pPr>
              <w:widowControl/>
              <w:jc w:val="left"/>
              <w:rPr>
                <w:kern w:val="0"/>
                <w:sz w:val="22"/>
                <w:szCs w:val="22"/>
                <w:highlight w:val="none"/>
              </w:rPr>
            </w:pPr>
          </w:p>
        </w:tc>
        <w:tc>
          <w:tcPr>
            <w:tcW w:w="812" w:type="dxa"/>
            <w:tcBorders>
              <w:top w:val="single" w:color="auto" w:sz="4" w:space="0"/>
              <w:left w:val="single" w:color="auto" w:sz="4" w:space="0"/>
              <w:bottom w:val="single" w:color="auto" w:sz="4" w:space="0"/>
              <w:right w:val="single" w:color="auto" w:sz="4" w:space="0"/>
            </w:tcBorders>
            <w:vAlign w:val="center"/>
          </w:tcPr>
          <w:p w14:paraId="47FDAC26">
            <w:pPr>
              <w:widowControl/>
              <w:jc w:val="left"/>
              <w:rPr>
                <w:kern w:val="0"/>
                <w:sz w:val="22"/>
                <w:szCs w:val="22"/>
                <w:highlight w:val="none"/>
              </w:rPr>
            </w:pPr>
          </w:p>
        </w:tc>
        <w:tc>
          <w:tcPr>
            <w:tcW w:w="812" w:type="dxa"/>
            <w:gridSpan w:val="2"/>
            <w:tcBorders>
              <w:top w:val="single" w:color="auto" w:sz="4" w:space="0"/>
              <w:left w:val="single" w:color="auto" w:sz="4" w:space="0"/>
              <w:bottom w:val="single" w:color="auto" w:sz="4" w:space="0"/>
              <w:right w:val="single" w:color="auto" w:sz="4" w:space="0"/>
            </w:tcBorders>
            <w:vAlign w:val="center"/>
          </w:tcPr>
          <w:p w14:paraId="0C4DFE93">
            <w:pPr>
              <w:widowControl/>
              <w:jc w:val="left"/>
              <w:rPr>
                <w:kern w:val="0"/>
                <w:sz w:val="22"/>
                <w:szCs w:val="22"/>
                <w:highlight w:val="none"/>
              </w:rPr>
            </w:pPr>
          </w:p>
        </w:tc>
        <w:tc>
          <w:tcPr>
            <w:tcW w:w="812" w:type="dxa"/>
            <w:tcBorders>
              <w:top w:val="single" w:color="auto" w:sz="4" w:space="0"/>
              <w:left w:val="single" w:color="auto" w:sz="4" w:space="0"/>
              <w:bottom w:val="single" w:color="auto" w:sz="4" w:space="0"/>
              <w:right w:val="single" w:color="auto" w:sz="4" w:space="0"/>
            </w:tcBorders>
            <w:vAlign w:val="center"/>
          </w:tcPr>
          <w:p w14:paraId="0A731E7D">
            <w:pPr>
              <w:widowControl/>
              <w:jc w:val="left"/>
              <w:rPr>
                <w:kern w:val="0"/>
                <w:sz w:val="22"/>
                <w:szCs w:val="22"/>
                <w:highlight w:val="none"/>
              </w:rPr>
            </w:pPr>
          </w:p>
        </w:tc>
      </w:tr>
      <w:tr w14:paraId="07D1397B">
        <w:tblPrEx>
          <w:tblCellMar>
            <w:top w:w="0" w:type="dxa"/>
            <w:left w:w="108" w:type="dxa"/>
            <w:bottom w:w="0" w:type="dxa"/>
            <w:right w:w="108" w:type="dxa"/>
          </w:tblCellMar>
        </w:tblPrEx>
        <w:trPr>
          <w:trHeight w:val="420" w:hRule="atLeast"/>
          <w:jc w:val="center"/>
        </w:trPr>
        <w:tc>
          <w:tcPr>
            <w:tcW w:w="5500" w:type="dxa"/>
            <w:gridSpan w:val="15"/>
            <w:tcBorders>
              <w:top w:val="single" w:color="auto" w:sz="4" w:space="0"/>
              <w:left w:val="single" w:color="auto" w:sz="4" w:space="0"/>
              <w:bottom w:val="single" w:color="auto" w:sz="4" w:space="0"/>
              <w:right w:val="single" w:color="000000" w:sz="4" w:space="0"/>
            </w:tcBorders>
            <w:vAlign w:val="center"/>
          </w:tcPr>
          <w:p w14:paraId="70E19BE4">
            <w:pPr>
              <w:widowControl/>
              <w:jc w:val="center"/>
              <w:rPr>
                <w:kern w:val="0"/>
                <w:sz w:val="21"/>
                <w:szCs w:val="21"/>
                <w:highlight w:val="none"/>
              </w:rPr>
            </w:pPr>
            <w:r>
              <w:rPr>
                <w:kern w:val="0"/>
                <w:sz w:val="21"/>
                <w:szCs w:val="21"/>
                <w:highlight w:val="none"/>
              </w:rPr>
              <w:t>清单项目综合单价</w:t>
            </w:r>
          </w:p>
        </w:tc>
        <w:tc>
          <w:tcPr>
            <w:tcW w:w="3248" w:type="dxa"/>
            <w:gridSpan w:val="5"/>
            <w:tcBorders>
              <w:top w:val="single" w:color="auto" w:sz="4" w:space="0"/>
              <w:left w:val="nil"/>
              <w:bottom w:val="single" w:color="auto" w:sz="4" w:space="0"/>
              <w:right w:val="single" w:color="000000" w:sz="4" w:space="0"/>
            </w:tcBorders>
            <w:vAlign w:val="center"/>
          </w:tcPr>
          <w:p w14:paraId="3AF159C6">
            <w:pPr>
              <w:widowControl/>
              <w:jc w:val="center"/>
              <w:rPr>
                <w:kern w:val="0"/>
                <w:sz w:val="22"/>
                <w:szCs w:val="22"/>
                <w:highlight w:val="none"/>
              </w:rPr>
            </w:pPr>
          </w:p>
        </w:tc>
      </w:tr>
      <w:tr w14:paraId="06D56013">
        <w:tblPrEx>
          <w:tblCellMar>
            <w:top w:w="0" w:type="dxa"/>
            <w:left w:w="108" w:type="dxa"/>
            <w:bottom w:w="0" w:type="dxa"/>
            <w:right w:w="108" w:type="dxa"/>
          </w:tblCellMar>
        </w:tblPrEx>
        <w:trPr>
          <w:trHeight w:val="871" w:hRule="atLeast"/>
          <w:jc w:val="center"/>
        </w:trPr>
        <w:tc>
          <w:tcPr>
            <w:tcW w:w="670" w:type="dxa"/>
            <w:gridSpan w:val="2"/>
            <w:vMerge w:val="restart"/>
            <w:tcBorders>
              <w:top w:val="single" w:color="auto" w:sz="4" w:space="0"/>
              <w:left w:val="single" w:color="auto" w:sz="4" w:space="0"/>
              <w:bottom w:val="single" w:color="auto" w:sz="4" w:space="0"/>
              <w:right w:val="single" w:color="auto" w:sz="4" w:space="0"/>
            </w:tcBorders>
            <w:textDirection w:val="tbRlV"/>
            <w:vAlign w:val="center"/>
          </w:tcPr>
          <w:p w14:paraId="0E90FB0C">
            <w:pPr>
              <w:widowControl/>
              <w:jc w:val="center"/>
              <w:rPr>
                <w:kern w:val="0"/>
                <w:sz w:val="22"/>
                <w:szCs w:val="22"/>
                <w:highlight w:val="none"/>
              </w:rPr>
            </w:pPr>
            <w:r>
              <w:rPr>
                <w:kern w:val="0"/>
                <w:sz w:val="21"/>
                <w:szCs w:val="21"/>
                <w:highlight w:val="none"/>
              </w:rPr>
              <w:t>费用明细</w:t>
            </w:r>
          </w:p>
        </w:tc>
        <w:tc>
          <w:tcPr>
            <w:tcW w:w="516" w:type="dxa"/>
            <w:tcBorders>
              <w:top w:val="single" w:color="auto" w:sz="4" w:space="0"/>
              <w:left w:val="single" w:color="auto" w:sz="4" w:space="0"/>
              <w:bottom w:val="single" w:color="auto" w:sz="4" w:space="0"/>
              <w:right w:val="single" w:color="auto" w:sz="4" w:space="0"/>
              <w:tr2bl w:val="single" w:color="auto" w:sz="4" w:space="0"/>
            </w:tcBorders>
          </w:tcPr>
          <w:p w14:paraId="519F7A4E">
            <w:pPr>
              <w:widowControl/>
              <w:jc w:val="center"/>
              <w:rPr>
                <w:kern w:val="0"/>
                <w:sz w:val="18"/>
                <w:szCs w:val="18"/>
                <w:highlight w:val="none"/>
              </w:rPr>
            </w:pPr>
          </w:p>
        </w:tc>
        <w:tc>
          <w:tcPr>
            <w:tcW w:w="3032" w:type="dxa"/>
            <w:gridSpan w:val="8"/>
            <w:tcBorders>
              <w:top w:val="single" w:color="auto" w:sz="4" w:space="0"/>
              <w:left w:val="single" w:color="auto" w:sz="4" w:space="0"/>
              <w:bottom w:val="single" w:color="auto" w:sz="4" w:space="0"/>
              <w:right w:val="single" w:color="000000" w:sz="4" w:space="0"/>
            </w:tcBorders>
            <w:vAlign w:val="center"/>
          </w:tcPr>
          <w:p w14:paraId="72E0090D">
            <w:pPr>
              <w:widowControl/>
              <w:jc w:val="center"/>
              <w:rPr>
                <w:kern w:val="0"/>
                <w:sz w:val="18"/>
                <w:szCs w:val="18"/>
                <w:highlight w:val="none"/>
              </w:rPr>
            </w:pPr>
            <w:r>
              <w:rPr>
                <w:kern w:val="0"/>
                <w:sz w:val="18"/>
                <w:szCs w:val="18"/>
                <w:highlight w:val="none"/>
              </w:rPr>
              <w:t>内容</w:t>
            </w:r>
          </w:p>
        </w:tc>
        <w:tc>
          <w:tcPr>
            <w:tcW w:w="488" w:type="dxa"/>
            <w:gridSpan w:val="2"/>
            <w:tcBorders>
              <w:top w:val="nil"/>
              <w:left w:val="nil"/>
              <w:bottom w:val="single" w:color="auto" w:sz="4" w:space="0"/>
              <w:right w:val="single" w:color="auto" w:sz="4" w:space="0"/>
            </w:tcBorders>
            <w:vAlign w:val="center"/>
          </w:tcPr>
          <w:p w14:paraId="56E66BC0">
            <w:pPr>
              <w:widowControl/>
              <w:jc w:val="center"/>
              <w:rPr>
                <w:kern w:val="0"/>
                <w:sz w:val="18"/>
                <w:szCs w:val="18"/>
                <w:highlight w:val="none"/>
              </w:rPr>
            </w:pPr>
            <w:r>
              <w:rPr>
                <w:kern w:val="0"/>
                <w:sz w:val="18"/>
                <w:szCs w:val="18"/>
                <w:highlight w:val="none"/>
              </w:rPr>
              <w:t>单位</w:t>
            </w:r>
          </w:p>
        </w:tc>
        <w:tc>
          <w:tcPr>
            <w:tcW w:w="794" w:type="dxa"/>
            <w:gridSpan w:val="2"/>
            <w:tcBorders>
              <w:top w:val="nil"/>
              <w:left w:val="nil"/>
              <w:bottom w:val="single" w:color="auto" w:sz="4" w:space="0"/>
              <w:right w:val="single" w:color="auto" w:sz="4" w:space="0"/>
            </w:tcBorders>
            <w:vAlign w:val="center"/>
          </w:tcPr>
          <w:p w14:paraId="30E50B68">
            <w:pPr>
              <w:widowControl/>
              <w:jc w:val="center"/>
              <w:rPr>
                <w:kern w:val="0"/>
                <w:sz w:val="18"/>
                <w:szCs w:val="18"/>
                <w:highlight w:val="none"/>
              </w:rPr>
            </w:pPr>
            <w:r>
              <w:rPr>
                <w:kern w:val="0"/>
                <w:sz w:val="18"/>
                <w:szCs w:val="18"/>
                <w:highlight w:val="none"/>
              </w:rPr>
              <w:t>数量</w:t>
            </w:r>
          </w:p>
        </w:tc>
        <w:tc>
          <w:tcPr>
            <w:tcW w:w="812" w:type="dxa"/>
            <w:tcBorders>
              <w:top w:val="nil"/>
              <w:left w:val="nil"/>
              <w:bottom w:val="single" w:color="auto" w:sz="4" w:space="0"/>
              <w:right w:val="single" w:color="auto" w:sz="4" w:space="0"/>
            </w:tcBorders>
            <w:vAlign w:val="center"/>
          </w:tcPr>
          <w:p w14:paraId="6B18BF1E">
            <w:pPr>
              <w:widowControl/>
              <w:jc w:val="center"/>
              <w:rPr>
                <w:kern w:val="0"/>
                <w:sz w:val="18"/>
                <w:szCs w:val="18"/>
                <w:highlight w:val="none"/>
              </w:rPr>
            </w:pPr>
            <w:r>
              <w:rPr>
                <w:kern w:val="0"/>
                <w:sz w:val="18"/>
                <w:szCs w:val="18"/>
                <w:highlight w:val="none"/>
              </w:rPr>
              <w:t>单价</w:t>
            </w:r>
            <w:r>
              <w:rPr>
                <w:rFonts w:hint="eastAsia"/>
                <w:kern w:val="0"/>
                <w:sz w:val="18"/>
                <w:szCs w:val="18"/>
                <w:highlight w:val="none"/>
                <w:lang w:eastAsia="zh-CN"/>
              </w:rPr>
              <w:t>（</w:t>
            </w:r>
            <w:r>
              <w:rPr>
                <w:kern w:val="0"/>
                <w:sz w:val="18"/>
                <w:szCs w:val="18"/>
                <w:highlight w:val="none"/>
              </w:rPr>
              <w:t>元</w:t>
            </w:r>
            <w:r>
              <w:rPr>
                <w:rFonts w:hint="eastAsia"/>
                <w:kern w:val="0"/>
                <w:sz w:val="18"/>
                <w:szCs w:val="18"/>
                <w:highlight w:val="none"/>
                <w:lang w:eastAsia="zh-CN"/>
              </w:rPr>
              <w:t>）</w:t>
            </w:r>
          </w:p>
        </w:tc>
        <w:tc>
          <w:tcPr>
            <w:tcW w:w="812" w:type="dxa"/>
            <w:tcBorders>
              <w:top w:val="nil"/>
              <w:left w:val="nil"/>
              <w:bottom w:val="single" w:color="auto" w:sz="4" w:space="0"/>
              <w:right w:val="single" w:color="auto" w:sz="4" w:space="0"/>
            </w:tcBorders>
            <w:vAlign w:val="center"/>
          </w:tcPr>
          <w:p w14:paraId="7017CF2C">
            <w:pPr>
              <w:widowControl/>
              <w:ind w:right="-84" w:rightChars="-40"/>
              <w:jc w:val="center"/>
              <w:rPr>
                <w:kern w:val="0"/>
                <w:sz w:val="18"/>
                <w:szCs w:val="18"/>
                <w:highlight w:val="none"/>
              </w:rPr>
            </w:pPr>
            <w:r>
              <w:rPr>
                <w:kern w:val="0"/>
                <w:sz w:val="18"/>
                <w:szCs w:val="18"/>
                <w:highlight w:val="none"/>
              </w:rPr>
              <w:t>合价</w:t>
            </w:r>
          </w:p>
          <w:p w14:paraId="24C4EBA2">
            <w:pPr>
              <w:widowControl/>
              <w:ind w:right="-84" w:rightChars="-40"/>
              <w:jc w:val="center"/>
              <w:rPr>
                <w:kern w:val="0"/>
                <w:sz w:val="18"/>
                <w:szCs w:val="18"/>
                <w:highlight w:val="none"/>
              </w:rPr>
            </w:pPr>
            <w:r>
              <w:rPr>
                <w:rFonts w:hint="eastAsia"/>
                <w:kern w:val="0"/>
                <w:sz w:val="18"/>
                <w:szCs w:val="18"/>
                <w:highlight w:val="none"/>
                <w:lang w:eastAsia="zh-CN"/>
              </w:rPr>
              <w:t>（</w:t>
            </w:r>
            <w:r>
              <w:rPr>
                <w:kern w:val="0"/>
                <w:sz w:val="18"/>
                <w:szCs w:val="18"/>
                <w:highlight w:val="none"/>
              </w:rPr>
              <w:t>元</w:t>
            </w:r>
            <w:r>
              <w:rPr>
                <w:rFonts w:hint="eastAsia"/>
                <w:kern w:val="0"/>
                <w:sz w:val="18"/>
                <w:szCs w:val="18"/>
                <w:highlight w:val="none"/>
                <w:lang w:eastAsia="zh-CN"/>
              </w:rPr>
              <w:t>）</w:t>
            </w:r>
          </w:p>
        </w:tc>
        <w:tc>
          <w:tcPr>
            <w:tcW w:w="812" w:type="dxa"/>
            <w:gridSpan w:val="2"/>
            <w:tcBorders>
              <w:top w:val="nil"/>
              <w:left w:val="nil"/>
              <w:bottom w:val="single" w:color="auto" w:sz="4" w:space="0"/>
              <w:right w:val="single" w:color="auto" w:sz="4" w:space="0"/>
            </w:tcBorders>
            <w:vAlign w:val="center"/>
          </w:tcPr>
          <w:p w14:paraId="4D78E20B">
            <w:pPr>
              <w:widowControl/>
              <w:ind w:right="-94" w:rightChars="-45"/>
              <w:jc w:val="center"/>
              <w:rPr>
                <w:kern w:val="0"/>
                <w:sz w:val="18"/>
                <w:szCs w:val="18"/>
                <w:highlight w:val="none"/>
              </w:rPr>
            </w:pPr>
            <w:r>
              <w:rPr>
                <w:kern w:val="0"/>
                <w:sz w:val="18"/>
                <w:szCs w:val="18"/>
                <w:highlight w:val="none"/>
              </w:rPr>
              <w:t>暂估单价</w:t>
            </w:r>
            <w:r>
              <w:rPr>
                <w:rFonts w:hint="eastAsia"/>
                <w:kern w:val="0"/>
                <w:sz w:val="18"/>
                <w:szCs w:val="18"/>
                <w:highlight w:val="none"/>
                <w:lang w:eastAsia="zh-CN"/>
              </w:rPr>
              <w:t>（</w:t>
            </w:r>
            <w:r>
              <w:rPr>
                <w:kern w:val="0"/>
                <w:sz w:val="18"/>
                <w:szCs w:val="18"/>
                <w:highlight w:val="none"/>
              </w:rPr>
              <w:t>元</w:t>
            </w:r>
            <w:r>
              <w:rPr>
                <w:rFonts w:hint="eastAsia"/>
                <w:kern w:val="0"/>
                <w:sz w:val="18"/>
                <w:szCs w:val="18"/>
                <w:highlight w:val="none"/>
                <w:lang w:eastAsia="zh-CN"/>
              </w:rPr>
              <w:t>）</w:t>
            </w:r>
          </w:p>
        </w:tc>
        <w:tc>
          <w:tcPr>
            <w:tcW w:w="812" w:type="dxa"/>
            <w:tcBorders>
              <w:top w:val="nil"/>
              <w:left w:val="nil"/>
              <w:bottom w:val="single" w:color="auto" w:sz="4" w:space="0"/>
              <w:right w:val="single" w:color="auto" w:sz="4" w:space="0"/>
            </w:tcBorders>
            <w:vAlign w:val="center"/>
          </w:tcPr>
          <w:p w14:paraId="2FF3F929">
            <w:pPr>
              <w:widowControl/>
              <w:jc w:val="center"/>
              <w:rPr>
                <w:kern w:val="0"/>
                <w:sz w:val="18"/>
                <w:szCs w:val="18"/>
                <w:highlight w:val="none"/>
              </w:rPr>
            </w:pPr>
            <w:r>
              <w:rPr>
                <w:kern w:val="0"/>
                <w:sz w:val="18"/>
                <w:szCs w:val="18"/>
                <w:highlight w:val="none"/>
              </w:rPr>
              <w:t>暂估合价</w:t>
            </w:r>
            <w:r>
              <w:rPr>
                <w:rFonts w:hint="eastAsia"/>
                <w:kern w:val="0"/>
                <w:sz w:val="18"/>
                <w:szCs w:val="18"/>
                <w:highlight w:val="none"/>
                <w:lang w:eastAsia="zh-CN"/>
              </w:rPr>
              <w:t>（</w:t>
            </w:r>
            <w:r>
              <w:rPr>
                <w:kern w:val="0"/>
                <w:sz w:val="18"/>
                <w:szCs w:val="18"/>
                <w:highlight w:val="none"/>
              </w:rPr>
              <w:t>元</w:t>
            </w:r>
            <w:r>
              <w:rPr>
                <w:rFonts w:hint="eastAsia"/>
                <w:kern w:val="0"/>
                <w:sz w:val="18"/>
                <w:szCs w:val="18"/>
                <w:highlight w:val="none"/>
                <w:lang w:eastAsia="zh-CN"/>
              </w:rPr>
              <w:t>）</w:t>
            </w:r>
          </w:p>
        </w:tc>
      </w:tr>
      <w:tr w14:paraId="2E3AB101">
        <w:tblPrEx>
          <w:tblCellMar>
            <w:top w:w="0" w:type="dxa"/>
            <w:left w:w="108" w:type="dxa"/>
            <w:bottom w:w="0" w:type="dxa"/>
            <w:right w:w="108" w:type="dxa"/>
          </w:tblCellMar>
        </w:tblPrEx>
        <w:trPr>
          <w:trHeight w:val="420" w:hRule="atLeast"/>
          <w:jc w:val="center"/>
        </w:trPr>
        <w:tc>
          <w:tcPr>
            <w:tcW w:w="670" w:type="dxa"/>
            <w:gridSpan w:val="2"/>
            <w:vMerge w:val="continue"/>
            <w:tcBorders>
              <w:top w:val="single" w:color="auto" w:sz="4" w:space="0"/>
              <w:left w:val="single" w:color="auto" w:sz="4" w:space="0"/>
              <w:bottom w:val="single" w:color="auto" w:sz="4" w:space="0"/>
              <w:right w:val="single" w:color="auto" w:sz="4" w:space="0"/>
            </w:tcBorders>
            <w:vAlign w:val="center"/>
          </w:tcPr>
          <w:p w14:paraId="22E38B25">
            <w:pPr>
              <w:widowControl/>
              <w:jc w:val="left"/>
              <w:rPr>
                <w:kern w:val="0"/>
                <w:sz w:val="22"/>
                <w:szCs w:val="22"/>
                <w:highlight w:val="none"/>
              </w:rPr>
            </w:pPr>
          </w:p>
        </w:tc>
        <w:tc>
          <w:tcPr>
            <w:tcW w:w="516" w:type="dxa"/>
            <w:vMerge w:val="restart"/>
            <w:tcBorders>
              <w:top w:val="single" w:color="auto" w:sz="4" w:space="0"/>
              <w:left w:val="single" w:color="auto" w:sz="4" w:space="0"/>
              <w:bottom w:val="single" w:color="auto" w:sz="4" w:space="0"/>
              <w:right w:val="single" w:color="auto" w:sz="4" w:space="0"/>
            </w:tcBorders>
            <w:vAlign w:val="center"/>
          </w:tcPr>
          <w:p w14:paraId="2BFA338A">
            <w:pPr>
              <w:widowControl/>
              <w:jc w:val="center"/>
              <w:rPr>
                <w:kern w:val="0"/>
                <w:sz w:val="21"/>
                <w:szCs w:val="21"/>
                <w:highlight w:val="none"/>
              </w:rPr>
            </w:pPr>
            <w:r>
              <w:rPr>
                <w:kern w:val="0"/>
                <w:sz w:val="21"/>
                <w:szCs w:val="21"/>
                <w:highlight w:val="none"/>
              </w:rPr>
              <w:t>人工</w:t>
            </w:r>
          </w:p>
        </w:tc>
        <w:tc>
          <w:tcPr>
            <w:tcW w:w="3032" w:type="dxa"/>
            <w:gridSpan w:val="8"/>
            <w:tcBorders>
              <w:top w:val="single" w:color="auto" w:sz="4" w:space="0"/>
              <w:left w:val="single" w:color="auto" w:sz="4" w:space="0"/>
              <w:bottom w:val="single" w:color="auto" w:sz="4" w:space="0"/>
              <w:right w:val="single" w:color="000000" w:sz="4" w:space="0"/>
            </w:tcBorders>
            <w:vAlign w:val="center"/>
          </w:tcPr>
          <w:p w14:paraId="56F78921">
            <w:pPr>
              <w:widowControl/>
              <w:jc w:val="center"/>
              <w:rPr>
                <w:kern w:val="0"/>
                <w:sz w:val="22"/>
                <w:szCs w:val="22"/>
                <w:highlight w:val="none"/>
              </w:rPr>
            </w:pPr>
          </w:p>
        </w:tc>
        <w:tc>
          <w:tcPr>
            <w:tcW w:w="488" w:type="dxa"/>
            <w:gridSpan w:val="2"/>
            <w:tcBorders>
              <w:top w:val="nil"/>
              <w:left w:val="nil"/>
              <w:bottom w:val="single" w:color="auto" w:sz="4" w:space="0"/>
              <w:right w:val="single" w:color="auto" w:sz="4" w:space="0"/>
            </w:tcBorders>
            <w:vAlign w:val="center"/>
          </w:tcPr>
          <w:p w14:paraId="45432047">
            <w:pPr>
              <w:widowControl/>
              <w:jc w:val="left"/>
              <w:rPr>
                <w:kern w:val="0"/>
                <w:sz w:val="22"/>
                <w:szCs w:val="22"/>
                <w:highlight w:val="none"/>
              </w:rPr>
            </w:pPr>
          </w:p>
        </w:tc>
        <w:tc>
          <w:tcPr>
            <w:tcW w:w="794" w:type="dxa"/>
            <w:gridSpan w:val="2"/>
            <w:tcBorders>
              <w:top w:val="nil"/>
              <w:left w:val="nil"/>
              <w:bottom w:val="single" w:color="auto" w:sz="4" w:space="0"/>
              <w:right w:val="single" w:color="auto" w:sz="4" w:space="0"/>
            </w:tcBorders>
            <w:vAlign w:val="center"/>
          </w:tcPr>
          <w:p w14:paraId="4587F38F">
            <w:pPr>
              <w:widowControl/>
              <w:jc w:val="left"/>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1A6C4C36">
            <w:pPr>
              <w:widowControl/>
              <w:jc w:val="left"/>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4C735E10">
            <w:pPr>
              <w:widowControl/>
              <w:jc w:val="left"/>
              <w:rPr>
                <w:kern w:val="0"/>
                <w:sz w:val="22"/>
                <w:szCs w:val="22"/>
                <w:highlight w:val="none"/>
              </w:rPr>
            </w:pPr>
          </w:p>
        </w:tc>
        <w:tc>
          <w:tcPr>
            <w:tcW w:w="812" w:type="dxa"/>
            <w:gridSpan w:val="2"/>
            <w:tcBorders>
              <w:top w:val="nil"/>
              <w:left w:val="nil"/>
              <w:bottom w:val="single" w:color="auto" w:sz="4" w:space="0"/>
              <w:right w:val="single" w:color="auto" w:sz="4" w:space="0"/>
            </w:tcBorders>
            <w:vAlign w:val="center"/>
          </w:tcPr>
          <w:p w14:paraId="2E4F4CE7">
            <w:pPr>
              <w:widowControl/>
              <w:jc w:val="left"/>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4D0BA234">
            <w:pPr>
              <w:widowControl/>
              <w:jc w:val="left"/>
              <w:rPr>
                <w:kern w:val="0"/>
                <w:sz w:val="22"/>
                <w:szCs w:val="22"/>
                <w:highlight w:val="none"/>
              </w:rPr>
            </w:pPr>
          </w:p>
        </w:tc>
      </w:tr>
      <w:tr w14:paraId="08967A78">
        <w:tblPrEx>
          <w:tblCellMar>
            <w:top w:w="0" w:type="dxa"/>
            <w:left w:w="108" w:type="dxa"/>
            <w:bottom w:w="0" w:type="dxa"/>
            <w:right w:w="108" w:type="dxa"/>
          </w:tblCellMar>
        </w:tblPrEx>
        <w:trPr>
          <w:trHeight w:val="420" w:hRule="atLeast"/>
          <w:jc w:val="center"/>
        </w:trPr>
        <w:tc>
          <w:tcPr>
            <w:tcW w:w="670" w:type="dxa"/>
            <w:gridSpan w:val="2"/>
            <w:vMerge w:val="continue"/>
            <w:tcBorders>
              <w:top w:val="single" w:color="auto" w:sz="4" w:space="0"/>
              <w:left w:val="single" w:color="auto" w:sz="4" w:space="0"/>
              <w:bottom w:val="single" w:color="auto" w:sz="4" w:space="0"/>
              <w:right w:val="single" w:color="auto" w:sz="4" w:space="0"/>
            </w:tcBorders>
            <w:vAlign w:val="center"/>
          </w:tcPr>
          <w:p w14:paraId="1880DE75">
            <w:pPr>
              <w:widowControl/>
              <w:jc w:val="left"/>
              <w:rPr>
                <w:kern w:val="0"/>
                <w:sz w:val="22"/>
                <w:szCs w:val="22"/>
                <w:highlight w:val="none"/>
              </w:rPr>
            </w:pPr>
          </w:p>
        </w:tc>
        <w:tc>
          <w:tcPr>
            <w:tcW w:w="516" w:type="dxa"/>
            <w:vMerge w:val="continue"/>
            <w:tcBorders>
              <w:top w:val="single" w:color="auto" w:sz="4" w:space="0"/>
              <w:left w:val="single" w:color="auto" w:sz="4" w:space="0"/>
              <w:bottom w:val="single" w:color="auto" w:sz="4" w:space="0"/>
              <w:right w:val="single" w:color="auto" w:sz="4" w:space="0"/>
            </w:tcBorders>
            <w:vAlign w:val="center"/>
          </w:tcPr>
          <w:p w14:paraId="790D0AEC">
            <w:pPr>
              <w:widowControl/>
              <w:jc w:val="center"/>
              <w:rPr>
                <w:kern w:val="0"/>
                <w:sz w:val="21"/>
                <w:szCs w:val="21"/>
                <w:highlight w:val="none"/>
              </w:rPr>
            </w:pPr>
          </w:p>
        </w:tc>
        <w:tc>
          <w:tcPr>
            <w:tcW w:w="3032" w:type="dxa"/>
            <w:gridSpan w:val="8"/>
            <w:tcBorders>
              <w:top w:val="single" w:color="auto" w:sz="4" w:space="0"/>
              <w:left w:val="single" w:color="auto" w:sz="4" w:space="0"/>
              <w:bottom w:val="single" w:color="auto" w:sz="4" w:space="0"/>
              <w:right w:val="single" w:color="000000" w:sz="4" w:space="0"/>
            </w:tcBorders>
            <w:vAlign w:val="center"/>
          </w:tcPr>
          <w:p w14:paraId="0C292B1B">
            <w:pPr>
              <w:widowControl/>
              <w:jc w:val="center"/>
              <w:rPr>
                <w:kern w:val="0"/>
                <w:sz w:val="22"/>
                <w:szCs w:val="22"/>
                <w:highlight w:val="none"/>
              </w:rPr>
            </w:pPr>
          </w:p>
        </w:tc>
        <w:tc>
          <w:tcPr>
            <w:tcW w:w="488" w:type="dxa"/>
            <w:gridSpan w:val="2"/>
            <w:tcBorders>
              <w:top w:val="nil"/>
              <w:left w:val="nil"/>
              <w:bottom w:val="single" w:color="auto" w:sz="4" w:space="0"/>
              <w:right w:val="single" w:color="auto" w:sz="4" w:space="0"/>
            </w:tcBorders>
            <w:vAlign w:val="center"/>
          </w:tcPr>
          <w:p w14:paraId="31FB5D92">
            <w:pPr>
              <w:widowControl/>
              <w:jc w:val="left"/>
              <w:rPr>
                <w:kern w:val="0"/>
                <w:sz w:val="22"/>
                <w:szCs w:val="22"/>
                <w:highlight w:val="none"/>
              </w:rPr>
            </w:pPr>
          </w:p>
        </w:tc>
        <w:tc>
          <w:tcPr>
            <w:tcW w:w="794" w:type="dxa"/>
            <w:gridSpan w:val="2"/>
            <w:tcBorders>
              <w:top w:val="nil"/>
              <w:left w:val="nil"/>
              <w:bottom w:val="single" w:color="auto" w:sz="4" w:space="0"/>
              <w:right w:val="single" w:color="auto" w:sz="4" w:space="0"/>
            </w:tcBorders>
            <w:vAlign w:val="center"/>
          </w:tcPr>
          <w:p w14:paraId="03E2035B">
            <w:pPr>
              <w:widowControl/>
              <w:jc w:val="left"/>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1DF7D45B">
            <w:pPr>
              <w:widowControl/>
              <w:jc w:val="left"/>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1B8A1674">
            <w:pPr>
              <w:widowControl/>
              <w:jc w:val="left"/>
              <w:rPr>
                <w:kern w:val="0"/>
                <w:sz w:val="22"/>
                <w:szCs w:val="22"/>
                <w:highlight w:val="none"/>
              </w:rPr>
            </w:pPr>
          </w:p>
        </w:tc>
        <w:tc>
          <w:tcPr>
            <w:tcW w:w="812" w:type="dxa"/>
            <w:gridSpan w:val="2"/>
            <w:tcBorders>
              <w:top w:val="nil"/>
              <w:left w:val="nil"/>
              <w:bottom w:val="single" w:color="auto" w:sz="4" w:space="0"/>
              <w:right w:val="single" w:color="auto" w:sz="4" w:space="0"/>
            </w:tcBorders>
            <w:vAlign w:val="center"/>
          </w:tcPr>
          <w:p w14:paraId="4756D48D">
            <w:pPr>
              <w:widowControl/>
              <w:jc w:val="left"/>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5BFD69E1">
            <w:pPr>
              <w:widowControl/>
              <w:jc w:val="left"/>
              <w:rPr>
                <w:kern w:val="0"/>
                <w:sz w:val="22"/>
                <w:szCs w:val="22"/>
                <w:highlight w:val="none"/>
              </w:rPr>
            </w:pPr>
          </w:p>
        </w:tc>
      </w:tr>
      <w:tr w14:paraId="7E7AB96B">
        <w:tblPrEx>
          <w:tblCellMar>
            <w:top w:w="0" w:type="dxa"/>
            <w:left w:w="108" w:type="dxa"/>
            <w:bottom w:w="0" w:type="dxa"/>
            <w:right w:w="108" w:type="dxa"/>
          </w:tblCellMar>
        </w:tblPrEx>
        <w:trPr>
          <w:trHeight w:val="420" w:hRule="atLeast"/>
          <w:jc w:val="center"/>
        </w:trPr>
        <w:tc>
          <w:tcPr>
            <w:tcW w:w="670" w:type="dxa"/>
            <w:gridSpan w:val="2"/>
            <w:vMerge w:val="continue"/>
            <w:tcBorders>
              <w:top w:val="single" w:color="auto" w:sz="4" w:space="0"/>
              <w:left w:val="single" w:color="auto" w:sz="4" w:space="0"/>
              <w:bottom w:val="single" w:color="auto" w:sz="4" w:space="0"/>
              <w:right w:val="single" w:color="auto" w:sz="4" w:space="0"/>
            </w:tcBorders>
            <w:vAlign w:val="center"/>
          </w:tcPr>
          <w:p w14:paraId="7F887CA9">
            <w:pPr>
              <w:widowControl/>
              <w:jc w:val="left"/>
              <w:rPr>
                <w:kern w:val="0"/>
                <w:sz w:val="22"/>
                <w:szCs w:val="22"/>
                <w:highlight w:val="none"/>
              </w:rPr>
            </w:pPr>
          </w:p>
        </w:tc>
        <w:tc>
          <w:tcPr>
            <w:tcW w:w="516" w:type="dxa"/>
            <w:vMerge w:val="restart"/>
            <w:tcBorders>
              <w:top w:val="single" w:color="auto" w:sz="4" w:space="0"/>
              <w:left w:val="single" w:color="auto" w:sz="4" w:space="0"/>
              <w:bottom w:val="single" w:color="auto" w:sz="4" w:space="0"/>
              <w:right w:val="single" w:color="auto" w:sz="4" w:space="0"/>
            </w:tcBorders>
            <w:vAlign w:val="center"/>
          </w:tcPr>
          <w:p w14:paraId="400767B2">
            <w:pPr>
              <w:widowControl/>
              <w:jc w:val="center"/>
              <w:rPr>
                <w:kern w:val="0"/>
                <w:sz w:val="21"/>
                <w:szCs w:val="21"/>
                <w:highlight w:val="none"/>
              </w:rPr>
            </w:pPr>
            <w:r>
              <w:rPr>
                <w:kern w:val="0"/>
                <w:sz w:val="21"/>
                <w:szCs w:val="21"/>
                <w:highlight w:val="none"/>
              </w:rPr>
              <w:t>材料</w:t>
            </w:r>
          </w:p>
        </w:tc>
        <w:tc>
          <w:tcPr>
            <w:tcW w:w="3032" w:type="dxa"/>
            <w:gridSpan w:val="8"/>
            <w:tcBorders>
              <w:top w:val="single" w:color="auto" w:sz="4" w:space="0"/>
              <w:left w:val="single" w:color="auto" w:sz="4" w:space="0"/>
              <w:bottom w:val="single" w:color="auto" w:sz="4" w:space="0"/>
              <w:right w:val="single" w:color="000000" w:sz="4" w:space="0"/>
            </w:tcBorders>
            <w:vAlign w:val="center"/>
          </w:tcPr>
          <w:p w14:paraId="2E5C3C47">
            <w:pPr>
              <w:widowControl/>
              <w:jc w:val="center"/>
              <w:rPr>
                <w:kern w:val="0"/>
                <w:sz w:val="22"/>
                <w:szCs w:val="22"/>
                <w:highlight w:val="none"/>
              </w:rPr>
            </w:pPr>
          </w:p>
        </w:tc>
        <w:tc>
          <w:tcPr>
            <w:tcW w:w="488" w:type="dxa"/>
            <w:gridSpan w:val="2"/>
            <w:tcBorders>
              <w:top w:val="nil"/>
              <w:left w:val="nil"/>
              <w:bottom w:val="single" w:color="auto" w:sz="4" w:space="0"/>
              <w:right w:val="single" w:color="auto" w:sz="4" w:space="0"/>
            </w:tcBorders>
            <w:vAlign w:val="center"/>
          </w:tcPr>
          <w:p w14:paraId="349C73F1">
            <w:pPr>
              <w:widowControl/>
              <w:jc w:val="left"/>
              <w:rPr>
                <w:kern w:val="0"/>
                <w:sz w:val="22"/>
                <w:szCs w:val="22"/>
                <w:highlight w:val="none"/>
              </w:rPr>
            </w:pPr>
          </w:p>
        </w:tc>
        <w:tc>
          <w:tcPr>
            <w:tcW w:w="794" w:type="dxa"/>
            <w:gridSpan w:val="2"/>
            <w:tcBorders>
              <w:top w:val="nil"/>
              <w:left w:val="nil"/>
              <w:bottom w:val="single" w:color="auto" w:sz="4" w:space="0"/>
              <w:right w:val="single" w:color="auto" w:sz="4" w:space="0"/>
            </w:tcBorders>
            <w:vAlign w:val="center"/>
          </w:tcPr>
          <w:p w14:paraId="110F68D9">
            <w:pPr>
              <w:widowControl/>
              <w:jc w:val="left"/>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483116D8">
            <w:pPr>
              <w:widowControl/>
              <w:jc w:val="left"/>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0797AC1C">
            <w:pPr>
              <w:widowControl/>
              <w:jc w:val="left"/>
              <w:rPr>
                <w:kern w:val="0"/>
                <w:sz w:val="22"/>
                <w:szCs w:val="22"/>
                <w:highlight w:val="none"/>
              </w:rPr>
            </w:pPr>
          </w:p>
        </w:tc>
        <w:tc>
          <w:tcPr>
            <w:tcW w:w="812" w:type="dxa"/>
            <w:gridSpan w:val="2"/>
            <w:tcBorders>
              <w:top w:val="nil"/>
              <w:left w:val="nil"/>
              <w:bottom w:val="single" w:color="auto" w:sz="4" w:space="0"/>
              <w:right w:val="single" w:color="auto" w:sz="4" w:space="0"/>
            </w:tcBorders>
            <w:vAlign w:val="center"/>
          </w:tcPr>
          <w:p w14:paraId="276A948D">
            <w:pPr>
              <w:widowControl/>
              <w:jc w:val="left"/>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17DDEF96">
            <w:pPr>
              <w:widowControl/>
              <w:jc w:val="left"/>
              <w:rPr>
                <w:kern w:val="0"/>
                <w:sz w:val="22"/>
                <w:szCs w:val="22"/>
                <w:highlight w:val="none"/>
              </w:rPr>
            </w:pPr>
          </w:p>
        </w:tc>
      </w:tr>
      <w:tr w14:paraId="35568DE6">
        <w:tblPrEx>
          <w:tblCellMar>
            <w:top w:w="0" w:type="dxa"/>
            <w:left w:w="108" w:type="dxa"/>
            <w:bottom w:w="0" w:type="dxa"/>
            <w:right w:w="108" w:type="dxa"/>
          </w:tblCellMar>
        </w:tblPrEx>
        <w:trPr>
          <w:trHeight w:val="420" w:hRule="atLeast"/>
          <w:jc w:val="center"/>
        </w:trPr>
        <w:tc>
          <w:tcPr>
            <w:tcW w:w="670" w:type="dxa"/>
            <w:gridSpan w:val="2"/>
            <w:vMerge w:val="continue"/>
            <w:tcBorders>
              <w:top w:val="single" w:color="auto" w:sz="4" w:space="0"/>
              <w:left w:val="single" w:color="auto" w:sz="4" w:space="0"/>
              <w:bottom w:val="single" w:color="auto" w:sz="4" w:space="0"/>
              <w:right w:val="single" w:color="auto" w:sz="4" w:space="0"/>
            </w:tcBorders>
            <w:vAlign w:val="center"/>
          </w:tcPr>
          <w:p w14:paraId="2025DEAA">
            <w:pPr>
              <w:widowControl/>
              <w:jc w:val="left"/>
              <w:rPr>
                <w:kern w:val="0"/>
                <w:sz w:val="22"/>
                <w:szCs w:val="22"/>
                <w:highlight w:val="none"/>
              </w:rPr>
            </w:pPr>
          </w:p>
        </w:tc>
        <w:tc>
          <w:tcPr>
            <w:tcW w:w="516" w:type="dxa"/>
            <w:vMerge w:val="continue"/>
            <w:tcBorders>
              <w:top w:val="single" w:color="auto" w:sz="4" w:space="0"/>
              <w:left w:val="single" w:color="auto" w:sz="4" w:space="0"/>
              <w:bottom w:val="single" w:color="auto" w:sz="4" w:space="0"/>
              <w:right w:val="single" w:color="auto" w:sz="4" w:space="0"/>
            </w:tcBorders>
            <w:vAlign w:val="center"/>
          </w:tcPr>
          <w:p w14:paraId="7570DD11">
            <w:pPr>
              <w:widowControl/>
              <w:jc w:val="center"/>
              <w:rPr>
                <w:kern w:val="0"/>
                <w:sz w:val="21"/>
                <w:szCs w:val="21"/>
                <w:highlight w:val="none"/>
              </w:rPr>
            </w:pPr>
          </w:p>
        </w:tc>
        <w:tc>
          <w:tcPr>
            <w:tcW w:w="3032" w:type="dxa"/>
            <w:gridSpan w:val="8"/>
            <w:tcBorders>
              <w:top w:val="single" w:color="auto" w:sz="4" w:space="0"/>
              <w:left w:val="single" w:color="auto" w:sz="4" w:space="0"/>
              <w:bottom w:val="single" w:color="auto" w:sz="4" w:space="0"/>
              <w:right w:val="single" w:color="000000" w:sz="4" w:space="0"/>
            </w:tcBorders>
            <w:vAlign w:val="center"/>
          </w:tcPr>
          <w:p w14:paraId="3EAA67E1">
            <w:pPr>
              <w:widowControl/>
              <w:jc w:val="center"/>
              <w:rPr>
                <w:kern w:val="0"/>
                <w:sz w:val="22"/>
                <w:szCs w:val="22"/>
                <w:highlight w:val="none"/>
              </w:rPr>
            </w:pPr>
          </w:p>
        </w:tc>
        <w:tc>
          <w:tcPr>
            <w:tcW w:w="488" w:type="dxa"/>
            <w:gridSpan w:val="2"/>
            <w:tcBorders>
              <w:top w:val="nil"/>
              <w:left w:val="nil"/>
              <w:bottom w:val="single" w:color="auto" w:sz="4" w:space="0"/>
              <w:right w:val="single" w:color="auto" w:sz="4" w:space="0"/>
            </w:tcBorders>
            <w:vAlign w:val="center"/>
          </w:tcPr>
          <w:p w14:paraId="2D711FF6">
            <w:pPr>
              <w:widowControl/>
              <w:jc w:val="left"/>
              <w:rPr>
                <w:kern w:val="0"/>
                <w:sz w:val="22"/>
                <w:szCs w:val="22"/>
                <w:highlight w:val="none"/>
              </w:rPr>
            </w:pPr>
          </w:p>
        </w:tc>
        <w:tc>
          <w:tcPr>
            <w:tcW w:w="794" w:type="dxa"/>
            <w:gridSpan w:val="2"/>
            <w:tcBorders>
              <w:top w:val="nil"/>
              <w:left w:val="nil"/>
              <w:bottom w:val="single" w:color="auto" w:sz="4" w:space="0"/>
              <w:right w:val="single" w:color="auto" w:sz="4" w:space="0"/>
            </w:tcBorders>
            <w:vAlign w:val="center"/>
          </w:tcPr>
          <w:p w14:paraId="2C761693">
            <w:pPr>
              <w:widowControl/>
              <w:jc w:val="left"/>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561638C9">
            <w:pPr>
              <w:widowControl/>
              <w:jc w:val="left"/>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55E107F7">
            <w:pPr>
              <w:widowControl/>
              <w:jc w:val="left"/>
              <w:rPr>
                <w:kern w:val="0"/>
                <w:sz w:val="22"/>
                <w:szCs w:val="22"/>
                <w:highlight w:val="none"/>
              </w:rPr>
            </w:pPr>
          </w:p>
        </w:tc>
        <w:tc>
          <w:tcPr>
            <w:tcW w:w="812" w:type="dxa"/>
            <w:gridSpan w:val="2"/>
            <w:tcBorders>
              <w:top w:val="nil"/>
              <w:left w:val="nil"/>
              <w:bottom w:val="single" w:color="auto" w:sz="4" w:space="0"/>
              <w:right w:val="single" w:color="auto" w:sz="4" w:space="0"/>
            </w:tcBorders>
            <w:vAlign w:val="center"/>
          </w:tcPr>
          <w:p w14:paraId="3F52E82B">
            <w:pPr>
              <w:widowControl/>
              <w:jc w:val="left"/>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490672CF">
            <w:pPr>
              <w:widowControl/>
              <w:jc w:val="left"/>
              <w:rPr>
                <w:kern w:val="0"/>
                <w:sz w:val="22"/>
                <w:szCs w:val="22"/>
                <w:highlight w:val="none"/>
              </w:rPr>
            </w:pPr>
          </w:p>
        </w:tc>
      </w:tr>
      <w:tr w14:paraId="34AECC58">
        <w:tblPrEx>
          <w:tblCellMar>
            <w:top w:w="0" w:type="dxa"/>
            <w:left w:w="108" w:type="dxa"/>
            <w:bottom w:w="0" w:type="dxa"/>
            <w:right w:w="108" w:type="dxa"/>
          </w:tblCellMar>
        </w:tblPrEx>
        <w:trPr>
          <w:trHeight w:val="420" w:hRule="atLeast"/>
          <w:jc w:val="center"/>
        </w:trPr>
        <w:tc>
          <w:tcPr>
            <w:tcW w:w="670" w:type="dxa"/>
            <w:gridSpan w:val="2"/>
            <w:vMerge w:val="continue"/>
            <w:tcBorders>
              <w:top w:val="single" w:color="auto" w:sz="4" w:space="0"/>
              <w:left w:val="single" w:color="auto" w:sz="4" w:space="0"/>
              <w:bottom w:val="single" w:color="auto" w:sz="4" w:space="0"/>
              <w:right w:val="single" w:color="auto" w:sz="4" w:space="0"/>
            </w:tcBorders>
            <w:vAlign w:val="center"/>
          </w:tcPr>
          <w:p w14:paraId="224E5094">
            <w:pPr>
              <w:widowControl/>
              <w:jc w:val="left"/>
              <w:rPr>
                <w:kern w:val="0"/>
                <w:sz w:val="22"/>
                <w:szCs w:val="22"/>
                <w:highlight w:val="none"/>
              </w:rPr>
            </w:pPr>
          </w:p>
        </w:tc>
        <w:tc>
          <w:tcPr>
            <w:tcW w:w="516" w:type="dxa"/>
            <w:vMerge w:val="restart"/>
            <w:tcBorders>
              <w:top w:val="single" w:color="auto" w:sz="4" w:space="0"/>
              <w:left w:val="single" w:color="auto" w:sz="4" w:space="0"/>
              <w:bottom w:val="single" w:color="auto" w:sz="4" w:space="0"/>
              <w:right w:val="single" w:color="auto" w:sz="4" w:space="0"/>
            </w:tcBorders>
            <w:vAlign w:val="center"/>
          </w:tcPr>
          <w:p w14:paraId="76C5AAE5">
            <w:pPr>
              <w:widowControl/>
              <w:jc w:val="center"/>
              <w:rPr>
                <w:kern w:val="0"/>
                <w:sz w:val="21"/>
                <w:szCs w:val="21"/>
                <w:highlight w:val="none"/>
              </w:rPr>
            </w:pPr>
            <w:r>
              <w:rPr>
                <w:kern w:val="0"/>
                <w:sz w:val="21"/>
                <w:szCs w:val="21"/>
                <w:highlight w:val="none"/>
              </w:rPr>
              <w:t>机械</w:t>
            </w:r>
          </w:p>
        </w:tc>
        <w:tc>
          <w:tcPr>
            <w:tcW w:w="3032" w:type="dxa"/>
            <w:gridSpan w:val="8"/>
            <w:tcBorders>
              <w:top w:val="single" w:color="auto" w:sz="4" w:space="0"/>
              <w:left w:val="single" w:color="auto" w:sz="4" w:space="0"/>
              <w:bottom w:val="single" w:color="auto" w:sz="4" w:space="0"/>
              <w:right w:val="single" w:color="000000" w:sz="4" w:space="0"/>
            </w:tcBorders>
            <w:vAlign w:val="center"/>
          </w:tcPr>
          <w:p w14:paraId="476C8D17">
            <w:pPr>
              <w:widowControl/>
              <w:jc w:val="center"/>
              <w:rPr>
                <w:kern w:val="0"/>
                <w:sz w:val="22"/>
                <w:szCs w:val="22"/>
                <w:highlight w:val="none"/>
              </w:rPr>
            </w:pPr>
          </w:p>
        </w:tc>
        <w:tc>
          <w:tcPr>
            <w:tcW w:w="488" w:type="dxa"/>
            <w:gridSpan w:val="2"/>
            <w:tcBorders>
              <w:top w:val="nil"/>
              <w:left w:val="nil"/>
              <w:bottom w:val="single" w:color="auto" w:sz="4" w:space="0"/>
              <w:right w:val="single" w:color="auto" w:sz="4" w:space="0"/>
            </w:tcBorders>
            <w:vAlign w:val="center"/>
          </w:tcPr>
          <w:p w14:paraId="708B65D0">
            <w:pPr>
              <w:widowControl/>
              <w:jc w:val="left"/>
              <w:rPr>
                <w:kern w:val="0"/>
                <w:sz w:val="22"/>
                <w:szCs w:val="22"/>
                <w:highlight w:val="none"/>
              </w:rPr>
            </w:pPr>
          </w:p>
        </w:tc>
        <w:tc>
          <w:tcPr>
            <w:tcW w:w="794" w:type="dxa"/>
            <w:gridSpan w:val="2"/>
            <w:tcBorders>
              <w:top w:val="nil"/>
              <w:left w:val="nil"/>
              <w:bottom w:val="single" w:color="auto" w:sz="4" w:space="0"/>
              <w:right w:val="single" w:color="auto" w:sz="4" w:space="0"/>
            </w:tcBorders>
            <w:vAlign w:val="center"/>
          </w:tcPr>
          <w:p w14:paraId="1C0B9AB3">
            <w:pPr>
              <w:widowControl/>
              <w:jc w:val="left"/>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67289B87">
            <w:pPr>
              <w:widowControl/>
              <w:jc w:val="left"/>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469982AD">
            <w:pPr>
              <w:widowControl/>
              <w:jc w:val="left"/>
              <w:rPr>
                <w:kern w:val="0"/>
                <w:sz w:val="22"/>
                <w:szCs w:val="22"/>
                <w:highlight w:val="none"/>
              </w:rPr>
            </w:pPr>
          </w:p>
        </w:tc>
        <w:tc>
          <w:tcPr>
            <w:tcW w:w="812" w:type="dxa"/>
            <w:gridSpan w:val="2"/>
            <w:tcBorders>
              <w:top w:val="nil"/>
              <w:left w:val="nil"/>
              <w:bottom w:val="single" w:color="auto" w:sz="4" w:space="0"/>
              <w:right w:val="single" w:color="auto" w:sz="4" w:space="0"/>
            </w:tcBorders>
            <w:vAlign w:val="center"/>
          </w:tcPr>
          <w:p w14:paraId="01750520">
            <w:pPr>
              <w:widowControl/>
              <w:jc w:val="left"/>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1BE9F91B">
            <w:pPr>
              <w:widowControl/>
              <w:jc w:val="left"/>
              <w:rPr>
                <w:kern w:val="0"/>
                <w:sz w:val="22"/>
                <w:szCs w:val="22"/>
                <w:highlight w:val="none"/>
              </w:rPr>
            </w:pPr>
          </w:p>
        </w:tc>
      </w:tr>
      <w:tr w14:paraId="3355596E">
        <w:tblPrEx>
          <w:tblCellMar>
            <w:top w:w="0" w:type="dxa"/>
            <w:left w:w="108" w:type="dxa"/>
            <w:bottom w:w="0" w:type="dxa"/>
            <w:right w:w="108" w:type="dxa"/>
          </w:tblCellMar>
        </w:tblPrEx>
        <w:trPr>
          <w:trHeight w:val="420" w:hRule="atLeast"/>
          <w:jc w:val="center"/>
        </w:trPr>
        <w:tc>
          <w:tcPr>
            <w:tcW w:w="670" w:type="dxa"/>
            <w:gridSpan w:val="2"/>
            <w:vMerge w:val="continue"/>
            <w:tcBorders>
              <w:top w:val="single" w:color="auto" w:sz="4" w:space="0"/>
              <w:left w:val="single" w:color="auto" w:sz="4" w:space="0"/>
              <w:bottom w:val="single" w:color="auto" w:sz="4" w:space="0"/>
              <w:right w:val="single" w:color="auto" w:sz="4" w:space="0"/>
            </w:tcBorders>
            <w:vAlign w:val="center"/>
          </w:tcPr>
          <w:p w14:paraId="1BAAE8DF">
            <w:pPr>
              <w:widowControl/>
              <w:jc w:val="left"/>
              <w:rPr>
                <w:kern w:val="0"/>
                <w:sz w:val="22"/>
                <w:szCs w:val="22"/>
                <w:highlight w:val="none"/>
              </w:rPr>
            </w:pPr>
          </w:p>
        </w:tc>
        <w:tc>
          <w:tcPr>
            <w:tcW w:w="516" w:type="dxa"/>
            <w:vMerge w:val="continue"/>
            <w:tcBorders>
              <w:top w:val="single" w:color="auto" w:sz="4" w:space="0"/>
              <w:left w:val="single" w:color="auto" w:sz="4" w:space="0"/>
              <w:bottom w:val="single" w:color="auto" w:sz="4" w:space="0"/>
              <w:right w:val="single" w:color="auto" w:sz="4" w:space="0"/>
            </w:tcBorders>
          </w:tcPr>
          <w:p w14:paraId="0CBEC291">
            <w:pPr>
              <w:widowControl/>
              <w:jc w:val="center"/>
              <w:rPr>
                <w:kern w:val="0"/>
                <w:sz w:val="22"/>
                <w:szCs w:val="22"/>
                <w:highlight w:val="none"/>
              </w:rPr>
            </w:pPr>
          </w:p>
        </w:tc>
        <w:tc>
          <w:tcPr>
            <w:tcW w:w="3032" w:type="dxa"/>
            <w:gridSpan w:val="8"/>
            <w:tcBorders>
              <w:top w:val="single" w:color="auto" w:sz="4" w:space="0"/>
              <w:left w:val="single" w:color="auto" w:sz="4" w:space="0"/>
              <w:bottom w:val="single" w:color="auto" w:sz="4" w:space="0"/>
              <w:right w:val="single" w:color="000000" w:sz="4" w:space="0"/>
            </w:tcBorders>
            <w:vAlign w:val="center"/>
          </w:tcPr>
          <w:p w14:paraId="5336DE98">
            <w:pPr>
              <w:widowControl/>
              <w:jc w:val="center"/>
              <w:rPr>
                <w:kern w:val="0"/>
                <w:sz w:val="22"/>
                <w:szCs w:val="22"/>
                <w:highlight w:val="none"/>
              </w:rPr>
            </w:pPr>
          </w:p>
        </w:tc>
        <w:tc>
          <w:tcPr>
            <w:tcW w:w="488" w:type="dxa"/>
            <w:gridSpan w:val="2"/>
            <w:tcBorders>
              <w:top w:val="nil"/>
              <w:left w:val="nil"/>
              <w:bottom w:val="single" w:color="auto" w:sz="4" w:space="0"/>
              <w:right w:val="single" w:color="auto" w:sz="4" w:space="0"/>
            </w:tcBorders>
            <w:vAlign w:val="center"/>
          </w:tcPr>
          <w:p w14:paraId="0AEBF768">
            <w:pPr>
              <w:widowControl/>
              <w:jc w:val="left"/>
              <w:rPr>
                <w:kern w:val="0"/>
                <w:sz w:val="22"/>
                <w:szCs w:val="22"/>
                <w:highlight w:val="none"/>
              </w:rPr>
            </w:pPr>
          </w:p>
        </w:tc>
        <w:tc>
          <w:tcPr>
            <w:tcW w:w="794" w:type="dxa"/>
            <w:gridSpan w:val="2"/>
            <w:tcBorders>
              <w:top w:val="nil"/>
              <w:left w:val="nil"/>
              <w:bottom w:val="single" w:color="auto" w:sz="4" w:space="0"/>
              <w:right w:val="single" w:color="auto" w:sz="4" w:space="0"/>
            </w:tcBorders>
            <w:vAlign w:val="center"/>
          </w:tcPr>
          <w:p w14:paraId="78A512F0">
            <w:pPr>
              <w:widowControl/>
              <w:jc w:val="left"/>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7DA02201">
            <w:pPr>
              <w:widowControl/>
              <w:jc w:val="left"/>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0C1B15B7">
            <w:pPr>
              <w:widowControl/>
              <w:jc w:val="left"/>
              <w:rPr>
                <w:kern w:val="0"/>
                <w:sz w:val="22"/>
                <w:szCs w:val="22"/>
                <w:highlight w:val="none"/>
              </w:rPr>
            </w:pPr>
          </w:p>
        </w:tc>
        <w:tc>
          <w:tcPr>
            <w:tcW w:w="812" w:type="dxa"/>
            <w:gridSpan w:val="2"/>
            <w:tcBorders>
              <w:top w:val="nil"/>
              <w:left w:val="nil"/>
              <w:bottom w:val="single" w:color="auto" w:sz="4" w:space="0"/>
              <w:right w:val="single" w:color="auto" w:sz="4" w:space="0"/>
            </w:tcBorders>
            <w:vAlign w:val="center"/>
          </w:tcPr>
          <w:p w14:paraId="2AD80B3F">
            <w:pPr>
              <w:widowControl/>
              <w:jc w:val="left"/>
              <w:rPr>
                <w:kern w:val="0"/>
                <w:sz w:val="22"/>
                <w:szCs w:val="22"/>
                <w:highlight w:val="none"/>
              </w:rPr>
            </w:pPr>
          </w:p>
        </w:tc>
        <w:tc>
          <w:tcPr>
            <w:tcW w:w="812" w:type="dxa"/>
            <w:tcBorders>
              <w:top w:val="nil"/>
              <w:left w:val="nil"/>
              <w:bottom w:val="single" w:color="auto" w:sz="4" w:space="0"/>
              <w:right w:val="single" w:color="auto" w:sz="4" w:space="0"/>
            </w:tcBorders>
            <w:vAlign w:val="center"/>
          </w:tcPr>
          <w:p w14:paraId="3255CE12">
            <w:pPr>
              <w:widowControl/>
              <w:jc w:val="left"/>
              <w:rPr>
                <w:kern w:val="0"/>
                <w:sz w:val="22"/>
                <w:szCs w:val="22"/>
                <w:highlight w:val="none"/>
              </w:rPr>
            </w:pPr>
          </w:p>
        </w:tc>
      </w:tr>
    </w:tbl>
    <w:p w14:paraId="5C67CA34">
      <w:pPr>
        <w:ind w:firstLine="630" w:firstLineChars="300"/>
        <w:rPr>
          <w:rFonts w:hint="default" w:eastAsia="宋体"/>
          <w:sz w:val="21"/>
          <w:szCs w:val="21"/>
          <w:highlight w:val="none"/>
          <w:lang w:val="en-US" w:eastAsia="zh-CN"/>
        </w:rPr>
      </w:pPr>
      <w:r>
        <w:rPr>
          <w:rFonts w:hint="eastAsia"/>
          <w:sz w:val="21"/>
          <w:szCs w:val="21"/>
          <w:highlight w:val="none"/>
          <w:lang w:val="en-US" w:eastAsia="zh-CN"/>
        </w:rPr>
        <w:t>注：招标文件提供了材料暂估单价的，按暂估的单价填入表内“暂估单价”及“暂估合价”栏。</w:t>
      </w:r>
    </w:p>
    <w:p w14:paraId="719DE1DD">
      <w:pPr>
        <w:jc w:val="left"/>
        <w:outlineLvl w:val="9"/>
        <w:rPr>
          <w:rFonts w:hint="eastAsia" w:cs="Times New Roman"/>
          <w:b w:val="0"/>
          <w:bCs w:val="0"/>
          <w:spacing w:val="9"/>
          <w:sz w:val="28"/>
          <w:szCs w:val="28"/>
          <w:highlight w:val="none"/>
          <w:lang w:val="en-US" w:eastAsia="zh-CN"/>
        </w:rPr>
      </w:pPr>
      <w:r>
        <w:rPr>
          <w:rFonts w:hint="eastAsia" w:cs="Times New Roman"/>
          <w:b w:val="0"/>
          <w:bCs w:val="0"/>
          <w:spacing w:val="9"/>
          <w:sz w:val="28"/>
          <w:szCs w:val="28"/>
          <w:highlight w:val="none"/>
          <w:lang w:val="en-US" w:eastAsia="zh-CN"/>
        </w:rPr>
        <w:br w:type="page"/>
      </w:r>
    </w:p>
    <w:p w14:paraId="1D4A27DF">
      <w:pPr>
        <w:jc w:val="center"/>
        <w:outlineLvl w:val="2"/>
        <w:rPr>
          <w:szCs w:val="21"/>
          <w:highlight w:val="none"/>
        </w:rPr>
      </w:pPr>
      <w:r>
        <w:rPr>
          <w:b w:val="0"/>
          <w:bCs w:val="0"/>
          <w:kern w:val="0"/>
          <w:sz w:val="28"/>
          <w:szCs w:val="28"/>
          <w:highlight w:val="none"/>
        </w:rPr>
        <w:t>其他项目清单计价表</w:t>
      </w:r>
    </w:p>
    <w:tbl>
      <w:tblPr>
        <w:tblStyle w:val="41"/>
        <w:tblW w:w="9026" w:type="dxa"/>
        <w:jc w:val="center"/>
        <w:tblLayout w:type="fixed"/>
        <w:tblCellMar>
          <w:top w:w="0" w:type="dxa"/>
          <w:left w:w="108" w:type="dxa"/>
          <w:bottom w:w="0" w:type="dxa"/>
          <w:right w:w="108" w:type="dxa"/>
        </w:tblCellMar>
      </w:tblPr>
      <w:tblGrid>
        <w:gridCol w:w="1013"/>
        <w:gridCol w:w="2877"/>
        <w:gridCol w:w="3111"/>
        <w:gridCol w:w="2025"/>
      </w:tblGrid>
      <w:tr w14:paraId="3FB9476A">
        <w:tblPrEx>
          <w:tblCellMar>
            <w:top w:w="0" w:type="dxa"/>
            <w:left w:w="108" w:type="dxa"/>
            <w:bottom w:w="0" w:type="dxa"/>
            <w:right w:w="108" w:type="dxa"/>
          </w:tblCellMar>
        </w:tblPrEx>
        <w:trPr>
          <w:trHeight w:val="493" w:hRule="atLeast"/>
          <w:jc w:val="center"/>
        </w:trPr>
        <w:tc>
          <w:tcPr>
            <w:tcW w:w="9026" w:type="dxa"/>
            <w:gridSpan w:val="4"/>
            <w:tcBorders>
              <w:top w:val="nil"/>
              <w:left w:val="nil"/>
              <w:bottom w:val="nil"/>
              <w:right w:val="nil"/>
            </w:tcBorders>
            <w:vAlign w:val="bottom"/>
          </w:tcPr>
          <w:p w14:paraId="63CE5060">
            <w:pPr>
              <w:widowControl/>
              <w:jc w:val="left"/>
              <w:rPr>
                <w:kern w:val="0"/>
                <w:sz w:val="24"/>
                <w:highlight w:val="none"/>
              </w:rPr>
            </w:pPr>
          </w:p>
        </w:tc>
      </w:tr>
      <w:tr w14:paraId="308536D5">
        <w:tblPrEx>
          <w:tblCellMar>
            <w:top w:w="0" w:type="dxa"/>
            <w:left w:w="108" w:type="dxa"/>
            <w:bottom w:w="0" w:type="dxa"/>
            <w:right w:w="108" w:type="dxa"/>
          </w:tblCellMar>
        </w:tblPrEx>
        <w:trPr>
          <w:trHeight w:val="493" w:hRule="atLeast"/>
          <w:jc w:val="center"/>
        </w:trPr>
        <w:tc>
          <w:tcPr>
            <w:tcW w:w="3890" w:type="dxa"/>
            <w:gridSpan w:val="2"/>
            <w:tcBorders>
              <w:top w:val="nil"/>
              <w:left w:val="nil"/>
              <w:bottom w:val="single" w:color="auto" w:sz="4" w:space="0"/>
              <w:right w:val="nil"/>
            </w:tcBorders>
            <w:vAlign w:val="center"/>
          </w:tcPr>
          <w:p w14:paraId="4C3579E1">
            <w:pPr>
              <w:widowControl/>
              <w:jc w:val="left"/>
              <w:rPr>
                <w:kern w:val="0"/>
                <w:sz w:val="21"/>
                <w:szCs w:val="21"/>
                <w:highlight w:val="none"/>
              </w:rPr>
            </w:pPr>
            <w:r>
              <w:rPr>
                <w:kern w:val="0"/>
                <w:sz w:val="21"/>
                <w:szCs w:val="21"/>
                <w:highlight w:val="none"/>
              </w:rPr>
              <w:t>工程名称：                标段：</w:t>
            </w:r>
          </w:p>
        </w:tc>
        <w:tc>
          <w:tcPr>
            <w:tcW w:w="5136" w:type="dxa"/>
            <w:gridSpan w:val="2"/>
            <w:tcBorders>
              <w:top w:val="nil"/>
              <w:left w:val="nil"/>
              <w:bottom w:val="single" w:color="auto" w:sz="4" w:space="0"/>
              <w:right w:val="nil"/>
            </w:tcBorders>
            <w:vAlign w:val="center"/>
          </w:tcPr>
          <w:p w14:paraId="33DD7533">
            <w:pPr>
              <w:widowControl/>
              <w:tabs>
                <w:tab w:val="left" w:pos="2677"/>
              </w:tabs>
              <w:ind w:right="-120" w:firstLine="3045" w:firstLineChars="1450"/>
              <w:rPr>
                <w:kern w:val="0"/>
                <w:sz w:val="21"/>
                <w:szCs w:val="21"/>
                <w:highlight w:val="none"/>
              </w:rPr>
            </w:pPr>
            <w:r>
              <w:rPr>
                <w:kern w:val="0"/>
                <w:sz w:val="21"/>
                <w:szCs w:val="21"/>
                <w:highlight w:val="none"/>
              </w:rPr>
              <w:t>第   页   共    页</w:t>
            </w:r>
          </w:p>
        </w:tc>
      </w:tr>
      <w:tr w14:paraId="0D1928EA">
        <w:tblPrEx>
          <w:tblCellMar>
            <w:top w:w="0" w:type="dxa"/>
            <w:left w:w="108" w:type="dxa"/>
            <w:bottom w:w="0" w:type="dxa"/>
            <w:right w:w="108" w:type="dxa"/>
          </w:tblCellMar>
        </w:tblPrEx>
        <w:trPr>
          <w:trHeight w:val="688" w:hRule="atLeast"/>
          <w:jc w:val="center"/>
        </w:trPr>
        <w:tc>
          <w:tcPr>
            <w:tcW w:w="1013" w:type="dxa"/>
            <w:tcBorders>
              <w:top w:val="nil"/>
              <w:left w:val="single" w:color="auto" w:sz="4" w:space="0"/>
              <w:bottom w:val="single" w:color="auto" w:sz="4" w:space="0"/>
              <w:right w:val="single" w:color="auto" w:sz="4" w:space="0"/>
            </w:tcBorders>
            <w:vAlign w:val="center"/>
          </w:tcPr>
          <w:p w14:paraId="3F096960">
            <w:pPr>
              <w:widowControl/>
              <w:jc w:val="center"/>
              <w:rPr>
                <w:kern w:val="0"/>
                <w:sz w:val="21"/>
                <w:szCs w:val="21"/>
                <w:highlight w:val="none"/>
              </w:rPr>
            </w:pPr>
            <w:r>
              <w:rPr>
                <w:kern w:val="0"/>
                <w:sz w:val="21"/>
                <w:szCs w:val="21"/>
                <w:highlight w:val="none"/>
              </w:rPr>
              <w:t>序号</w:t>
            </w:r>
          </w:p>
        </w:tc>
        <w:tc>
          <w:tcPr>
            <w:tcW w:w="2877" w:type="dxa"/>
            <w:tcBorders>
              <w:top w:val="nil"/>
              <w:left w:val="nil"/>
              <w:bottom w:val="single" w:color="auto" w:sz="4" w:space="0"/>
              <w:right w:val="single" w:color="auto" w:sz="4" w:space="0"/>
            </w:tcBorders>
            <w:vAlign w:val="center"/>
          </w:tcPr>
          <w:p w14:paraId="15D58013">
            <w:pPr>
              <w:widowControl/>
              <w:jc w:val="center"/>
              <w:rPr>
                <w:kern w:val="0"/>
                <w:sz w:val="21"/>
                <w:szCs w:val="21"/>
                <w:highlight w:val="none"/>
              </w:rPr>
            </w:pPr>
            <w:r>
              <w:rPr>
                <w:kern w:val="0"/>
                <w:sz w:val="21"/>
                <w:szCs w:val="21"/>
                <w:highlight w:val="none"/>
              </w:rPr>
              <w:t>项目名称</w:t>
            </w:r>
          </w:p>
        </w:tc>
        <w:tc>
          <w:tcPr>
            <w:tcW w:w="3111" w:type="dxa"/>
            <w:tcBorders>
              <w:top w:val="nil"/>
              <w:left w:val="nil"/>
              <w:bottom w:val="single" w:color="auto" w:sz="4" w:space="0"/>
              <w:right w:val="single" w:color="auto" w:sz="4" w:space="0"/>
            </w:tcBorders>
            <w:vAlign w:val="center"/>
          </w:tcPr>
          <w:p w14:paraId="754D0ED2">
            <w:pPr>
              <w:widowControl/>
              <w:jc w:val="center"/>
              <w:rPr>
                <w:kern w:val="0"/>
                <w:sz w:val="21"/>
                <w:szCs w:val="21"/>
                <w:highlight w:val="none"/>
              </w:rPr>
            </w:pPr>
            <w:r>
              <w:rPr>
                <w:kern w:val="0"/>
                <w:sz w:val="21"/>
                <w:szCs w:val="21"/>
                <w:highlight w:val="none"/>
              </w:rPr>
              <w:t>金额</w:t>
            </w:r>
            <w:r>
              <w:rPr>
                <w:rFonts w:hint="eastAsia"/>
                <w:kern w:val="0"/>
                <w:sz w:val="21"/>
                <w:szCs w:val="21"/>
                <w:highlight w:val="none"/>
                <w:lang w:eastAsia="zh-CN"/>
              </w:rPr>
              <w:t>（</w:t>
            </w:r>
            <w:r>
              <w:rPr>
                <w:kern w:val="0"/>
                <w:sz w:val="21"/>
                <w:szCs w:val="21"/>
                <w:highlight w:val="none"/>
              </w:rPr>
              <w:t>元</w:t>
            </w:r>
            <w:r>
              <w:rPr>
                <w:rFonts w:hint="eastAsia"/>
                <w:kern w:val="0"/>
                <w:sz w:val="21"/>
                <w:szCs w:val="21"/>
                <w:highlight w:val="none"/>
                <w:lang w:eastAsia="zh-CN"/>
              </w:rPr>
              <w:t>）</w:t>
            </w:r>
          </w:p>
        </w:tc>
        <w:tc>
          <w:tcPr>
            <w:tcW w:w="2025" w:type="dxa"/>
            <w:tcBorders>
              <w:top w:val="nil"/>
              <w:left w:val="nil"/>
              <w:bottom w:val="single" w:color="auto" w:sz="4" w:space="0"/>
              <w:right w:val="single" w:color="auto" w:sz="4" w:space="0"/>
            </w:tcBorders>
            <w:vAlign w:val="center"/>
          </w:tcPr>
          <w:p w14:paraId="5FC7EB86">
            <w:pPr>
              <w:widowControl/>
              <w:jc w:val="center"/>
              <w:rPr>
                <w:kern w:val="0"/>
                <w:sz w:val="21"/>
                <w:szCs w:val="21"/>
                <w:highlight w:val="none"/>
              </w:rPr>
            </w:pPr>
            <w:r>
              <w:rPr>
                <w:kern w:val="0"/>
                <w:sz w:val="21"/>
                <w:szCs w:val="21"/>
                <w:highlight w:val="none"/>
              </w:rPr>
              <w:t>备注</w:t>
            </w:r>
          </w:p>
        </w:tc>
      </w:tr>
      <w:tr w14:paraId="1D6BACB2">
        <w:tblPrEx>
          <w:tblCellMar>
            <w:top w:w="0" w:type="dxa"/>
            <w:left w:w="108" w:type="dxa"/>
            <w:bottom w:w="0" w:type="dxa"/>
            <w:right w:w="108" w:type="dxa"/>
          </w:tblCellMar>
        </w:tblPrEx>
        <w:trPr>
          <w:trHeight w:val="688" w:hRule="atLeast"/>
          <w:jc w:val="center"/>
        </w:trPr>
        <w:tc>
          <w:tcPr>
            <w:tcW w:w="1013" w:type="dxa"/>
            <w:tcBorders>
              <w:top w:val="nil"/>
              <w:left w:val="single" w:color="auto" w:sz="4" w:space="0"/>
              <w:bottom w:val="single" w:color="auto" w:sz="4" w:space="0"/>
              <w:right w:val="single" w:color="auto" w:sz="4" w:space="0"/>
            </w:tcBorders>
            <w:vAlign w:val="center"/>
          </w:tcPr>
          <w:p w14:paraId="2777939D">
            <w:pPr>
              <w:widowControl/>
              <w:jc w:val="center"/>
              <w:rPr>
                <w:kern w:val="0"/>
                <w:sz w:val="22"/>
                <w:szCs w:val="22"/>
                <w:highlight w:val="none"/>
              </w:rPr>
            </w:pPr>
          </w:p>
        </w:tc>
        <w:tc>
          <w:tcPr>
            <w:tcW w:w="2877" w:type="dxa"/>
            <w:tcBorders>
              <w:top w:val="nil"/>
              <w:left w:val="nil"/>
              <w:bottom w:val="single" w:color="auto" w:sz="4" w:space="0"/>
              <w:right w:val="single" w:color="auto" w:sz="4" w:space="0"/>
            </w:tcBorders>
            <w:vAlign w:val="center"/>
          </w:tcPr>
          <w:p w14:paraId="7BAA1705">
            <w:pPr>
              <w:pStyle w:val="107"/>
              <w:spacing w:before="65" w:line="220" w:lineRule="auto"/>
              <w:jc w:val="center"/>
              <w:rPr>
                <w:kern w:val="0"/>
                <w:sz w:val="22"/>
                <w:szCs w:val="22"/>
                <w:highlight w:val="none"/>
              </w:rPr>
            </w:pPr>
          </w:p>
        </w:tc>
        <w:tc>
          <w:tcPr>
            <w:tcW w:w="3111" w:type="dxa"/>
            <w:tcBorders>
              <w:top w:val="nil"/>
              <w:left w:val="nil"/>
              <w:bottom w:val="single" w:color="auto" w:sz="4" w:space="0"/>
              <w:right w:val="single" w:color="auto" w:sz="4" w:space="0"/>
            </w:tcBorders>
            <w:vAlign w:val="center"/>
          </w:tcPr>
          <w:p w14:paraId="3959B7D4">
            <w:pPr>
              <w:widowControl/>
              <w:jc w:val="left"/>
              <w:rPr>
                <w:kern w:val="0"/>
                <w:sz w:val="22"/>
                <w:szCs w:val="22"/>
                <w:highlight w:val="none"/>
              </w:rPr>
            </w:pPr>
          </w:p>
        </w:tc>
        <w:tc>
          <w:tcPr>
            <w:tcW w:w="2025" w:type="dxa"/>
            <w:tcBorders>
              <w:top w:val="nil"/>
              <w:left w:val="nil"/>
              <w:bottom w:val="single" w:color="auto" w:sz="4" w:space="0"/>
              <w:right w:val="single" w:color="auto" w:sz="4" w:space="0"/>
            </w:tcBorders>
            <w:vAlign w:val="center"/>
          </w:tcPr>
          <w:p w14:paraId="4C59329C">
            <w:pPr>
              <w:widowControl/>
              <w:jc w:val="center"/>
              <w:rPr>
                <w:kern w:val="0"/>
                <w:sz w:val="22"/>
                <w:szCs w:val="22"/>
                <w:highlight w:val="none"/>
              </w:rPr>
            </w:pPr>
          </w:p>
        </w:tc>
      </w:tr>
      <w:tr w14:paraId="6D310F47">
        <w:tblPrEx>
          <w:tblCellMar>
            <w:top w:w="0" w:type="dxa"/>
            <w:left w:w="108" w:type="dxa"/>
            <w:bottom w:w="0" w:type="dxa"/>
            <w:right w:w="108" w:type="dxa"/>
          </w:tblCellMar>
        </w:tblPrEx>
        <w:trPr>
          <w:trHeight w:val="688" w:hRule="atLeast"/>
          <w:jc w:val="center"/>
        </w:trPr>
        <w:tc>
          <w:tcPr>
            <w:tcW w:w="1013" w:type="dxa"/>
            <w:tcBorders>
              <w:top w:val="nil"/>
              <w:left w:val="single" w:color="auto" w:sz="4" w:space="0"/>
              <w:bottom w:val="single" w:color="auto" w:sz="4" w:space="0"/>
              <w:right w:val="single" w:color="auto" w:sz="4" w:space="0"/>
            </w:tcBorders>
            <w:vAlign w:val="center"/>
          </w:tcPr>
          <w:p w14:paraId="7595BBB2">
            <w:pPr>
              <w:widowControl/>
              <w:jc w:val="center"/>
              <w:rPr>
                <w:kern w:val="0"/>
                <w:sz w:val="22"/>
                <w:szCs w:val="22"/>
                <w:highlight w:val="none"/>
              </w:rPr>
            </w:pPr>
          </w:p>
        </w:tc>
        <w:tc>
          <w:tcPr>
            <w:tcW w:w="2877" w:type="dxa"/>
            <w:tcBorders>
              <w:top w:val="nil"/>
              <w:left w:val="nil"/>
              <w:bottom w:val="single" w:color="auto" w:sz="4" w:space="0"/>
              <w:right w:val="single" w:color="auto" w:sz="4" w:space="0"/>
            </w:tcBorders>
            <w:vAlign w:val="center"/>
          </w:tcPr>
          <w:p w14:paraId="38A9C29A">
            <w:pPr>
              <w:pStyle w:val="107"/>
              <w:spacing w:before="65" w:line="218" w:lineRule="auto"/>
              <w:jc w:val="center"/>
              <w:rPr>
                <w:kern w:val="0"/>
                <w:sz w:val="22"/>
                <w:szCs w:val="22"/>
                <w:highlight w:val="none"/>
              </w:rPr>
            </w:pPr>
          </w:p>
        </w:tc>
        <w:tc>
          <w:tcPr>
            <w:tcW w:w="3111" w:type="dxa"/>
            <w:tcBorders>
              <w:top w:val="nil"/>
              <w:left w:val="nil"/>
              <w:bottom w:val="single" w:color="auto" w:sz="4" w:space="0"/>
              <w:right w:val="single" w:color="auto" w:sz="4" w:space="0"/>
            </w:tcBorders>
            <w:vAlign w:val="center"/>
          </w:tcPr>
          <w:p w14:paraId="6E614D35">
            <w:pPr>
              <w:widowControl/>
              <w:jc w:val="center"/>
              <w:rPr>
                <w:kern w:val="0"/>
                <w:sz w:val="22"/>
                <w:szCs w:val="22"/>
                <w:highlight w:val="none"/>
              </w:rPr>
            </w:pPr>
          </w:p>
        </w:tc>
        <w:tc>
          <w:tcPr>
            <w:tcW w:w="2025" w:type="dxa"/>
            <w:tcBorders>
              <w:top w:val="nil"/>
              <w:left w:val="nil"/>
              <w:bottom w:val="single" w:color="auto" w:sz="4" w:space="0"/>
              <w:right w:val="single" w:color="auto" w:sz="4" w:space="0"/>
            </w:tcBorders>
            <w:vAlign w:val="center"/>
          </w:tcPr>
          <w:p w14:paraId="44BA008B">
            <w:pPr>
              <w:widowControl/>
              <w:jc w:val="center"/>
              <w:rPr>
                <w:kern w:val="0"/>
                <w:sz w:val="22"/>
                <w:szCs w:val="22"/>
                <w:highlight w:val="none"/>
              </w:rPr>
            </w:pPr>
          </w:p>
        </w:tc>
      </w:tr>
      <w:tr w14:paraId="658201B4">
        <w:tblPrEx>
          <w:tblCellMar>
            <w:top w:w="0" w:type="dxa"/>
            <w:left w:w="108" w:type="dxa"/>
            <w:bottom w:w="0" w:type="dxa"/>
            <w:right w:w="108" w:type="dxa"/>
          </w:tblCellMar>
        </w:tblPrEx>
        <w:trPr>
          <w:trHeight w:val="688" w:hRule="atLeast"/>
          <w:jc w:val="center"/>
        </w:trPr>
        <w:tc>
          <w:tcPr>
            <w:tcW w:w="1013" w:type="dxa"/>
            <w:tcBorders>
              <w:top w:val="nil"/>
              <w:left w:val="single" w:color="auto" w:sz="4" w:space="0"/>
              <w:bottom w:val="single" w:color="auto" w:sz="4" w:space="0"/>
              <w:right w:val="single" w:color="auto" w:sz="4" w:space="0"/>
            </w:tcBorders>
            <w:vAlign w:val="center"/>
          </w:tcPr>
          <w:p w14:paraId="063474E1">
            <w:pPr>
              <w:widowControl/>
              <w:jc w:val="center"/>
              <w:rPr>
                <w:rFonts w:hint="eastAsia" w:eastAsia="宋体"/>
                <w:kern w:val="0"/>
                <w:sz w:val="22"/>
                <w:szCs w:val="22"/>
                <w:highlight w:val="none"/>
                <w:lang w:val="en-US" w:eastAsia="zh-CN"/>
              </w:rPr>
            </w:pPr>
          </w:p>
        </w:tc>
        <w:tc>
          <w:tcPr>
            <w:tcW w:w="2877" w:type="dxa"/>
            <w:tcBorders>
              <w:top w:val="nil"/>
              <w:left w:val="nil"/>
              <w:bottom w:val="single" w:color="auto" w:sz="4" w:space="0"/>
              <w:right w:val="single" w:color="auto" w:sz="4" w:space="0"/>
            </w:tcBorders>
            <w:vAlign w:val="center"/>
          </w:tcPr>
          <w:p w14:paraId="2B97E5E7">
            <w:pPr>
              <w:pStyle w:val="107"/>
              <w:spacing w:before="65" w:line="221" w:lineRule="auto"/>
              <w:jc w:val="center"/>
              <w:rPr>
                <w:kern w:val="0"/>
                <w:sz w:val="22"/>
                <w:szCs w:val="22"/>
                <w:highlight w:val="none"/>
              </w:rPr>
            </w:pPr>
          </w:p>
        </w:tc>
        <w:tc>
          <w:tcPr>
            <w:tcW w:w="3111" w:type="dxa"/>
            <w:tcBorders>
              <w:top w:val="nil"/>
              <w:left w:val="nil"/>
              <w:bottom w:val="single" w:color="auto" w:sz="4" w:space="0"/>
              <w:right w:val="single" w:color="auto" w:sz="4" w:space="0"/>
            </w:tcBorders>
            <w:vAlign w:val="center"/>
          </w:tcPr>
          <w:p w14:paraId="0AB2A7FC">
            <w:pPr>
              <w:widowControl/>
              <w:jc w:val="left"/>
              <w:rPr>
                <w:kern w:val="0"/>
                <w:sz w:val="22"/>
                <w:szCs w:val="22"/>
                <w:highlight w:val="none"/>
              </w:rPr>
            </w:pPr>
          </w:p>
        </w:tc>
        <w:tc>
          <w:tcPr>
            <w:tcW w:w="2025" w:type="dxa"/>
            <w:tcBorders>
              <w:top w:val="nil"/>
              <w:left w:val="nil"/>
              <w:bottom w:val="single" w:color="auto" w:sz="4" w:space="0"/>
              <w:right w:val="single" w:color="auto" w:sz="4" w:space="0"/>
            </w:tcBorders>
            <w:vAlign w:val="center"/>
          </w:tcPr>
          <w:p w14:paraId="2C4C7D1C">
            <w:pPr>
              <w:widowControl/>
              <w:jc w:val="center"/>
              <w:rPr>
                <w:rFonts w:hint="eastAsia" w:eastAsia="宋体"/>
                <w:kern w:val="0"/>
                <w:sz w:val="22"/>
                <w:szCs w:val="22"/>
                <w:highlight w:val="none"/>
                <w:lang w:eastAsia="zh-CN"/>
              </w:rPr>
            </w:pPr>
          </w:p>
        </w:tc>
      </w:tr>
      <w:tr w14:paraId="03A23DB4">
        <w:tblPrEx>
          <w:tblCellMar>
            <w:top w:w="0" w:type="dxa"/>
            <w:left w:w="108" w:type="dxa"/>
            <w:bottom w:w="0" w:type="dxa"/>
            <w:right w:w="108" w:type="dxa"/>
          </w:tblCellMar>
        </w:tblPrEx>
        <w:trPr>
          <w:trHeight w:val="688" w:hRule="atLeast"/>
          <w:jc w:val="center"/>
        </w:trPr>
        <w:tc>
          <w:tcPr>
            <w:tcW w:w="1013" w:type="dxa"/>
            <w:tcBorders>
              <w:top w:val="nil"/>
              <w:left w:val="single" w:color="auto" w:sz="4" w:space="0"/>
              <w:bottom w:val="single" w:color="auto" w:sz="4" w:space="0"/>
              <w:right w:val="single" w:color="auto" w:sz="4" w:space="0"/>
            </w:tcBorders>
            <w:vAlign w:val="center"/>
          </w:tcPr>
          <w:p w14:paraId="3D2D0573">
            <w:pPr>
              <w:widowControl/>
              <w:jc w:val="center"/>
              <w:rPr>
                <w:rFonts w:hint="eastAsia" w:eastAsia="宋体"/>
                <w:kern w:val="0"/>
                <w:sz w:val="22"/>
                <w:szCs w:val="22"/>
                <w:highlight w:val="none"/>
                <w:lang w:val="en-US" w:eastAsia="zh-CN"/>
              </w:rPr>
            </w:pPr>
          </w:p>
        </w:tc>
        <w:tc>
          <w:tcPr>
            <w:tcW w:w="2877" w:type="dxa"/>
            <w:tcBorders>
              <w:top w:val="nil"/>
              <w:left w:val="nil"/>
              <w:bottom w:val="single" w:color="auto" w:sz="4" w:space="0"/>
              <w:right w:val="single" w:color="auto" w:sz="4" w:space="0"/>
            </w:tcBorders>
            <w:vAlign w:val="center"/>
          </w:tcPr>
          <w:p w14:paraId="10BFB606">
            <w:pPr>
              <w:pStyle w:val="107"/>
              <w:spacing w:before="65" w:line="220" w:lineRule="auto"/>
              <w:jc w:val="center"/>
              <w:rPr>
                <w:kern w:val="0"/>
                <w:sz w:val="22"/>
                <w:szCs w:val="22"/>
                <w:highlight w:val="none"/>
              </w:rPr>
            </w:pPr>
          </w:p>
        </w:tc>
        <w:tc>
          <w:tcPr>
            <w:tcW w:w="3111" w:type="dxa"/>
            <w:tcBorders>
              <w:top w:val="nil"/>
              <w:left w:val="nil"/>
              <w:bottom w:val="single" w:color="auto" w:sz="4" w:space="0"/>
              <w:right w:val="single" w:color="auto" w:sz="4" w:space="0"/>
            </w:tcBorders>
            <w:vAlign w:val="center"/>
          </w:tcPr>
          <w:p w14:paraId="1B9C7399">
            <w:pPr>
              <w:widowControl/>
              <w:jc w:val="left"/>
              <w:rPr>
                <w:kern w:val="0"/>
                <w:sz w:val="22"/>
                <w:szCs w:val="22"/>
                <w:highlight w:val="none"/>
              </w:rPr>
            </w:pPr>
          </w:p>
        </w:tc>
        <w:tc>
          <w:tcPr>
            <w:tcW w:w="2025" w:type="dxa"/>
            <w:tcBorders>
              <w:top w:val="nil"/>
              <w:left w:val="nil"/>
              <w:bottom w:val="single" w:color="auto" w:sz="4" w:space="0"/>
              <w:right w:val="single" w:color="auto" w:sz="4" w:space="0"/>
            </w:tcBorders>
            <w:vAlign w:val="center"/>
          </w:tcPr>
          <w:p w14:paraId="57F604C7">
            <w:pPr>
              <w:widowControl/>
              <w:jc w:val="center"/>
              <w:rPr>
                <w:rFonts w:hint="eastAsia" w:eastAsia="宋体"/>
                <w:kern w:val="0"/>
                <w:sz w:val="22"/>
                <w:szCs w:val="22"/>
                <w:highlight w:val="none"/>
                <w:lang w:eastAsia="zh-CN"/>
              </w:rPr>
            </w:pPr>
          </w:p>
        </w:tc>
      </w:tr>
      <w:tr w14:paraId="17CAA2CE">
        <w:tblPrEx>
          <w:tblCellMar>
            <w:top w:w="0" w:type="dxa"/>
            <w:left w:w="108" w:type="dxa"/>
            <w:bottom w:w="0" w:type="dxa"/>
            <w:right w:w="108" w:type="dxa"/>
          </w:tblCellMar>
        </w:tblPrEx>
        <w:trPr>
          <w:trHeight w:val="688" w:hRule="atLeast"/>
          <w:jc w:val="center"/>
        </w:trPr>
        <w:tc>
          <w:tcPr>
            <w:tcW w:w="1013" w:type="dxa"/>
            <w:tcBorders>
              <w:top w:val="nil"/>
              <w:left w:val="single" w:color="auto" w:sz="4" w:space="0"/>
              <w:bottom w:val="single" w:color="auto" w:sz="4" w:space="0"/>
              <w:right w:val="single" w:color="auto" w:sz="4" w:space="0"/>
            </w:tcBorders>
            <w:vAlign w:val="center"/>
          </w:tcPr>
          <w:p w14:paraId="5D2671FA">
            <w:pPr>
              <w:widowControl/>
              <w:jc w:val="center"/>
              <w:rPr>
                <w:rFonts w:hint="eastAsia" w:eastAsia="宋体"/>
                <w:kern w:val="0"/>
                <w:sz w:val="22"/>
                <w:szCs w:val="22"/>
                <w:highlight w:val="none"/>
                <w:lang w:val="en-US" w:eastAsia="zh-CN"/>
              </w:rPr>
            </w:pPr>
          </w:p>
        </w:tc>
        <w:tc>
          <w:tcPr>
            <w:tcW w:w="2877" w:type="dxa"/>
            <w:tcBorders>
              <w:top w:val="nil"/>
              <w:left w:val="nil"/>
              <w:bottom w:val="single" w:color="auto" w:sz="4" w:space="0"/>
              <w:right w:val="single" w:color="auto" w:sz="4" w:space="0"/>
            </w:tcBorders>
            <w:vAlign w:val="center"/>
          </w:tcPr>
          <w:p w14:paraId="5D95F460">
            <w:pPr>
              <w:widowControl/>
              <w:jc w:val="center"/>
              <w:rPr>
                <w:rFonts w:hint="default" w:eastAsia="宋体"/>
                <w:kern w:val="0"/>
                <w:sz w:val="22"/>
                <w:szCs w:val="22"/>
                <w:highlight w:val="none"/>
                <w:lang w:val="en-US" w:eastAsia="zh-CN"/>
              </w:rPr>
            </w:pPr>
          </w:p>
        </w:tc>
        <w:tc>
          <w:tcPr>
            <w:tcW w:w="3111" w:type="dxa"/>
            <w:tcBorders>
              <w:top w:val="nil"/>
              <w:left w:val="nil"/>
              <w:bottom w:val="single" w:color="auto" w:sz="4" w:space="0"/>
              <w:right w:val="single" w:color="auto" w:sz="4" w:space="0"/>
            </w:tcBorders>
            <w:vAlign w:val="center"/>
          </w:tcPr>
          <w:p w14:paraId="1EFC79AC">
            <w:pPr>
              <w:widowControl/>
              <w:jc w:val="left"/>
              <w:rPr>
                <w:kern w:val="0"/>
                <w:sz w:val="22"/>
                <w:szCs w:val="22"/>
                <w:highlight w:val="none"/>
              </w:rPr>
            </w:pPr>
          </w:p>
        </w:tc>
        <w:tc>
          <w:tcPr>
            <w:tcW w:w="2025" w:type="dxa"/>
            <w:tcBorders>
              <w:top w:val="nil"/>
              <w:left w:val="nil"/>
              <w:bottom w:val="single" w:color="auto" w:sz="4" w:space="0"/>
              <w:right w:val="single" w:color="auto" w:sz="4" w:space="0"/>
            </w:tcBorders>
            <w:vAlign w:val="center"/>
          </w:tcPr>
          <w:p w14:paraId="6718BDDF">
            <w:pPr>
              <w:widowControl/>
              <w:jc w:val="center"/>
              <w:rPr>
                <w:rFonts w:hint="eastAsia" w:eastAsia="宋体"/>
                <w:kern w:val="0"/>
                <w:sz w:val="22"/>
                <w:szCs w:val="22"/>
                <w:highlight w:val="none"/>
                <w:lang w:eastAsia="zh-CN"/>
              </w:rPr>
            </w:pPr>
          </w:p>
        </w:tc>
      </w:tr>
      <w:tr w14:paraId="4E09986A">
        <w:tblPrEx>
          <w:tblCellMar>
            <w:top w:w="0" w:type="dxa"/>
            <w:left w:w="108" w:type="dxa"/>
            <w:bottom w:w="0" w:type="dxa"/>
            <w:right w:w="108" w:type="dxa"/>
          </w:tblCellMar>
        </w:tblPrEx>
        <w:trPr>
          <w:trHeight w:val="688" w:hRule="atLeast"/>
          <w:jc w:val="center"/>
        </w:trPr>
        <w:tc>
          <w:tcPr>
            <w:tcW w:w="1013" w:type="dxa"/>
            <w:tcBorders>
              <w:top w:val="nil"/>
              <w:left w:val="single" w:color="auto" w:sz="4" w:space="0"/>
              <w:bottom w:val="single" w:color="auto" w:sz="4" w:space="0"/>
              <w:right w:val="single" w:color="auto" w:sz="4" w:space="0"/>
            </w:tcBorders>
            <w:vAlign w:val="center"/>
          </w:tcPr>
          <w:p w14:paraId="0116E4FE">
            <w:pPr>
              <w:widowControl/>
              <w:jc w:val="center"/>
              <w:rPr>
                <w:kern w:val="0"/>
                <w:sz w:val="22"/>
                <w:szCs w:val="22"/>
                <w:highlight w:val="none"/>
              </w:rPr>
            </w:pPr>
          </w:p>
        </w:tc>
        <w:tc>
          <w:tcPr>
            <w:tcW w:w="2877" w:type="dxa"/>
            <w:tcBorders>
              <w:top w:val="nil"/>
              <w:left w:val="nil"/>
              <w:bottom w:val="single" w:color="auto" w:sz="4" w:space="0"/>
              <w:right w:val="single" w:color="auto" w:sz="4" w:space="0"/>
            </w:tcBorders>
            <w:shd w:val="clear" w:color="auto" w:fill="auto"/>
            <w:vAlign w:val="center"/>
          </w:tcPr>
          <w:p w14:paraId="476FE5C6">
            <w:pPr>
              <w:widowControl/>
              <w:ind w:firstLine="220" w:firstLineChars="100"/>
              <w:jc w:val="left"/>
              <w:rPr>
                <w:rFonts w:ascii="Times New Roman" w:hAnsi="Times New Roman" w:eastAsia="宋体" w:cs="Times New Roman"/>
                <w:kern w:val="0"/>
                <w:sz w:val="22"/>
                <w:szCs w:val="22"/>
                <w:highlight w:val="none"/>
                <w:lang w:val="en-US" w:eastAsia="zh-CN" w:bidi="ar-SA"/>
              </w:rPr>
            </w:pPr>
          </w:p>
        </w:tc>
        <w:tc>
          <w:tcPr>
            <w:tcW w:w="3111" w:type="dxa"/>
            <w:tcBorders>
              <w:top w:val="nil"/>
              <w:left w:val="nil"/>
              <w:bottom w:val="single" w:color="auto" w:sz="4" w:space="0"/>
              <w:right w:val="single" w:color="auto" w:sz="4" w:space="0"/>
            </w:tcBorders>
            <w:vAlign w:val="center"/>
          </w:tcPr>
          <w:p w14:paraId="18D001B3">
            <w:pPr>
              <w:widowControl/>
              <w:jc w:val="left"/>
              <w:rPr>
                <w:kern w:val="0"/>
                <w:sz w:val="22"/>
                <w:szCs w:val="22"/>
                <w:highlight w:val="none"/>
              </w:rPr>
            </w:pPr>
          </w:p>
        </w:tc>
        <w:tc>
          <w:tcPr>
            <w:tcW w:w="2025" w:type="dxa"/>
            <w:tcBorders>
              <w:top w:val="single" w:color="auto" w:sz="4" w:space="0"/>
              <w:left w:val="nil"/>
              <w:bottom w:val="single" w:color="auto" w:sz="4" w:space="0"/>
              <w:right w:val="single" w:color="auto" w:sz="4" w:space="0"/>
            </w:tcBorders>
            <w:vAlign w:val="center"/>
          </w:tcPr>
          <w:p w14:paraId="3B4B8E1F">
            <w:pPr>
              <w:widowControl/>
              <w:jc w:val="center"/>
              <w:rPr>
                <w:kern w:val="0"/>
                <w:sz w:val="22"/>
                <w:szCs w:val="22"/>
                <w:highlight w:val="none"/>
              </w:rPr>
            </w:pPr>
          </w:p>
        </w:tc>
      </w:tr>
      <w:tr w14:paraId="66C09819">
        <w:tblPrEx>
          <w:tblCellMar>
            <w:top w:w="0" w:type="dxa"/>
            <w:left w:w="108" w:type="dxa"/>
            <w:bottom w:w="0" w:type="dxa"/>
            <w:right w:w="108" w:type="dxa"/>
          </w:tblCellMar>
        </w:tblPrEx>
        <w:trPr>
          <w:trHeight w:val="688" w:hRule="atLeast"/>
          <w:jc w:val="center"/>
        </w:trPr>
        <w:tc>
          <w:tcPr>
            <w:tcW w:w="1013" w:type="dxa"/>
            <w:tcBorders>
              <w:top w:val="nil"/>
              <w:left w:val="single" w:color="auto" w:sz="4" w:space="0"/>
              <w:bottom w:val="single" w:color="auto" w:sz="4" w:space="0"/>
              <w:right w:val="single" w:color="auto" w:sz="4" w:space="0"/>
            </w:tcBorders>
            <w:vAlign w:val="center"/>
          </w:tcPr>
          <w:p w14:paraId="1599A4D0">
            <w:pPr>
              <w:widowControl/>
              <w:jc w:val="center"/>
              <w:rPr>
                <w:kern w:val="0"/>
                <w:sz w:val="22"/>
                <w:szCs w:val="22"/>
                <w:highlight w:val="none"/>
              </w:rPr>
            </w:pPr>
          </w:p>
        </w:tc>
        <w:tc>
          <w:tcPr>
            <w:tcW w:w="2877" w:type="dxa"/>
            <w:tcBorders>
              <w:top w:val="nil"/>
              <w:left w:val="nil"/>
              <w:bottom w:val="single" w:color="auto" w:sz="4" w:space="0"/>
              <w:right w:val="single" w:color="auto" w:sz="4" w:space="0"/>
            </w:tcBorders>
            <w:shd w:val="clear" w:color="auto" w:fill="auto"/>
            <w:vAlign w:val="center"/>
          </w:tcPr>
          <w:p w14:paraId="54634343">
            <w:pPr>
              <w:widowControl/>
              <w:ind w:firstLine="220" w:firstLineChars="100"/>
              <w:jc w:val="left"/>
              <w:rPr>
                <w:rFonts w:ascii="Times New Roman" w:hAnsi="Times New Roman" w:eastAsia="宋体" w:cs="Times New Roman"/>
                <w:kern w:val="0"/>
                <w:sz w:val="22"/>
                <w:szCs w:val="22"/>
                <w:highlight w:val="none"/>
                <w:lang w:val="en-US" w:eastAsia="zh-CN" w:bidi="ar-SA"/>
              </w:rPr>
            </w:pPr>
          </w:p>
        </w:tc>
        <w:tc>
          <w:tcPr>
            <w:tcW w:w="3111" w:type="dxa"/>
            <w:tcBorders>
              <w:top w:val="nil"/>
              <w:left w:val="nil"/>
              <w:bottom w:val="single" w:color="auto" w:sz="4" w:space="0"/>
              <w:right w:val="single" w:color="auto" w:sz="4" w:space="0"/>
            </w:tcBorders>
            <w:vAlign w:val="center"/>
          </w:tcPr>
          <w:p w14:paraId="60B8386C">
            <w:pPr>
              <w:widowControl/>
              <w:jc w:val="left"/>
              <w:rPr>
                <w:kern w:val="0"/>
                <w:sz w:val="22"/>
                <w:szCs w:val="22"/>
                <w:highlight w:val="none"/>
              </w:rPr>
            </w:pPr>
          </w:p>
        </w:tc>
        <w:tc>
          <w:tcPr>
            <w:tcW w:w="2025" w:type="dxa"/>
            <w:tcBorders>
              <w:top w:val="single" w:color="auto" w:sz="4" w:space="0"/>
              <w:left w:val="nil"/>
              <w:bottom w:val="single" w:color="auto" w:sz="4" w:space="0"/>
              <w:right w:val="single" w:color="auto" w:sz="4" w:space="0"/>
            </w:tcBorders>
            <w:vAlign w:val="center"/>
          </w:tcPr>
          <w:p w14:paraId="00EF24EA">
            <w:pPr>
              <w:widowControl/>
              <w:jc w:val="center"/>
              <w:rPr>
                <w:kern w:val="0"/>
                <w:sz w:val="22"/>
                <w:szCs w:val="22"/>
                <w:highlight w:val="none"/>
              </w:rPr>
            </w:pPr>
          </w:p>
        </w:tc>
      </w:tr>
      <w:tr w14:paraId="691C3BF8">
        <w:tblPrEx>
          <w:tblCellMar>
            <w:top w:w="0" w:type="dxa"/>
            <w:left w:w="108" w:type="dxa"/>
            <w:bottom w:w="0" w:type="dxa"/>
            <w:right w:w="108" w:type="dxa"/>
          </w:tblCellMar>
        </w:tblPrEx>
        <w:trPr>
          <w:trHeight w:val="688" w:hRule="atLeast"/>
          <w:jc w:val="center"/>
        </w:trPr>
        <w:tc>
          <w:tcPr>
            <w:tcW w:w="1013" w:type="dxa"/>
            <w:tcBorders>
              <w:top w:val="nil"/>
              <w:left w:val="single" w:color="auto" w:sz="4" w:space="0"/>
              <w:bottom w:val="single" w:color="auto" w:sz="4" w:space="0"/>
              <w:right w:val="single" w:color="auto" w:sz="4" w:space="0"/>
            </w:tcBorders>
            <w:vAlign w:val="center"/>
          </w:tcPr>
          <w:p w14:paraId="254127A4">
            <w:pPr>
              <w:widowControl/>
              <w:jc w:val="center"/>
              <w:rPr>
                <w:kern w:val="0"/>
                <w:sz w:val="22"/>
                <w:szCs w:val="22"/>
                <w:highlight w:val="none"/>
              </w:rPr>
            </w:pPr>
          </w:p>
        </w:tc>
        <w:tc>
          <w:tcPr>
            <w:tcW w:w="2877" w:type="dxa"/>
            <w:tcBorders>
              <w:top w:val="nil"/>
              <w:left w:val="nil"/>
              <w:bottom w:val="single" w:color="auto" w:sz="4" w:space="0"/>
              <w:right w:val="single" w:color="auto" w:sz="4" w:space="0"/>
            </w:tcBorders>
            <w:shd w:val="clear" w:color="auto" w:fill="auto"/>
            <w:vAlign w:val="center"/>
          </w:tcPr>
          <w:p w14:paraId="13821A5C">
            <w:pPr>
              <w:widowControl/>
              <w:ind w:firstLine="220" w:firstLineChars="100"/>
              <w:jc w:val="left"/>
              <w:rPr>
                <w:rFonts w:hint="eastAsia" w:ascii="Times New Roman" w:hAnsi="Times New Roman" w:eastAsia="宋体" w:cs="Times New Roman"/>
                <w:kern w:val="0"/>
                <w:sz w:val="22"/>
                <w:szCs w:val="22"/>
                <w:highlight w:val="none"/>
                <w:lang w:val="en-US" w:eastAsia="zh-CN" w:bidi="ar-SA"/>
              </w:rPr>
            </w:pPr>
          </w:p>
        </w:tc>
        <w:tc>
          <w:tcPr>
            <w:tcW w:w="3111" w:type="dxa"/>
            <w:tcBorders>
              <w:top w:val="nil"/>
              <w:left w:val="nil"/>
              <w:bottom w:val="single" w:color="auto" w:sz="4" w:space="0"/>
              <w:right w:val="single" w:color="auto" w:sz="4" w:space="0"/>
            </w:tcBorders>
            <w:vAlign w:val="center"/>
          </w:tcPr>
          <w:p w14:paraId="317506BD">
            <w:pPr>
              <w:widowControl/>
              <w:jc w:val="left"/>
              <w:rPr>
                <w:kern w:val="0"/>
                <w:sz w:val="22"/>
                <w:szCs w:val="22"/>
                <w:highlight w:val="none"/>
              </w:rPr>
            </w:pPr>
          </w:p>
        </w:tc>
        <w:tc>
          <w:tcPr>
            <w:tcW w:w="2025" w:type="dxa"/>
            <w:tcBorders>
              <w:top w:val="nil"/>
              <w:left w:val="nil"/>
              <w:bottom w:val="single" w:color="auto" w:sz="4" w:space="0"/>
              <w:right w:val="single" w:color="auto" w:sz="4" w:space="0"/>
            </w:tcBorders>
            <w:vAlign w:val="center"/>
          </w:tcPr>
          <w:p w14:paraId="44995282">
            <w:pPr>
              <w:widowControl/>
              <w:jc w:val="center"/>
              <w:rPr>
                <w:kern w:val="0"/>
                <w:sz w:val="22"/>
                <w:szCs w:val="22"/>
                <w:highlight w:val="none"/>
              </w:rPr>
            </w:pPr>
          </w:p>
        </w:tc>
      </w:tr>
      <w:tr w14:paraId="44539ECD">
        <w:tblPrEx>
          <w:tblCellMar>
            <w:top w:w="0" w:type="dxa"/>
            <w:left w:w="108" w:type="dxa"/>
            <w:bottom w:w="0" w:type="dxa"/>
            <w:right w:w="108" w:type="dxa"/>
          </w:tblCellMar>
        </w:tblPrEx>
        <w:trPr>
          <w:trHeight w:val="688" w:hRule="atLeast"/>
          <w:jc w:val="center"/>
        </w:trPr>
        <w:tc>
          <w:tcPr>
            <w:tcW w:w="1013" w:type="dxa"/>
            <w:tcBorders>
              <w:top w:val="nil"/>
              <w:left w:val="single" w:color="auto" w:sz="4" w:space="0"/>
              <w:bottom w:val="single" w:color="auto" w:sz="4" w:space="0"/>
              <w:right w:val="single" w:color="auto" w:sz="4" w:space="0"/>
            </w:tcBorders>
            <w:vAlign w:val="center"/>
          </w:tcPr>
          <w:p w14:paraId="156A46BD">
            <w:pPr>
              <w:widowControl/>
              <w:jc w:val="center"/>
              <w:rPr>
                <w:kern w:val="0"/>
                <w:sz w:val="22"/>
                <w:szCs w:val="22"/>
                <w:highlight w:val="none"/>
              </w:rPr>
            </w:pPr>
          </w:p>
        </w:tc>
        <w:tc>
          <w:tcPr>
            <w:tcW w:w="2877" w:type="dxa"/>
            <w:tcBorders>
              <w:top w:val="nil"/>
              <w:left w:val="nil"/>
              <w:bottom w:val="single" w:color="auto" w:sz="4" w:space="0"/>
              <w:right w:val="single" w:color="auto" w:sz="4" w:space="0"/>
            </w:tcBorders>
            <w:shd w:val="clear" w:color="auto" w:fill="auto"/>
            <w:vAlign w:val="center"/>
          </w:tcPr>
          <w:p w14:paraId="156124A9">
            <w:pPr>
              <w:widowControl/>
              <w:spacing w:before="123"/>
              <w:ind w:left="0" w:leftChars="0" w:firstLine="220" w:firstLineChars="100"/>
              <w:jc w:val="both"/>
              <w:rPr>
                <w:rFonts w:ascii="Times New Roman" w:hAnsi="Times New Roman" w:eastAsia="宋体" w:cs="Times New Roman"/>
                <w:kern w:val="0"/>
                <w:sz w:val="22"/>
                <w:szCs w:val="22"/>
                <w:highlight w:val="none"/>
                <w:lang w:val="en-US" w:eastAsia="zh-CN" w:bidi="ar-SA"/>
              </w:rPr>
            </w:pPr>
          </w:p>
        </w:tc>
        <w:tc>
          <w:tcPr>
            <w:tcW w:w="3111" w:type="dxa"/>
            <w:tcBorders>
              <w:top w:val="nil"/>
              <w:left w:val="nil"/>
              <w:bottom w:val="single" w:color="auto" w:sz="4" w:space="0"/>
              <w:right w:val="single" w:color="auto" w:sz="4" w:space="0"/>
            </w:tcBorders>
            <w:vAlign w:val="center"/>
          </w:tcPr>
          <w:p w14:paraId="24B66FA3">
            <w:pPr>
              <w:widowControl/>
              <w:jc w:val="left"/>
              <w:rPr>
                <w:kern w:val="0"/>
                <w:sz w:val="22"/>
                <w:szCs w:val="22"/>
                <w:highlight w:val="none"/>
              </w:rPr>
            </w:pPr>
          </w:p>
        </w:tc>
        <w:tc>
          <w:tcPr>
            <w:tcW w:w="2025" w:type="dxa"/>
            <w:tcBorders>
              <w:top w:val="nil"/>
              <w:left w:val="nil"/>
              <w:bottom w:val="single" w:color="auto" w:sz="4" w:space="0"/>
              <w:right w:val="single" w:color="auto" w:sz="4" w:space="0"/>
            </w:tcBorders>
            <w:vAlign w:val="center"/>
          </w:tcPr>
          <w:p w14:paraId="1AD4C08A">
            <w:pPr>
              <w:widowControl/>
              <w:jc w:val="left"/>
              <w:rPr>
                <w:kern w:val="0"/>
                <w:sz w:val="22"/>
                <w:szCs w:val="22"/>
                <w:highlight w:val="none"/>
              </w:rPr>
            </w:pPr>
          </w:p>
        </w:tc>
      </w:tr>
      <w:tr w14:paraId="7C33F5C8">
        <w:tblPrEx>
          <w:tblCellMar>
            <w:top w:w="0" w:type="dxa"/>
            <w:left w:w="108" w:type="dxa"/>
            <w:bottom w:w="0" w:type="dxa"/>
            <w:right w:w="108" w:type="dxa"/>
          </w:tblCellMar>
        </w:tblPrEx>
        <w:trPr>
          <w:trHeight w:val="688" w:hRule="atLeast"/>
          <w:jc w:val="center"/>
        </w:trPr>
        <w:tc>
          <w:tcPr>
            <w:tcW w:w="1013" w:type="dxa"/>
            <w:tcBorders>
              <w:top w:val="nil"/>
              <w:left w:val="single" w:color="auto" w:sz="4" w:space="0"/>
              <w:bottom w:val="single" w:color="auto" w:sz="4" w:space="0"/>
              <w:right w:val="single" w:color="auto" w:sz="4" w:space="0"/>
            </w:tcBorders>
            <w:vAlign w:val="center"/>
          </w:tcPr>
          <w:p w14:paraId="68B7C6C1">
            <w:pPr>
              <w:widowControl/>
              <w:jc w:val="center"/>
              <w:rPr>
                <w:kern w:val="0"/>
                <w:sz w:val="22"/>
                <w:szCs w:val="22"/>
                <w:highlight w:val="none"/>
              </w:rPr>
            </w:pPr>
          </w:p>
        </w:tc>
        <w:tc>
          <w:tcPr>
            <w:tcW w:w="2877" w:type="dxa"/>
            <w:tcBorders>
              <w:top w:val="nil"/>
              <w:left w:val="nil"/>
              <w:bottom w:val="single" w:color="auto" w:sz="4" w:space="0"/>
              <w:right w:val="single" w:color="auto" w:sz="4" w:space="0"/>
            </w:tcBorders>
            <w:vAlign w:val="center"/>
          </w:tcPr>
          <w:p w14:paraId="1D2CD8DD">
            <w:pPr>
              <w:widowControl/>
              <w:jc w:val="left"/>
              <w:rPr>
                <w:kern w:val="0"/>
                <w:sz w:val="22"/>
                <w:szCs w:val="22"/>
                <w:highlight w:val="none"/>
              </w:rPr>
            </w:pPr>
          </w:p>
        </w:tc>
        <w:tc>
          <w:tcPr>
            <w:tcW w:w="3111" w:type="dxa"/>
            <w:tcBorders>
              <w:top w:val="nil"/>
              <w:left w:val="nil"/>
              <w:bottom w:val="single" w:color="auto" w:sz="4" w:space="0"/>
              <w:right w:val="single" w:color="auto" w:sz="4" w:space="0"/>
            </w:tcBorders>
            <w:vAlign w:val="center"/>
          </w:tcPr>
          <w:p w14:paraId="1D06CE59">
            <w:pPr>
              <w:widowControl/>
              <w:jc w:val="left"/>
              <w:rPr>
                <w:kern w:val="0"/>
                <w:sz w:val="22"/>
                <w:szCs w:val="22"/>
                <w:highlight w:val="none"/>
              </w:rPr>
            </w:pPr>
          </w:p>
        </w:tc>
        <w:tc>
          <w:tcPr>
            <w:tcW w:w="2025" w:type="dxa"/>
            <w:tcBorders>
              <w:top w:val="nil"/>
              <w:left w:val="nil"/>
              <w:bottom w:val="single" w:color="auto" w:sz="4" w:space="0"/>
              <w:right w:val="single" w:color="auto" w:sz="4" w:space="0"/>
            </w:tcBorders>
            <w:vAlign w:val="center"/>
          </w:tcPr>
          <w:p w14:paraId="6827B2DD">
            <w:pPr>
              <w:widowControl/>
              <w:jc w:val="left"/>
              <w:rPr>
                <w:kern w:val="0"/>
                <w:sz w:val="22"/>
                <w:szCs w:val="22"/>
                <w:highlight w:val="none"/>
              </w:rPr>
            </w:pPr>
          </w:p>
        </w:tc>
      </w:tr>
      <w:tr w14:paraId="70791B24">
        <w:tblPrEx>
          <w:tblCellMar>
            <w:top w:w="0" w:type="dxa"/>
            <w:left w:w="108" w:type="dxa"/>
            <w:bottom w:w="0" w:type="dxa"/>
            <w:right w:w="108" w:type="dxa"/>
          </w:tblCellMar>
        </w:tblPrEx>
        <w:trPr>
          <w:trHeight w:val="688" w:hRule="atLeast"/>
          <w:jc w:val="center"/>
        </w:trPr>
        <w:tc>
          <w:tcPr>
            <w:tcW w:w="1013" w:type="dxa"/>
            <w:tcBorders>
              <w:top w:val="nil"/>
              <w:left w:val="single" w:color="auto" w:sz="4" w:space="0"/>
              <w:bottom w:val="single" w:color="auto" w:sz="4" w:space="0"/>
              <w:right w:val="single" w:color="auto" w:sz="4" w:space="0"/>
            </w:tcBorders>
            <w:vAlign w:val="center"/>
          </w:tcPr>
          <w:p w14:paraId="5AEA2366">
            <w:pPr>
              <w:widowControl/>
              <w:jc w:val="center"/>
              <w:rPr>
                <w:kern w:val="0"/>
                <w:sz w:val="22"/>
                <w:szCs w:val="22"/>
                <w:highlight w:val="none"/>
              </w:rPr>
            </w:pPr>
          </w:p>
        </w:tc>
        <w:tc>
          <w:tcPr>
            <w:tcW w:w="2877" w:type="dxa"/>
            <w:tcBorders>
              <w:top w:val="nil"/>
              <w:left w:val="nil"/>
              <w:bottom w:val="single" w:color="auto" w:sz="4" w:space="0"/>
              <w:right w:val="single" w:color="auto" w:sz="4" w:space="0"/>
            </w:tcBorders>
            <w:vAlign w:val="center"/>
          </w:tcPr>
          <w:p w14:paraId="40CFF8EE">
            <w:pPr>
              <w:widowControl/>
              <w:jc w:val="left"/>
              <w:rPr>
                <w:kern w:val="0"/>
                <w:sz w:val="22"/>
                <w:szCs w:val="22"/>
                <w:highlight w:val="none"/>
              </w:rPr>
            </w:pPr>
          </w:p>
        </w:tc>
        <w:tc>
          <w:tcPr>
            <w:tcW w:w="3111" w:type="dxa"/>
            <w:tcBorders>
              <w:top w:val="nil"/>
              <w:left w:val="nil"/>
              <w:bottom w:val="single" w:color="auto" w:sz="4" w:space="0"/>
              <w:right w:val="single" w:color="auto" w:sz="4" w:space="0"/>
            </w:tcBorders>
            <w:vAlign w:val="center"/>
          </w:tcPr>
          <w:p w14:paraId="708CFAA9">
            <w:pPr>
              <w:widowControl/>
              <w:jc w:val="left"/>
              <w:rPr>
                <w:kern w:val="0"/>
                <w:sz w:val="22"/>
                <w:szCs w:val="22"/>
                <w:highlight w:val="none"/>
              </w:rPr>
            </w:pPr>
          </w:p>
        </w:tc>
        <w:tc>
          <w:tcPr>
            <w:tcW w:w="2025" w:type="dxa"/>
            <w:tcBorders>
              <w:top w:val="nil"/>
              <w:left w:val="nil"/>
              <w:bottom w:val="single" w:color="auto" w:sz="4" w:space="0"/>
              <w:right w:val="single" w:color="auto" w:sz="4" w:space="0"/>
            </w:tcBorders>
            <w:vAlign w:val="center"/>
          </w:tcPr>
          <w:p w14:paraId="606F5D6E">
            <w:pPr>
              <w:widowControl/>
              <w:jc w:val="left"/>
              <w:rPr>
                <w:kern w:val="0"/>
                <w:sz w:val="22"/>
                <w:szCs w:val="22"/>
                <w:highlight w:val="none"/>
              </w:rPr>
            </w:pPr>
          </w:p>
        </w:tc>
      </w:tr>
      <w:tr w14:paraId="4EC6EB33">
        <w:tblPrEx>
          <w:tblCellMar>
            <w:top w:w="0" w:type="dxa"/>
            <w:left w:w="108" w:type="dxa"/>
            <w:bottom w:w="0" w:type="dxa"/>
            <w:right w:w="108" w:type="dxa"/>
          </w:tblCellMar>
        </w:tblPrEx>
        <w:trPr>
          <w:trHeight w:val="688" w:hRule="atLeast"/>
          <w:jc w:val="center"/>
        </w:trPr>
        <w:tc>
          <w:tcPr>
            <w:tcW w:w="1013" w:type="dxa"/>
            <w:tcBorders>
              <w:top w:val="nil"/>
              <w:left w:val="single" w:color="auto" w:sz="4" w:space="0"/>
              <w:bottom w:val="single" w:color="auto" w:sz="4" w:space="0"/>
              <w:right w:val="single" w:color="auto" w:sz="4" w:space="0"/>
            </w:tcBorders>
            <w:vAlign w:val="center"/>
          </w:tcPr>
          <w:p w14:paraId="366CE3EA">
            <w:pPr>
              <w:widowControl/>
              <w:jc w:val="center"/>
              <w:rPr>
                <w:kern w:val="0"/>
                <w:sz w:val="22"/>
                <w:szCs w:val="22"/>
                <w:highlight w:val="none"/>
              </w:rPr>
            </w:pPr>
          </w:p>
        </w:tc>
        <w:tc>
          <w:tcPr>
            <w:tcW w:w="2877" w:type="dxa"/>
            <w:tcBorders>
              <w:top w:val="nil"/>
              <w:left w:val="nil"/>
              <w:bottom w:val="single" w:color="auto" w:sz="4" w:space="0"/>
              <w:right w:val="single" w:color="auto" w:sz="4" w:space="0"/>
            </w:tcBorders>
            <w:vAlign w:val="center"/>
          </w:tcPr>
          <w:p w14:paraId="03E1CD6E">
            <w:pPr>
              <w:widowControl/>
              <w:jc w:val="left"/>
              <w:rPr>
                <w:kern w:val="0"/>
                <w:sz w:val="22"/>
                <w:szCs w:val="22"/>
                <w:highlight w:val="none"/>
              </w:rPr>
            </w:pPr>
          </w:p>
        </w:tc>
        <w:tc>
          <w:tcPr>
            <w:tcW w:w="3111" w:type="dxa"/>
            <w:tcBorders>
              <w:top w:val="nil"/>
              <w:left w:val="nil"/>
              <w:bottom w:val="single" w:color="auto" w:sz="4" w:space="0"/>
              <w:right w:val="single" w:color="auto" w:sz="4" w:space="0"/>
            </w:tcBorders>
            <w:vAlign w:val="center"/>
          </w:tcPr>
          <w:p w14:paraId="7E54FA40">
            <w:pPr>
              <w:widowControl/>
              <w:jc w:val="left"/>
              <w:rPr>
                <w:kern w:val="0"/>
                <w:sz w:val="22"/>
                <w:szCs w:val="22"/>
                <w:highlight w:val="none"/>
              </w:rPr>
            </w:pPr>
          </w:p>
        </w:tc>
        <w:tc>
          <w:tcPr>
            <w:tcW w:w="2025" w:type="dxa"/>
            <w:tcBorders>
              <w:top w:val="nil"/>
              <w:left w:val="nil"/>
              <w:bottom w:val="single" w:color="auto" w:sz="4" w:space="0"/>
              <w:right w:val="single" w:color="auto" w:sz="4" w:space="0"/>
            </w:tcBorders>
            <w:vAlign w:val="center"/>
          </w:tcPr>
          <w:p w14:paraId="0536030B">
            <w:pPr>
              <w:widowControl/>
              <w:jc w:val="left"/>
              <w:rPr>
                <w:kern w:val="0"/>
                <w:sz w:val="22"/>
                <w:szCs w:val="22"/>
                <w:highlight w:val="none"/>
              </w:rPr>
            </w:pPr>
          </w:p>
        </w:tc>
      </w:tr>
      <w:tr w14:paraId="03DFEEC8">
        <w:tblPrEx>
          <w:tblCellMar>
            <w:top w:w="0" w:type="dxa"/>
            <w:left w:w="108" w:type="dxa"/>
            <w:bottom w:w="0" w:type="dxa"/>
            <w:right w:w="108" w:type="dxa"/>
          </w:tblCellMar>
        </w:tblPrEx>
        <w:trPr>
          <w:trHeight w:val="688" w:hRule="atLeast"/>
          <w:jc w:val="center"/>
        </w:trPr>
        <w:tc>
          <w:tcPr>
            <w:tcW w:w="1013" w:type="dxa"/>
            <w:tcBorders>
              <w:top w:val="nil"/>
              <w:left w:val="single" w:color="auto" w:sz="4" w:space="0"/>
              <w:bottom w:val="single" w:color="auto" w:sz="4" w:space="0"/>
              <w:right w:val="single" w:color="auto" w:sz="4" w:space="0"/>
            </w:tcBorders>
            <w:vAlign w:val="center"/>
          </w:tcPr>
          <w:p w14:paraId="171E5DF1">
            <w:pPr>
              <w:widowControl/>
              <w:jc w:val="center"/>
              <w:rPr>
                <w:kern w:val="0"/>
                <w:sz w:val="22"/>
                <w:szCs w:val="22"/>
                <w:highlight w:val="none"/>
              </w:rPr>
            </w:pPr>
          </w:p>
        </w:tc>
        <w:tc>
          <w:tcPr>
            <w:tcW w:w="2877" w:type="dxa"/>
            <w:tcBorders>
              <w:top w:val="nil"/>
              <w:left w:val="nil"/>
              <w:bottom w:val="single" w:color="auto" w:sz="4" w:space="0"/>
              <w:right w:val="single" w:color="auto" w:sz="4" w:space="0"/>
            </w:tcBorders>
            <w:vAlign w:val="center"/>
          </w:tcPr>
          <w:p w14:paraId="1829B02A">
            <w:pPr>
              <w:widowControl/>
              <w:jc w:val="left"/>
              <w:rPr>
                <w:kern w:val="0"/>
                <w:sz w:val="22"/>
                <w:szCs w:val="22"/>
                <w:highlight w:val="none"/>
              </w:rPr>
            </w:pPr>
          </w:p>
        </w:tc>
        <w:tc>
          <w:tcPr>
            <w:tcW w:w="3111" w:type="dxa"/>
            <w:tcBorders>
              <w:top w:val="nil"/>
              <w:left w:val="nil"/>
              <w:bottom w:val="single" w:color="auto" w:sz="4" w:space="0"/>
              <w:right w:val="single" w:color="auto" w:sz="4" w:space="0"/>
            </w:tcBorders>
            <w:vAlign w:val="center"/>
          </w:tcPr>
          <w:p w14:paraId="40F70774">
            <w:pPr>
              <w:widowControl/>
              <w:jc w:val="left"/>
              <w:rPr>
                <w:kern w:val="0"/>
                <w:sz w:val="22"/>
                <w:szCs w:val="22"/>
                <w:highlight w:val="none"/>
              </w:rPr>
            </w:pPr>
          </w:p>
        </w:tc>
        <w:tc>
          <w:tcPr>
            <w:tcW w:w="2025" w:type="dxa"/>
            <w:tcBorders>
              <w:top w:val="nil"/>
              <w:left w:val="nil"/>
              <w:bottom w:val="single" w:color="auto" w:sz="4" w:space="0"/>
              <w:right w:val="single" w:color="auto" w:sz="4" w:space="0"/>
            </w:tcBorders>
            <w:vAlign w:val="center"/>
          </w:tcPr>
          <w:p w14:paraId="5974A929">
            <w:pPr>
              <w:widowControl/>
              <w:jc w:val="left"/>
              <w:rPr>
                <w:kern w:val="0"/>
                <w:sz w:val="22"/>
                <w:szCs w:val="22"/>
                <w:highlight w:val="none"/>
              </w:rPr>
            </w:pPr>
          </w:p>
        </w:tc>
      </w:tr>
      <w:tr w14:paraId="13FE8BAD">
        <w:tblPrEx>
          <w:tblCellMar>
            <w:top w:w="0" w:type="dxa"/>
            <w:left w:w="108" w:type="dxa"/>
            <w:bottom w:w="0" w:type="dxa"/>
            <w:right w:w="108" w:type="dxa"/>
          </w:tblCellMar>
        </w:tblPrEx>
        <w:trPr>
          <w:trHeight w:val="688" w:hRule="atLeast"/>
          <w:jc w:val="center"/>
        </w:trPr>
        <w:tc>
          <w:tcPr>
            <w:tcW w:w="1013" w:type="dxa"/>
            <w:tcBorders>
              <w:top w:val="nil"/>
              <w:left w:val="single" w:color="auto" w:sz="4" w:space="0"/>
              <w:bottom w:val="single" w:color="auto" w:sz="4" w:space="0"/>
              <w:right w:val="single" w:color="auto" w:sz="4" w:space="0"/>
            </w:tcBorders>
            <w:vAlign w:val="center"/>
          </w:tcPr>
          <w:p w14:paraId="24884FB4">
            <w:pPr>
              <w:widowControl/>
              <w:jc w:val="center"/>
              <w:rPr>
                <w:kern w:val="0"/>
                <w:sz w:val="22"/>
                <w:szCs w:val="22"/>
                <w:highlight w:val="none"/>
              </w:rPr>
            </w:pPr>
          </w:p>
        </w:tc>
        <w:tc>
          <w:tcPr>
            <w:tcW w:w="2877" w:type="dxa"/>
            <w:tcBorders>
              <w:top w:val="nil"/>
              <w:left w:val="nil"/>
              <w:bottom w:val="single" w:color="auto" w:sz="4" w:space="0"/>
              <w:right w:val="single" w:color="auto" w:sz="4" w:space="0"/>
            </w:tcBorders>
            <w:vAlign w:val="center"/>
          </w:tcPr>
          <w:p w14:paraId="7A6236CC">
            <w:pPr>
              <w:widowControl/>
              <w:jc w:val="left"/>
              <w:rPr>
                <w:kern w:val="0"/>
                <w:sz w:val="22"/>
                <w:szCs w:val="22"/>
                <w:highlight w:val="none"/>
              </w:rPr>
            </w:pPr>
          </w:p>
        </w:tc>
        <w:tc>
          <w:tcPr>
            <w:tcW w:w="3111" w:type="dxa"/>
            <w:tcBorders>
              <w:top w:val="nil"/>
              <w:left w:val="nil"/>
              <w:bottom w:val="single" w:color="auto" w:sz="4" w:space="0"/>
              <w:right w:val="single" w:color="auto" w:sz="4" w:space="0"/>
            </w:tcBorders>
            <w:vAlign w:val="center"/>
          </w:tcPr>
          <w:p w14:paraId="2DABBC39">
            <w:pPr>
              <w:widowControl/>
              <w:jc w:val="left"/>
              <w:rPr>
                <w:kern w:val="0"/>
                <w:sz w:val="22"/>
                <w:szCs w:val="22"/>
                <w:highlight w:val="none"/>
              </w:rPr>
            </w:pPr>
          </w:p>
        </w:tc>
        <w:tc>
          <w:tcPr>
            <w:tcW w:w="2025" w:type="dxa"/>
            <w:tcBorders>
              <w:top w:val="nil"/>
              <w:left w:val="nil"/>
              <w:bottom w:val="single" w:color="auto" w:sz="4" w:space="0"/>
              <w:right w:val="single" w:color="auto" w:sz="4" w:space="0"/>
            </w:tcBorders>
            <w:vAlign w:val="center"/>
          </w:tcPr>
          <w:p w14:paraId="7392C11E">
            <w:pPr>
              <w:widowControl/>
              <w:jc w:val="left"/>
              <w:rPr>
                <w:kern w:val="0"/>
                <w:sz w:val="22"/>
                <w:szCs w:val="22"/>
                <w:highlight w:val="none"/>
              </w:rPr>
            </w:pPr>
          </w:p>
        </w:tc>
      </w:tr>
      <w:tr w14:paraId="488BB886">
        <w:tblPrEx>
          <w:tblCellMar>
            <w:top w:w="0" w:type="dxa"/>
            <w:left w:w="108" w:type="dxa"/>
            <w:bottom w:w="0" w:type="dxa"/>
            <w:right w:w="108" w:type="dxa"/>
          </w:tblCellMar>
        </w:tblPrEx>
        <w:trPr>
          <w:trHeight w:val="688" w:hRule="atLeast"/>
          <w:jc w:val="center"/>
        </w:trPr>
        <w:tc>
          <w:tcPr>
            <w:tcW w:w="3890" w:type="dxa"/>
            <w:gridSpan w:val="2"/>
            <w:tcBorders>
              <w:top w:val="single" w:color="auto" w:sz="4" w:space="0"/>
              <w:left w:val="single" w:color="auto" w:sz="4" w:space="0"/>
              <w:bottom w:val="single" w:color="auto" w:sz="4" w:space="0"/>
              <w:right w:val="nil"/>
            </w:tcBorders>
            <w:vAlign w:val="center"/>
          </w:tcPr>
          <w:p w14:paraId="4398B412">
            <w:pPr>
              <w:widowControl/>
              <w:jc w:val="center"/>
              <w:rPr>
                <w:kern w:val="0"/>
                <w:sz w:val="22"/>
                <w:szCs w:val="22"/>
                <w:highlight w:val="none"/>
              </w:rPr>
            </w:pPr>
            <w:r>
              <w:rPr>
                <w:kern w:val="0"/>
                <w:sz w:val="21"/>
                <w:szCs w:val="21"/>
                <w:highlight w:val="none"/>
              </w:rPr>
              <w:t>合计</w:t>
            </w:r>
          </w:p>
        </w:tc>
        <w:tc>
          <w:tcPr>
            <w:tcW w:w="3111" w:type="dxa"/>
            <w:tcBorders>
              <w:top w:val="nil"/>
              <w:left w:val="single" w:color="auto" w:sz="4" w:space="0"/>
              <w:bottom w:val="single" w:color="auto" w:sz="4" w:space="0"/>
              <w:right w:val="single" w:color="auto" w:sz="4" w:space="0"/>
            </w:tcBorders>
            <w:vAlign w:val="center"/>
          </w:tcPr>
          <w:p w14:paraId="29DE3624">
            <w:pPr>
              <w:widowControl/>
              <w:jc w:val="left"/>
              <w:rPr>
                <w:kern w:val="0"/>
                <w:sz w:val="22"/>
                <w:szCs w:val="22"/>
                <w:highlight w:val="none"/>
              </w:rPr>
            </w:pPr>
            <w:r>
              <w:rPr>
                <w:kern w:val="0"/>
                <w:sz w:val="22"/>
                <w:szCs w:val="22"/>
                <w:highlight w:val="none"/>
              </w:rPr>
              <w:t>　</w:t>
            </w:r>
          </w:p>
        </w:tc>
        <w:tc>
          <w:tcPr>
            <w:tcW w:w="2025" w:type="dxa"/>
            <w:tcBorders>
              <w:top w:val="nil"/>
              <w:left w:val="nil"/>
              <w:bottom w:val="single" w:color="auto" w:sz="4" w:space="0"/>
              <w:right w:val="single" w:color="auto" w:sz="4" w:space="0"/>
            </w:tcBorders>
            <w:vAlign w:val="center"/>
          </w:tcPr>
          <w:p w14:paraId="15789FF4">
            <w:pPr>
              <w:widowControl/>
              <w:jc w:val="center"/>
              <w:rPr>
                <w:kern w:val="0"/>
                <w:sz w:val="22"/>
                <w:szCs w:val="22"/>
                <w:highlight w:val="none"/>
              </w:rPr>
            </w:pPr>
            <w:r>
              <w:rPr>
                <w:kern w:val="0"/>
                <w:sz w:val="22"/>
                <w:szCs w:val="22"/>
                <w:highlight w:val="none"/>
              </w:rPr>
              <w:t>-</w:t>
            </w:r>
          </w:p>
        </w:tc>
      </w:tr>
      <w:tr w14:paraId="1E2E8261">
        <w:tblPrEx>
          <w:tblCellMar>
            <w:top w:w="0" w:type="dxa"/>
            <w:left w:w="108" w:type="dxa"/>
            <w:bottom w:w="0" w:type="dxa"/>
            <w:right w:w="108" w:type="dxa"/>
          </w:tblCellMar>
        </w:tblPrEx>
        <w:trPr>
          <w:trHeight w:val="419" w:hRule="atLeast"/>
          <w:jc w:val="center"/>
        </w:trPr>
        <w:tc>
          <w:tcPr>
            <w:tcW w:w="9026" w:type="dxa"/>
            <w:gridSpan w:val="4"/>
            <w:tcBorders>
              <w:top w:val="single" w:color="auto" w:sz="4" w:space="0"/>
              <w:left w:val="nil"/>
              <w:right w:val="nil"/>
            </w:tcBorders>
            <w:vAlign w:val="center"/>
          </w:tcPr>
          <w:p w14:paraId="67B87C2D">
            <w:pPr>
              <w:widowControl/>
              <w:jc w:val="left"/>
              <w:rPr>
                <w:kern w:val="0"/>
                <w:sz w:val="18"/>
                <w:szCs w:val="18"/>
                <w:highlight w:val="none"/>
              </w:rPr>
            </w:pPr>
          </w:p>
          <w:p w14:paraId="0A0A3CA4">
            <w:pPr>
              <w:widowControl/>
              <w:jc w:val="left"/>
              <w:rPr>
                <w:kern w:val="0"/>
                <w:sz w:val="18"/>
                <w:szCs w:val="18"/>
                <w:highlight w:val="none"/>
              </w:rPr>
            </w:pPr>
          </w:p>
        </w:tc>
      </w:tr>
    </w:tbl>
    <w:p w14:paraId="000FF34A">
      <w:pPr>
        <w:jc w:val="center"/>
        <w:outlineLvl w:val="2"/>
        <w:rPr>
          <w:szCs w:val="21"/>
          <w:highlight w:val="none"/>
        </w:rPr>
      </w:pPr>
      <w:r>
        <w:rPr>
          <w:rFonts w:hint="eastAsia"/>
          <w:b w:val="0"/>
          <w:bCs w:val="0"/>
          <w:kern w:val="0"/>
          <w:sz w:val="28"/>
          <w:szCs w:val="28"/>
          <w:highlight w:val="none"/>
        </w:rPr>
        <w:t>增值税计价</w:t>
      </w:r>
      <w:r>
        <w:rPr>
          <w:b w:val="0"/>
          <w:bCs w:val="0"/>
          <w:kern w:val="0"/>
          <w:sz w:val="28"/>
          <w:szCs w:val="28"/>
          <w:highlight w:val="none"/>
        </w:rPr>
        <w:t>表</w:t>
      </w:r>
    </w:p>
    <w:tbl>
      <w:tblPr>
        <w:tblStyle w:val="41"/>
        <w:tblW w:w="8849" w:type="dxa"/>
        <w:jc w:val="center"/>
        <w:tblLayout w:type="fixed"/>
        <w:tblCellMar>
          <w:top w:w="0" w:type="dxa"/>
          <w:left w:w="108" w:type="dxa"/>
          <w:bottom w:w="0" w:type="dxa"/>
          <w:right w:w="108" w:type="dxa"/>
        </w:tblCellMar>
      </w:tblPr>
      <w:tblGrid>
        <w:gridCol w:w="853"/>
        <w:gridCol w:w="2701"/>
        <w:gridCol w:w="1598"/>
        <w:gridCol w:w="1209"/>
        <w:gridCol w:w="1066"/>
        <w:gridCol w:w="1422"/>
      </w:tblGrid>
      <w:tr w14:paraId="31747B0B">
        <w:tblPrEx>
          <w:tblCellMar>
            <w:top w:w="0" w:type="dxa"/>
            <w:left w:w="108" w:type="dxa"/>
            <w:bottom w:w="0" w:type="dxa"/>
            <w:right w:w="108" w:type="dxa"/>
          </w:tblCellMar>
        </w:tblPrEx>
        <w:trPr>
          <w:trHeight w:val="493" w:hRule="atLeast"/>
          <w:jc w:val="center"/>
        </w:trPr>
        <w:tc>
          <w:tcPr>
            <w:tcW w:w="853" w:type="dxa"/>
            <w:tcBorders>
              <w:top w:val="nil"/>
              <w:left w:val="nil"/>
              <w:bottom w:val="nil"/>
              <w:right w:val="nil"/>
            </w:tcBorders>
            <w:vAlign w:val="bottom"/>
          </w:tcPr>
          <w:p w14:paraId="31F5291C">
            <w:pPr>
              <w:widowControl/>
              <w:jc w:val="left"/>
              <w:rPr>
                <w:kern w:val="0"/>
                <w:sz w:val="24"/>
                <w:highlight w:val="none"/>
              </w:rPr>
            </w:pPr>
          </w:p>
        </w:tc>
        <w:tc>
          <w:tcPr>
            <w:tcW w:w="2701" w:type="dxa"/>
            <w:tcBorders>
              <w:top w:val="nil"/>
              <w:left w:val="nil"/>
              <w:bottom w:val="nil"/>
              <w:right w:val="nil"/>
            </w:tcBorders>
            <w:vAlign w:val="bottom"/>
          </w:tcPr>
          <w:p w14:paraId="0FC411CB">
            <w:pPr>
              <w:widowControl/>
              <w:jc w:val="left"/>
              <w:rPr>
                <w:kern w:val="0"/>
                <w:sz w:val="24"/>
                <w:highlight w:val="none"/>
              </w:rPr>
            </w:pPr>
          </w:p>
        </w:tc>
        <w:tc>
          <w:tcPr>
            <w:tcW w:w="2807" w:type="dxa"/>
            <w:gridSpan w:val="2"/>
            <w:tcBorders>
              <w:top w:val="nil"/>
              <w:left w:val="nil"/>
              <w:bottom w:val="nil"/>
              <w:right w:val="nil"/>
            </w:tcBorders>
            <w:vAlign w:val="bottom"/>
          </w:tcPr>
          <w:p w14:paraId="00495566">
            <w:pPr>
              <w:widowControl/>
              <w:jc w:val="left"/>
              <w:rPr>
                <w:kern w:val="0"/>
                <w:sz w:val="24"/>
                <w:highlight w:val="none"/>
              </w:rPr>
            </w:pPr>
          </w:p>
        </w:tc>
        <w:tc>
          <w:tcPr>
            <w:tcW w:w="1066" w:type="dxa"/>
            <w:tcBorders>
              <w:top w:val="nil"/>
              <w:left w:val="nil"/>
              <w:bottom w:val="nil"/>
              <w:right w:val="nil"/>
            </w:tcBorders>
            <w:vAlign w:val="bottom"/>
          </w:tcPr>
          <w:p w14:paraId="12C07C12">
            <w:pPr>
              <w:widowControl/>
              <w:jc w:val="left"/>
              <w:rPr>
                <w:kern w:val="0"/>
                <w:sz w:val="24"/>
                <w:highlight w:val="none"/>
              </w:rPr>
            </w:pPr>
          </w:p>
        </w:tc>
        <w:tc>
          <w:tcPr>
            <w:tcW w:w="1422" w:type="dxa"/>
            <w:tcBorders>
              <w:top w:val="nil"/>
              <w:left w:val="nil"/>
              <w:bottom w:val="nil"/>
              <w:right w:val="nil"/>
            </w:tcBorders>
            <w:vAlign w:val="bottom"/>
          </w:tcPr>
          <w:p w14:paraId="321F61A7">
            <w:pPr>
              <w:widowControl/>
              <w:jc w:val="left"/>
              <w:rPr>
                <w:kern w:val="0"/>
                <w:sz w:val="24"/>
                <w:highlight w:val="none"/>
              </w:rPr>
            </w:pPr>
          </w:p>
        </w:tc>
      </w:tr>
      <w:tr w14:paraId="73978B48">
        <w:tblPrEx>
          <w:tblCellMar>
            <w:top w:w="0" w:type="dxa"/>
            <w:left w:w="108" w:type="dxa"/>
            <w:bottom w:w="0" w:type="dxa"/>
            <w:right w:w="108" w:type="dxa"/>
          </w:tblCellMar>
        </w:tblPrEx>
        <w:trPr>
          <w:trHeight w:val="493" w:hRule="atLeast"/>
          <w:jc w:val="center"/>
        </w:trPr>
        <w:tc>
          <w:tcPr>
            <w:tcW w:w="6361" w:type="dxa"/>
            <w:gridSpan w:val="4"/>
            <w:tcBorders>
              <w:top w:val="nil"/>
              <w:left w:val="nil"/>
              <w:bottom w:val="single" w:color="auto" w:sz="4" w:space="0"/>
              <w:right w:val="nil"/>
            </w:tcBorders>
            <w:vAlign w:val="center"/>
          </w:tcPr>
          <w:p w14:paraId="2E5A7E78">
            <w:pPr>
              <w:widowControl/>
              <w:jc w:val="left"/>
              <w:rPr>
                <w:kern w:val="0"/>
                <w:sz w:val="21"/>
                <w:szCs w:val="21"/>
                <w:highlight w:val="none"/>
              </w:rPr>
            </w:pPr>
            <w:r>
              <w:rPr>
                <w:kern w:val="0"/>
                <w:sz w:val="21"/>
                <w:szCs w:val="21"/>
                <w:highlight w:val="none"/>
              </w:rPr>
              <w:t>工程名称：                标段：</w:t>
            </w:r>
          </w:p>
        </w:tc>
        <w:tc>
          <w:tcPr>
            <w:tcW w:w="2488" w:type="dxa"/>
            <w:gridSpan w:val="2"/>
            <w:tcBorders>
              <w:top w:val="nil"/>
              <w:left w:val="nil"/>
              <w:bottom w:val="single" w:color="auto" w:sz="4" w:space="0"/>
              <w:right w:val="nil"/>
            </w:tcBorders>
            <w:vAlign w:val="center"/>
          </w:tcPr>
          <w:p w14:paraId="40B5E5DD">
            <w:pPr>
              <w:widowControl/>
              <w:tabs>
                <w:tab w:val="left" w:pos="2677"/>
              </w:tabs>
              <w:wordWrap w:val="0"/>
              <w:ind w:right="-164"/>
              <w:jc w:val="right"/>
              <w:rPr>
                <w:rFonts w:hint="default" w:eastAsia="宋体"/>
                <w:kern w:val="0"/>
                <w:sz w:val="21"/>
                <w:szCs w:val="21"/>
                <w:highlight w:val="none"/>
                <w:lang w:val="en-US" w:eastAsia="zh-CN"/>
              </w:rPr>
            </w:pPr>
            <w:r>
              <w:rPr>
                <w:kern w:val="0"/>
                <w:sz w:val="21"/>
                <w:szCs w:val="21"/>
                <w:highlight w:val="none"/>
              </w:rPr>
              <w:t>第   页   共    页</w:t>
            </w:r>
            <w:r>
              <w:rPr>
                <w:rFonts w:hint="eastAsia"/>
                <w:kern w:val="0"/>
                <w:sz w:val="21"/>
                <w:szCs w:val="21"/>
                <w:highlight w:val="none"/>
                <w:lang w:val="en-US" w:eastAsia="zh-CN"/>
              </w:rPr>
              <w:t xml:space="preserve">  </w:t>
            </w:r>
          </w:p>
        </w:tc>
      </w:tr>
      <w:tr w14:paraId="7258E0B5">
        <w:tblPrEx>
          <w:tblCellMar>
            <w:top w:w="0" w:type="dxa"/>
            <w:left w:w="108" w:type="dxa"/>
            <w:bottom w:w="0" w:type="dxa"/>
            <w:right w:w="108" w:type="dxa"/>
          </w:tblCellMar>
        </w:tblPrEx>
        <w:trPr>
          <w:trHeight w:val="914" w:hRule="atLeast"/>
          <w:jc w:val="center"/>
        </w:trPr>
        <w:tc>
          <w:tcPr>
            <w:tcW w:w="853" w:type="dxa"/>
            <w:tcBorders>
              <w:top w:val="nil"/>
              <w:left w:val="single" w:color="auto" w:sz="4" w:space="0"/>
              <w:bottom w:val="single" w:color="auto" w:sz="4" w:space="0"/>
              <w:right w:val="single" w:color="auto" w:sz="4" w:space="0"/>
            </w:tcBorders>
            <w:vAlign w:val="center"/>
          </w:tcPr>
          <w:p w14:paraId="5B4DE1ED">
            <w:pPr>
              <w:widowControl/>
              <w:jc w:val="center"/>
              <w:rPr>
                <w:kern w:val="0"/>
                <w:sz w:val="21"/>
                <w:szCs w:val="21"/>
                <w:highlight w:val="none"/>
              </w:rPr>
            </w:pPr>
            <w:r>
              <w:rPr>
                <w:rFonts w:hint="eastAsia"/>
                <w:kern w:val="0"/>
                <w:sz w:val="21"/>
                <w:szCs w:val="21"/>
                <w:highlight w:val="none"/>
                <w:lang w:eastAsia="zh-CN"/>
              </w:rPr>
              <w:t xml:space="preserve"> </w:t>
            </w:r>
            <w:r>
              <w:rPr>
                <w:kern w:val="0"/>
                <w:sz w:val="21"/>
                <w:szCs w:val="21"/>
                <w:highlight w:val="none"/>
              </w:rPr>
              <w:t>序号</w:t>
            </w:r>
          </w:p>
        </w:tc>
        <w:tc>
          <w:tcPr>
            <w:tcW w:w="2701" w:type="dxa"/>
            <w:tcBorders>
              <w:top w:val="nil"/>
              <w:left w:val="nil"/>
              <w:bottom w:val="single" w:color="auto" w:sz="4" w:space="0"/>
              <w:right w:val="single" w:color="auto" w:sz="4" w:space="0"/>
            </w:tcBorders>
            <w:vAlign w:val="center"/>
          </w:tcPr>
          <w:p w14:paraId="41F020E7">
            <w:pPr>
              <w:widowControl/>
              <w:jc w:val="center"/>
              <w:rPr>
                <w:kern w:val="0"/>
                <w:sz w:val="21"/>
                <w:szCs w:val="21"/>
                <w:highlight w:val="none"/>
              </w:rPr>
            </w:pPr>
            <w:r>
              <w:rPr>
                <w:kern w:val="0"/>
                <w:sz w:val="21"/>
                <w:szCs w:val="21"/>
                <w:highlight w:val="none"/>
              </w:rPr>
              <w:t>项目名称</w:t>
            </w:r>
          </w:p>
        </w:tc>
        <w:tc>
          <w:tcPr>
            <w:tcW w:w="1598" w:type="dxa"/>
            <w:tcBorders>
              <w:top w:val="nil"/>
              <w:left w:val="nil"/>
              <w:bottom w:val="single" w:color="auto" w:sz="4" w:space="0"/>
              <w:right w:val="single" w:color="auto" w:sz="4" w:space="0"/>
            </w:tcBorders>
            <w:vAlign w:val="center"/>
          </w:tcPr>
          <w:p w14:paraId="24FDD94C">
            <w:pPr>
              <w:widowControl/>
              <w:jc w:val="center"/>
              <w:rPr>
                <w:rFonts w:hint="eastAsia" w:eastAsia="宋体"/>
                <w:kern w:val="0"/>
                <w:sz w:val="21"/>
                <w:szCs w:val="21"/>
                <w:highlight w:val="none"/>
                <w:lang w:val="en-US" w:eastAsia="zh-CN"/>
              </w:rPr>
            </w:pPr>
            <w:r>
              <w:rPr>
                <w:kern w:val="0"/>
                <w:sz w:val="21"/>
                <w:szCs w:val="21"/>
                <w:highlight w:val="none"/>
              </w:rPr>
              <w:t>计算基础</w:t>
            </w:r>
            <w:r>
              <w:rPr>
                <w:rFonts w:hint="eastAsia"/>
                <w:kern w:val="0"/>
                <w:sz w:val="21"/>
                <w:szCs w:val="21"/>
                <w:highlight w:val="none"/>
                <w:lang w:val="en-US" w:eastAsia="zh-CN"/>
              </w:rPr>
              <w:t>说明</w:t>
            </w:r>
          </w:p>
        </w:tc>
        <w:tc>
          <w:tcPr>
            <w:tcW w:w="1209" w:type="dxa"/>
            <w:tcBorders>
              <w:top w:val="nil"/>
              <w:left w:val="nil"/>
              <w:bottom w:val="single" w:color="auto" w:sz="4" w:space="0"/>
              <w:right w:val="single" w:color="auto" w:sz="4" w:space="0"/>
            </w:tcBorders>
            <w:vAlign w:val="center"/>
          </w:tcPr>
          <w:p w14:paraId="22B7B74F">
            <w:pPr>
              <w:widowControl/>
              <w:jc w:val="center"/>
              <w:rPr>
                <w:kern w:val="0"/>
                <w:sz w:val="21"/>
                <w:szCs w:val="21"/>
                <w:highlight w:val="none"/>
              </w:rPr>
            </w:pPr>
            <w:r>
              <w:rPr>
                <w:kern w:val="0"/>
                <w:sz w:val="21"/>
                <w:szCs w:val="21"/>
                <w:highlight w:val="none"/>
              </w:rPr>
              <w:t>计算基础</w:t>
            </w:r>
          </w:p>
        </w:tc>
        <w:tc>
          <w:tcPr>
            <w:tcW w:w="1066" w:type="dxa"/>
            <w:tcBorders>
              <w:top w:val="nil"/>
              <w:left w:val="nil"/>
              <w:bottom w:val="single" w:color="auto" w:sz="4" w:space="0"/>
              <w:right w:val="single" w:color="auto" w:sz="4" w:space="0"/>
            </w:tcBorders>
            <w:vAlign w:val="center"/>
          </w:tcPr>
          <w:p w14:paraId="5B98CAFB">
            <w:pPr>
              <w:widowControl/>
              <w:jc w:val="center"/>
              <w:rPr>
                <w:kern w:val="0"/>
                <w:sz w:val="21"/>
                <w:szCs w:val="21"/>
                <w:highlight w:val="none"/>
              </w:rPr>
            </w:pPr>
            <w:r>
              <w:rPr>
                <w:rFonts w:hint="eastAsia"/>
                <w:kern w:val="0"/>
                <w:sz w:val="21"/>
                <w:szCs w:val="21"/>
                <w:highlight w:val="none"/>
                <w:lang w:val="en-US" w:eastAsia="zh-CN"/>
              </w:rPr>
              <w:t>税率</w:t>
            </w:r>
            <w:r>
              <w:rPr>
                <w:rFonts w:hint="eastAsia"/>
                <w:kern w:val="0"/>
                <w:sz w:val="21"/>
                <w:szCs w:val="21"/>
                <w:highlight w:val="none"/>
                <w:lang w:eastAsia="zh-CN"/>
              </w:rPr>
              <w:t>（</w:t>
            </w:r>
            <w:r>
              <w:rPr>
                <w:kern w:val="0"/>
                <w:sz w:val="21"/>
                <w:szCs w:val="21"/>
                <w:highlight w:val="none"/>
              </w:rPr>
              <w:t>%</w:t>
            </w:r>
            <w:r>
              <w:rPr>
                <w:rFonts w:hint="eastAsia"/>
                <w:kern w:val="0"/>
                <w:sz w:val="21"/>
                <w:szCs w:val="21"/>
                <w:highlight w:val="none"/>
                <w:lang w:eastAsia="zh-CN"/>
              </w:rPr>
              <w:t>）</w:t>
            </w:r>
          </w:p>
        </w:tc>
        <w:tc>
          <w:tcPr>
            <w:tcW w:w="1422" w:type="dxa"/>
            <w:tcBorders>
              <w:top w:val="nil"/>
              <w:left w:val="nil"/>
              <w:bottom w:val="single" w:color="auto" w:sz="4" w:space="0"/>
              <w:right w:val="single" w:color="auto" w:sz="4" w:space="0"/>
            </w:tcBorders>
            <w:vAlign w:val="center"/>
          </w:tcPr>
          <w:p w14:paraId="0AA5951C">
            <w:pPr>
              <w:widowControl/>
              <w:jc w:val="center"/>
              <w:rPr>
                <w:kern w:val="0"/>
                <w:sz w:val="21"/>
                <w:szCs w:val="21"/>
                <w:highlight w:val="none"/>
              </w:rPr>
            </w:pPr>
            <w:r>
              <w:rPr>
                <w:kern w:val="0"/>
                <w:sz w:val="21"/>
                <w:szCs w:val="21"/>
                <w:highlight w:val="none"/>
              </w:rPr>
              <w:t>金额</w:t>
            </w:r>
            <w:r>
              <w:rPr>
                <w:rFonts w:hint="eastAsia"/>
                <w:kern w:val="0"/>
                <w:sz w:val="21"/>
                <w:szCs w:val="21"/>
                <w:highlight w:val="none"/>
                <w:lang w:eastAsia="zh-CN"/>
              </w:rPr>
              <w:t>（</w:t>
            </w:r>
            <w:r>
              <w:rPr>
                <w:kern w:val="0"/>
                <w:sz w:val="21"/>
                <w:szCs w:val="21"/>
                <w:highlight w:val="none"/>
              </w:rPr>
              <w:t>元</w:t>
            </w:r>
            <w:r>
              <w:rPr>
                <w:rFonts w:hint="eastAsia"/>
                <w:kern w:val="0"/>
                <w:sz w:val="21"/>
                <w:szCs w:val="21"/>
                <w:highlight w:val="none"/>
                <w:lang w:eastAsia="zh-CN"/>
              </w:rPr>
              <w:t>）</w:t>
            </w:r>
          </w:p>
        </w:tc>
      </w:tr>
      <w:tr w14:paraId="525BAA64">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6D19C64E">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27C23627">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0803B8CD">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19C7192B">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0FBAE2CC">
            <w:pPr>
              <w:widowControl/>
              <w:jc w:val="center"/>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6390FFF3">
            <w:pPr>
              <w:widowControl/>
              <w:jc w:val="center"/>
              <w:rPr>
                <w:kern w:val="0"/>
                <w:sz w:val="22"/>
                <w:szCs w:val="22"/>
                <w:highlight w:val="none"/>
              </w:rPr>
            </w:pPr>
          </w:p>
        </w:tc>
      </w:tr>
      <w:tr w14:paraId="0E0DB6E4">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1E955993">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729C8606">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71B49123">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5B92C12B">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48D9CD1C">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3079C325">
            <w:pPr>
              <w:widowControl/>
              <w:jc w:val="left"/>
              <w:rPr>
                <w:kern w:val="0"/>
                <w:sz w:val="22"/>
                <w:szCs w:val="22"/>
                <w:highlight w:val="none"/>
              </w:rPr>
            </w:pPr>
          </w:p>
        </w:tc>
      </w:tr>
      <w:tr w14:paraId="542697B6">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00DD428B">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66DAFD86">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7853C5D1">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2F4746B8">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190F414B">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3FA9DA25">
            <w:pPr>
              <w:widowControl/>
              <w:jc w:val="left"/>
              <w:rPr>
                <w:kern w:val="0"/>
                <w:sz w:val="22"/>
                <w:szCs w:val="22"/>
                <w:highlight w:val="none"/>
              </w:rPr>
            </w:pPr>
          </w:p>
        </w:tc>
      </w:tr>
      <w:tr w14:paraId="10B827F1">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5AB6736A">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53241F81">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39CC3443">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4D96E72F">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6A6A5767">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0B7FBC46">
            <w:pPr>
              <w:widowControl/>
              <w:jc w:val="left"/>
              <w:rPr>
                <w:kern w:val="0"/>
                <w:sz w:val="22"/>
                <w:szCs w:val="22"/>
                <w:highlight w:val="none"/>
              </w:rPr>
            </w:pPr>
          </w:p>
        </w:tc>
      </w:tr>
      <w:tr w14:paraId="364B4915">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76054CAE">
            <w:pPr>
              <w:widowControl/>
              <w:jc w:val="center"/>
              <w:rPr>
                <w:kern w:val="0"/>
                <w:sz w:val="22"/>
                <w:szCs w:val="22"/>
                <w:highlight w:val="none"/>
              </w:rPr>
            </w:pPr>
          </w:p>
          <w:p w14:paraId="3A99ED76">
            <w:pPr>
              <w:widowControl/>
              <w:jc w:val="center"/>
              <w:rPr>
                <w:kern w:val="0"/>
                <w:sz w:val="22"/>
                <w:szCs w:val="22"/>
                <w:highlight w:val="none"/>
              </w:rPr>
            </w:pPr>
          </w:p>
          <w:p w14:paraId="281C50A0">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6A71B1B8">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0D76A714">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0448B732">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31DB208D">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47C4A8B5">
            <w:pPr>
              <w:widowControl/>
              <w:jc w:val="left"/>
              <w:rPr>
                <w:kern w:val="0"/>
                <w:sz w:val="22"/>
                <w:szCs w:val="22"/>
                <w:highlight w:val="none"/>
              </w:rPr>
            </w:pPr>
          </w:p>
        </w:tc>
      </w:tr>
      <w:tr w14:paraId="3A38489F">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5F132D6C">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4F62C2F0">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4E9EF74B">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5D8E42D0">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27E6B4D6">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53113D24">
            <w:pPr>
              <w:widowControl/>
              <w:jc w:val="left"/>
              <w:rPr>
                <w:kern w:val="0"/>
                <w:sz w:val="22"/>
                <w:szCs w:val="22"/>
                <w:highlight w:val="none"/>
              </w:rPr>
            </w:pPr>
          </w:p>
        </w:tc>
      </w:tr>
      <w:tr w14:paraId="159F71F9">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4017D6B4">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3DA499A8">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32297278">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23C3028C">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0D36E7FD">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6CCC6759">
            <w:pPr>
              <w:widowControl/>
              <w:jc w:val="left"/>
              <w:rPr>
                <w:kern w:val="0"/>
                <w:sz w:val="22"/>
                <w:szCs w:val="22"/>
                <w:highlight w:val="none"/>
              </w:rPr>
            </w:pPr>
          </w:p>
        </w:tc>
      </w:tr>
      <w:tr w14:paraId="05176C84">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01489B4D">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15457FCE">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0147C8EB">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171CAF65">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3E504D79">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4F2C2DA5">
            <w:pPr>
              <w:widowControl/>
              <w:jc w:val="left"/>
              <w:rPr>
                <w:kern w:val="0"/>
                <w:sz w:val="22"/>
                <w:szCs w:val="22"/>
                <w:highlight w:val="none"/>
              </w:rPr>
            </w:pPr>
          </w:p>
        </w:tc>
      </w:tr>
      <w:tr w14:paraId="5133203A">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14F6608C">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1EFEEE20">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3E54F454">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7B47C8B1">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4BEED853">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06EF2273">
            <w:pPr>
              <w:widowControl/>
              <w:jc w:val="left"/>
              <w:rPr>
                <w:kern w:val="0"/>
                <w:sz w:val="22"/>
                <w:szCs w:val="22"/>
                <w:highlight w:val="none"/>
              </w:rPr>
            </w:pPr>
          </w:p>
        </w:tc>
      </w:tr>
      <w:tr w14:paraId="3EA9DC92">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4B9EA544">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497ED70F">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53BC7DA2">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74295D5E">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4EF76CAA">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0655FD14">
            <w:pPr>
              <w:widowControl/>
              <w:jc w:val="left"/>
              <w:rPr>
                <w:kern w:val="0"/>
                <w:sz w:val="22"/>
                <w:szCs w:val="22"/>
                <w:highlight w:val="none"/>
              </w:rPr>
            </w:pPr>
          </w:p>
        </w:tc>
      </w:tr>
      <w:tr w14:paraId="01472284">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7CD7E52B">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1F799545">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3A1D890C">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08FE98AB">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6088A027">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2B241E0E">
            <w:pPr>
              <w:widowControl/>
              <w:jc w:val="left"/>
              <w:rPr>
                <w:kern w:val="0"/>
                <w:sz w:val="22"/>
                <w:szCs w:val="22"/>
                <w:highlight w:val="none"/>
              </w:rPr>
            </w:pPr>
          </w:p>
        </w:tc>
      </w:tr>
      <w:tr w14:paraId="79A62F33">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6710B75C">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33D44B11">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6DF0F40B">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21412CBD">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7B541A87">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13316E9B">
            <w:pPr>
              <w:widowControl/>
              <w:jc w:val="left"/>
              <w:rPr>
                <w:kern w:val="0"/>
                <w:sz w:val="22"/>
                <w:szCs w:val="22"/>
                <w:highlight w:val="none"/>
              </w:rPr>
            </w:pPr>
          </w:p>
        </w:tc>
      </w:tr>
      <w:tr w14:paraId="3C6D47A8">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78B222DB">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4330DFED">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4F221FFE">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40FF2E79">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39EF083A">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32872BDD">
            <w:pPr>
              <w:widowControl/>
              <w:jc w:val="left"/>
              <w:rPr>
                <w:kern w:val="0"/>
                <w:sz w:val="22"/>
                <w:szCs w:val="22"/>
                <w:highlight w:val="none"/>
              </w:rPr>
            </w:pPr>
          </w:p>
        </w:tc>
      </w:tr>
      <w:tr w14:paraId="4751F6C9">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75F189CB">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6A28A7D4">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05F68262">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1C3CF3D0">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58F47A9D">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41AD7BA6">
            <w:pPr>
              <w:widowControl/>
              <w:jc w:val="left"/>
              <w:rPr>
                <w:kern w:val="0"/>
                <w:sz w:val="22"/>
                <w:szCs w:val="22"/>
                <w:highlight w:val="none"/>
              </w:rPr>
            </w:pPr>
          </w:p>
        </w:tc>
      </w:tr>
      <w:tr w14:paraId="6BB7373F">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0046B487">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1F9432A8">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689F20FF">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1A4C0484">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4D6520BE">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781B640E">
            <w:pPr>
              <w:widowControl/>
              <w:jc w:val="left"/>
              <w:rPr>
                <w:kern w:val="0"/>
                <w:sz w:val="22"/>
                <w:szCs w:val="22"/>
                <w:highlight w:val="none"/>
              </w:rPr>
            </w:pPr>
          </w:p>
        </w:tc>
      </w:tr>
      <w:tr w14:paraId="69321D97">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496F42C6">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377B60B9">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508793FD">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3F68A87B">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21254241">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777AAD83">
            <w:pPr>
              <w:widowControl/>
              <w:jc w:val="left"/>
              <w:rPr>
                <w:kern w:val="0"/>
                <w:sz w:val="22"/>
                <w:szCs w:val="22"/>
                <w:highlight w:val="none"/>
              </w:rPr>
            </w:pPr>
          </w:p>
        </w:tc>
      </w:tr>
      <w:tr w14:paraId="76E95436">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76929F04">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0124AE21">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32A9343B">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437F52A0">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5FE169E5">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2936424E">
            <w:pPr>
              <w:widowControl/>
              <w:jc w:val="left"/>
              <w:rPr>
                <w:kern w:val="0"/>
                <w:sz w:val="22"/>
                <w:szCs w:val="22"/>
                <w:highlight w:val="none"/>
              </w:rPr>
            </w:pPr>
          </w:p>
        </w:tc>
      </w:tr>
      <w:tr w14:paraId="5222095E">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72A61055">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2832D838">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5912A2FB">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643A8B04">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4D3F1CFA">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6F464513">
            <w:pPr>
              <w:widowControl/>
              <w:jc w:val="left"/>
              <w:rPr>
                <w:kern w:val="0"/>
                <w:sz w:val="22"/>
                <w:szCs w:val="22"/>
                <w:highlight w:val="none"/>
              </w:rPr>
            </w:pPr>
          </w:p>
        </w:tc>
      </w:tr>
      <w:tr w14:paraId="6F066BA5">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78610320">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1D7FF811">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6D8A31EB">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41351825">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309B9779">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3DF79975">
            <w:pPr>
              <w:widowControl/>
              <w:jc w:val="left"/>
              <w:rPr>
                <w:kern w:val="0"/>
                <w:sz w:val="22"/>
                <w:szCs w:val="22"/>
                <w:highlight w:val="none"/>
              </w:rPr>
            </w:pPr>
          </w:p>
        </w:tc>
      </w:tr>
      <w:tr w14:paraId="5618DD29">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20B6AD43">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0EC5F4EC">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69B2FAC6">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358AB5D4">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24B7F4AC">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5EFF71B2">
            <w:pPr>
              <w:widowControl/>
              <w:jc w:val="left"/>
              <w:rPr>
                <w:kern w:val="0"/>
                <w:sz w:val="22"/>
                <w:szCs w:val="22"/>
                <w:highlight w:val="none"/>
              </w:rPr>
            </w:pPr>
          </w:p>
        </w:tc>
      </w:tr>
      <w:tr w14:paraId="34D75570">
        <w:tblPrEx>
          <w:tblCellMar>
            <w:top w:w="0" w:type="dxa"/>
            <w:left w:w="108" w:type="dxa"/>
            <w:bottom w:w="0" w:type="dxa"/>
            <w:right w:w="108" w:type="dxa"/>
          </w:tblCellMar>
        </w:tblPrEx>
        <w:trPr>
          <w:trHeight w:val="454" w:hRule="exact"/>
          <w:jc w:val="center"/>
        </w:trPr>
        <w:tc>
          <w:tcPr>
            <w:tcW w:w="853" w:type="dxa"/>
            <w:tcBorders>
              <w:top w:val="nil"/>
              <w:left w:val="single" w:color="auto" w:sz="4" w:space="0"/>
              <w:bottom w:val="single" w:color="auto" w:sz="4" w:space="0"/>
              <w:right w:val="single" w:color="auto" w:sz="4" w:space="0"/>
            </w:tcBorders>
            <w:vAlign w:val="center"/>
          </w:tcPr>
          <w:p w14:paraId="6A68E9E7">
            <w:pPr>
              <w:widowControl/>
              <w:jc w:val="center"/>
              <w:rPr>
                <w:kern w:val="0"/>
                <w:sz w:val="22"/>
                <w:szCs w:val="22"/>
                <w:highlight w:val="none"/>
              </w:rPr>
            </w:pPr>
          </w:p>
        </w:tc>
        <w:tc>
          <w:tcPr>
            <w:tcW w:w="2701" w:type="dxa"/>
            <w:tcBorders>
              <w:top w:val="nil"/>
              <w:left w:val="nil"/>
              <w:bottom w:val="single" w:color="auto" w:sz="4" w:space="0"/>
              <w:right w:val="single" w:color="auto" w:sz="4" w:space="0"/>
            </w:tcBorders>
            <w:vAlign w:val="center"/>
          </w:tcPr>
          <w:p w14:paraId="75CC20DA">
            <w:pPr>
              <w:widowControl/>
              <w:jc w:val="left"/>
              <w:rPr>
                <w:kern w:val="0"/>
                <w:sz w:val="22"/>
                <w:szCs w:val="22"/>
                <w:highlight w:val="none"/>
              </w:rPr>
            </w:pPr>
          </w:p>
        </w:tc>
        <w:tc>
          <w:tcPr>
            <w:tcW w:w="1598" w:type="dxa"/>
            <w:tcBorders>
              <w:top w:val="nil"/>
              <w:left w:val="nil"/>
              <w:bottom w:val="single" w:color="auto" w:sz="4" w:space="0"/>
              <w:right w:val="single" w:color="auto" w:sz="4" w:space="0"/>
            </w:tcBorders>
            <w:vAlign w:val="center"/>
          </w:tcPr>
          <w:p w14:paraId="7CA10617">
            <w:pPr>
              <w:widowControl/>
              <w:jc w:val="center"/>
              <w:rPr>
                <w:kern w:val="0"/>
                <w:sz w:val="22"/>
                <w:szCs w:val="22"/>
                <w:highlight w:val="none"/>
              </w:rPr>
            </w:pPr>
          </w:p>
        </w:tc>
        <w:tc>
          <w:tcPr>
            <w:tcW w:w="1209" w:type="dxa"/>
            <w:tcBorders>
              <w:top w:val="nil"/>
              <w:left w:val="nil"/>
              <w:bottom w:val="single" w:color="auto" w:sz="4" w:space="0"/>
              <w:right w:val="single" w:color="auto" w:sz="4" w:space="0"/>
            </w:tcBorders>
            <w:vAlign w:val="center"/>
          </w:tcPr>
          <w:p w14:paraId="749E96FE">
            <w:pPr>
              <w:widowControl/>
              <w:jc w:val="center"/>
              <w:rPr>
                <w:kern w:val="0"/>
                <w:sz w:val="22"/>
                <w:szCs w:val="22"/>
                <w:highlight w:val="none"/>
              </w:rPr>
            </w:pPr>
          </w:p>
        </w:tc>
        <w:tc>
          <w:tcPr>
            <w:tcW w:w="1066" w:type="dxa"/>
            <w:tcBorders>
              <w:top w:val="nil"/>
              <w:left w:val="nil"/>
              <w:bottom w:val="single" w:color="auto" w:sz="4" w:space="0"/>
              <w:right w:val="single" w:color="auto" w:sz="4" w:space="0"/>
            </w:tcBorders>
            <w:vAlign w:val="center"/>
          </w:tcPr>
          <w:p w14:paraId="0AFBA122">
            <w:pPr>
              <w:widowControl/>
              <w:jc w:val="left"/>
              <w:rPr>
                <w:kern w:val="0"/>
                <w:sz w:val="22"/>
                <w:szCs w:val="22"/>
                <w:highlight w:val="none"/>
              </w:rPr>
            </w:pPr>
          </w:p>
        </w:tc>
        <w:tc>
          <w:tcPr>
            <w:tcW w:w="1422" w:type="dxa"/>
            <w:tcBorders>
              <w:top w:val="nil"/>
              <w:left w:val="nil"/>
              <w:bottom w:val="single" w:color="auto" w:sz="4" w:space="0"/>
              <w:right w:val="single" w:color="auto" w:sz="4" w:space="0"/>
            </w:tcBorders>
            <w:vAlign w:val="center"/>
          </w:tcPr>
          <w:p w14:paraId="26FAD5FB">
            <w:pPr>
              <w:widowControl/>
              <w:jc w:val="left"/>
              <w:rPr>
                <w:kern w:val="0"/>
                <w:sz w:val="22"/>
                <w:szCs w:val="22"/>
                <w:highlight w:val="none"/>
              </w:rPr>
            </w:pPr>
          </w:p>
        </w:tc>
      </w:tr>
      <w:tr w14:paraId="27D2B8EA">
        <w:tblPrEx>
          <w:tblCellMar>
            <w:top w:w="0" w:type="dxa"/>
            <w:left w:w="108" w:type="dxa"/>
            <w:bottom w:w="0" w:type="dxa"/>
            <w:right w:w="108" w:type="dxa"/>
          </w:tblCellMar>
        </w:tblPrEx>
        <w:trPr>
          <w:trHeight w:val="914" w:hRule="atLeast"/>
          <w:jc w:val="center"/>
        </w:trPr>
        <w:tc>
          <w:tcPr>
            <w:tcW w:w="7427" w:type="dxa"/>
            <w:gridSpan w:val="5"/>
            <w:tcBorders>
              <w:top w:val="single" w:color="auto" w:sz="4" w:space="0"/>
              <w:left w:val="single" w:color="auto" w:sz="4" w:space="0"/>
              <w:bottom w:val="single" w:color="auto" w:sz="4" w:space="0"/>
              <w:right w:val="single" w:color="000000" w:sz="4" w:space="0"/>
            </w:tcBorders>
            <w:vAlign w:val="center"/>
          </w:tcPr>
          <w:p w14:paraId="3A29F5C3">
            <w:pPr>
              <w:widowControl/>
              <w:jc w:val="center"/>
              <w:rPr>
                <w:kern w:val="0"/>
                <w:sz w:val="22"/>
                <w:szCs w:val="22"/>
                <w:highlight w:val="none"/>
              </w:rPr>
            </w:pPr>
            <w:r>
              <w:rPr>
                <w:kern w:val="0"/>
                <w:sz w:val="21"/>
                <w:szCs w:val="21"/>
                <w:highlight w:val="none"/>
              </w:rPr>
              <w:t>合计</w:t>
            </w:r>
          </w:p>
        </w:tc>
        <w:tc>
          <w:tcPr>
            <w:tcW w:w="1422" w:type="dxa"/>
            <w:tcBorders>
              <w:top w:val="nil"/>
              <w:left w:val="nil"/>
              <w:bottom w:val="single" w:color="auto" w:sz="4" w:space="0"/>
              <w:right w:val="single" w:color="auto" w:sz="4" w:space="0"/>
            </w:tcBorders>
            <w:vAlign w:val="center"/>
          </w:tcPr>
          <w:p w14:paraId="122215C7">
            <w:pPr>
              <w:widowControl/>
              <w:jc w:val="left"/>
              <w:rPr>
                <w:kern w:val="0"/>
                <w:sz w:val="22"/>
                <w:szCs w:val="22"/>
                <w:highlight w:val="none"/>
              </w:rPr>
            </w:pPr>
          </w:p>
        </w:tc>
      </w:tr>
    </w:tbl>
    <w:p w14:paraId="0FAB87A3">
      <w:pPr>
        <w:rPr>
          <w:szCs w:val="21"/>
          <w:highlight w:val="none"/>
        </w:rPr>
      </w:pPr>
    </w:p>
    <w:p w14:paraId="60DA9425">
      <w:pPr>
        <w:rPr>
          <w:szCs w:val="21"/>
          <w:highlight w:val="none"/>
        </w:rPr>
      </w:pPr>
    </w:p>
    <w:p w14:paraId="6DB20F37">
      <w:pPr>
        <w:rPr>
          <w:szCs w:val="21"/>
          <w:highlight w:val="none"/>
        </w:rPr>
        <w:sectPr>
          <w:pgSz w:w="11907" w:h="16840"/>
          <w:pgMar w:top="1417" w:right="1417" w:bottom="1417" w:left="1417" w:header="851" w:footer="851" w:gutter="0"/>
          <w:pgNumType w:fmt="decimal"/>
          <w:cols w:space="425" w:num="1"/>
          <w:docGrid w:type="lines" w:linePitch="312" w:charSpace="0"/>
        </w:sectPr>
      </w:pPr>
    </w:p>
    <w:p w14:paraId="53410549">
      <w:pPr>
        <w:jc w:val="center"/>
        <w:outlineLvl w:val="2"/>
        <w:rPr>
          <w:szCs w:val="21"/>
          <w:highlight w:val="none"/>
        </w:rPr>
      </w:pPr>
      <w:r>
        <w:rPr>
          <w:rFonts w:hint="eastAsia"/>
          <w:b w:val="0"/>
          <w:bCs w:val="0"/>
          <w:kern w:val="0"/>
          <w:sz w:val="28"/>
          <w:szCs w:val="28"/>
          <w:highlight w:val="none"/>
          <w:lang w:eastAsia="zh-CN"/>
        </w:rPr>
        <w:t>材料暂估价汇总</w:t>
      </w:r>
      <w:r>
        <w:rPr>
          <w:b w:val="0"/>
          <w:bCs w:val="0"/>
          <w:kern w:val="0"/>
          <w:sz w:val="28"/>
          <w:szCs w:val="28"/>
          <w:highlight w:val="none"/>
        </w:rPr>
        <w:t>表</w:t>
      </w:r>
    </w:p>
    <w:tbl>
      <w:tblPr>
        <w:tblStyle w:val="41"/>
        <w:tblW w:w="8850" w:type="dxa"/>
        <w:jc w:val="center"/>
        <w:tblLayout w:type="fixed"/>
        <w:tblCellMar>
          <w:top w:w="0" w:type="dxa"/>
          <w:left w:w="108" w:type="dxa"/>
          <w:bottom w:w="0" w:type="dxa"/>
          <w:right w:w="108" w:type="dxa"/>
        </w:tblCellMar>
      </w:tblPr>
      <w:tblGrid>
        <w:gridCol w:w="853"/>
        <w:gridCol w:w="3554"/>
        <w:gridCol w:w="1173"/>
        <w:gridCol w:w="2008"/>
        <w:gridCol w:w="1262"/>
      </w:tblGrid>
      <w:tr w14:paraId="4C4CB74D">
        <w:trPr>
          <w:trHeight w:val="493" w:hRule="atLeast"/>
          <w:jc w:val="center"/>
        </w:trPr>
        <w:tc>
          <w:tcPr>
            <w:tcW w:w="853" w:type="dxa"/>
            <w:tcBorders>
              <w:top w:val="nil"/>
              <w:left w:val="nil"/>
              <w:bottom w:val="nil"/>
              <w:right w:val="nil"/>
            </w:tcBorders>
            <w:vAlign w:val="bottom"/>
          </w:tcPr>
          <w:p w14:paraId="3D0E09AC">
            <w:pPr>
              <w:widowControl/>
              <w:jc w:val="left"/>
              <w:rPr>
                <w:kern w:val="0"/>
                <w:sz w:val="24"/>
                <w:highlight w:val="none"/>
              </w:rPr>
            </w:pPr>
          </w:p>
        </w:tc>
        <w:tc>
          <w:tcPr>
            <w:tcW w:w="3554" w:type="dxa"/>
            <w:tcBorders>
              <w:top w:val="nil"/>
              <w:left w:val="nil"/>
              <w:bottom w:val="nil"/>
              <w:right w:val="nil"/>
            </w:tcBorders>
            <w:vAlign w:val="bottom"/>
          </w:tcPr>
          <w:p w14:paraId="6E2B7FA6">
            <w:pPr>
              <w:widowControl/>
              <w:jc w:val="left"/>
              <w:rPr>
                <w:kern w:val="0"/>
                <w:sz w:val="24"/>
                <w:highlight w:val="none"/>
              </w:rPr>
            </w:pPr>
          </w:p>
        </w:tc>
        <w:tc>
          <w:tcPr>
            <w:tcW w:w="1173" w:type="dxa"/>
            <w:tcBorders>
              <w:top w:val="nil"/>
              <w:left w:val="nil"/>
              <w:bottom w:val="nil"/>
              <w:right w:val="nil"/>
            </w:tcBorders>
            <w:vAlign w:val="bottom"/>
          </w:tcPr>
          <w:p w14:paraId="1AFAA36C">
            <w:pPr>
              <w:widowControl/>
              <w:jc w:val="left"/>
              <w:rPr>
                <w:kern w:val="0"/>
                <w:sz w:val="24"/>
                <w:highlight w:val="none"/>
              </w:rPr>
            </w:pPr>
          </w:p>
        </w:tc>
        <w:tc>
          <w:tcPr>
            <w:tcW w:w="2008" w:type="dxa"/>
            <w:tcBorders>
              <w:top w:val="nil"/>
              <w:left w:val="nil"/>
              <w:bottom w:val="nil"/>
              <w:right w:val="nil"/>
            </w:tcBorders>
            <w:vAlign w:val="bottom"/>
          </w:tcPr>
          <w:p w14:paraId="5C242782">
            <w:pPr>
              <w:widowControl/>
              <w:jc w:val="left"/>
              <w:rPr>
                <w:kern w:val="0"/>
                <w:sz w:val="24"/>
                <w:highlight w:val="none"/>
              </w:rPr>
            </w:pPr>
          </w:p>
        </w:tc>
        <w:tc>
          <w:tcPr>
            <w:tcW w:w="1262" w:type="dxa"/>
            <w:tcBorders>
              <w:top w:val="nil"/>
              <w:left w:val="nil"/>
              <w:bottom w:val="nil"/>
              <w:right w:val="nil"/>
            </w:tcBorders>
            <w:vAlign w:val="bottom"/>
          </w:tcPr>
          <w:p w14:paraId="178C30F0">
            <w:pPr>
              <w:widowControl/>
              <w:jc w:val="left"/>
              <w:rPr>
                <w:kern w:val="0"/>
                <w:sz w:val="24"/>
                <w:highlight w:val="none"/>
              </w:rPr>
            </w:pPr>
          </w:p>
        </w:tc>
      </w:tr>
      <w:tr w14:paraId="47F5F2B1">
        <w:tblPrEx>
          <w:tblCellMar>
            <w:top w:w="0" w:type="dxa"/>
            <w:left w:w="108" w:type="dxa"/>
            <w:bottom w:w="0" w:type="dxa"/>
            <w:right w:w="108" w:type="dxa"/>
          </w:tblCellMar>
        </w:tblPrEx>
        <w:trPr>
          <w:trHeight w:val="500" w:hRule="atLeast"/>
          <w:jc w:val="center"/>
        </w:trPr>
        <w:tc>
          <w:tcPr>
            <w:tcW w:w="5580" w:type="dxa"/>
            <w:gridSpan w:val="3"/>
            <w:tcBorders>
              <w:top w:val="nil"/>
              <w:left w:val="nil"/>
              <w:bottom w:val="single" w:color="auto" w:sz="4" w:space="0"/>
              <w:right w:val="nil"/>
            </w:tcBorders>
            <w:vAlign w:val="center"/>
          </w:tcPr>
          <w:p w14:paraId="13EBFA5F">
            <w:pPr>
              <w:widowControl/>
              <w:jc w:val="left"/>
              <w:rPr>
                <w:kern w:val="0"/>
                <w:sz w:val="21"/>
                <w:szCs w:val="21"/>
                <w:highlight w:val="none"/>
              </w:rPr>
            </w:pPr>
            <w:r>
              <w:rPr>
                <w:kern w:val="0"/>
                <w:sz w:val="21"/>
                <w:szCs w:val="21"/>
                <w:highlight w:val="none"/>
              </w:rPr>
              <w:t>工程名称：                标段：</w:t>
            </w:r>
          </w:p>
        </w:tc>
        <w:tc>
          <w:tcPr>
            <w:tcW w:w="3270" w:type="dxa"/>
            <w:gridSpan w:val="2"/>
            <w:tcBorders>
              <w:top w:val="nil"/>
              <w:left w:val="nil"/>
              <w:bottom w:val="single" w:color="auto" w:sz="4" w:space="0"/>
              <w:right w:val="nil"/>
            </w:tcBorders>
            <w:vAlign w:val="center"/>
          </w:tcPr>
          <w:p w14:paraId="3E2E0031">
            <w:pPr>
              <w:widowControl/>
              <w:tabs>
                <w:tab w:val="left" w:pos="2677"/>
              </w:tabs>
              <w:ind w:right="-106" w:firstLine="1155" w:firstLineChars="550"/>
              <w:rPr>
                <w:kern w:val="0"/>
                <w:sz w:val="21"/>
                <w:szCs w:val="21"/>
                <w:highlight w:val="none"/>
              </w:rPr>
            </w:pPr>
            <w:r>
              <w:rPr>
                <w:kern w:val="0"/>
                <w:sz w:val="21"/>
                <w:szCs w:val="21"/>
                <w:highlight w:val="none"/>
              </w:rPr>
              <w:t>第   页   共    页</w:t>
            </w:r>
          </w:p>
        </w:tc>
      </w:tr>
      <w:tr w14:paraId="0BAE8CFC">
        <w:tblPrEx>
          <w:tblCellMar>
            <w:top w:w="0" w:type="dxa"/>
            <w:left w:w="108" w:type="dxa"/>
            <w:bottom w:w="0" w:type="dxa"/>
            <w:right w:w="108" w:type="dxa"/>
          </w:tblCellMar>
        </w:tblPrEx>
        <w:trPr>
          <w:trHeight w:val="827" w:hRule="atLeast"/>
          <w:jc w:val="center"/>
        </w:trPr>
        <w:tc>
          <w:tcPr>
            <w:tcW w:w="853" w:type="dxa"/>
            <w:tcBorders>
              <w:top w:val="nil"/>
              <w:left w:val="single" w:color="auto" w:sz="4" w:space="0"/>
              <w:bottom w:val="single" w:color="auto" w:sz="4" w:space="0"/>
              <w:right w:val="single" w:color="auto" w:sz="4" w:space="0"/>
            </w:tcBorders>
            <w:vAlign w:val="center"/>
          </w:tcPr>
          <w:p w14:paraId="26260ED5">
            <w:pPr>
              <w:widowControl/>
              <w:jc w:val="center"/>
              <w:rPr>
                <w:kern w:val="0"/>
                <w:sz w:val="21"/>
                <w:szCs w:val="21"/>
                <w:highlight w:val="none"/>
              </w:rPr>
            </w:pPr>
            <w:r>
              <w:rPr>
                <w:kern w:val="0"/>
                <w:sz w:val="21"/>
                <w:szCs w:val="21"/>
                <w:highlight w:val="none"/>
              </w:rPr>
              <w:t>序号</w:t>
            </w:r>
          </w:p>
        </w:tc>
        <w:tc>
          <w:tcPr>
            <w:tcW w:w="4727" w:type="dxa"/>
            <w:gridSpan w:val="2"/>
            <w:tcBorders>
              <w:top w:val="nil"/>
              <w:left w:val="nil"/>
              <w:bottom w:val="single" w:color="auto" w:sz="4" w:space="0"/>
              <w:right w:val="single" w:color="auto" w:sz="4" w:space="0"/>
            </w:tcBorders>
            <w:vAlign w:val="center"/>
          </w:tcPr>
          <w:p w14:paraId="44B22193">
            <w:pPr>
              <w:widowControl/>
              <w:jc w:val="center"/>
              <w:rPr>
                <w:kern w:val="0"/>
                <w:sz w:val="21"/>
                <w:szCs w:val="21"/>
                <w:highlight w:val="none"/>
              </w:rPr>
            </w:pPr>
            <w:r>
              <w:rPr>
                <w:kern w:val="0"/>
                <w:sz w:val="21"/>
                <w:szCs w:val="21"/>
                <w:highlight w:val="none"/>
              </w:rPr>
              <w:t>项目名称</w:t>
            </w:r>
          </w:p>
        </w:tc>
        <w:tc>
          <w:tcPr>
            <w:tcW w:w="2008" w:type="dxa"/>
            <w:tcBorders>
              <w:top w:val="nil"/>
              <w:left w:val="nil"/>
              <w:bottom w:val="single" w:color="auto" w:sz="4" w:space="0"/>
              <w:right w:val="single" w:color="auto" w:sz="4" w:space="0"/>
            </w:tcBorders>
            <w:vAlign w:val="center"/>
          </w:tcPr>
          <w:p w14:paraId="4853724A">
            <w:pPr>
              <w:widowControl/>
              <w:jc w:val="center"/>
              <w:rPr>
                <w:kern w:val="0"/>
                <w:sz w:val="21"/>
                <w:szCs w:val="21"/>
                <w:highlight w:val="none"/>
              </w:rPr>
            </w:pPr>
            <w:r>
              <w:rPr>
                <w:kern w:val="0"/>
                <w:sz w:val="21"/>
                <w:szCs w:val="21"/>
                <w:highlight w:val="none"/>
              </w:rPr>
              <w:t>金额</w:t>
            </w:r>
            <w:r>
              <w:rPr>
                <w:rFonts w:hint="eastAsia"/>
                <w:kern w:val="0"/>
                <w:sz w:val="21"/>
                <w:szCs w:val="21"/>
                <w:highlight w:val="none"/>
                <w:lang w:eastAsia="zh-CN"/>
              </w:rPr>
              <w:t>（</w:t>
            </w:r>
            <w:r>
              <w:rPr>
                <w:kern w:val="0"/>
                <w:sz w:val="21"/>
                <w:szCs w:val="21"/>
                <w:highlight w:val="none"/>
              </w:rPr>
              <w:t>元</w:t>
            </w:r>
            <w:r>
              <w:rPr>
                <w:rFonts w:hint="eastAsia"/>
                <w:kern w:val="0"/>
                <w:sz w:val="21"/>
                <w:szCs w:val="21"/>
                <w:highlight w:val="none"/>
                <w:lang w:eastAsia="zh-CN"/>
              </w:rPr>
              <w:t>）</w:t>
            </w:r>
          </w:p>
        </w:tc>
        <w:tc>
          <w:tcPr>
            <w:tcW w:w="1262" w:type="dxa"/>
            <w:tcBorders>
              <w:top w:val="nil"/>
              <w:left w:val="nil"/>
              <w:bottom w:val="single" w:color="auto" w:sz="4" w:space="0"/>
              <w:right w:val="single" w:color="auto" w:sz="4" w:space="0"/>
            </w:tcBorders>
            <w:vAlign w:val="center"/>
          </w:tcPr>
          <w:p w14:paraId="4E2D72BF">
            <w:pPr>
              <w:widowControl/>
              <w:jc w:val="center"/>
              <w:rPr>
                <w:kern w:val="0"/>
                <w:sz w:val="21"/>
                <w:szCs w:val="21"/>
                <w:highlight w:val="none"/>
              </w:rPr>
            </w:pPr>
            <w:r>
              <w:rPr>
                <w:kern w:val="0"/>
                <w:sz w:val="21"/>
                <w:szCs w:val="21"/>
                <w:highlight w:val="none"/>
              </w:rPr>
              <w:t>备注</w:t>
            </w:r>
          </w:p>
        </w:tc>
      </w:tr>
      <w:tr w14:paraId="2D5F330F">
        <w:tblPrEx>
          <w:tblCellMar>
            <w:top w:w="0" w:type="dxa"/>
            <w:left w:w="108" w:type="dxa"/>
            <w:bottom w:w="0" w:type="dxa"/>
            <w:right w:w="108" w:type="dxa"/>
          </w:tblCellMar>
        </w:tblPrEx>
        <w:trPr>
          <w:trHeight w:val="773" w:hRule="atLeast"/>
          <w:jc w:val="center"/>
        </w:trPr>
        <w:tc>
          <w:tcPr>
            <w:tcW w:w="853" w:type="dxa"/>
            <w:tcBorders>
              <w:top w:val="nil"/>
              <w:left w:val="single" w:color="auto" w:sz="4" w:space="0"/>
              <w:bottom w:val="single" w:color="auto" w:sz="4" w:space="0"/>
              <w:right w:val="single" w:color="auto" w:sz="4" w:space="0"/>
            </w:tcBorders>
            <w:vAlign w:val="center"/>
          </w:tcPr>
          <w:p w14:paraId="41288072">
            <w:pPr>
              <w:widowControl/>
              <w:jc w:val="center"/>
              <w:rPr>
                <w:rFonts w:hint="eastAsia" w:eastAsiaTheme="minorEastAsia"/>
                <w:kern w:val="0"/>
                <w:sz w:val="22"/>
                <w:szCs w:val="22"/>
                <w:highlight w:val="none"/>
                <w:lang w:val="en-US" w:eastAsia="zh-CN"/>
              </w:rPr>
            </w:pPr>
            <w:r>
              <w:rPr>
                <w:rFonts w:hint="eastAsia"/>
                <w:kern w:val="0"/>
                <w:sz w:val="22"/>
                <w:szCs w:val="22"/>
                <w:highlight w:val="none"/>
                <w:lang w:val="en-US" w:eastAsia="zh-CN"/>
              </w:rPr>
              <w:t>1</w:t>
            </w:r>
          </w:p>
        </w:tc>
        <w:tc>
          <w:tcPr>
            <w:tcW w:w="4727" w:type="dxa"/>
            <w:gridSpan w:val="2"/>
            <w:tcBorders>
              <w:top w:val="nil"/>
              <w:left w:val="nil"/>
              <w:bottom w:val="single" w:color="auto" w:sz="4" w:space="0"/>
              <w:right w:val="single" w:color="auto" w:sz="4" w:space="0"/>
            </w:tcBorders>
            <w:vAlign w:val="center"/>
          </w:tcPr>
          <w:p w14:paraId="7030FCB2">
            <w:pPr>
              <w:widowControl/>
              <w:jc w:val="left"/>
              <w:rPr>
                <w:kern w:val="0"/>
                <w:sz w:val="22"/>
                <w:szCs w:val="22"/>
                <w:highlight w:val="none"/>
              </w:rPr>
            </w:pPr>
            <w:r>
              <w:rPr>
                <w:rFonts w:hint="eastAsia"/>
                <w:kern w:val="0"/>
                <w:sz w:val="22"/>
                <w:szCs w:val="22"/>
                <w:highlight w:val="none"/>
                <w:lang w:eastAsia="zh-CN"/>
              </w:rPr>
              <w:t>材料暂估价</w:t>
            </w:r>
          </w:p>
        </w:tc>
        <w:tc>
          <w:tcPr>
            <w:tcW w:w="2008" w:type="dxa"/>
            <w:tcBorders>
              <w:top w:val="nil"/>
              <w:left w:val="nil"/>
              <w:bottom w:val="single" w:color="auto" w:sz="4" w:space="0"/>
              <w:right w:val="single" w:color="auto" w:sz="4" w:space="0"/>
            </w:tcBorders>
            <w:vAlign w:val="center"/>
          </w:tcPr>
          <w:p w14:paraId="56E402D2">
            <w:pPr>
              <w:widowControl/>
              <w:jc w:val="center"/>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79C6400B">
            <w:pPr>
              <w:widowControl/>
              <w:jc w:val="center"/>
              <w:rPr>
                <w:kern w:val="0"/>
                <w:sz w:val="22"/>
                <w:szCs w:val="22"/>
                <w:highlight w:val="none"/>
              </w:rPr>
            </w:pPr>
          </w:p>
        </w:tc>
      </w:tr>
      <w:tr w14:paraId="159921E4">
        <w:tblPrEx>
          <w:tblCellMar>
            <w:top w:w="0" w:type="dxa"/>
            <w:left w:w="108" w:type="dxa"/>
            <w:bottom w:w="0" w:type="dxa"/>
            <w:right w:w="108" w:type="dxa"/>
          </w:tblCellMar>
        </w:tblPrEx>
        <w:trPr>
          <w:trHeight w:val="773" w:hRule="atLeast"/>
          <w:jc w:val="center"/>
        </w:trPr>
        <w:tc>
          <w:tcPr>
            <w:tcW w:w="853" w:type="dxa"/>
            <w:tcBorders>
              <w:top w:val="nil"/>
              <w:left w:val="single" w:color="auto" w:sz="4" w:space="0"/>
              <w:bottom w:val="single" w:color="auto" w:sz="4" w:space="0"/>
              <w:right w:val="single" w:color="auto" w:sz="4" w:space="0"/>
            </w:tcBorders>
            <w:vAlign w:val="center"/>
          </w:tcPr>
          <w:p w14:paraId="308D2782">
            <w:pPr>
              <w:widowControl/>
              <w:jc w:val="center"/>
              <w:rPr>
                <w:kern w:val="0"/>
                <w:sz w:val="22"/>
                <w:szCs w:val="22"/>
                <w:highlight w:val="none"/>
              </w:rPr>
            </w:pPr>
          </w:p>
        </w:tc>
        <w:tc>
          <w:tcPr>
            <w:tcW w:w="4727" w:type="dxa"/>
            <w:gridSpan w:val="2"/>
            <w:tcBorders>
              <w:top w:val="nil"/>
              <w:left w:val="nil"/>
              <w:bottom w:val="single" w:color="auto" w:sz="4" w:space="0"/>
              <w:right w:val="single" w:color="auto" w:sz="4" w:space="0"/>
            </w:tcBorders>
            <w:vAlign w:val="center"/>
          </w:tcPr>
          <w:p w14:paraId="4D51A8A1">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4747718A">
            <w:pPr>
              <w:widowControl/>
              <w:jc w:val="left"/>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75B67547">
            <w:pPr>
              <w:widowControl/>
              <w:jc w:val="center"/>
              <w:rPr>
                <w:kern w:val="0"/>
                <w:sz w:val="22"/>
                <w:szCs w:val="22"/>
                <w:highlight w:val="none"/>
              </w:rPr>
            </w:pPr>
          </w:p>
        </w:tc>
      </w:tr>
      <w:tr w14:paraId="2CE11D2C">
        <w:tblPrEx>
          <w:tblCellMar>
            <w:top w:w="0" w:type="dxa"/>
            <w:left w:w="108" w:type="dxa"/>
            <w:bottom w:w="0" w:type="dxa"/>
            <w:right w:w="108" w:type="dxa"/>
          </w:tblCellMar>
        </w:tblPrEx>
        <w:trPr>
          <w:trHeight w:val="774" w:hRule="atLeast"/>
          <w:jc w:val="center"/>
        </w:trPr>
        <w:tc>
          <w:tcPr>
            <w:tcW w:w="853" w:type="dxa"/>
            <w:tcBorders>
              <w:top w:val="nil"/>
              <w:left w:val="single" w:color="auto" w:sz="4" w:space="0"/>
              <w:bottom w:val="single" w:color="auto" w:sz="4" w:space="0"/>
              <w:right w:val="single" w:color="auto" w:sz="4" w:space="0"/>
            </w:tcBorders>
            <w:vAlign w:val="center"/>
          </w:tcPr>
          <w:p w14:paraId="3FB0056B">
            <w:pPr>
              <w:widowControl/>
              <w:jc w:val="center"/>
              <w:rPr>
                <w:kern w:val="0"/>
                <w:sz w:val="22"/>
                <w:szCs w:val="22"/>
                <w:highlight w:val="none"/>
              </w:rPr>
            </w:pPr>
          </w:p>
        </w:tc>
        <w:tc>
          <w:tcPr>
            <w:tcW w:w="4727" w:type="dxa"/>
            <w:gridSpan w:val="2"/>
            <w:tcBorders>
              <w:top w:val="nil"/>
              <w:left w:val="nil"/>
              <w:bottom w:val="single" w:color="auto" w:sz="4" w:space="0"/>
              <w:right w:val="single" w:color="auto" w:sz="4" w:space="0"/>
            </w:tcBorders>
            <w:vAlign w:val="center"/>
          </w:tcPr>
          <w:p w14:paraId="79419C9C">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44036704">
            <w:pPr>
              <w:widowControl/>
              <w:jc w:val="center"/>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4FFFFCCE">
            <w:pPr>
              <w:widowControl/>
              <w:jc w:val="center"/>
              <w:rPr>
                <w:kern w:val="0"/>
                <w:sz w:val="22"/>
                <w:szCs w:val="22"/>
                <w:highlight w:val="none"/>
              </w:rPr>
            </w:pPr>
          </w:p>
        </w:tc>
      </w:tr>
      <w:tr w14:paraId="1F3A6E91">
        <w:tblPrEx>
          <w:tblCellMar>
            <w:top w:w="0" w:type="dxa"/>
            <w:left w:w="108" w:type="dxa"/>
            <w:bottom w:w="0" w:type="dxa"/>
            <w:right w:w="108" w:type="dxa"/>
          </w:tblCellMar>
        </w:tblPrEx>
        <w:trPr>
          <w:trHeight w:val="773" w:hRule="atLeast"/>
          <w:jc w:val="center"/>
        </w:trPr>
        <w:tc>
          <w:tcPr>
            <w:tcW w:w="853" w:type="dxa"/>
            <w:tcBorders>
              <w:top w:val="nil"/>
              <w:left w:val="single" w:color="auto" w:sz="4" w:space="0"/>
              <w:bottom w:val="single" w:color="auto" w:sz="4" w:space="0"/>
              <w:right w:val="single" w:color="auto" w:sz="4" w:space="0"/>
            </w:tcBorders>
            <w:vAlign w:val="center"/>
          </w:tcPr>
          <w:p w14:paraId="12F33777">
            <w:pPr>
              <w:widowControl/>
              <w:jc w:val="center"/>
              <w:rPr>
                <w:kern w:val="0"/>
                <w:sz w:val="22"/>
                <w:szCs w:val="22"/>
                <w:highlight w:val="none"/>
              </w:rPr>
            </w:pPr>
          </w:p>
        </w:tc>
        <w:tc>
          <w:tcPr>
            <w:tcW w:w="4727" w:type="dxa"/>
            <w:gridSpan w:val="2"/>
            <w:tcBorders>
              <w:top w:val="nil"/>
              <w:left w:val="nil"/>
              <w:bottom w:val="single" w:color="auto" w:sz="4" w:space="0"/>
              <w:right w:val="single" w:color="auto" w:sz="4" w:space="0"/>
            </w:tcBorders>
            <w:vAlign w:val="center"/>
          </w:tcPr>
          <w:p w14:paraId="6FB037A0">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5B9D640A">
            <w:pPr>
              <w:widowControl/>
              <w:jc w:val="left"/>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0AAB73F6">
            <w:pPr>
              <w:widowControl/>
              <w:jc w:val="center"/>
              <w:rPr>
                <w:kern w:val="0"/>
                <w:sz w:val="22"/>
                <w:szCs w:val="22"/>
                <w:highlight w:val="none"/>
              </w:rPr>
            </w:pPr>
          </w:p>
        </w:tc>
      </w:tr>
      <w:tr w14:paraId="49CC884D">
        <w:tblPrEx>
          <w:tblCellMar>
            <w:top w:w="0" w:type="dxa"/>
            <w:left w:w="108" w:type="dxa"/>
            <w:bottom w:w="0" w:type="dxa"/>
            <w:right w:w="108" w:type="dxa"/>
          </w:tblCellMar>
        </w:tblPrEx>
        <w:trPr>
          <w:trHeight w:val="773" w:hRule="atLeast"/>
          <w:jc w:val="center"/>
        </w:trPr>
        <w:tc>
          <w:tcPr>
            <w:tcW w:w="853" w:type="dxa"/>
            <w:tcBorders>
              <w:top w:val="nil"/>
              <w:left w:val="single" w:color="auto" w:sz="4" w:space="0"/>
              <w:bottom w:val="single" w:color="auto" w:sz="4" w:space="0"/>
              <w:right w:val="single" w:color="auto" w:sz="4" w:space="0"/>
            </w:tcBorders>
            <w:vAlign w:val="center"/>
          </w:tcPr>
          <w:p w14:paraId="05868BFD">
            <w:pPr>
              <w:widowControl/>
              <w:jc w:val="center"/>
              <w:rPr>
                <w:kern w:val="0"/>
                <w:sz w:val="22"/>
                <w:szCs w:val="22"/>
                <w:highlight w:val="none"/>
              </w:rPr>
            </w:pPr>
          </w:p>
        </w:tc>
        <w:tc>
          <w:tcPr>
            <w:tcW w:w="4727" w:type="dxa"/>
            <w:gridSpan w:val="2"/>
            <w:tcBorders>
              <w:top w:val="nil"/>
              <w:left w:val="nil"/>
              <w:bottom w:val="single" w:color="auto" w:sz="4" w:space="0"/>
              <w:right w:val="single" w:color="auto" w:sz="4" w:space="0"/>
            </w:tcBorders>
            <w:vAlign w:val="center"/>
          </w:tcPr>
          <w:p w14:paraId="1171EAFF">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5CEFBD59">
            <w:pPr>
              <w:widowControl/>
              <w:jc w:val="left"/>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3CBED5ED">
            <w:pPr>
              <w:widowControl/>
              <w:jc w:val="center"/>
              <w:rPr>
                <w:kern w:val="0"/>
                <w:sz w:val="22"/>
                <w:szCs w:val="22"/>
                <w:highlight w:val="none"/>
              </w:rPr>
            </w:pPr>
          </w:p>
        </w:tc>
      </w:tr>
      <w:tr w14:paraId="48DA7823">
        <w:tblPrEx>
          <w:tblCellMar>
            <w:top w:w="0" w:type="dxa"/>
            <w:left w:w="108" w:type="dxa"/>
            <w:bottom w:w="0" w:type="dxa"/>
            <w:right w:w="108" w:type="dxa"/>
          </w:tblCellMar>
        </w:tblPrEx>
        <w:trPr>
          <w:trHeight w:val="774" w:hRule="atLeast"/>
          <w:jc w:val="center"/>
        </w:trPr>
        <w:tc>
          <w:tcPr>
            <w:tcW w:w="853" w:type="dxa"/>
            <w:tcBorders>
              <w:top w:val="nil"/>
              <w:left w:val="single" w:color="auto" w:sz="4" w:space="0"/>
              <w:bottom w:val="single" w:color="auto" w:sz="4" w:space="0"/>
              <w:right w:val="single" w:color="auto" w:sz="4" w:space="0"/>
            </w:tcBorders>
            <w:vAlign w:val="center"/>
          </w:tcPr>
          <w:p w14:paraId="022C341B">
            <w:pPr>
              <w:widowControl/>
              <w:jc w:val="center"/>
              <w:rPr>
                <w:kern w:val="0"/>
                <w:sz w:val="22"/>
                <w:szCs w:val="22"/>
                <w:highlight w:val="none"/>
              </w:rPr>
            </w:pPr>
          </w:p>
        </w:tc>
        <w:tc>
          <w:tcPr>
            <w:tcW w:w="4727" w:type="dxa"/>
            <w:gridSpan w:val="2"/>
            <w:tcBorders>
              <w:top w:val="nil"/>
              <w:left w:val="nil"/>
              <w:bottom w:val="single" w:color="auto" w:sz="4" w:space="0"/>
              <w:right w:val="single" w:color="auto" w:sz="4" w:space="0"/>
            </w:tcBorders>
            <w:vAlign w:val="center"/>
          </w:tcPr>
          <w:p w14:paraId="08B9CEA9">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0EC7D147">
            <w:pPr>
              <w:widowControl/>
              <w:jc w:val="left"/>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6450CCCF">
            <w:pPr>
              <w:widowControl/>
              <w:jc w:val="center"/>
              <w:rPr>
                <w:kern w:val="0"/>
                <w:sz w:val="22"/>
                <w:szCs w:val="22"/>
                <w:highlight w:val="none"/>
              </w:rPr>
            </w:pPr>
          </w:p>
        </w:tc>
      </w:tr>
      <w:tr w14:paraId="01A42EF2">
        <w:tblPrEx>
          <w:tblCellMar>
            <w:top w:w="0" w:type="dxa"/>
            <w:left w:w="108" w:type="dxa"/>
            <w:bottom w:w="0" w:type="dxa"/>
            <w:right w:w="108" w:type="dxa"/>
          </w:tblCellMar>
        </w:tblPrEx>
        <w:trPr>
          <w:trHeight w:val="773" w:hRule="atLeast"/>
          <w:jc w:val="center"/>
        </w:trPr>
        <w:tc>
          <w:tcPr>
            <w:tcW w:w="853" w:type="dxa"/>
            <w:tcBorders>
              <w:top w:val="nil"/>
              <w:left w:val="single" w:color="auto" w:sz="4" w:space="0"/>
              <w:bottom w:val="single" w:color="auto" w:sz="4" w:space="0"/>
              <w:right w:val="single" w:color="auto" w:sz="4" w:space="0"/>
            </w:tcBorders>
            <w:vAlign w:val="center"/>
          </w:tcPr>
          <w:p w14:paraId="7FF69E5B">
            <w:pPr>
              <w:widowControl/>
              <w:jc w:val="center"/>
              <w:rPr>
                <w:kern w:val="0"/>
                <w:sz w:val="22"/>
                <w:szCs w:val="22"/>
                <w:highlight w:val="none"/>
              </w:rPr>
            </w:pPr>
          </w:p>
        </w:tc>
        <w:tc>
          <w:tcPr>
            <w:tcW w:w="4727" w:type="dxa"/>
            <w:gridSpan w:val="2"/>
            <w:tcBorders>
              <w:top w:val="nil"/>
              <w:left w:val="nil"/>
              <w:bottom w:val="single" w:color="auto" w:sz="4" w:space="0"/>
              <w:right w:val="single" w:color="auto" w:sz="4" w:space="0"/>
            </w:tcBorders>
            <w:vAlign w:val="center"/>
          </w:tcPr>
          <w:p w14:paraId="6B795A72">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10F47820">
            <w:pPr>
              <w:widowControl/>
              <w:jc w:val="left"/>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30B1C468">
            <w:pPr>
              <w:widowControl/>
              <w:jc w:val="left"/>
              <w:rPr>
                <w:kern w:val="0"/>
                <w:sz w:val="22"/>
                <w:szCs w:val="22"/>
                <w:highlight w:val="none"/>
              </w:rPr>
            </w:pPr>
          </w:p>
        </w:tc>
      </w:tr>
      <w:tr w14:paraId="7C88FE55">
        <w:tblPrEx>
          <w:tblCellMar>
            <w:top w:w="0" w:type="dxa"/>
            <w:left w:w="108" w:type="dxa"/>
            <w:bottom w:w="0" w:type="dxa"/>
            <w:right w:w="108" w:type="dxa"/>
          </w:tblCellMar>
        </w:tblPrEx>
        <w:trPr>
          <w:trHeight w:val="773" w:hRule="atLeast"/>
          <w:jc w:val="center"/>
        </w:trPr>
        <w:tc>
          <w:tcPr>
            <w:tcW w:w="853" w:type="dxa"/>
            <w:tcBorders>
              <w:top w:val="nil"/>
              <w:left w:val="single" w:color="auto" w:sz="4" w:space="0"/>
              <w:bottom w:val="single" w:color="auto" w:sz="4" w:space="0"/>
              <w:right w:val="single" w:color="auto" w:sz="4" w:space="0"/>
            </w:tcBorders>
            <w:vAlign w:val="center"/>
          </w:tcPr>
          <w:p w14:paraId="6DF58A59">
            <w:pPr>
              <w:widowControl/>
              <w:jc w:val="center"/>
              <w:rPr>
                <w:kern w:val="0"/>
                <w:sz w:val="22"/>
                <w:szCs w:val="22"/>
                <w:highlight w:val="none"/>
              </w:rPr>
            </w:pPr>
          </w:p>
        </w:tc>
        <w:tc>
          <w:tcPr>
            <w:tcW w:w="4727" w:type="dxa"/>
            <w:gridSpan w:val="2"/>
            <w:tcBorders>
              <w:top w:val="nil"/>
              <w:left w:val="nil"/>
              <w:bottom w:val="single" w:color="auto" w:sz="4" w:space="0"/>
              <w:right w:val="single" w:color="auto" w:sz="4" w:space="0"/>
            </w:tcBorders>
            <w:vAlign w:val="center"/>
          </w:tcPr>
          <w:p w14:paraId="173A6832">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465BE153">
            <w:pPr>
              <w:widowControl/>
              <w:jc w:val="left"/>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0770ADC8">
            <w:pPr>
              <w:widowControl/>
              <w:jc w:val="left"/>
              <w:rPr>
                <w:kern w:val="0"/>
                <w:sz w:val="22"/>
                <w:szCs w:val="22"/>
                <w:highlight w:val="none"/>
              </w:rPr>
            </w:pPr>
          </w:p>
        </w:tc>
      </w:tr>
      <w:tr w14:paraId="56569680">
        <w:tblPrEx>
          <w:tblCellMar>
            <w:top w:w="0" w:type="dxa"/>
            <w:left w:w="108" w:type="dxa"/>
            <w:bottom w:w="0" w:type="dxa"/>
            <w:right w:w="108" w:type="dxa"/>
          </w:tblCellMar>
        </w:tblPrEx>
        <w:trPr>
          <w:trHeight w:val="773" w:hRule="atLeast"/>
          <w:jc w:val="center"/>
        </w:trPr>
        <w:tc>
          <w:tcPr>
            <w:tcW w:w="853" w:type="dxa"/>
            <w:tcBorders>
              <w:top w:val="nil"/>
              <w:left w:val="single" w:color="auto" w:sz="4" w:space="0"/>
              <w:bottom w:val="single" w:color="auto" w:sz="4" w:space="0"/>
              <w:right w:val="single" w:color="auto" w:sz="4" w:space="0"/>
            </w:tcBorders>
            <w:vAlign w:val="center"/>
          </w:tcPr>
          <w:p w14:paraId="318E9352">
            <w:pPr>
              <w:widowControl/>
              <w:jc w:val="center"/>
              <w:rPr>
                <w:kern w:val="0"/>
                <w:sz w:val="22"/>
                <w:szCs w:val="22"/>
                <w:highlight w:val="none"/>
              </w:rPr>
            </w:pPr>
          </w:p>
        </w:tc>
        <w:tc>
          <w:tcPr>
            <w:tcW w:w="4727" w:type="dxa"/>
            <w:gridSpan w:val="2"/>
            <w:tcBorders>
              <w:top w:val="nil"/>
              <w:left w:val="nil"/>
              <w:bottom w:val="single" w:color="auto" w:sz="4" w:space="0"/>
              <w:right w:val="single" w:color="auto" w:sz="4" w:space="0"/>
            </w:tcBorders>
            <w:vAlign w:val="center"/>
          </w:tcPr>
          <w:p w14:paraId="4F938F09">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32DC4AEA">
            <w:pPr>
              <w:widowControl/>
              <w:jc w:val="left"/>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30DCB7D7">
            <w:pPr>
              <w:widowControl/>
              <w:jc w:val="left"/>
              <w:rPr>
                <w:kern w:val="0"/>
                <w:sz w:val="22"/>
                <w:szCs w:val="22"/>
                <w:highlight w:val="none"/>
              </w:rPr>
            </w:pPr>
          </w:p>
        </w:tc>
      </w:tr>
      <w:tr w14:paraId="33882E46">
        <w:tblPrEx>
          <w:tblCellMar>
            <w:top w:w="0" w:type="dxa"/>
            <w:left w:w="108" w:type="dxa"/>
            <w:bottom w:w="0" w:type="dxa"/>
            <w:right w:w="108" w:type="dxa"/>
          </w:tblCellMar>
        </w:tblPrEx>
        <w:trPr>
          <w:trHeight w:val="774" w:hRule="atLeast"/>
          <w:jc w:val="center"/>
        </w:trPr>
        <w:tc>
          <w:tcPr>
            <w:tcW w:w="853" w:type="dxa"/>
            <w:tcBorders>
              <w:top w:val="nil"/>
              <w:left w:val="single" w:color="auto" w:sz="4" w:space="0"/>
              <w:bottom w:val="single" w:color="auto" w:sz="4" w:space="0"/>
              <w:right w:val="single" w:color="auto" w:sz="4" w:space="0"/>
            </w:tcBorders>
            <w:vAlign w:val="center"/>
          </w:tcPr>
          <w:p w14:paraId="71D0BE68">
            <w:pPr>
              <w:widowControl/>
              <w:jc w:val="center"/>
              <w:rPr>
                <w:kern w:val="0"/>
                <w:sz w:val="22"/>
                <w:szCs w:val="22"/>
                <w:highlight w:val="none"/>
              </w:rPr>
            </w:pPr>
          </w:p>
        </w:tc>
        <w:tc>
          <w:tcPr>
            <w:tcW w:w="4727" w:type="dxa"/>
            <w:gridSpan w:val="2"/>
            <w:tcBorders>
              <w:top w:val="nil"/>
              <w:left w:val="nil"/>
              <w:bottom w:val="single" w:color="auto" w:sz="4" w:space="0"/>
              <w:right w:val="single" w:color="auto" w:sz="4" w:space="0"/>
            </w:tcBorders>
            <w:vAlign w:val="center"/>
          </w:tcPr>
          <w:p w14:paraId="68965E44">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760EDF7C">
            <w:pPr>
              <w:widowControl/>
              <w:jc w:val="left"/>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67E26089">
            <w:pPr>
              <w:widowControl/>
              <w:jc w:val="left"/>
              <w:rPr>
                <w:kern w:val="0"/>
                <w:sz w:val="22"/>
                <w:szCs w:val="22"/>
                <w:highlight w:val="none"/>
              </w:rPr>
            </w:pPr>
          </w:p>
        </w:tc>
      </w:tr>
      <w:tr w14:paraId="3875F7DD">
        <w:tblPrEx>
          <w:tblCellMar>
            <w:top w:w="0" w:type="dxa"/>
            <w:left w:w="108" w:type="dxa"/>
            <w:bottom w:w="0" w:type="dxa"/>
            <w:right w:w="108" w:type="dxa"/>
          </w:tblCellMar>
        </w:tblPrEx>
        <w:trPr>
          <w:trHeight w:val="827" w:hRule="atLeast"/>
          <w:jc w:val="center"/>
        </w:trPr>
        <w:tc>
          <w:tcPr>
            <w:tcW w:w="5580" w:type="dxa"/>
            <w:gridSpan w:val="3"/>
            <w:tcBorders>
              <w:top w:val="single" w:color="auto" w:sz="4" w:space="0"/>
              <w:left w:val="single" w:color="auto" w:sz="4" w:space="0"/>
              <w:bottom w:val="single" w:color="auto" w:sz="4" w:space="0"/>
              <w:right w:val="nil"/>
            </w:tcBorders>
            <w:vAlign w:val="center"/>
          </w:tcPr>
          <w:p w14:paraId="2A506D4C">
            <w:pPr>
              <w:widowControl/>
              <w:jc w:val="center"/>
              <w:rPr>
                <w:kern w:val="0"/>
                <w:sz w:val="22"/>
                <w:szCs w:val="22"/>
                <w:highlight w:val="none"/>
              </w:rPr>
            </w:pPr>
            <w:r>
              <w:rPr>
                <w:kern w:val="0"/>
                <w:sz w:val="21"/>
                <w:szCs w:val="21"/>
                <w:highlight w:val="none"/>
              </w:rPr>
              <w:t>合计</w:t>
            </w:r>
          </w:p>
        </w:tc>
        <w:tc>
          <w:tcPr>
            <w:tcW w:w="2008" w:type="dxa"/>
            <w:tcBorders>
              <w:top w:val="nil"/>
              <w:left w:val="single" w:color="auto" w:sz="4" w:space="0"/>
              <w:bottom w:val="single" w:color="auto" w:sz="4" w:space="0"/>
              <w:right w:val="single" w:color="auto" w:sz="4" w:space="0"/>
            </w:tcBorders>
            <w:vAlign w:val="center"/>
          </w:tcPr>
          <w:p w14:paraId="76DEB4A7">
            <w:pPr>
              <w:widowControl/>
              <w:jc w:val="left"/>
              <w:rPr>
                <w:kern w:val="0"/>
                <w:sz w:val="22"/>
                <w:szCs w:val="22"/>
                <w:highlight w:val="none"/>
              </w:rPr>
            </w:pPr>
            <w:r>
              <w:rPr>
                <w:kern w:val="0"/>
                <w:sz w:val="22"/>
                <w:szCs w:val="22"/>
                <w:highlight w:val="none"/>
              </w:rPr>
              <w:t>　</w:t>
            </w:r>
          </w:p>
        </w:tc>
        <w:tc>
          <w:tcPr>
            <w:tcW w:w="1262" w:type="dxa"/>
            <w:tcBorders>
              <w:top w:val="nil"/>
              <w:left w:val="nil"/>
              <w:bottom w:val="single" w:color="auto" w:sz="4" w:space="0"/>
              <w:right w:val="single" w:color="auto" w:sz="4" w:space="0"/>
            </w:tcBorders>
            <w:vAlign w:val="center"/>
          </w:tcPr>
          <w:p w14:paraId="5B165CE4">
            <w:pPr>
              <w:widowControl/>
              <w:jc w:val="center"/>
              <w:rPr>
                <w:kern w:val="0"/>
                <w:sz w:val="22"/>
                <w:szCs w:val="22"/>
                <w:highlight w:val="none"/>
              </w:rPr>
            </w:pPr>
          </w:p>
        </w:tc>
      </w:tr>
    </w:tbl>
    <w:p w14:paraId="68FF4552">
      <w:pPr>
        <w:rPr>
          <w:rFonts w:hint="eastAsia" w:eastAsiaTheme="minorEastAsia"/>
          <w:szCs w:val="21"/>
          <w:highlight w:val="none"/>
          <w:lang w:eastAsia="zh-CN"/>
        </w:rPr>
      </w:pPr>
      <w:r>
        <w:rPr>
          <w:rFonts w:hint="eastAsia"/>
          <w:szCs w:val="21"/>
          <w:highlight w:val="none"/>
          <w:lang w:eastAsia="zh-CN"/>
        </w:rPr>
        <w:t>注：此表仅统计汇总材料暂估价总金额，材料暂估价应计入清单项目综合单价，不重复计入建安工程费中。</w:t>
      </w:r>
    </w:p>
    <w:p w14:paraId="2DC95B3A">
      <w:pPr>
        <w:rPr>
          <w:szCs w:val="21"/>
          <w:highlight w:val="none"/>
        </w:rPr>
        <w:sectPr>
          <w:pgSz w:w="11907" w:h="16840"/>
          <w:pgMar w:top="1417" w:right="1417" w:bottom="1417" w:left="1417" w:header="851" w:footer="851" w:gutter="0"/>
          <w:pgNumType w:fmt="decimal"/>
          <w:cols w:space="425" w:num="1"/>
          <w:docGrid w:type="lines" w:linePitch="312" w:charSpace="0"/>
        </w:sectPr>
      </w:pPr>
    </w:p>
    <w:p w14:paraId="78EAC082">
      <w:pPr>
        <w:jc w:val="center"/>
        <w:outlineLvl w:val="2"/>
        <w:rPr>
          <w:rFonts w:hint="eastAsia"/>
          <w:b w:val="0"/>
          <w:bCs w:val="0"/>
          <w:kern w:val="0"/>
          <w:sz w:val="28"/>
          <w:szCs w:val="28"/>
          <w:highlight w:val="none"/>
        </w:rPr>
      </w:pPr>
      <w:r>
        <w:rPr>
          <w:rFonts w:hint="eastAsia"/>
          <w:b w:val="0"/>
          <w:bCs w:val="0"/>
          <w:kern w:val="0"/>
          <w:sz w:val="28"/>
          <w:szCs w:val="28"/>
          <w:highlight w:val="none"/>
        </w:rPr>
        <w:t>材料暂估单价及调整表</w:t>
      </w:r>
    </w:p>
    <w:p w14:paraId="1CE247D6">
      <w:pPr>
        <w:jc w:val="center"/>
        <w:rPr>
          <w:rFonts w:hint="eastAsia"/>
          <w:b w:val="0"/>
          <w:bCs w:val="0"/>
          <w:kern w:val="0"/>
          <w:sz w:val="28"/>
          <w:szCs w:val="28"/>
          <w:highlight w:val="none"/>
        </w:rPr>
      </w:pPr>
    </w:p>
    <w:tbl>
      <w:tblPr>
        <w:tblStyle w:val="108"/>
        <w:tblW w:w="9168" w:type="dxa"/>
        <w:tblInd w:w="-6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3"/>
        <w:gridCol w:w="544"/>
        <w:gridCol w:w="581"/>
        <w:gridCol w:w="563"/>
        <w:gridCol w:w="544"/>
        <w:gridCol w:w="586"/>
        <w:gridCol w:w="825"/>
        <w:gridCol w:w="885"/>
        <w:gridCol w:w="600"/>
        <w:gridCol w:w="855"/>
        <w:gridCol w:w="885"/>
        <w:gridCol w:w="1190"/>
        <w:gridCol w:w="567"/>
      </w:tblGrid>
      <w:tr w14:paraId="6A4CEB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6526" w:type="dxa"/>
            <w:gridSpan w:val="10"/>
            <w:tcBorders>
              <w:top w:val="nil"/>
              <w:left w:val="nil"/>
              <w:bottom w:val="single" w:color="auto" w:sz="4" w:space="0"/>
              <w:right w:val="nil"/>
            </w:tcBorders>
            <w:vAlign w:val="center"/>
          </w:tcPr>
          <w:p w14:paraId="0CECC6D4">
            <w:pPr>
              <w:widowControl/>
              <w:jc w:val="left"/>
              <w:rPr>
                <w:kern w:val="0"/>
                <w:sz w:val="21"/>
                <w:szCs w:val="21"/>
                <w:highlight w:val="none"/>
              </w:rPr>
            </w:pPr>
            <w:r>
              <w:rPr>
                <w:kern w:val="0"/>
                <w:sz w:val="21"/>
                <w:szCs w:val="21"/>
                <w:highlight w:val="none"/>
              </w:rPr>
              <w:t>工程名称：                标段：</w:t>
            </w:r>
          </w:p>
        </w:tc>
        <w:tc>
          <w:tcPr>
            <w:tcW w:w="2642" w:type="dxa"/>
            <w:gridSpan w:val="3"/>
            <w:tcBorders>
              <w:top w:val="nil"/>
              <w:left w:val="nil"/>
              <w:bottom w:val="single" w:color="auto" w:sz="4" w:space="0"/>
              <w:right w:val="nil"/>
            </w:tcBorders>
            <w:vAlign w:val="center"/>
          </w:tcPr>
          <w:p w14:paraId="353CE5F8">
            <w:pPr>
              <w:widowControl/>
              <w:jc w:val="center"/>
              <w:rPr>
                <w:kern w:val="0"/>
                <w:sz w:val="21"/>
                <w:szCs w:val="21"/>
                <w:highlight w:val="none"/>
              </w:rPr>
            </w:pPr>
            <w:r>
              <w:rPr>
                <w:kern w:val="0"/>
                <w:sz w:val="21"/>
                <w:szCs w:val="21"/>
                <w:highlight w:val="none"/>
              </w:rPr>
              <w:t>第   页   共    页</w:t>
            </w:r>
            <w:r>
              <w:rPr>
                <w:rFonts w:hint="eastAsia"/>
                <w:kern w:val="0"/>
                <w:sz w:val="21"/>
                <w:szCs w:val="21"/>
                <w:highlight w:val="none"/>
                <w:lang w:val="en-US" w:eastAsia="zh-CN"/>
              </w:rPr>
              <w:t xml:space="preserve"> </w:t>
            </w:r>
          </w:p>
        </w:tc>
      </w:tr>
      <w:tr w14:paraId="01A8B7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543" w:type="dxa"/>
            <w:vMerge w:val="restart"/>
            <w:tcBorders>
              <w:top w:val="single" w:color="auto" w:sz="4" w:space="0"/>
              <w:left w:val="single" w:color="auto" w:sz="4" w:space="0"/>
              <w:bottom w:val="single" w:color="auto" w:sz="4" w:space="0"/>
              <w:right w:val="single" w:color="auto" w:sz="4" w:space="0"/>
            </w:tcBorders>
            <w:vAlign w:val="center"/>
          </w:tcPr>
          <w:p w14:paraId="3907157F">
            <w:pPr>
              <w:widowControl/>
              <w:jc w:val="center"/>
              <w:rPr>
                <w:kern w:val="0"/>
                <w:sz w:val="21"/>
                <w:szCs w:val="21"/>
                <w:highlight w:val="none"/>
              </w:rPr>
            </w:pPr>
            <w:r>
              <w:rPr>
                <w:kern w:val="0"/>
                <w:sz w:val="21"/>
                <w:szCs w:val="21"/>
                <w:highlight w:val="none"/>
              </w:rPr>
              <w:t>序号</w:t>
            </w:r>
          </w:p>
        </w:tc>
        <w:tc>
          <w:tcPr>
            <w:tcW w:w="544" w:type="dxa"/>
            <w:vMerge w:val="restart"/>
            <w:tcBorders>
              <w:top w:val="single" w:color="auto" w:sz="4" w:space="0"/>
              <w:left w:val="single" w:color="auto" w:sz="4" w:space="0"/>
              <w:bottom w:val="single" w:color="auto" w:sz="4" w:space="0"/>
              <w:right w:val="single" w:color="auto" w:sz="4" w:space="0"/>
            </w:tcBorders>
            <w:vAlign w:val="center"/>
          </w:tcPr>
          <w:p w14:paraId="46FB633D">
            <w:pPr>
              <w:widowControl/>
              <w:jc w:val="center"/>
              <w:rPr>
                <w:kern w:val="0"/>
                <w:sz w:val="21"/>
                <w:szCs w:val="21"/>
                <w:highlight w:val="none"/>
              </w:rPr>
            </w:pPr>
            <w:r>
              <w:rPr>
                <w:kern w:val="0"/>
                <w:sz w:val="21"/>
                <w:szCs w:val="21"/>
                <w:highlight w:val="none"/>
              </w:rPr>
              <w:t>项目编码</w:t>
            </w:r>
          </w:p>
        </w:tc>
        <w:tc>
          <w:tcPr>
            <w:tcW w:w="581" w:type="dxa"/>
            <w:vMerge w:val="restart"/>
            <w:tcBorders>
              <w:top w:val="single" w:color="auto" w:sz="4" w:space="0"/>
              <w:left w:val="single" w:color="auto" w:sz="4" w:space="0"/>
              <w:bottom w:val="single" w:color="auto" w:sz="4" w:space="0"/>
              <w:right w:val="single" w:color="auto" w:sz="4" w:space="0"/>
            </w:tcBorders>
            <w:vAlign w:val="center"/>
          </w:tcPr>
          <w:p w14:paraId="18DF17F9">
            <w:pPr>
              <w:widowControl/>
              <w:jc w:val="center"/>
              <w:rPr>
                <w:kern w:val="0"/>
                <w:sz w:val="21"/>
                <w:szCs w:val="21"/>
                <w:highlight w:val="none"/>
              </w:rPr>
            </w:pPr>
            <w:r>
              <w:rPr>
                <w:kern w:val="0"/>
                <w:sz w:val="21"/>
                <w:szCs w:val="21"/>
                <w:highlight w:val="none"/>
              </w:rPr>
              <w:t>材料名称</w:t>
            </w:r>
          </w:p>
        </w:tc>
        <w:tc>
          <w:tcPr>
            <w:tcW w:w="563" w:type="dxa"/>
            <w:vMerge w:val="restart"/>
            <w:tcBorders>
              <w:top w:val="single" w:color="auto" w:sz="4" w:space="0"/>
              <w:left w:val="single" w:color="auto" w:sz="4" w:space="0"/>
              <w:bottom w:val="single" w:color="auto" w:sz="4" w:space="0"/>
              <w:right w:val="single" w:color="auto" w:sz="4" w:space="0"/>
            </w:tcBorders>
            <w:vAlign w:val="center"/>
          </w:tcPr>
          <w:p w14:paraId="421204AE">
            <w:pPr>
              <w:widowControl/>
              <w:jc w:val="center"/>
              <w:rPr>
                <w:kern w:val="0"/>
                <w:sz w:val="21"/>
                <w:szCs w:val="21"/>
                <w:highlight w:val="none"/>
              </w:rPr>
            </w:pPr>
            <w:r>
              <w:rPr>
                <w:kern w:val="0"/>
                <w:sz w:val="21"/>
                <w:szCs w:val="21"/>
                <w:highlight w:val="none"/>
              </w:rPr>
              <w:t>规格型号</w:t>
            </w:r>
          </w:p>
        </w:tc>
        <w:tc>
          <w:tcPr>
            <w:tcW w:w="544" w:type="dxa"/>
            <w:vMerge w:val="restart"/>
            <w:tcBorders>
              <w:top w:val="single" w:color="auto" w:sz="4" w:space="0"/>
              <w:left w:val="single" w:color="auto" w:sz="4" w:space="0"/>
              <w:bottom w:val="single" w:color="auto" w:sz="4" w:space="0"/>
              <w:right w:val="single" w:color="auto" w:sz="4" w:space="0"/>
            </w:tcBorders>
            <w:vAlign w:val="center"/>
          </w:tcPr>
          <w:p w14:paraId="31AB0A56">
            <w:pPr>
              <w:widowControl/>
              <w:jc w:val="center"/>
              <w:rPr>
                <w:kern w:val="0"/>
                <w:sz w:val="21"/>
                <w:szCs w:val="21"/>
                <w:highlight w:val="none"/>
              </w:rPr>
            </w:pPr>
            <w:r>
              <w:rPr>
                <w:kern w:val="0"/>
                <w:sz w:val="21"/>
                <w:szCs w:val="21"/>
                <w:highlight w:val="none"/>
              </w:rPr>
              <w:t>计量单位</w:t>
            </w:r>
          </w:p>
        </w:tc>
        <w:tc>
          <w:tcPr>
            <w:tcW w:w="2296" w:type="dxa"/>
            <w:gridSpan w:val="3"/>
            <w:tcBorders>
              <w:top w:val="single" w:color="auto" w:sz="4" w:space="0"/>
              <w:left w:val="single" w:color="auto" w:sz="4" w:space="0"/>
              <w:bottom w:val="single" w:color="auto" w:sz="4" w:space="0"/>
              <w:right w:val="single" w:color="auto" w:sz="4" w:space="0"/>
            </w:tcBorders>
            <w:vAlign w:val="center"/>
          </w:tcPr>
          <w:p w14:paraId="38E1E93D">
            <w:pPr>
              <w:widowControl/>
              <w:jc w:val="center"/>
              <w:rPr>
                <w:sz w:val="21"/>
                <w:szCs w:val="21"/>
                <w:highlight w:val="none"/>
              </w:rPr>
            </w:pPr>
            <w:r>
              <w:rPr>
                <w:kern w:val="0"/>
                <w:sz w:val="21"/>
                <w:szCs w:val="21"/>
                <w:highlight w:val="none"/>
              </w:rPr>
              <w:t>暂估</w:t>
            </w:r>
          </w:p>
        </w:tc>
        <w:tc>
          <w:tcPr>
            <w:tcW w:w="2340" w:type="dxa"/>
            <w:gridSpan w:val="3"/>
            <w:tcBorders>
              <w:top w:val="single" w:color="auto" w:sz="4" w:space="0"/>
              <w:left w:val="single" w:color="auto" w:sz="4" w:space="0"/>
              <w:bottom w:val="single" w:color="auto" w:sz="4" w:space="0"/>
              <w:right w:val="single" w:color="auto" w:sz="4" w:space="0"/>
            </w:tcBorders>
            <w:vAlign w:val="center"/>
          </w:tcPr>
          <w:p w14:paraId="6D136C38">
            <w:pPr>
              <w:widowControl/>
              <w:jc w:val="center"/>
              <w:rPr>
                <w:sz w:val="21"/>
                <w:szCs w:val="21"/>
                <w:highlight w:val="none"/>
              </w:rPr>
            </w:pPr>
            <w:r>
              <w:rPr>
                <w:kern w:val="0"/>
                <w:sz w:val="21"/>
                <w:szCs w:val="21"/>
                <w:highlight w:val="none"/>
              </w:rPr>
              <w:t>确认</w:t>
            </w:r>
          </w:p>
        </w:tc>
        <w:tc>
          <w:tcPr>
            <w:tcW w:w="1190" w:type="dxa"/>
            <w:vMerge w:val="restart"/>
            <w:tcBorders>
              <w:top w:val="single" w:color="auto" w:sz="4" w:space="0"/>
              <w:left w:val="single" w:color="auto" w:sz="4" w:space="0"/>
              <w:bottom w:val="single" w:color="auto" w:sz="4" w:space="0"/>
              <w:right w:val="single" w:color="auto" w:sz="4" w:space="0"/>
            </w:tcBorders>
            <w:vAlign w:val="center"/>
          </w:tcPr>
          <w:p w14:paraId="10EBF89A">
            <w:pPr>
              <w:widowControl/>
              <w:jc w:val="center"/>
              <w:rPr>
                <w:kern w:val="0"/>
                <w:sz w:val="21"/>
                <w:szCs w:val="21"/>
                <w:highlight w:val="none"/>
              </w:rPr>
            </w:pPr>
            <w:r>
              <w:rPr>
                <w:kern w:val="0"/>
                <w:sz w:val="21"/>
                <w:szCs w:val="21"/>
                <w:highlight w:val="none"/>
              </w:rPr>
              <w:t>调整金额</w:t>
            </w:r>
          </w:p>
          <w:p w14:paraId="1C9AD218">
            <w:pPr>
              <w:widowControl/>
              <w:jc w:val="center"/>
              <w:rPr>
                <w:rFonts w:hint="eastAsia"/>
                <w:sz w:val="21"/>
                <w:szCs w:val="21"/>
                <w:highlight w:val="none"/>
              </w:rPr>
            </w:pPr>
            <w:r>
              <w:rPr>
                <w:rFonts w:hint="eastAsia"/>
                <w:kern w:val="0"/>
                <w:sz w:val="21"/>
                <w:szCs w:val="21"/>
                <w:highlight w:val="none"/>
                <w:lang w:eastAsia="zh-CN"/>
              </w:rPr>
              <w:t>（</w:t>
            </w:r>
            <w:r>
              <w:rPr>
                <w:rFonts w:hint="eastAsia"/>
                <w:kern w:val="0"/>
                <w:sz w:val="21"/>
                <w:szCs w:val="21"/>
                <w:highlight w:val="none"/>
                <w:lang w:val="en-US" w:eastAsia="zh-CN"/>
              </w:rPr>
              <w:t>元</w:t>
            </w:r>
            <w:r>
              <w:rPr>
                <w:rFonts w:hint="eastAsia"/>
                <w:kern w:val="0"/>
                <w:sz w:val="21"/>
                <w:szCs w:val="21"/>
                <w:highlight w:val="none"/>
                <w:lang w:eastAsia="zh-CN"/>
              </w:rPr>
              <w:t>）</w:t>
            </w:r>
          </w:p>
        </w:tc>
        <w:tc>
          <w:tcPr>
            <w:tcW w:w="567" w:type="dxa"/>
            <w:vMerge w:val="restart"/>
            <w:tcBorders>
              <w:top w:val="single" w:color="auto" w:sz="4" w:space="0"/>
              <w:left w:val="single" w:color="auto" w:sz="4" w:space="0"/>
              <w:bottom w:val="single" w:color="auto" w:sz="4" w:space="0"/>
              <w:right w:val="single" w:color="auto" w:sz="4" w:space="0"/>
            </w:tcBorders>
            <w:vAlign w:val="center"/>
          </w:tcPr>
          <w:p w14:paraId="40893A27">
            <w:pPr>
              <w:widowControl/>
              <w:jc w:val="center"/>
              <w:rPr>
                <w:sz w:val="21"/>
                <w:szCs w:val="21"/>
                <w:highlight w:val="none"/>
              </w:rPr>
            </w:pPr>
            <w:r>
              <w:rPr>
                <w:kern w:val="0"/>
                <w:sz w:val="21"/>
                <w:szCs w:val="21"/>
                <w:highlight w:val="none"/>
              </w:rPr>
              <w:t>备注</w:t>
            </w:r>
          </w:p>
        </w:tc>
      </w:tr>
      <w:tr w14:paraId="79C749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543" w:type="dxa"/>
            <w:vMerge w:val="continue"/>
            <w:tcBorders>
              <w:top w:val="single" w:color="auto" w:sz="4" w:space="0"/>
              <w:left w:val="single" w:color="auto" w:sz="4" w:space="0"/>
              <w:bottom w:val="nil"/>
            </w:tcBorders>
            <w:vAlign w:val="center"/>
          </w:tcPr>
          <w:p w14:paraId="7B504FF1">
            <w:pPr>
              <w:jc w:val="center"/>
              <w:rPr>
                <w:rFonts w:ascii="Arial"/>
                <w:sz w:val="21"/>
                <w:highlight w:val="none"/>
              </w:rPr>
            </w:pPr>
          </w:p>
        </w:tc>
        <w:tc>
          <w:tcPr>
            <w:tcW w:w="544" w:type="dxa"/>
            <w:vMerge w:val="continue"/>
            <w:tcBorders>
              <w:top w:val="single" w:color="auto" w:sz="4" w:space="0"/>
              <w:bottom w:val="nil"/>
            </w:tcBorders>
            <w:vAlign w:val="center"/>
          </w:tcPr>
          <w:p w14:paraId="0053F302">
            <w:pPr>
              <w:jc w:val="center"/>
              <w:rPr>
                <w:rFonts w:ascii="Arial"/>
                <w:sz w:val="21"/>
                <w:highlight w:val="none"/>
              </w:rPr>
            </w:pPr>
          </w:p>
        </w:tc>
        <w:tc>
          <w:tcPr>
            <w:tcW w:w="581" w:type="dxa"/>
            <w:vMerge w:val="continue"/>
            <w:tcBorders>
              <w:top w:val="single" w:color="auto" w:sz="4" w:space="0"/>
              <w:bottom w:val="nil"/>
            </w:tcBorders>
            <w:vAlign w:val="center"/>
          </w:tcPr>
          <w:p w14:paraId="52EC1F37">
            <w:pPr>
              <w:jc w:val="center"/>
              <w:rPr>
                <w:rFonts w:ascii="Arial"/>
                <w:sz w:val="21"/>
                <w:highlight w:val="none"/>
              </w:rPr>
            </w:pPr>
          </w:p>
        </w:tc>
        <w:tc>
          <w:tcPr>
            <w:tcW w:w="563" w:type="dxa"/>
            <w:vMerge w:val="continue"/>
            <w:tcBorders>
              <w:top w:val="single" w:color="auto" w:sz="4" w:space="0"/>
              <w:bottom w:val="nil"/>
            </w:tcBorders>
            <w:vAlign w:val="center"/>
          </w:tcPr>
          <w:p w14:paraId="309C3D54">
            <w:pPr>
              <w:jc w:val="center"/>
              <w:rPr>
                <w:rFonts w:ascii="Arial"/>
                <w:sz w:val="21"/>
                <w:highlight w:val="none"/>
              </w:rPr>
            </w:pPr>
          </w:p>
        </w:tc>
        <w:tc>
          <w:tcPr>
            <w:tcW w:w="544" w:type="dxa"/>
            <w:vMerge w:val="continue"/>
            <w:tcBorders>
              <w:top w:val="single" w:color="auto" w:sz="4" w:space="0"/>
              <w:bottom w:val="nil"/>
            </w:tcBorders>
            <w:vAlign w:val="center"/>
          </w:tcPr>
          <w:p w14:paraId="222F990D">
            <w:pPr>
              <w:jc w:val="center"/>
              <w:rPr>
                <w:rFonts w:ascii="Arial"/>
                <w:sz w:val="21"/>
                <w:highlight w:val="none"/>
              </w:rPr>
            </w:pPr>
          </w:p>
        </w:tc>
        <w:tc>
          <w:tcPr>
            <w:tcW w:w="586" w:type="dxa"/>
            <w:tcBorders>
              <w:top w:val="single" w:color="auto" w:sz="4" w:space="0"/>
            </w:tcBorders>
            <w:vAlign w:val="center"/>
          </w:tcPr>
          <w:p w14:paraId="2ABFBB9C">
            <w:pPr>
              <w:widowControl/>
              <w:jc w:val="center"/>
              <w:rPr>
                <w:kern w:val="0"/>
                <w:sz w:val="21"/>
                <w:szCs w:val="21"/>
                <w:highlight w:val="none"/>
              </w:rPr>
            </w:pPr>
            <w:r>
              <w:rPr>
                <w:kern w:val="0"/>
                <w:sz w:val="21"/>
                <w:szCs w:val="21"/>
                <w:highlight w:val="none"/>
              </w:rPr>
              <w:t>数</w:t>
            </w:r>
            <w:r>
              <w:rPr>
                <w:kern w:val="0"/>
                <w:sz w:val="21"/>
                <w:szCs w:val="21"/>
                <w:highlight w:val="none"/>
                <w:lang w:val="en-US" w:eastAsia="zh-CN"/>
              </w:rPr>
              <w:t>量</w:t>
            </w:r>
          </w:p>
        </w:tc>
        <w:tc>
          <w:tcPr>
            <w:tcW w:w="825" w:type="dxa"/>
            <w:tcBorders>
              <w:top w:val="single" w:color="auto" w:sz="4" w:space="0"/>
            </w:tcBorders>
            <w:vAlign w:val="center"/>
          </w:tcPr>
          <w:p w14:paraId="15072C5C">
            <w:pPr>
              <w:widowControl/>
              <w:jc w:val="center"/>
              <w:rPr>
                <w:kern w:val="0"/>
                <w:sz w:val="21"/>
                <w:szCs w:val="21"/>
                <w:highlight w:val="none"/>
              </w:rPr>
            </w:pPr>
            <w:r>
              <w:rPr>
                <w:kern w:val="0"/>
                <w:sz w:val="21"/>
                <w:szCs w:val="21"/>
                <w:highlight w:val="none"/>
              </w:rPr>
              <w:t>单价</w:t>
            </w:r>
            <w:r>
              <w:rPr>
                <w:rFonts w:hint="eastAsia"/>
                <w:kern w:val="0"/>
                <w:sz w:val="21"/>
                <w:szCs w:val="21"/>
                <w:highlight w:val="none"/>
                <w:lang w:eastAsia="zh-CN"/>
              </w:rPr>
              <w:t>（</w:t>
            </w:r>
            <w:r>
              <w:rPr>
                <w:kern w:val="0"/>
                <w:sz w:val="21"/>
                <w:szCs w:val="21"/>
                <w:highlight w:val="none"/>
              </w:rPr>
              <w:t>元</w:t>
            </w:r>
            <w:r>
              <w:rPr>
                <w:rFonts w:hint="eastAsia"/>
                <w:kern w:val="0"/>
                <w:sz w:val="21"/>
                <w:szCs w:val="21"/>
                <w:highlight w:val="none"/>
                <w:lang w:eastAsia="zh-CN"/>
              </w:rPr>
              <w:t>）</w:t>
            </w:r>
          </w:p>
        </w:tc>
        <w:tc>
          <w:tcPr>
            <w:tcW w:w="885" w:type="dxa"/>
            <w:tcBorders>
              <w:top w:val="single" w:color="auto" w:sz="4" w:space="0"/>
            </w:tcBorders>
            <w:vAlign w:val="center"/>
          </w:tcPr>
          <w:p w14:paraId="75608EF8">
            <w:pPr>
              <w:widowControl/>
              <w:jc w:val="center"/>
              <w:rPr>
                <w:kern w:val="0"/>
                <w:sz w:val="21"/>
                <w:szCs w:val="21"/>
                <w:highlight w:val="none"/>
              </w:rPr>
            </w:pPr>
            <w:r>
              <w:rPr>
                <w:kern w:val="0"/>
                <w:sz w:val="21"/>
                <w:szCs w:val="21"/>
                <w:highlight w:val="none"/>
              </w:rPr>
              <w:t>合价</w:t>
            </w:r>
          </w:p>
          <w:p w14:paraId="4BAF9CF9">
            <w:pPr>
              <w:widowControl/>
              <w:jc w:val="center"/>
              <w:rPr>
                <w:kern w:val="0"/>
                <w:sz w:val="21"/>
                <w:szCs w:val="21"/>
                <w:highlight w:val="none"/>
              </w:rPr>
            </w:pPr>
            <w:r>
              <w:rPr>
                <w:rFonts w:hint="eastAsia"/>
                <w:kern w:val="0"/>
                <w:sz w:val="21"/>
                <w:szCs w:val="21"/>
                <w:highlight w:val="none"/>
                <w:lang w:eastAsia="zh-CN"/>
              </w:rPr>
              <w:t>（</w:t>
            </w:r>
            <w:r>
              <w:rPr>
                <w:kern w:val="0"/>
                <w:sz w:val="21"/>
                <w:szCs w:val="21"/>
                <w:highlight w:val="none"/>
              </w:rPr>
              <w:t>元</w:t>
            </w:r>
            <w:r>
              <w:rPr>
                <w:rFonts w:hint="eastAsia"/>
                <w:kern w:val="0"/>
                <w:sz w:val="21"/>
                <w:szCs w:val="21"/>
                <w:highlight w:val="none"/>
                <w:lang w:eastAsia="zh-CN"/>
              </w:rPr>
              <w:t>）</w:t>
            </w:r>
          </w:p>
        </w:tc>
        <w:tc>
          <w:tcPr>
            <w:tcW w:w="600" w:type="dxa"/>
            <w:tcBorders>
              <w:top w:val="single" w:color="auto" w:sz="4" w:space="0"/>
            </w:tcBorders>
            <w:vAlign w:val="center"/>
          </w:tcPr>
          <w:p w14:paraId="747F7A7A">
            <w:pPr>
              <w:widowControl/>
              <w:jc w:val="center"/>
              <w:rPr>
                <w:kern w:val="0"/>
                <w:sz w:val="21"/>
                <w:szCs w:val="21"/>
                <w:highlight w:val="none"/>
              </w:rPr>
            </w:pPr>
            <w:r>
              <w:rPr>
                <w:kern w:val="0"/>
                <w:sz w:val="21"/>
                <w:szCs w:val="21"/>
                <w:highlight w:val="none"/>
              </w:rPr>
              <w:t>数量</w:t>
            </w:r>
          </w:p>
        </w:tc>
        <w:tc>
          <w:tcPr>
            <w:tcW w:w="855" w:type="dxa"/>
            <w:tcBorders>
              <w:top w:val="single" w:color="auto" w:sz="4" w:space="0"/>
            </w:tcBorders>
            <w:vAlign w:val="center"/>
          </w:tcPr>
          <w:p w14:paraId="3C33EA5D">
            <w:pPr>
              <w:widowControl/>
              <w:jc w:val="center"/>
              <w:rPr>
                <w:kern w:val="0"/>
                <w:sz w:val="21"/>
                <w:szCs w:val="21"/>
                <w:highlight w:val="none"/>
              </w:rPr>
            </w:pPr>
            <w:r>
              <w:rPr>
                <w:kern w:val="0"/>
                <w:sz w:val="21"/>
                <w:szCs w:val="21"/>
                <w:highlight w:val="none"/>
              </w:rPr>
              <w:t>单价</w:t>
            </w:r>
          </w:p>
          <w:p w14:paraId="4B024F1D">
            <w:pPr>
              <w:widowControl/>
              <w:jc w:val="center"/>
              <w:rPr>
                <w:kern w:val="0"/>
                <w:sz w:val="21"/>
                <w:szCs w:val="21"/>
                <w:highlight w:val="none"/>
              </w:rPr>
            </w:pPr>
            <w:r>
              <w:rPr>
                <w:rFonts w:hint="eastAsia"/>
                <w:kern w:val="0"/>
                <w:sz w:val="21"/>
                <w:szCs w:val="21"/>
                <w:highlight w:val="none"/>
                <w:lang w:eastAsia="zh-CN"/>
              </w:rPr>
              <w:t>（</w:t>
            </w:r>
            <w:r>
              <w:rPr>
                <w:kern w:val="0"/>
                <w:sz w:val="21"/>
                <w:szCs w:val="21"/>
                <w:highlight w:val="none"/>
              </w:rPr>
              <w:t>元</w:t>
            </w:r>
            <w:r>
              <w:rPr>
                <w:rFonts w:hint="eastAsia"/>
                <w:kern w:val="0"/>
                <w:sz w:val="21"/>
                <w:szCs w:val="21"/>
                <w:highlight w:val="none"/>
                <w:lang w:eastAsia="zh-CN"/>
              </w:rPr>
              <w:t>）</w:t>
            </w:r>
          </w:p>
        </w:tc>
        <w:tc>
          <w:tcPr>
            <w:tcW w:w="885" w:type="dxa"/>
            <w:tcBorders>
              <w:top w:val="single" w:color="auto" w:sz="4" w:space="0"/>
            </w:tcBorders>
            <w:vAlign w:val="center"/>
          </w:tcPr>
          <w:p w14:paraId="20CA498B">
            <w:pPr>
              <w:widowControl/>
              <w:jc w:val="center"/>
              <w:rPr>
                <w:kern w:val="0"/>
                <w:sz w:val="21"/>
                <w:szCs w:val="21"/>
                <w:highlight w:val="none"/>
              </w:rPr>
            </w:pPr>
            <w:r>
              <w:rPr>
                <w:kern w:val="0"/>
                <w:sz w:val="21"/>
                <w:szCs w:val="21"/>
                <w:highlight w:val="none"/>
              </w:rPr>
              <w:t>合价</w:t>
            </w:r>
          </w:p>
          <w:p w14:paraId="6C76638B">
            <w:pPr>
              <w:widowControl/>
              <w:jc w:val="center"/>
              <w:rPr>
                <w:kern w:val="0"/>
                <w:sz w:val="21"/>
                <w:szCs w:val="21"/>
                <w:highlight w:val="none"/>
              </w:rPr>
            </w:pPr>
            <w:r>
              <w:rPr>
                <w:rFonts w:hint="eastAsia"/>
                <w:kern w:val="0"/>
                <w:sz w:val="21"/>
                <w:szCs w:val="21"/>
                <w:highlight w:val="none"/>
                <w:lang w:eastAsia="zh-CN"/>
              </w:rPr>
              <w:t>（</w:t>
            </w:r>
            <w:r>
              <w:rPr>
                <w:kern w:val="0"/>
                <w:sz w:val="21"/>
                <w:szCs w:val="21"/>
                <w:highlight w:val="none"/>
              </w:rPr>
              <w:t>元</w:t>
            </w:r>
            <w:r>
              <w:rPr>
                <w:rFonts w:hint="eastAsia"/>
                <w:kern w:val="0"/>
                <w:sz w:val="21"/>
                <w:szCs w:val="21"/>
                <w:highlight w:val="none"/>
                <w:lang w:eastAsia="zh-CN"/>
              </w:rPr>
              <w:t>）</w:t>
            </w:r>
          </w:p>
        </w:tc>
        <w:tc>
          <w:tcPr>
            <w:tcW w:w="1190" w:type="dxa"/>
            <w:vMerge w:val="continue"/>
            <w:tcBorders>
              <w:top w:val="single" w:color="auto" w:sz="4" w:space="0"/>
            </w:tcBorders>
            <w:vAlign w:val="center"/>
          </w:tcPr>
          <w:p w14:paraId="4137866D">
            <w:pPr>
              <w:jc w:val="center"/>
              <w:rPr>
                <w:rFonts w:ascii="Arial"/>
                <w:sz w:val="21"/>
                <w:szCs w:val="21"/>
                <w:highlight w:val="none"/>
              </w:rPr>
            </w:pPr>
          </w:p>
        </w:tc>
        <w:tc>
          <w:tcPr>
            <w:tcW w:w="567" w:type="dxa"/>
            <w:vMerge w:val="continue"/>
            <w:tcBorders>
              <w:top w:val="single" w:color="auto" w:sz="4" w:space="0"/>
              <w:bottom w:val="nil"/>
              <w:right w:val="single" w:color="auto" w:sz="4" w:space="0"/>
            </w:tcBorders>
            <w:vAlign w:val="top"/>
          </w:tcPr>
          <w:p w14:paraId="4765A5BE">
            <w:pPr>
              <w:rPr>
                <w:rFonts w:ascii="Arial"/>
                <w:sz w:val="21"/>
                <w:highlight w:val="none"/>
              </w:rPr>
            </w:pPr>
          </w:p>
        </w:tc>
      </w:tr>
      <w:tr w14:paraId="53BC74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543" w:type="dxa"/>
            <w:vMerge w:val="continue"/>
            <w:tcBorders>
              <w:top w:val="nil"/>
              <w:left w:val="single" w:color="auto" w:sz="4" w:space="0"/>
            </w:tcBorders>
            <w:vAlign w:val="center"/>
          </w:tcPr>
          <w:p w14:paraId="114F5A09">
            <w:pPr>
              <w:jc w:val="center"/>
              <w:rPr>
                <w:rFonts w:ascii="Arial"/>
                <w:sz w:val="21"/>
                <w:highlight w:val="none"/>
              </w:rPr>
            </w:pPr>
          </w:p>
        </w:tc>
        <w:tc>
          <w:tcPr>
            <w:tcW w:w="544" w:type="dxa"/>
            <w:vMerge w:val="continue"/>
            <w:tcBorders>
              <w:top w:val="nil"/>
            </w:tcBorders>
            <w:vAlign w:val="center"/>
          </w:tcPr>
          <w:p w14:paraId="0481AD40">
            <w:pPr>
              <w:jc w:val="center"/>
              <w:rPr>
                <w:rFonts w:ascii="Arial"/>
                <w:sz w:val="21"/>
                <w:highlight w:val="none"/>
              </w:rPr>
            </w:pPr>
          </w:p>
        </w:tc>
        <w:tc>
          <w:tcPr>
            <w:tcW w:w="581" w:type="dxa"/>
            <w:vMerge w:val="continue"/>
            <w:tcBorders>
              <w:top w:val="nil"/>
            </w:tcBorders>
            <w:vAlign w:val="center"/>
          </w:tcPr>
          <w:p w14:paraId="01CFB489">
            <w:pPr>
              <w:jc w:val="center"/>
              <w:rPr>
                <w:rFonts w:ascii="Arial"/>
                <w:sz w:val="21"/>
                <w:highlight w:val="none"/>
              </w:rPr>
            </w:pPr>
          </w:p>
        </w:tc>
        <w:tc>
          <w:tcPr>
            <w:tcW w:w="563" w:type="dxa"/>
            <w:vMerge w:val="continue"/>
            <w:tcBorders>
              <w:top w:val="nil"/>
            </w:tcBorders>
            <w:vAlign w:val="center"/>
          </w:tcPr>
          <w:p w14:paraId="1227C2A0">
            <w:pPr>
              <w:jc w:val="center"/>
              <w:rPr>
                <w:rFonts w:ascii="Arial"/>
                <w:sz w:val="21"/>
                <w:highlight w:val="none"/>
              </w:rPr>
            </w:pPr>
          </w:p>
        </w:tc>
        <w:tc>
          <w:tcPr>
            <w:tcW w:w="544" w:type="dxa"/>
            <w:vMerge w:val="continue"/>
            <w:tcBorders>
              <w:top w:val="nil"/>
            </w:tcBorders>
            <w:vAlign w:val="center"/>
          </w:tcPr>
          <w:p w14:paraId="138943DE">
            <w:pPr>
              <w:jc w:val="center"/>
              <w:rPr>
                <w:rFonts w:ascii="Arial"/>
                <w:sz w:val="21"/>
                <w:highlight w:val="none"/>
              </w:rPr>
            </w:pPr>
          </w:p>
        </w:tc>
        <w:tc>
          <w:tcPr>
            <w:tcW w:w="586" w:type="dxa"/>
            <w:vAlign w:val="center"/>
          </w:tcPr>
          <w:p w14:paraId="0EDC53DB">
            <w:pPr>
              <w:pStyle w:val="107"/>
              <w:spacing w:before="100" w:line="206" w:lineRule="auto"/>
              <w:jc w:val="center"/>
              <w:rPr>
                <w:rFonts w:ascii="Times New Roman" w:hAnsi="Times New Roman" w:cs="Times New Roman"/>
                <w:kern w:val="0"/>
                <w:sz w:val="21"/>
                <w:szCs w:val="21"/>
                <w:highlight w:val="none"/>
              </w:rPr>
            </w:pPr>
            <w:r>
              <w:rPr>
                <w:rFonts w:ascii="Times New Roman" w:hAnsi="Times New Roman" w:cs="Times New Roman"/>
                <w:spacing w:val="1"/>
                <w:sz w:val="21"/>
                <w:szCs w:val="21"/>
                <w:highlight w:val="none"/>
              </w:rPr>
              <w:t>A</w:t>
            </w:r>
            <w:r>
              <w:rPr>
                <w:rFonts w:ascii="Times New Roman" w:hAnsi="Times New Roman" w:cs="Times New Roman"/>
                <w:spacing w:val="1"/>
                <w:sz w:val="21"/>
                <w:szCs w:val="21"/>
                <w:highlight w:val="none"/>
                <w:vertAlign w:val="subscript"/>
              </w:rPr>
              <w:t>1</w:t>
            </w:r>
          </w:p>
        </w:tc>
        <w:tc>
          <w:tcPr>
            <w:tcW w:w="825" w:type="dxa"/>
            <w:vAlign w:val="center"/>
          </w:tcPr>
          <w:p w14:paraId="38F084D4">
            <w:pPr>
              <w:pStyle w:val="107"/>
              <w:spacing w:before="104" w:line="203" w:lineRule="auto"/>
              <w:jc w:val="center"/>
              <w:rPr>
                <w:rFonts w:ascii="Times New Roman" w:hAnsi="Times New Roman" w:cs="Times New Roman"/>
                <w:kern w:val="0"/>
                <w:sz w:val="21"/>
                <w:szCs w:val="21"/>
                <w:highlight w:val="none"/>
              </w:rPr>
            </w:pPr>
            <w:r>
              <w:rPr>
                <w:rFonts w:ascii="Times New Roman" w:hAnsi="Times New Roman" w:cs="Times New Roman"/>
                <w:spacing w:val="1"/>
                <w:sz w:val="21"/>
                <w:szCs w:val="21"/>
                <w:highlight w:val="none"/>
              </w:rPr>
              <w:t>B</w:t>
            </w:r>
            <w:r>
              <w:rPr>
                <w:rFonts w:ascii="Times New Roman" w:hAnsi="Times New Roman" w:cs="Times New Roman"/>
                <w:spacing w:val="1"/>
                <w:sz w:val="21"/>
                <w:szCs w:val="21"/>
                <w:highlight w:val="none"/>
                <w:vertAlign w:val="subscript"/>
              </w:rPr>
              <w:t>1</w:t>
            </w:r>
          </w:p>
        </w:tc>
        <w:tc>
          <w:tcPr>
            <w:tcW w:w="885" w:type="dxa"/>
            <w:vAlign w:val="center"/>
          </w:tcPr>
          <w:p w14:paraId="7B319B6F">
            <w:pPr>
              <w:pStyle w:val="107"/>
              <w:spacing w:before="101" w:line="205" w:lineRule="auto"/>
              <w:jc w:val="center"/>
              <w:rPr>
                <w:rFonts w:ascii="Times New Roman" w:hAnsi="Times New Roman" w:cs="Times New Roman"/>
                <w:kern w:val="0"/>
                <w:sz w:val="21"/>
                <w:szCs w:val="21"/>
                <w:highlight w:val="none"/>
              </w:rPr>
            </w:pPr>
            <w:r>
              <w:rPr>
                <w:rFonts w:ascii="Times New Roman" w:hAnsi="Times New Roman" w:cs="Times New Roman"/>
                <w:spacing w:val="-1"/>
                <w:sz w:val="21"/>
                <w:szCs w:val="21"/>
                <w:highlight w:val="none"/>
              </w:rPr>
              <w:t>C</w:t>
            </w:r>
            <w:r>
              <w:rPr>
                <w:rFonts w:ascii="Times New Roman" w:hAnsi="Times New Roman" w:cs="Times New Roman"/>
                <w:spacing w:val="-1"/>
                <w:sz w:val="21"/>
                <w:szCs w:val="21"/>
                <w:highlight w:val="none"/>
                <w:vertAlign w:val="subscript"/>
              </w:rPr>
              <w:t>1</w:t>
            </w:r>
          </w:p>
        </w:tc>
        <w:tc>
          <w:tcPr>
            <w:tcW w:w="600" w:type="dxa"/>
            <w:vAlign w:val="center"/>
          </w:tcPr>
          <w:p w14:paraId="52890ED6">
            <w:pPr>
              <w:pStyle w:val="107"/>
              <w:spacing w:before="100" w:line="206" w:lineRule="auto"/>
              <w:jc w:val="center"/>
              <w:rPr>
                <w:rFonts w:ascii="Times New Roman" w:hAnsi="Times New Roman" w:cs="Times New Roman"/>
                <w:kern w:val="0"/>
                <w:sz w:val="21"/>
                <w:szCs w:val="21"/>
                <w:highlight w:val="none"/>
              </w:rPr>
            </w:pPr>
            <w:r>
              <w:rPr>
                <w:rFonts w:ascii="Times New Roman" w:hAnsi="Times New Roman" w:cs="Times New Roman"/>
                <w:spacing w:val="2"/>
                <w:sz w:val="21"/>
                <w:szCs w:val="21"/>
                <w:highlight w:val="none"/>
              </w:rPr>
              <w:t>A</w:t>
            </w:r>
            <w:r>
              <w:rPr>
                <w:rFonts w:ascii="Times New Roman" w:hAnsi="Times New Roman" w:cs="Times New Roman"/>
                <w:spacing w:val="2"/>
                <w:sz w:val="21"/>
                <w:szCs w:val="21"/>
                <w:highlight w:val="none"/>
                <w:vertAlign w:val="subscript"/>
              </w:rPr>
              <w:t>2</w:t>
            </w:r>
          </w:p>
        </w:tc>
        <w:tc>
          <w:tcPr>
            <w:tcW w:w="855" w:type="dxa"/>
            <w:vAlign w:val="center"/>
          </w:tcPr>
          <w:p w14:paraId="0DCA7408">
            <w:pPr>
              <w:pStyle w:val="107"/>
              <w:spacing w:before="104" w:line="203" w:lineRule="auto"/>
              <w:jc w:val="center"/>
              <w:rPr>
                <w:rFonts w:ascii="Times New Roman" w:hAnsi="Times New Roman" w:cs="Times New Roman"/>
                <w:kern w:val="0"/>
                <w:sz w:val="21"/>
                <w:szCs w:val="21"/>
                <w:highlight w:val="none"/>
              </w:rPr>
            </w:pPr>
            <w:r>
              <w:rPr>
                <w:rFonts w:ascii="Times New Roman" w:hAnsi="Times New Roman" w:cs="Times New Roman"/>
                <w:spacing w:val="1"/>
                <w:sz w:val="21"/>
                <w:szCs w:val="21"/>
                <w:highlight w:val="none"/>
              </w:rPr>
              <w:t>B</w:t>
            </w:r>
            <w:r>
              <w:rPr>
                <w:rFonts w:ascii="Times New Roman" w:hAnsi="Times New Roman" w:cs="Times New Roman"/>
                <w:spacing w:val="1"/>
                <w:sz w:val="21"/>
                <w:szCs w:val="21"/>
                <w:highlight w:val="none"/>
                <w:vertAlign w:val="subscript"/>
              </w:rPr>
              <w:t>2</w:t>
            </w:r>
          </w:p>
        </w:tc>
        <w:tc>
          <w:tcPr>
            <w:tcW w:w="885" w:type="dxa"/>
            <w:vAlign w:val="center"/>
          </w:tcPr>
          <w:p w14:paraId="2B13CF93">
            <w:pPr>
              <w:pStyle w:val="107"/>
              <w:spacing w:before="101" w:line="205" w:lineRule="auto"/>
              <w:jc w:val="center"/>
              <w:rPr>
                <w:rFonts w:ascii="Times New Roman" w:hAnsi="Times New Roman" w:cs="Times New Roman"/>
                <w:kern w:val="0"/>
                <w:sz w:val="21"/>
                <w:szCs w:val="21"/>
                <w:highlight w:val="none"/>
              </w:rPr>
            </w:pPr>
            <w:r>
              <w:rPr>
                <w:rFonts w:ascii="Times New Roman" w:hAnsi="Times New Roman" w:cs="Times New Roman"/>
                <w:spacing w:val="-1"/>
                <w:sz w:val="21"/>
                <w:szCs w:val="21"/>
                <w:highlight w:val="none"/>
              </w:rPr>
              <w:t>C</w:t>
            </w:r>
            <w:r>
              <w:rPr>
                <w:rFonts w:ascii="Times New Roman" w:hAnsi="Times New Roman" w:cs="Times New Roman"/>
                <w:spacing w:val="-1"/>
                <w:sz w:val="21"/>
                <w:szCs w:val="21"/>
                <w:highlight w:val="none"/>
                <w:vertAlign w:val="subscript"/>
              </w:rPr>
              <w:t>2</w:t>
            </w:r>
          </w:p>
        </w:tc>
        <w:tc>
          <w:tcPr>
            <w:tcW w:w="1190" w:type="dxa"/>
            <w:vAlign w:val="center"/>
          </w:tcPr>
          <w:p w14:paraId="3C084722">
            <w:pPr>
              <w:pStyle w:val="107"/>
              <w:spacing w:before="101" w:line="205" w:lineRule="auto"/>
              <w:jc w:val="center"/>
              <w:rPr>
                <w:rFonts w:ascii="Times New Roman" w:hAnsi="Times New Roman" w:cs="Times New Roman"/>
                <w:kern w:val="0"/>
                <w:sz w:val="21"/>
                <w:szCs w:val="21"/>
                <w:highlight w:val="none"/>
              </w:rPr>
            </w:pPr>
            <w:r>
              <w:rPr>
                <w:rFonts w:ascii="Times New Roman" w:hAnsi="Times New Roman" w:cs="Times New Roman"/>
                <w:spacing w:val="1"/>
                <w:sz w:val="21"/>
                <w:szCs w:val="21"/>
                <w:highlight w:val="none"/>
              </w:rPr>
              <w:t>D=C</w:t>
            </w:r>
            <w:r>
              <w:rPr>
                <w:rFonts w:ascii="Times New Roman" w:hAnsi="Times New Roman" w:cs="Times New Roman"/>
                <w:spacing w:val="1"/>
                <w:sz w:val="21"/>
                <w:szCs w:val="21"/>
                <w:highlight w:val="none"/>
                <w:vertAlign w:val="subscript"/>
              </w:rPr>
              <w:t>2</w:t>
            </w:r>
            <w:r>
              <w:rPr>
                <w:rFonts w:hint="default" w:ascii="Times New Roman" w:hAnsi="Times New Roman" w:cs="Times New Roman"/>
                <w:spacing w:val="1"/>
                <w:sz w:val="21"/>
                <w:szCs w:val="21"/>
                <w:highlight w:val="none"/>
                <w:lang w:val="en-US" w:eastAsia="zh-CN"/>
              </w:rPr>
              <w:t>-</w:t>
            </w:r>
            <w:r>
              <w:rPr>
                <w:rFonts w:ascii="Times New Roman" w:hAnsi="Times New Roman" w:cs="Times New Roman"/>
                <w:spacing w:val="1"/>
                <w:sz w:val="21"/>
                <w:szCs w:val="21"/>
                <w:highlight w:val="none"/>
              </w:rPr>
              <w:t>C</w:t>
            </w:r>
            <w:r>
              <w:rPr>
                <w:rFonts w:ascii="Times New Roman" w:hAnsi="Times New Roman" w:cs="Times New Roman"/>
                <w:spacing w:val="1"/>
                <w:sz w:val="21"/>
                <w:szCs w:val="21"/>
                <w:highlight w:val="none"/>
                <w:vertAlign w:val="subscript"/>
              </w:rPr>
              <w:t>1</w:t>
            </w:r>
          </w:p>
        </w:tc>
        <w:tc>
          <w:tcPr>
            <w:tcW w:w="567" w:type="dxa"/>
            <w:vMerge w:val="continue"/>
            <w:tcBorders>
              <w:top w:val="nil"/>
              <w:right w:val="single" w:color="auto" w:sz="4" w:space="0"/>
            </w:tcBorders>
            <w:vAlign w:val="top"/>
          </w:tcPr>
          <w:p w14:paraId="7E53BDFC">
            <w:pPr>
              <w:rPr>
                <w:rFonts w:ascii="Arial"/>
                <w:sz w:val="21"/>
                <w:highlight w:val="none"/>
              </w:rPr>
            </w:pPr>
          </w:p>
        </w:tc>
      </w:tr>
      <w:tr w14:paraId="38AB98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3" w:type="dxa"/>
            <w:tcBorders>
              <w:left w:val="single" w:color="000000" w:sz="6" w:space="0"/>
            </w:tcBorders>
            <w:vAlign w:val="top"/>
          </w:tcPr>
          <w:p w14:paraId="24994ED1">
            <w:pPr>
              <w:rPr>
                <w:rFonts w:ascii="Arial"/>
                <w:sz w:val="21"/>
                <w:highlight w:val="none"/>
              </w:rPr>
            </w:pPr>
          </w:p>
        </w:tc>
        <w:tc>
          <w:tcPr>
            <w:tcW w:w="544" w:type="dxa"/>
            <w:vAlign w:val="top"/>
          </w:tcPr>
          <w:p w14:paraId="4C29C502">
            <w:pPr>
              <w:rPr>
                <w:rFonts w:ascii="Arial"/>
                <w:sz w:val="21"/>
                <w:highlight w:val="none"/>
              </w:rPr>
            </w:pPr>
          </w:p>
        </w:tc>
        <w:tc>
          <w:tcPr>
            <w:tcW w:w="581" w:type="dxa"/>
            <w:vAlign w:val="top"/>
          </w:tcPr>
          <w:p w14:paraId="013298D7">
            <w:pPr>
              <w:rPr>
                <w:rFonts w:ascii="Arial"/>
                <w:sz w:val="21"/>
                <w:highlight w:val="none"/>
              </w:rPr>
            </w:pPr>
          </w:p>
        </w:tc>
        <w:tc>
          <w:tcPr>
            <w:tcW w:w="563" w:type="dxa"/>
            <w:vAlign w:val="top"/>
          </w:tcPr>
          <w:p w14:paraId="56C7DEF8">
            <w:pPr>
              <w:rPr>
                <w:rFonts w:ascii="Arial"/>
                <w:sz w:val="21"/>
                <w:highlight w:val="none"/>
              </w:rPr>
            </w:pPr>
          </w:p>
        </w:tc>
        <w:tc>
          <w:tcPr>
            <w:tcW w:w="544" w:type="dxa"/>
            <w:vAlign w:val="top"/>
          </w:tcPr>
          <w:p w14:paraId="6D0E2669">
            <w:pPr>
              <w:rPr>
                <w:rFonts w:ascii="Arial"/>
                <w:sz w:val="21"/>
                <w:highlight w:val="none"/>
              </w:rPr>
            </w:pPr>
          </w:p>
        </w:tc>
        <w:tc>
          <w:tcPr>
            <w:tcW w:w="586" w:type="dxa"/>
            <w:vAlign w:val="top"/>
          </w:tcPr>
          <w:p w14:paraId="315BF4B3">
            <w:pPr>
              <w:rPr>
                <w:rFonts w:ascii="Arial"/>
                <w:sz w:val="21"/>
                <w:highlight w:val="none"/>
              </w:rPr>
            </w:pPr>
          </w:p>
        </w:tc>
        <w:tc>
          <w:tcPr>
            <w:tcW w:w="825" w:type="dxa"/>
            <w:vAlign w:val="top"/>
          </w:tcPr>
          <w:p w14:paraId="65EBB0DA">
            <w:pPr>
              <w:rPr>
                <w:rFonts w:ascii="Arial"/>
                <w:sz w:val="21"/>
                <w:highlight w:val="none"/>
              </w:rPr>
            </w:pPr>
          </w:p>
        </w:tc>
        <w:tc>
          <w:tcPr>
            <w:tcW w:w="885" w:type="dxa"/>
            <w:vAlign w:val="top"/>
          </w:tcPr>
          <w:p w14:paraId="5DF6CA22">
            <w:pPr>
              <w:rPr>
                <w:rFonts w:ascii="Arial"/>
                <w:sz w:val="21"/>
                <w:highlight w:val="none"/>
              </w:rPr>
            </w:pPr>
          </w:p>
        </w:tc>
        <w:tc>
          <w:tcPr>
            <w:tcW w:w="600" w:type="dxa"/>
            <w:vAlign w:val="top"/>
          </w:tcPr>
          <w:p w14:paraId="3E74EE2F">
            <w:pPr>
              <w:rPr>
                <w:rFonts w:ascii="Arial"/>
                <w:sz w:val="21"/>
                <w:highlight w:val="none"/>
              </w:rPr>
            </w:pPr>
          </w:p>
        </w:tc>
        <w:tc>
          <w:tcPr>
            <w:tcW w:w="855" w:type="dxa"/>
            <w:vAlign w:val="top"/>
          </w:tcPr>
          <w:p w14:paraId="641BA877">
            <w:pPr>
              <w:rPr>
                <w:rFonts w:ascii="Arial"/>
                <w:sz w:val="21"/>
                <w:highlight w:val="none"/>
              </w:rPr>
            </w:pPr>
          </w:p>
        </w:tc>
        <w:tc>
          <w:tcPr>
            <w:tcW w:w="885" w:type="dxa"/>
            <w:vAlign w:val="top"/>
          </w:tcPr>
          <w:p w14:paraId="6F65619B">
            <w:pPr>
              <w:rPr>
                <w:rFonts w:ascii="Arial"/>
                <w:sz w:val="21"/>
                <w:highlight w:val="none"/>
              </w:rPr>
            </w:pPr>
          </w:p>
        </w:tc>
        <w:tc>
          <w:tcPr>
            <w:tcW w:w="1190" w:type="dxa"/>
            <w:vAlign w:val="top"/>
          </w:tcPr>
          <w:p w14:paraId="4AFBEBD4">
            <w:pPr>
              <w:rPr>
                <w:rFonts w:ascii="Arial"/>
                <w:sz w:val="21"/>
                <w:highlight w:val="none"/>
              </w:rPr>
            </w:pPr>
          </w:p>
        </w:tc>
        <w:tc>
          <w:tcPr>
            <w:tcW w:w="567" w:type="dxa"/>
            <w:tcBorders>
              <w:right w:val="single" w:color="000000" w:sz="6" w:space="0"/>
            </w:tcBorders>
            <w:vAlign w:val="top"/>
          </w:tcPr>
          <w:p w14:paraId="136678F9">
            <w:pPr>
              <w:rPr>
                <w:rFonts w:ascii="Arial"/>
                <w:sz w:val="21"/>
                <w:highlight w:val="none"/>
              </w:rPr>
            </w:pPr>
          </w:p>
        </w:tc>
      </w:tr>
      <w:tr w14:paraId="4FF308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3" w:type="dxa"/>
            <w:tcBorders>
              <w:left w:val="single" w:color="000000" w:sz="6" w:space="0"/>
            </w:tcBorders>
            <w:vAlign w:val="top"/>
          </w:tcPr>
          <w:p w14:paraId="7F0A6E5F">
            <w:pPr>
              <w:rPr>
                <w:rFonts w:ascii="Arial"/>
                <w:sz w:val="21"/>
                <w:highlight w:val="none"/>
              </w:rPr>
            </w:pPr>
          </w:p>
        </w:tc>
        <w:tc>
          <w:tcPr>
            <w:tcW w:w="544" w:type="dxa"/>
            <w:vAlign w:val="top"/>
          </w:tcPr>
          <w:p w14:paraId="7288CC81">
            <w:pPr>
              <w:rPr>
                <w:rFonts w:ascii="Arial"/>
                <w:sz w:val="21"/>
                <w:highlight w:val="none"/>
              </w:rPr>
            </w:pPr>
          </w:p>
        </w:tc>
        <w:tc>
          <w:tcPr>
            <w:tcW w:w="581" w:type="dxa"/>
            <w:vAlign w:val="top"/>
          </w:tcPr>
          <w:p w14:paraId="384EC409">
            <w:pPr>
              <w:rPr>
                <w:rFonts w:ascii="Arial"/>
                <w:sz w:val="21"/>
                <w:highlight w:val="none"/>
              </w:rPr>
            </w:pPr>
          </w:p>
        </w:tc>
        <w:tc>
          <w:tcPr>
            <w:tcW w:w="563" w:type="dxa"/>
            <w:vAlign w:val="top"/>
          </w:tcPr>
          <w:p w14:paraId="5B4B35F0">
            <w:pPr>
              <w:rPr>
                <w:rFonts w:ascii="Arial"/>
                <w:sz w:val="21"/>
                <w:highlight w:val="none"/>
              </w:rPr>
            </w:pPr>
          </w:p>
        </w:tc>
        <w:tc>
          <w:tcPr>
            <w:tcW w:w="544" w:type="dxa"/>
            <w:vAlign w:val="top"/>
          </w:tcPr>
          <w:p w14:paraId="3183B85D">
            <w:pPr>
              <w:rPr>
                <w:rFonts w:ascii="Arial"/>
                <w:sz w:val="21"/>
                <w:highlight w:val="none"/>
              </w:rPr>
            </w:pPr>
          </w:p>
        </w:tc>
        <w:tc>
          <w:tcPr>
            <w:tcW w:w="586" w:type="dxa"/>
            <w:vAlign w:val="top"/>
          </w:tcPr>
          <w:p w14:paraId="40E45355">
            <w:pPr>
              <w:rPr>
                <w:rFonts w:ascii="Arial"/>
                <w:sz w:val="21"/>
                <w:highlight w:val="none"/>
              </w:rPr>
            </w:pPr>
          </w:p>
        </w:tc>
        <w:tc>
          <w:tcPr>
            <w:tcW w:w="825" w:type="dxa"/>
            <w:vAlign w:val="top"/>
          </w:tcPr>
          <w:p w14:paraId="3E81081A">
            <w:pPr>
              <w:rPr>
                <w:rFonts w:ascii="Arial"/>
                <w:sz w:val="21"/>
                <w:highlight w:val="none"/>
              </w:rPr>
            </w:pPr>
          </w:p>
        </w:tc>
        <w:tc>
          <w:tcPr>
            <w:tcW w:w="885" w:type="dxa"/>
            <w:vAlign w:val="top"/>
          </w:tcPr>
          <w:p w14:paraId="4DD0F0F5">
            <w:pPr>
              <w:rPr>
                <w:rFonts w:ascii="Arial"/>
                <w:sz w:val="21"/>
                <w:highlight w:val="none"/>
              </w:rPr>
            </w:pPr>
          </w:p>
        </w:tc>
        <w:tc>
          <w:tcPr>
            <w:tcW w:w="600" w:type="dxa"/>
            <w:vAlign w:val="top"/>
          </w:tcPr>
          <w:p w14:paraId="3AA8C8DF">
            <w:pPr>
              <w:rPr>
                <w:rFonts w:ascii="Arial"/>
                <w:sz w:val="21"/>
                <w:highlight w:val="none"/>
              </w:rPr>
            </w:pPr>
          </w:p>
        </w:tc>
        <w:tc>
          <w:tcPr>
            <w:tcW w:w="855" w:type="dxa"/>
            <w:vAlign w:val="top"/>
          </w:tcPr>
          <w:p w14:paraId="6D54C394">
            <w:pPr>
              <w:rPr>
                <w:rFonts w:ascii="Arial"/>
                <w:sz w:val="21"/>
                <w:highlight w:val="none"/>
              </w:rPr>
            </w:pPr>
          </w:p>
        </w:tc>
        <w:tc>
          <w:tcPr>
            <w:tcW w:w="885" w:type="dxa"/>
            <w:vAlign w:val="top"/>
          </w:tcPr>
          <w:p w14:paraId="51D58391">
            <w:pPr>
              <w:rPr>
                <w:rFonts w:ascii="Arial"/>
                <w:sz w:val="21"/>
                <w:highlight w:val="none"/>
              </w:rPr>
            </w:pPr>
          </w:p>
        </w:tc>
        <w:tc>
          <w:tcPr>
            <w:tcW w:w="1190" w:type="dxa"/>
            <w:vAlign w:val="top"/>
          </w:tcPr>
          <w:p w14:paraId="33290EB2">
            <w:pPr>
              <w:rPr>
                <w:rFonts w:ascii="Arial"/>
                <w:sz w:val="21"/>
                <w:highlight w:val="none"/>
              </w:rPr>
            </w:pPr>
          </w:p>
        </w:tc>
        <w:tc>
          <w:tcPr>
            <w:tcW w:w="567" w:type="dxa"/>
            <w:tcBorders>
              <w:right w:val="single" w:color="000000" w:sz="6" w:space="0"/>
            </w:tcBorders>
            <w:vAlign w:val="top"/>
          </w:tcPr>
          <w:p w14:paraId="7FC39510">
            <w:pPr>
              <w:rPr>
                <w:rFonts w:ascii="Arial"/>
                <w:sz w:val="21"/>
                <w:highlight w:val="none"/>
              </w:rPr>
            </w:pPr>
          </w:p>
        </w:tc>
      </w:tr>
      <w:tr w14:paraId="3BE1CE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3" w:type="dxa"/>
            <w:tcBorders>
              <w:left w:val="single" w:color="000000" w:sz="6" w:space="0"/>
            </w:tcBorders>
            <w:vAlign w:val="top"/>
          </w:tcPr>
          <w:p w14:paraId="5A8AD961">
            <w:pPr>
              <w:rPr>
                <w:rFonts w:ascii="Arial"/>
                <w:sz w:val="21"/>
                <w:highlight w:val="none"/>
              </w:rPr>
            </w:pPr>
          </w:p>
        </w:tc>
        <w:tc>
          <w:tcPr>
            <w:tcW w:w="544" w:type="dxa"/>
            <w:vAlign w:val="top"/>
          </w:tcPr>
          <w:p w14:paraId="38FE0ECE">
            <w:pPr>
              <w:rPr>
                <w:rFonts w:ascii="Arial"/>
                <w:sz w:val="21"/>
                <w:highlight w:val="none"/>
              </w:rPr>
            </w:pPr>
          </w:p>
        </w:tc>
        <w:tc>
          <w:tcPr>
            <w:tcW w:w="581" w:type="dxa"/>
            <w:vAlign w:val="top"/>
          </w:tcPr>
          <w:p w14:paraId="790E0E95">
            <w:pPr>
              <w:rPr>
                <w:rFonts w:ascii="Arial"/>
                <w:sz w:val="21"/>
                <w:highlight w:val="none"/>
              </w:rPr>
            </w:pPr>
          </w:p>
        </w:tc>
        <w:tc>
          <w:tcPr>
            <w:tcW w:w="563" w:type="dxa"/>
            <w:vAlign w:val="top"/>
          </w:tcPr>
          <w:p w14:paraId="71F91D73">
            <w:pPr>
              <w:rPr>
                <w:rFonts w:ascii="Arial"/>
                <w:sz w:val="21"/>
                <w:highlight w:val="none"/>
              </w:rPr>
            </w:pPr>
          </w:p>
        </w:tc>
        <w:tc>
          <w:tcPr>
            <w:tcW w:w="544" w:type="dxa"/>
            <w:vAlign w:val="top"/>
          </w:tcPr>
          <w:p w14:paraId="47120480">
            <w:pPr>
              <w:rPr>
                <w:rFonts w:ascii="Arial"/>
                <w:sz w:val="21"/>
                <w:highlight w:val="none"/>
              </w:rPr>
            </w:pPr>
          </w:p>
        </w:tc>
        <w:tc>
          <w:tcPr>
            <w:tcW w:w="586" w:type="dxa"/>
            <w:vAlign w:val="top"/>
          </w:tcPr>
          <w:p w14:paraId="356AB3DE">
            <w:pPr>
              <w:rPr>
                <w:rFonts w:ascii="Arial"/>
                <w:sz w:val="21"/>
                <w:highlight w:val="none"/>
              </w:rPr>
            </w:pPr>
          </w:p>
        </w:tc>
        <w:tc>
          <w:tcPr>
            <w:tcW w:w="825" w:type="dxa"/>
            <w:vAlign w:val="top"/>
          </w:tcPr>
          <w:p w14:paraId="0D4ECD14">
            <w:pPr>
              <w:rPr>
                <w:rFonts w:ascii="Arial"/>
                <w:sz w:val="21"/>
                <w:highlight w:val="none"/>
              </w:rPr>
            </w:pPr>
          </w:p>
        </w:tc>
        <w:tc>
          <w:tcPr>
            <w:tcW w:w="885" w:type="dxa"/>
            <w:vAlign w:val="top"/>
          </w:tcPr>
          <w:p w14:paraId="5F580180">
            <w:pPr>
              <w:rPr>
                <w:rFonts w:ascii="Arial"/>
                <w:sz w:val="21"/>
                <w:highlight w:val="none"/>
              </w:rPr>
            </w:pPr>
          </w:p>
        </w:tc>
        <w:tc>
          <w:tcPr>
            <w:tcW w:w="600" w:type="dxa"/>
            <w:vAlign w:val="top"/>
          </w:tcPr>
          <w:p w14:paraId="62A2B405">
            <w:pPr>
              <w:rPr>
                <w:rFonts w:ascii="Arial"/>
                <w:sz w:val="21"/>
                <w:highlight w:val="none"/>
              </w:rPr>
            </w:pPr>
          </w:p>
        </w:tc>
        <w:tc>
          <w:tcPr>
            <w:tcW w:w="855" w:type="dxa"/>
            <w:vAlign w:val="top"/>
          </w:tcPr>
          <w:p w14:paraId="6EDC4964">
            <w:pPr>
              <w:rPr>
                <w:rFonts w:ascii="Arial"/>
                <w:sz w:val="21"/>
                <w:highlight w:val="none"/>
              </w:rPr>
            </w:pPr>
          </w:p>
        </w:tc>
        <w:tc>
          <w:tcPr>
            <w:tcW w:w="885" w:type="dxa"/>
            <w:vAlign w:val="top"/>
          </w:tcPr>
          <w:p w14:paraId="084F3413">
            <w:pPr>
              <w:rPr>
                <w:rFonts w:ascii="Arial"/>
                <w:sz w:val="21"/>
                <w:highlight w:val="none"/>
              </w:rPr>
            </w:pPr>
          </w:p>
        </w:tc>
        <w:tc>
          <w:tcPr>
            <w:tcW w:w="1190" w:type="dxa"/>
            <w:vAlign w:val="top"/>
          </w:tcPr>
          <w:p w14:paraId="7C8804F5">
            <w:pPr>
              <w:rPr>
                <w:rFonts w:ascii="Arial"/>
                <w:sz w:val="21"/>
                <w:highlight w:val="none"/>
              </w:rPr>
            </w:pPr>
          </w:p>
        </w:tc>
        <w:tc>
          <w:tcPr>
            <w:tcW w:w="567" w:type="dxa"/>
            <w:tcBorders>
              <w:right w:val="single" w:color="000000" w:sz="6" w:space="0"/>
            </w:tcBorders>
            <w:vAlign w:val="top"/>
          </w:tcPr>
          <w:p w14:paraId="06945D97">
            <w:pPr>
              <w:rPr>
                <w:rFonts w:ascii="Arial"/>
                <w:sz w:val="21"/>
                <w:highlight w:val="none"/>
              </w:rPr>
            </w:pPr>
          </w:p>
        </w:tc>
      </w:tr>
      <w:tr w14:paraId="5E16E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3" w:type="dxa"/>
            <w:tcBorders>
              <w:left w:val="single" w:color="000000" w:sz="6" w:space="0"/>
            </w:tcBorders>
            <w:vAlign w:val="top"/>
          </w:tcPr>
          <w:p w14:paraId="4E086B72">
            <w:pPr>
              <w:rPr>
                <w:rFonts w:ascii="Arial"/>
                <w:sz w:val="21"/>
                <w:highlight w:val="none"/>
              </w:rPr>
            </w:pPr>
          </w:p>
        </w:tc>
        <w:tc>
          <w:tcPr>
            <w:tcW w:w="544" w:type="dxa"/>
            <w:vAlign w:val="top"/>
          </w:tcPr>
          <w:p w14:paraId="7E28D573">
            <w:pPr>
              <w:rPr>
                <w:rFonts w:ascii="Arial"/>
                <w:sz w:val="21"/>
                <w:highlight w:val="none"/>
              </w:rPr>
            </w:pPr>
          </w:p>
        </w:tc>
        <w:tc>
          <w:tcPr>
            <w:tcW w:w="581" w:type="dxa"/>
            <w:vAlign w:val="top"/>
          </w:tcPr>
          <w:p w14:paraId="6674639E">
            <w:pPr>
              <w:rPr>
                <w:rFonts w:ascii="Arial"/>
                <w:sz w:val="21"/>
                <w:highlight w:val="none"/>
              </w:rPr>
            </w:pPr>
          </w:p>
        </w:tc>
        <w:tc>
          <w:tcPr>
            <w:tcW w:w="563" w:type="dxa"/>
            <w:vAlign w:val="top"/>
          </w:tcPr>
          <w:p w14:paraId="6EE6E831">
            <w:pPr>
              <w:rPr>
                <w:rFonts w:ascii="Arial"/>
                <w:sz w:val="21"/>
                <w:highlight w:val="none"/>
              </w:rPr>
            </w:pPr>
          </w:p>
        </w:tc>
        <w:tc>
          <w:tcPr>
            <w:tcW w:w="544" w:type="dxa"/>
            <w:vAlign w:val="top"/>
          </w:tcPr>
          <w:p w14:paraId="794E6AA9">
            <w:pPr>
              <w:rPr>
                <w:rFonts w:ascii="Arial"/>
                <w:sz w:val="21"/>
                <w:highlight w:val="none"/>
              </w:rPr>
            </w:pPr>
          </w:p>
        </w:tc>
        <w:tc>
          <w:tcPr>
            <w:tcW w:w="586" w:type="dxa"/>
            <w:vAlign w:val="top"/>
          </w:tcPr>
          <w:p w14:paraId="5541DC9A">
            <w:pPr>
              <w:rPr>
                <w:rFonts w:ascii="Arial"/>
                <w:sz w:val="21"/>
                <w:highlight w:val="none"/>
              </w:rPr>
            </w:pPr>
          </w:p>
        </w:tc>
        <w:tc>
          <w:tcPr>
            <w:tcW w:w="825" w:type="dxa"/>
            <w:vAlign w:val="top"/>
          </w:tcPr>
          <w:p w14:paraId="720F8706">
            <w:pPr>
              <w:rPr>
                <w:rFonts w:ascii="Arial"/>
                <w:sz w:val="21"/>
                <w:highlight w:val="none"/>
              </w:rPr>
            </w:pPr>
          </w:p>
        </w:tc>
        <w:tc>
          <w:tcPr>
            <w:tcW w:w="885" w:type="dxa"/>
            <w:vAlign w:val="top"/>
          </w:tcPr>
          <w:p w14:paraId="2A47C4B8">
            <w:pPr>
              <w:rPr>
                <w:rFonts w:ascii="Arial"/>
                <w:sz w:val="21"/>
                <w:highlight w:val="none"/>
              </w:rPr>
            </w:pPr>
          </w:p>
        </w:tc>
        <w:tc>
          <w:tcPr>
            <w:tcW w:w="600" w:type="dxa"/>
            <w:vAlign w:val="top"/>
          </w:tcPr>
          <w:p w14:paraId="2398E8DC">
            <w:pPr>
              <w:rPr>
                <w:rFonts w:ascii="Arial"/>
                <w:sz w:val="21"/>
                <w:highlight w:val="none"/>
              </w:rPr>
            </w:pPr>
          </w:p>
        </w:tc>
        <w:tc>
          <w:tcPr>
            <w:tcW w:w="855" w:type="dxa"/>
            <w:vAlign w:val="top"/>
          </w:tcPr>
          <w:p w14:paraId="63FE7336">
            <w:pPr>
              <w:rPr>
                <w:rFonts w:ascii="Arial"/>
                <w:sz w:val="21"/>
                <w:highlight w:val="none"/>
              </w:rPr>
            </w:pPr>
          </w:p>
        </w:tc>
        <w:tc>
          <w:tcPr>
            <w:tcW w:w="885" w:type="dxa"/>
            <w:vAlign w:val="top"/>
          </w:tcPr>
          <w:p w14:paraId="1FA21B73">
            <w:pPr>
              <w:rPr>
                <w:rFonts w:ascii="Arial"/>
                <w:sz w:val="21"/>
                <w:highlight w:val="none"/>
              </w:rPr>
            </w:pPr>
          </w:p>
        </w:tc>
        <w:tc>
          <w:tcPr>
            <w:tcW w:w="1190" w:type="dxa"/>
            <w:vAlign w:val="top"/>
          </w:tcPr>
          <w:p w14:paraId="5FFF87F8">
            <w:pPr>
              <w:rPr>
                <w:rFonts w:ascii="Arial"/>
                <w:sz w:val="21"/>
                <w:highlight w:val="none"/>
              </w:rPr>
            </w:pPr>
          </w:p>
        </w:tc>
        <w:tc>
          <w:tcPr>
            <w:tcW w:w="567" w:type="dxa"/>
            <w:tcBorders>
              <w:right w:val="single" w:color="000000" w:sz="6" w:space="0"/>
            </w:tcBorders>
            <w:vAlign w:val="top"/>
          </w:tcPr>
          <w:p w14:paraId="53184A85">
            <w:pPr>
              <w:rPr>
                <w:rFonts w:ascii="Arial"/>
                <w:sz w:val="21"/>
                <w:highlight w:val="none"/>
              </w:rPr>
            </w:pPr>
          </w:p>
        </w:tc>
      </w:tr>
      <w:tr w14:paraId="62B1E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3" w:type="dxa"/>
            <w:tcBorders>
              <w:left w:val="single" w:color="000000" w:sz="6" w:space="0"/>
            </w:tcBorders>
            <w:vAlign w:val="top"/>
          </w:tcPr>
          <w:p w14:paraId="521D2CF1">
            <w:pPr>
              <w:rPr>
                <w:rFonts w:ascii="Arial"/>
                <w:sz w:val="21"/>
                <w:highlight w:val="none"/>
              </w:rPr>
            </w:pPr>
          </w:p>
        </w:tc>
        <w:tc>
          <w:tcPr>
            <w:tcW w:w="544" w:type="dxa"/>
            <w:vAlign w:val="top"/>
          </w:tcPr>
          <w:p w14:paraId="109E6C70">
            <w:pPr>
              <w:rPr>
                <w:rFonts w:ascii="Arial"/>
                <w:sz w:val="21"/>
                <w:highlight w:val="none"/>
              </w:rPr>
            </w:pPr>
          </w:p>
        </w:tc>
        <w:tc>
          <w:tcPr>
            <w:tcW w:w="581" w:type="dxa"/>
            <w:vAlign w:val="top"/>
          </w:tcPr>
          <w:p w14:paraId="2AA96318">
            <w:pPr>
              <w:rPr>
                <w:rFonts w:ascii="Arial"/>
                <w:sz w:val="21"/>
                <w:highlight w:val="none"/>
              </w:rPr>
            </w:pPr>
          </w:p>
        </w:tc>
        <w:tc>
          <w:tcPr>
            <w:tcW w:w="563" w:type="dxa"/>
            <w:vAlign w:val="top"/>
          </w:tcPr>
          <w:p w14:paraId="1B52FBE3">
            <w:pPr>
              <w:rPr>
                <w:rFonts w:ascii="Arial"/>
                <w:sz w:val="21"/>
                <w:highlight w:val="none"/>
              </w:rPr>
            </w:pPr>
          </w:p>
        </w:tc>
        <w:tc>
          <w:tcPr>
            <w:tcW w:w="544" w:type="dxa"/>
            <w:vAlign w:val="top"/>
          </w:tcPr>
          <w:p w14:paraId="63DC9C28">
            <w:pPr>
              <w:rPr>
                <w:rFonts w:ascii="Arial"/>
                <w:sz w:val="21"/>
                <w:highlight w:val="none"/>
              </w:rPr>
            </w:pPr>
          </w:p>
        </w:tc>
        <w:tc>
          <w:tcPr>
            <w:tcW w:w="586" w:type="dxa"/>
            <w:vAlign w:val="top"/>
          </w:tcPr>
          <w:p w14:paraId="194A4375">
            <w:pPr>
              <w:rPr>
                <w:rFonts w:ascii="Arial"/>
                <w:sz w:val="21"/>
                <w:highlight w:val="none"/>
              </w:rPr>
            </w:pPr>
          </w:p>
        </w:tc>
        <w:tc>
          <w:tcPr>
            <w:tcW w:w="825" w:type="dxa"/>
            <w:vAlign w:val="top"/>
          </w:tcPr>
          <w:p w14:paraId="1E3A9B1A">
            <w:pPr>
              <w:rPr>
                <w:rFonts w:ascii="Arial"/>
                <w:sz w:val="21"/>
                <w:highlight w:val="none"/>
              </w:rPr>
            </w:pPr>
          </w:p>
        </w:tc>
        <w:tc>
          <w:tcPr>
            <w:tcW w:w="885" w:type="dxa"/>
            <w:vAlign w:val="top"/>
          </w:tcPr>
          <w:p w14:paraId="329BFC9F">
            <w:pPr>
              <w:rPr>
                <w:rFonts w:ascii="Arial"/>
                <w:sz w:val="21"/>
                <w:highlight w:val="none"/>
              </w:rPr>
            </w:pPr>
          </w:p>
        </w:tc>
        <w:tc>
          <w:tcPr>
            <w:tcW w:w="600" w:type="dxa"/>
            <w:vAlign w:val="top"/>
          </w:tcPr>
          <w:p w14:paraId="55AB3D9C">
            <w:pPr>
              <w:rPr>
                <w:rFonts w:ascii="Arial"/>
                <w:sz w:val="21"/>
                <w:highlight w:val="none"/>
              </w:rPr>
            </w:pPr>
          </w:p>
        </w:tc>
        <w:tc>
          <w:tcPr>
            <w:tcW w:w="855" w:type="dxa"/>
            <w:vAlign w:val="top"/>
          </w:tcPr>
          <w:p w14:paraId="13CA168C">
            <w:pPr>
              <w:rPr>
                <w:rFonts w:ascii="Arial"/>
                <w:sz w:val="21"/>
                <w:highlight w:val="none"/>
              </w:rPr>
            </w:pPr>
          </w:p>
        </w:tc>
        <w:tc>
          <w:tcPr>
            <w:tcW w:w="885" w:type="dxa"/>
            <w:vAlign w:val="top"/>
          </w:tcPr>
          <w:p w14:paraId="4EF348D1">
            <w:pPr>
              <w:rPr>
                <w:rFonts w:ascii="Arial"/>
                <w:sz w:val="21"/>
                <w:highlight w:val="none"/>
              </w:rPr>
            </w:pPr>
          </w:p>
        </w:tc>
        <w:tc>
          <w:tcPr>
            <w:tcW w:w="1190" w:type="dxa"/>
            <w:vAlign w:val="top"/>
          </w:tcPr>
          <w:p w14:paraId="69ADC399">
            <w:pPr>
              <w:rPr>
                <w:rFonts w:ascii="Arial"/>
                <w:sz w:val="21"/>
                <w:highlight w:val="none"/>
              </w:rPr>
            </w:pPr>
          </w:p>
        </w:tc>
        <w:tc>
          <w:tcPr>
            <w:tcW w:w="567" w:type="dxa"/>
            <w:tcBorders>
              <w:right w:val="single" w:color="000000" w:sz="6" w:space="0"/>
            </w:tcBorders>
            <w:vAlign w:val="top"/>
          </w:tcPr>
          <w:p w14:paraId="7022E259">
            <w:pPr>
              <w:rPr>
                <w:rFonts w:ascii="Arial"/>
                <w:sz w:val="21"/>
                <w:highlight w:val="none"/>
              </w:rPr>
            </w:pPr>
          </w:p>
        </w:tc>
      </w:tr>
      <w:tr w14:paraId="09E0E1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3" w:type="dxa"/>
            <w:tcBorders>
              <w:left w:val="single" w:color="000000" w:sz="6" w:space="0"/>
            </w:tcBorders>
            <w:vAlign w:val="top"/>
          </w:tcPr>
          <w:p w14:paraId="1310D4EC">
            <w:pPr>
              <w:rPr>
                <w:rFonts w:ascii="Arial"/>
                <w:sz w:val="21"/>
                <w:highlight w:val="none"/>
              </w:rPr>
            </w:pPr>
          </w:p>
        </w:tc>
        <w:tc>
          <w:tcPr>
            <w:tcW w:w="544" w:type="dxa"/>
            <w:vAlign w:val="top"/>
          </w:tcPr>
          <w:p w14:paraId="686BC622">
            <w:pPr>
              <w:rPr>
                <w:rFonts w:ascii="Arial"/>
                <w:sz w:val="21"/>
                <w:highlight w:val="none"/>
              </w:rPr>
            </w:pPr>
          </w:p>
        </w:tc>
        <w:tc>
          <w:tcPr>
            <w:tcW w:w="581" w:type="dxa"/>
            <w:vAlign w:val="top"/>
          </w:tcPr>
          <w:p w14:paraId="330AACE2">
            <w:pPr>
              <w:rPr>
                <w:rFonts w:ascii="Arial"/>
                <w:sz w:val="21"/>
                <w:highlight w:val="none"/>
              </w:rPr>
            </w:pPr>
          </w:p>
        </w:tc>
        <w:tc>
          <w:tcPr>
            <w:tcW w:w="563" w:type="dxa"/>
            <w:vAlign w:val="top"/>
          </w:tcPr>
          <w:p w14:paraId="3328A240">
            <w:pPr>
              <w:rPr>
                <w:rFonts w:ascii="Arial"/>
                <w:sz w:val="21"/>
                <w:highlight w:val="none"/>
              </w:rPr>
            </w:pPr>
          </w:p>
        </w:tc>
        <w:tc>
          <w:tcPr>
            <w:tcW w:w="544" w:type="dxa"/>
            <w:vAlign w:val="top"/>
          </w:tcPr>
          <w:p w14:paraId="33D8FA33">
            <w:pPr>
              <w:rPr>
                <w:rFonts w:ascii="Arial"/>
                <w:sz w:val="21"/>
                <w:highlight w:val="none"/>
              </w:rPr>
            </w:pPr>
          </w:p>
        </w:tc>
        <w:tc>
          <w:tcPr>
            <w:tcW w:w="586" w:type="dxa"/>
            <w:vAlign w:val="top"/>
          </w:tcPr>
          <w:p w14:paraId="27640B4F">
            <w:pPr>
              <w:rPr>
                <w:rFonts w:ascii="Arial"/>
                <w:sz w:val="21"/>
                <w:highlight w:val="none"/>
              </w:rPr>
            </w:pPr>
          </w:p>
        </w:tc>
        <w:tc>
          <w:tcPr>
            <w:tcW w:w="825" w:type="dxa"/>
            <w:vAlign w:val="top"/>
          </w:tcPr>
          <w:p w14:paraId="5F6E8737">
            <w:pPr>
              <w:rPr>
                <w:rFonts w:ascii="Arial"/>
                <w:sz w:val="21"/>
                <w:highlight w:val="none"/>
              </w:rPr>
            </w:pPr>
          </w:p>
        </w:tc>
        <w:tc>
          <w:tcPr>
            <w:tcW w:w="885" w:type="dxa"/>
            <w:vAlign w:val="top"/>
          </w:tcPr>
          <w:p w14:paraId="35FC8A79">
            <w:pPr>
              <w:rPr>
                <w:rFonts w:ascii="Arial"/>
                <w:sz w:val="21"/>
                <w:highlight w:val="none"/>
              </w:rPr>
            </w:pPr>
          </w:p>
        </w:tc>
        <w:tc>
          <w:tcPr>
            <w:tcW w:w="600" w:type="dxa"/>
            <w:vAlign w:val="top"/>
          </w:tcPr>
          <w:p w14:paraId="77003E8B">
            <w:pPr>
              <w:rPr>
                <w:rFonts w:ascii="Arial"/>
                <w:sz w:val="21"/>
                <w:highlight w:val="none"/>
              </w:rPr>
            </w:pPr>
          </w:p>
        </w:tc>
        <w:tc>
          <w:tcPr>
            <w:tcW w:w="855" w:type="dxa"/>
            <w:vAlign w:val="top"/>
          </w:tcPr>
          <w:p w14:paraId="62426B38">
            <w:pPr>
              <w:rPr>
                <w:rFonts w:ascii="Arial"/>
                <w:sz w:val="21"/>
                <w:highlight w:val="none"/>
              </w:rPr>
            </w:pPr>
          </w:p>
        </w:tc>
        <w:tc>
          <w:tcPr>
            <w:tcW w:w="885" w:type="dxa"/>
            <w:vAlign w:val="top"/>
          </w:tcPr>
          <w:p w14:paraId="1AF679BC">
            <w:pPr>
              <w:rPr>
                <w:rFonts w:ascii="Arial"/>
                <w:sz w:val="21"/>
                <w:highlight w:val="none"/>
              </w:rPr>
            </w:pPr>
          </w:p>
        </w:tc>
        <w:tc>
          <w:tcPr>
            <w:tcW w:w="1190" w:type="dxa"/>
            <w:vAlign w:val="top"/>
          </w:tcPr>
          <w:p w14:paraId="6C29B824">
            <w:pPr>
              <w:rPr>
                <w:rFonts w:ascii="Arial"/>
                <w:sz w:val="21"/>
                <w:highlight w:val="none"/>
              </w:rPr>
            </w:pPr>
          </w:p>
        </w:tc>
        <w:tc>
          <w:tcPr>
            <w:tcW w:w="567" w:type="dxa"/>
            <w:tcBorders>
              <w:right w:val="single" w:color="000000" w:sz="6" w:space="0"/>
            </w:tcBorders>
            <w:vAlign w:val="top"/>
          </w:tcPr>
          <w:p w14:paraId="70B6B06C">
            <w:pPr>
              <w:rPr>
                <w:rFonts w:ascii="Arial"/>
                <w:sz w:val="21"/>
                <w:highlight w:val="none"/>
              </w:rPr>
            </w:pPr>
          </w:p>
        </w:tc>
      </w:tr>
      <w:tr w14:paraId="1F2638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3" w:type="dxa"/>
            <w:tcBorders>
              <w:left w:val="single" w:color="000000" w:sz="6" w:space="0"/>
            </w:tcBorders>
            <w:vAlign w:val="top"/>
          </w:tcPr>
          <w:p w14:paraId="0F22A65C">
            <w:pPr>
              <w:rPr>
                <w:rFonts w:ascii="Arial"/>
                <w:sz w:val="21"/>
                <w:highlight w:val="none"/>
              </w:rPr>
            </w:pPr>
          </w:p>
        </w:tc>
        <w:tc>
          <w:tcPr>
            <w:tcW w:w="544" w:type="dxa"/>
            <w:vAlign w:val="top"/>
          </w:tcPr>
          <w:p w14:paraId="68CE1AA6">
            <w:pPr>
              <w:rPr>
                <w:rFonts w:ascii="Arial"/>
                <w:sz w:val="21"/>
                <w:highlight w:val="none"/>
              </w:rPr>
            </w:pPr>
          </w:p>
        </w:tc>
        <w:tc>
          <w:tcPr>
            <w:tcW w:w="581" w:type="dxa"/>
            <w:vAlign w:val="top"/>
          </w:tcPr>
          <w:p w14:paraId="561314CE">
            <w:pPr>
              <w:rPr>
                <w:rFonts w:ascii="Arial"/>
                <w:sz w:val="21"/>
                <w:highlight w:val="none"/>
              </w:rPr>
            </w:pPr>
          </w:p>
        </w:tc>
        <w:tc>
          <w:tcPr>
            <w:tcW w:w="563" w:type="dxa"/>
            <w:vAlign w:val="top"/>
          </w:tcPr>
          <w:p w14:paraId="018FCD2E">
            <w:pPr>
              <w:rPr>
                <w:rFonts w:ascii="Arial"/>
                <w:sz w:val="21"/>
                <w:highlight w:val="none"/>
              </w:rPr>
            </w:pPr>
          </w:p>
        </w:tc>
        <w:tc>
          <w:tcPr>
            <w:tcW w:w="544" w:type="dxa"/>
            <w:vAlign w:val="top"/>
          </w:tcPr>
          <w:p w14:paraId="404694D4">
            <w:pPr>
              <w:rPr>
                <w:rFonts w:ascii="Arial"/>
                <w:sz w:val="21"/>
                <w:highlight w:val="none"/>
              </w:rPr>
            </w:pPr>
          </w:p>
        </w:tc>
        <w:tc>
          <w:tcPr>
            <w:tcW w:w="586" w:type="dxa"/>
            <w:vAlign w:val="top"/>
          </w:tcPr>
          <w:p w14:paraId="14CEA4E6">
            <w:pPr>
              <w:rPr>
                <w:rFonts w:ascii="Arial"/>
                <w:sz w:val="21"/>
                <w:highlight w:val="none"/>
              </w:rPr>
            </w:pPr>
          </w:p>
        </w:tc>
        <w:tc>
          <w:tcPr>
            <w:tcW w:w="825" w:type="dxa"/>
            <w:vAlign w:val="top"/>
          </w:tcPr>
          <w:p w14:paraId="7774738A">
            <w:pPr>
              <w:rPr>
                <w:rFonts w:ascii="Arial"/>
                <w:sz w:val="21"/>
                <w:highlight w:val="none"/>
              </w:rPr>
            </w:pPr>
          </w:p>
        </w:tc>
        <w:tc>
          <w:tcPr>
            <w:tcW w:w="885" w:type="dxa"/>
            <w:vAlign w:val="top"/>
          </w:tcPr>
          <w:p w14:paraId="22DA47F9">
            <w:pPr>
              <w:rPr>
                <w:rFonts w:ascii="Arial"/>
                <w:sz w:val="21"/>
                <w:highlight w:val="none"/>
              </w:rPr>
            </w:pPr>
          </w:p>
        </w:tc>
        <w:tc>
          <w:tcPr>
            <w:tcW w:w="600" w:type="dxa"/>
            <w:vAlign w:val="top"/>
          </w:tcPr>
          <w:p w14:paraId="73E8721D">
            <w:pPr>
              <w:rPr>
                <w:rFonts w:ascii="Arial"/>
                <w:sz w:val="21"/>
                <w:highlight w:val="none"/>
              </w:rPr>
            </w:pPr>
          </w:p>
        </w:tc>
        <w:tc>
          <w:tcPr>
            <w:tcW w:w="855" w:type="dxa"/>
            <w:vAlign w:val="top"/>
          </w:tcPr>
          <w:p w14:paraId="34DC53DC">
            <w:pPr>
              <w:rPr>
                <w:rFonts w:ascii="Arial"/>
                <w:sz w:val="21"/>
                <w:highlight w:val="none"/>
              </w:rPr>
            </w:pPr>
          </w:p>
        </w:tc>
        <w:tc>
          <w:tcPr>
            <w:tcW w:w="885" w:type="dxa"/>
            <w:vAlign w:val="top"/>
          </w:tcPr>
          <w:p w14:paraId="691B83A4">
            <w:pPr>
              <w:rPr>
                <w:rFonts w:ascii="Arial"/>
                <w:sz w:val="21"/>
                <w:highlight w:val="none"/>
              </w:rPr>
            </w:pPr>
          </w:p>
        </w:tc>
        <w:tc>
          <w:tcPr>
            <w:tcW w:w="1190" w:type="dxa"/>
            <w:vAlign w:val="top"/>
          </w:tcPr>
          <w:p w14:paraId="5406201F">
            <w:pPr>
              <w:rPr>
                <w:rFonts w:ascii="Arial"/>
                <w:sz w:val="21"/>
                <w:highlight w:val="none"/>
              </w:rPr>
            </w:pPr>
          </w:p>
        </w:tc>
        <w:tc>
          <w:tcPr>
            <w:tcW w:w="567" w:type="dxa"/>
            <w:tcBorders>
              <w:right w:val="single" w:color="000000" w:sz="6" w:space="0"/>
            </w:tcBorders>
            <w:vAlign w:val="top"/>
          </w:tcPr>
          <w:p w14:paraId="572B61BC">
            <w:pPr>
              <w:rPr>
                <w:rFonts w:ascii="Arial"/>
                <w:sz w:val="21"/>
                <w:highlight w:val="none"/>
              </w:rPr>
            </w:pPr>
          </w:p>
        </w:tc>
      </w:tr>
      <w:tr w14:paraId="166254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3" w:type="dxa"/>
            <w:tcBorders>
              <w:left w:val="single" w:color="000000" w:sz="6" w:space="0"/>
            </w:tcBorders>
            <w:vAlign w:val="top"/>
          </w:tcPr>
          <w:p w14:paraId="03787ADD">
            <w:pPr>
              <w:rPr>
                <w:rFonts w:ascii="Arial"/>
                <w:sz w:val="21"/>
                <w:highlight w:val="none"/>
              </w:rPr>
            </w:pPr>
          </w:p>
        </w:tc>
        <w:tc>
          <w:tcPr>
            <w:tcW w:w="544" w:type="dxa"/>
            <w:vAlign w:val="top"/>
          </w:tcPr>
          <w:p w14:paraId="557EC469">
            <w:pPr>
              <w:rPr>
                <w:rFonts w:ascii="Arial"/>
                <w:sz w:val="21"/>
                <w:highlight w:val="none"/>
              </w:rPr>
            </w:pPr>
          </w:p>
        </w:tc>
        <w:tc>
          <w:tcPr>
            <w:tcW w:w="581" w:type="dxa"/>
            <w:vAlign w:val="top"/>
          </w:tcPr>
          <w:p w14:paraId="2C4B7A1C">
            <w:pPr>
              <w:rPr>
                <w:rFonts w:ascii="Arial"/>
                <w:sz w:val="21"/>
                <w:highlight w:val="none"/>
              </w:rPr>
            </w:pPr>
          </w:p>
        </w:tc>
        <w:tc>
          <w:tcPr>
            <w:tcW w:w="563" w:type="dxa"/>
            <w:vAlign w:val="top"/>
          </w:tcPr>
          <w:p w14:paraId="6F5F37F0">
            <w:pPr>
              <w:rPr>
                <w:rFonts w:ascii="Arial"/>
                <w:sz w:val="21"/>
                <w:highlight w:val="none"/>
              </w:rPr>
            </w:pPr>
          </w:p>
        </w:tc>
        <w:tc>
          <w:tcPr>
            <w:tcW w:w="544" w:type="dxa"/>
            <w:vAlign w:val="top"/>
          </w:tcPr>
          <w:p w14:paraId="00A6851B">
            <w:pPr>
              <w:rPr>
                <w:rFonts w:ascii="Arial"/>
                <w:sz w:val="21"/>
                <w:highlight w:val="none"/>
              </w:rPr>
            </w:pPr>
          </w:p>
        </w:tc>
        <w:tc>
          <w:tcPr>
            <w:tcW w:w="586" w:type="dxa"/>
            <w:vAlign w:val="top"/>
          </w:tcPr>
          <w:p w14:paraId="3940B049">
            <w:pPr>
              <w:rPr>
                <w:rFonts w:ascii="Arial"/>
                <w:sz w:val="21"/>
                <w:highlight w:val="none"/>
              </w:rPr>
            </w:pPr>
          </w:p>
        </w:tc>
        <w:tc>
          <w:tcPr>
            <w:tcW w:w="825" w:type="dxa"/>
            <w:vAlign w:val="top"/>
          </w:tcPr>
          <w:p w14:paraId="27524531">
            <w:pPr>
              <w:rPr>
                <w:rFonts w:ascii="Arial"/>
                <w:sz w:val="21"/>
                <w:highlight w:val="none"/>
              </w:rPr>
            </w:pPr>
          </w:p>
        </w:tc>
        <w:tc>
          <w:tcPr>
            <w:tcW w:w="885" w:type="dxa"/>
            <w:vAlign w:val="top"/>
          </w:tcPr>
          <w:p w14:paraId="113F73CD">
            <w:pPr>
              <w:rPr>
                <w:rFonts w:ascii="Arial"/>
                <w:sz w:val="21"/>
                <w:highlight w:val="none"/>
              </w:rPr>
            </w:pPr>
          </w:p>
        </w:tc>
        <w:tc>
          <w:tcPr>
            <w:tcW w:w="600" w:type="dxa"/>
            <w:vAlign w:val="top"/>
          </w:tcPr>
          <w:p w14:paraId="4B16EDE7">
            <w:pPr>
              <w:rPr>
                <w:rFonts w:ascii="Arial"/>
                <w:sz w:val="21"/>
                <w:highlight w:val="none"/>
              </w:rPr>
            </w:pPr>
          </w:p>
        </w:tc>
        <w:tc>
          <w:tcPr>
            <w:tcW w:w="855" w:type="dxa"/>
            <w:vAlign w:val="top"/>
          </w:tcPr>
          <w:p w14:paraId="0286BAB8">
            <w:pPr>
              <w:rPr>
                <w:rFonts w:ascii="Arial"/>
                <w:sz w:val="21"/>
                <w:highlight w:val="none"/>
              </w:rPr>
            </w:pPr>
          </w:p>
        </w:tc>
        <w:tc>
          <w:tcPr>
            <w:tcW w:w="885" w:type="dxa"/>
            <w:vAlign w:val="top"/>
          </w:tcPr>
          <w:p w14:paraId="55C7D104">
            <w:pPr>
              <w:rPr>
                <w:rFonts w:ascii="Arial"/>
                <w:sz w:val="21"/>
                <w:highlight w:val="none"/>
              </w:rPr>
            </w:pPr>
          </w:p>
        </w:tc>
        <w:tc>
          <w:tcPr>
            <w:tcW w:w="1190" w:type="dxa"/>
            <w:vAlign w:val="top"/>
          </w:tcPr>
          <w:p w14:paraId="7EF1C0AD">
            <w:pPr>
              <w:rPr>
                <w:rFonts w:ascii="Arial"/>
                <w:sz w:val="21"/>
                <w:highlight w:val="none"/>
              </w:rPr>
            </w:pPr>
          </w:p>
        </w:tc>
        <w:tc>
          <w:tcPr>
            <w:tcW w:w="567" w:type="dxa"/>
            <w:tcBorders>
              <w:right w:val="single" w:color="000000" w:sz="6" w:space="0"/>
            </w:tcBorders>
            <w:vAlign w:val="top"/>
          </w:tcPr>
          <w:p w14:paraId="6AEC60F1">
            <w:pPr>
              <w:rPr>
                <w:rFonts w:ascii="Arial"/>
                <w:sz w:val="21"/>
                <w:highlight w:val="none"/>
              </w:rPr>
            </w:pPr>
          </w:p>
        </w:tc>
      </w:tr>
      <w:tr w14:paraId="05AE24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3" w:type="dxa"/>
            <w:tcBorders>
              <w:left w:val="single" w:color="000000" w:sz="6" w:space="0"/>
            </w:tcBorders>
            <w:vAlign w:val="top"/>
          </w:tcPr>
          <w:p w14:paraId="3193FA58">
            <w:pPr>
              <w:rPr>
                <w:rFonts w:ascii="Arial"/>
                <w:sz w:val="21"/>
                <w:highlight w:val="none"/>
              </w:rPr>
            </w:pPr>
          </w:p>
        </w:tc>
        <w:tc>
          <w:tcPr>
            <w:tcW w:w="544" w:type="dxa"/>
            <w:vAlign w:val="top"/>
          </w:tcPr>
          <w:p w14:paraId="76506D9B">
            <w:pPr>
              <w:rPr>
                <w:rFonts w:ascii="Arial"/>
                <w:sz w:val="21"/>
                <w:highlight w:val="none"/>
              </w:rPr>
            </w:pPr>
          </w:p>
        </w:tc>
        <w:tc>
          <w:tcPr>
            <w:tcW w:w="581" w:type="dxa"/>
            <w:vAlign w:val="top"/>
          </w:tcPr>
          <w:p w14:paraId="22C3C254">
            <w:pPr>
              <w:rPr>
                <w:rFonts w:ascii="Arial"/>
                <w:sz w:val="21"/>
                <w:highlight w:val="none"/>
              </w:rPr>
            </w:pPr>
          </w:p>
        </w:tc>
        <w:tc>
          <w:tcPr>
            <w:tcW w:w="563" w:type="dxa"/>
            <w:vAlign w:val="top"/>
          </w:tcPr>
          <w:p w14:paraId="7B91972A">
            <w:pPr>
              <w:rPr>
                <w:rFonts w:ascii="Arial"/>
                <w:sz w:val="21"/>
                <w:highlight w:val="none"/>
              </w:rPr>
            </w:pPr>
          </w:p>
        </w:tc>
        <w:tc>
          <w:tcPr>
            <w:tcW w:w="544" w:type="dxa"/>
            <w:vAlign w:val="top"/>
          </w:tcPr>
          <w:p w14:paraId="77894497">
            <w:pPr>
              <w:rPr>
                <w:rFonts w:ascii="Arial"/>
                <w:sz w:val="21"/>
                <w:highlight w:val="none"/>
              </w:rPr>
            </w:pPr>
          </w:p>
        </w:tc>
        <w:tc>
          <w:tcPr>
            <w:tcW w:w="586" w:type="dxa"/>
            <w:vAlign w:val="top"/>
          </w:tcPr>
          <w:p w14:paraId="749C554F">
            <w:pPr>
              <w:rPr>
                <w:rFonts w:ascii="Arial"/>
                <w:sz w:val="21"/>
                <w:highlight w:val="none"/>
              </w:rPr>
            </w:pPr>
          </w:p>
        </w:tc>
        <w:tc>
          <w:tcPr>
            <w:tcW w:w="825" w:type="dxa"/>
            <w:vAlign w:val="top"/>
          </w:tcPr>
          <w:p w14:paraId="104C45C3">
            <w:pPr>
              <w:rPr>
                <w:rFonts w:ascii="Arial"/>
                <w:sz w:val="21"/>
                <w:highlight w:val="none"/>
              </w:rPr>
            </w:pPr>
          </w:p>
        </w:tc>
        <w:tc>
          <w:tcPr>
            <w:tcW w:w="885" w:type="dxa"/>
            <w:vAlign w:val="top"/>
          </w:tcPr>
          <w:p w14:paraId="2A4A81A8">
            <w:pPr>
              <w:rPr>
                <w:rFonts w:ascii="Arial"/>
                <w:sz w:val="21"/>
                <w:highlight w:val="none"/>
              </w:rPr>
            </w:pPr>
          </w:p>
        </w:tc>
        <w:tc>
          <w:tcPr>
            <w:tcW w:w="600" w:type="dxa"/>
            <w:vAlign w:val="top"/>
          </w:tcPr>
          <w:p w14:paraId="74241C4A">
            <w:pPr>
              <w:rPr>
                <w:rFonts w:ascii="Arial"/>
                <w:sz w:val="21"/>
                <w:highlight w:val="none"/>
              </w:rPr>
            </w:pPr>
          </w:p>
        </w:tc>
        <w:tc>
          <w:tcPr>
            <w:tcW w:w="855" w:type="dxa"/>
            <w:vAlign w:val="top"/>
          </w:tcPr>
          <w:p w14:paraId="4E528D8E">
            <w:pPr>
              <w:rPr>
                <w:rFonts w:ascii="Arial"/>
                <w:sz w:val="21"/>
                <w:highlight w:val="none"/>
              </w:rPr>
            </w:pPr>
          </w:p>
        </w:tc>
        <w:tc>
          <w:tcPr>
            <w:tcW w:w="885" w:type="dxa"/>
            <w:vAlign w:val="top"/>
          </w:tcPr>
          <w:p w14:paraId="6ED32939">
            <w:pPr>
              <w:rPr>
                <w:rFonts w:ascii="Arial"/>
                <w:sz w:val="21"/>
                <w:highlight w:val="none"/>
              </w:rPr>
            </w:pPr>
          </w:p>
        </w:tc>
        <w:tc>
          <w:tcPr>
            <w:tcW w:w="1190" w:type="dxa"/>
            <w:vAlign w:val="top"/>
          </w:tcPr>
          <w:p w14:paraId="5923182E">
            <w:pPr>
              <w:rPr>
                <w:rFonts w:ascii="Arial"/>
                <w:sz w:val="21"/>
                <w:highlight w:val="none"/>
              </w:rPr>
            </w:pPr>
          </w:p>
        </w:tc>
        <w:tc>
          <w:tcPr>
            <w:tcW w:w="567" w:type="dxa"/>
            <w:tcBorders>
              <w:right w:val="single" w:color="000000" w:sz="6" w:space="0"/>
            </w:tcBorders>
            <w:vAlign w:val="top"/>
          </w:tcPr>
          <w:p w14:paraId="410B3D46">
            <w:pPr>
              <w:rPr>
                <w:rFonts w:ascii="Arial"/>
                <w:sz w:val="21"/>
                <w:highlight w:val="none"/>
              </w:rPr>
            </w:pPr>
          </w:p>
        </w:tc>
      </w:tr>
      <w:tr w14:paraId="0DE2C0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3" w:type="dxa"/>
            <w:tcBorders>
              <w:left w:val="single" w:color="000000" w:sz="6" w:space="0"/>
            </w:tcBorders>
            <w:vAlign w:val="top"/>
          </w:tcPr>
          <w:p w14:paraId="3ADD0FB0">
            <w:pPr>
              <w:rPr>
                <w:rFonts w:ascii="Arial"/>
                <w:sz w:val="21"/>
                <w:highlight w:val="none"/>
              </w:rPr>
            </w:pPr>
          </w:p>
        </w:tc>
        <w:tc>
          <w:tcPr>
            <w:tcW w:w="544" w:type="dxa"/>
            <w:vAlign w:val="top"/>
          </w:tcPr>
          <w:p w14:paraId="5A074771">
            <w:pPr>
              <w:rPr>
                <w:rFonts w:ascii="Arial"/>
                <w:sz w:val="21"/>
                <w:highlight w:val="none"/>
              </w:rPr>
            </w:pPr>
          </w:p>
        </w:tc>
        <w:tc>
          <w:tcPr>
            <w:tcW w:w="581" w:type="dxa"/>
            <w:vAlign w:val="top"/>
          </w:tcPr>
          <w:p w14:paraId="0AE66FFC">
            <w:pPr>
              <w:rPr>
                <w:rFonts w:ascii="Arial"/>
                <w:sz w:val="21"/>
                <w:highlight w:val="none"/>
              </w:rPr>
            </w:pPr>
          </w:p>
        </w:tc>
        <w:tc>
          <w:tcPr>
            <w:tcW w:w="563" w:type="dxa"/>
            <w:vAlign w:val="top"/>
          </w:tcPr>
          <w:p w14:paraId="7F494C7F">
            <w:pPr>
              <w:rPr>
                <w:rFonts w:ascii="Arial"/>
                <w:sz w:val="21"/>
                <w:highlight w:val="none"/>
              </w:rPr>
            </w:pPr>
          </w:p>
        </w:tc>
        <w:tc>
          <w:tcPr>
            <w:tcW w:w="544" w:type="dxa"/>
            <w:vAlign w:val="top"/>
          </w:tcPr>
          <w:p w14:paraId="0940FC90">
            <w:pPr>
              <w:rPr>
                <w:rFonts w:ascii="Arial"/>
                <w:sz w:val="21"/>
                <w:highlight w:val="none"/>
              </w:rPr>
            </w:pPr>
          </w:p>
        </w:tc>
        <w:tc>
          <w:tcPr>
            <w:tcW w:w="586" w:type="dxa"/>
            <w:vAlign w:val="top"/>
          </w:tcPr>
          <w:p w14:paraId="03B6DFEB">
            <w:pPr>
              <w:rPr>
                <w:rFonts w:ascii="Arial"/>
                <w:sz w:val="21"/>
                <w:highlight w:val="none"/>
              </w:rPr>
            </w:pPr>
          </w:p>
        </w:tc>
        <w:tc>
          <w:tcPr>
            <w:tcW w:w="825" w:type="dxa"/>
            <w:vAlign w:val="top"/>
          </w:tcPr>
          <w:p w14:paraId="1048B29C">
            <w:pPr>
              <w:rPr>
                <w:rFonts w:ascii="Arial"/>
                <w:sz w:val="21"/>
                <w:highlight w:val="none"/>
              </w:rPr>
            </w:pPr>
          </w:p>
        </w:tc>
        <w:tc>
          <w:tcPr>
            <w:tcW w:w="885" w:type="dxa"/>
            <w:vAlign w:val="top"/>
          </w:tcPr>
          <w:p w14:paraId="1DD5E859">
            <w:pPr>
              <w:rPr>
                <w:rFonts w:ascii="Arial"/>
                <w:sz w:val="21"/>
                <w:highlight w:val="none"/>
              </w:rPr>
            </w:pPr>
          </w:p>
        </w:tc>
        <w:tc>
          <w:tcPr>
            <w:tcW w:w="600" w:type="dxa"/>
            <w:vAlign w:val="top"/>
          </w:tcPr>
          <w:p w14:paraId="0B0E22D6">
            <w:pPr>
              <w:rPr>
                <w:rFonts w:ascii="Arial"/>
                <w:sz w:val="21"/>
                <w:highlight w:val="none"/>
              </w:rPr>
            </w:pPr>
          </w:p>
        </w:tc>
        <w:tc>
          <w:tcPr>
            <w:tcW w:w="855" w:type="dxa"/>
            <w:vAlign w:val="top"/>
          </w:tcPr>
          <w:p w14:paraId="244994C8">
            <w:pPr>
              <w:rPr>
                <w:rFonts w:ascii="Arial"/>
                <w:sz w:val="21"/>
                <w:highlight w:val="none"/>
              </w:rPr>
            </w:pPr>
          </w:p>
        </w:tc>
        <w:tc>
          <w:tcPr>
            <w:tcW w:w="885" w:type="dxa"/>
            <w:vAlign w:val="top"/>
          </w:tcPr>
          <w:p w14:paraId="137E1127">
            <w:pPr>
              <w:rPr>
                <w:rFonts w:ascii="Arial"/>
                <w:sz w:val="21"/>
                <w:highlight w:val="none"/>
              </w:rPr>
            </w:pPr>
          </w:p>
        </w:tc>
        <w:tc>
          <w:tcPr>
            <w:tcW w:w="1190" w:type="dxa"/>
            <w:vAlign w:val="top"/>
          </w:tcPr>
          <w:p w14:paraId="2C1DECC6">
            <w:pPr>
              <w:rPr>
                <w:rFonts w:ascii="Arial"/>
                <w:sz w:val="21"/>
                <w:highlight w:val="none"/>
              </w:rPr>
            </w:pPr>
          </w:p>
        </w:tc>
        <w:tc>
          <w:tcPr>
            <w:tcW w:w="567" w:type="dxa"/>
            <w:tcBorders>
              <w:right w:val="single" w:color="000000" w:sz="6" w:space="0"/>
            </w:tcBorders>
            <w:vAlign w:val="top"/>
          </w:tcPr>
          <w:p w14:paraId="3B49257D">
            <w:pPr>
              <w:rPr>
                <w:rFonts w:ascii="Arial"/>
                <w:sz w:val="21"/>
                <w:highlight w:val="none"/>
              </w:rPr>
            </w:pPr>
          </w:p>
        </w:tc>
      </w:tr>
      <w:tr w14:paraId="1E5476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3" w:type="dxa"/>
            <w:tcBorders>
              <w:left w:val="single" w:color="000000" w:sz="6" w:space="0"/>
            </w:tcBorders>
            <w:vAlign w:val="top"/>
          </w:tcPr>
          <w:p w14:paraId="570813A7">
            <w:pPr>
              <w:rPr>
                <w:rFonts w:ascii="Arial"/>
                <w:sz w:val="21"/>
                <w:highlight w:val="none"/>
              </w:rPr>
            </w:pPr>
          </w:p>
        </w:tc>
        <w:tc>
          <w:tcPr>
            <w:tcW w:w="544" w:type="dxa"/>
            <w:vAlign w:val="top"/>
          </w:tcPr>
          <w:p w14:paraId="7B9D1531">
            <w:pPr>
              <w:rPr>
                <w:rFonts w:ascii="Arial"/>
                <w:sz w:val="21"/>
                <w:highlight w:val="none"/>
              </w:rPr>
            </w:pPr>
          </w:p>
        </w:tc>
        <w:tc>
          <w:tcPr>
            <w:tcW w:w="581" w:type="dxa"/>
            <w:vAlign w:val="top"/>
          </w:tcPr>
          <w:p w14:paraId="490B7F86">
            <w:pPr>
              <w:rPr>
                <w:rFonts w:ascii="Arial"/>
                <w:sz w:val="21"/>
                <w:highlight w:val="none"/>
              </w:rPr>
            </w:pPr>
          </w:p>
        </w:tc>
        <w:tc>
          <w:tcPr>
            <w:tcW w:w="563" w:type="dxa"/>
            <w:vAlign w:val="top"/>
          </w:tcPr>
          <w:p w14:paraId="50846806">
            <w:pPr>
              <w:rPr>
                <w:rFonts w:ascii="Arial"/>
                <w:sz w:val="21"/>
                <w:highlight w:val="none"/>
              </w:rPr>
            </w:pPr>
          </w:p>
        </w:tc>
        <w:tc>
          <w:tcPr>
            <w:tcW w:w="544" w:type="dxa"/>
            <w:vAlign w:val="top"/>
          </w:tcPr>
          <w:p w14:paraId="0152D4B1">
            <w:pPr>
              <w:rPr>
                <w:rFonts w:ascii="Arial"/>
                <w:sz w:val="21"/>
                <w:highlight w:val="none"/>
              </w:rPr>
            </w:pPr>
          </w:p>
        </w:tc>
        <w:tc>
          <w:tcPr>
            <w:tcW w:w="586" w:type="dxa"/>
            <w:vAlign w:val="top"/>
          </w:tcPr>
          <w:p w14:paraId="4F35845B">
            <w:pPr>
              <w:rPr>
                <w:rFonts w:ascii="Arial"/>
                <w:sz w:val="21"/>
                <w:highlight w:val="none"/>
              </w:rPr>
            </w:pPr>
          </w:p>
        </w:tc>
        <w:tc>
          <w:tcPr>
            <w:tcW w:w="825" w:type="dxa"/>
            <w:vAlign w:val="top"/>
          </w:tcPr>
          <w:p w14:paraId="7FF23803">
            <w:pPr>
              <w:rPr>
                <w:rFonts w:ascii="Arial"/>
                <w:sz w:val="21"/>
                <w:highlight w:val="none"/>
              </w:rPr>
            </w:pPr>
          </w:p>
        </w:tc>
        <w:tc>
          <w:tcPr>
            <w:tcW w:w="885" w:type="dxa"/>
            <w:vAlign w:val="top"/>
          </w:tcPr>
          <w:p w14:paraId="5F066D9E">
            <w:pPr>
              <w:rPr>
                <w:rFonts w:ascii="Arial"/>
                <w:sz w:val="21"/>
                <w:highlight w:val="none"/>
              </w:rPr>
            </w:pPr>
          </w:p>
        </w:tc>
        <w:tc>
          <w:tcPr>
            <w:tcW w:w="600" w:type="dxa"/>
            <w:vAlign w:val="top"/>
          </w:tcPr>
          <w:p w14:paraId="302F18B7">
            <w:pPr>
              <w:rPr>
                <w:rFonts w:ascii="Arial"/>
                <w:sz w:val="21"/>
                <w:highlight w:val="none"/>
              </w:rPr>
            </w:pPr>
          </w:p>
        </w:tc>
        <w:tc>
          <w:tcPr>
            <w:tcW w:w="855" w:type="dxa"/>
            <w:vAlign w:val="top"/>
          </w:tcPr>
          <w:p w14:paraId="37B8670E">
            <w:pPr>
              <w:rPr>
                <w:rFonts w:ascii="Arial"/>
                <w:sz w:val="21"/>
                <w:highlight w:val="none"/>
              </w:rPr>
            </w:pPr>
          </w:p>
        </w:tc>
        <w:tc>
          <w:tcPr>
            <w:tcW w:w="885" w:type="dxa"/>
            <w:vAlign w:val="top"/>
          </w:tcPr>
          <w:p w14:paraId="1CEE79F1">
            <w:pPr>
              <w:rPr>
                <w:rFonts w:ascii="Arial"/>
                <w:sz w:val="21"/>
                <w:highlight w:val="none"/>
              </w:rPr>
            </w:pPr>
          </w:p>
        </w:tc>
        <w:tc>
          <w:tcPr>
            <w:tcW w:w="1190" w:type="dxa"/>
            <w:vAlign w:val="top"/>
          </w:tcPr>
          <w:p w14:paraId="3E3867F9">
            <w:pPr>
              <w:rPr>
                <w:rFonts w:ascii="Arial"/>
                <w:sz w:val="21"/>
                <w:highlight w:val="none"/>
              </w:rPr>
            </w:pPr>
          </w:p>
        </w:tc>
        <w:tc>
          <w:tcPr>
            <w:tcW w:w="567" w:type="dxa"/>
            <w:tcBorders>
              <w:right w:val="single" w:color="000000" w:sz="6" w:space="0"/>
            </w:tcBorders>
            <w:vAlign w:val="top"/>
          </w:tcPr>
          <w:p w14:paraId="58CA1740">
            <w:pPr>
              <w:rPr>
                <w:rFonts w:ascii="Arial"/>
                <w:sz w:val="21"/>
                <w:highlight w:val="none"/>
              </w:rPr>
            </w:pPr>
          </w:p>
        </w:tc>
      </w:tr>
      <w:tr w14:paraId="40C239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3" w:type="dxa"/>
            <w:tcBorders>
              <w:left w:val="single" w:color="000000" w:sz="6" w:space="0"/>
            </w:tcBorders>
            <w:vAlign w:val="top"/>
          </w:tcPr>
          <w:p w14:paraId="0A05E902">
            <w:pPr>
              <w:rPr>
                <w:rFonts w:ascii="Arial"/>
                <w:sz w:val="21"/>
                <w:highlight w:val="none"/>
              </w:rPr>
            </w:pPr>
          </w:p>
        </w:tc>
        <w:tc>
          <w:tcPr>
            <w:tcW w:w="544" w:type="dxa"/>
            <w:vAlign w:val="top"/>
          </w:tcPr>
          <w:p w14:paraId="783CD508">
            <w:pPr>
              <w:rPr>
                <w:rFonts w:ascii="Arial"/>
                <w:sz w:val="21"/>
                <w:highlight w:val="none"/>
              </w:rPr>
            </w:pPr>
          </w:p>
        </w:tc>
        <w:tc>
          <w:tcPr>
            <w:tcW w:w="581" w:type="dxa"/>
            <w:vAlign w:val="top"/>
          </w:tcPr>
          <w:p w14:paraId="715E892C">
            <w:pPr>
              <w:rPr>
                <w:rFonts w:ascii="Arial"/>
                <w:sz w:val="21"/>
                <w:highlight w:val="none"/>
              </w:rPr>
            </w:pPr>
          </w:p>
        </w:tc>
        <w:tc>
          <w:tcPr>
            <w:tcW w:w="563" w:type="dxa"/>
            <w:vAlign w:val="top"/>
          </w:tcPr>
          <w:p w14:paraId="17074D62">
            <w:pPr>
              <w:rPr>
                <w:rFonts w:ascii="Arial"/>
                <w:sz w:val="21"/>
                <w:highlight w:val="none"/>
              </w:rPr>
            </w:pPr>
          </w:p>
        </w:tc>
        <w:tc>
          <w:tcPr>
            <w:tcW w:w="544" w:type="dxa"/>
            <w:vAlign w:val="top"/>
          </w:tcPr>
          <w:p w14:paraId="7B81F7A9">
            <w:pPr>
              <w:rPr>
                <w:rFonts w:ascii="Arial"/>
                <w:sz w:val="21"/>
                <w:highlight w:val="none"/>
              </w:rPr>
            </w:pPr>
          </w:p>
        </w:tc>
        <w:tc>
          <w:tcPr>
            <w:tcW w:w="586" w:type="dxa"/>
            <w:vAlign w:val="top"/>
          </w:tcPr>
          <w:p w14:paraId="1533D897">
            <w:pPr>
              <w:rPr>
                <w:rFonts w:ascii="Arial"/>
                <w:sz w:val="21"/>
                <w:highlight w:val="none"/>
              </w:rPr>
            </w:pPr>
          </w:p>
        </w:tc>
        <w:tc>
          <w:tcPr>
            <w:tcW w:w="825" w:type="dxa"/>
            <w:vAlign w:val="top"/>
          </w:tcPr>
          <w:p w14:paraId="7A470F01">
            <w:pPr>
              <w:rPr>
                <w:rFonts w:ascii="Arial"/>
                <w:sz w:val="21"/>
                <w:highlight w:val="none"/>
              </w:rPr>
            </w:pPr>
          </w:p>
        </w:tc>
        <w:tc>
          <w:tcPr>
            <w:tcW w:w="885" w:type="dxa"/>
            <w:vAlign w:val="top"/>
          </w:tcPr>
          <w:p w14:paraId="34B1A5C3">
            <w:pPr>
              <w:rPr>
                <w:rFonts w:ascii="Arial"/>
                <w:sz w:val="21"/>
                <w:highlight w:val="none"/>
              </w:rPr>
            </w:pPr>
          </w:p>
        </w:tc>
        <w:tc>
          <w:tcPr>
            <w:tcW w:w="600" w:type="dxa"/>
            <w:vAlign w:val="top"/>
          </w:tcPr>
          <w:p w14:paraId="2F8747CA">
            <w:pPr>
              <w:rPr>
                <w:rFonts w:ascii="Arial"/>
                <w:sz w:val="21"/>
                <w:highlight w:val="none"/>
              </w:rPr>
            </w:pPr>
          </w:p>
        </w:tc>
        <w:tc>
          <w:tcPr>
            <w:tcW w:w="855" w:type="dxa"/>
            <w:vAlign w:val="top"/>
          </w:tcPr>
          <w:p w14:paraId="2C239A2A">
            <w:pPr>
              <w:rPr>
                <w:rFonts w:ascii="Arial"/>
                <w:sz w:val="21"/>
                <w:highlight w:val="none"/>
              </w:rPr>
            </w:pPr>
          </w:p>
        </w:tc>
        <w:tc>
          <w:tcPr>
            <w:tcW w:w="885" w:type="dxa"/>
            <w:vAlign w:val="top"/>
          </w:tcPr>
          <w:p w14:paraId="2E04516A">
            <w:pPr>
              <w:rPr>
                <w:rFonts w:ascii="Arial"/>
                <w:sz w:val="21"/>
                <w:highlight w:val="none"/>
              </w:rPr>
            </w:pPr>
          </w:p>
        </w:tc>
        <w:tc>
          <w:tcPr>
            <w:tcW w:w="1190" w:type="dxa"/>
            <w:vAlign w:val="top"/>
          </w:tcPr>
          <w:p w14:paraId="24989D11">
            <w:pPr>
              <w:rPr>
                <w:rFonts w:ascii="Arial"/>
                <w:sz w:val="21"/>
                <w:highlight w:val="none"/>
              </w:rPr>
            </w:pPr>
          </w:p>
        </w:tc>
        <w:tc>
          <w:tcPr>
            <w:tcW w:w="567" w:type="dxa"/>
            <w:tcBorders>
              <w:right w:val="single" w:color="000000" w:sz="6" w:space="0"/>
            </w:tcBorders>
            <w:vAlign w:val="top"/>
          </w:tcPr>
          <w:p w14:paraId="5E8FC333">
            <w:pPr>
              <w:rPr>
                <w:rFonts w:ascii="Arial"/>
                <w:sz w:val="21"/>
                <w:highlight w:val="none"/>
              </w:rPr>
            </w:pPr>
          </w:p>
        </w:tc>
      </w:tr>
      <w:tr w14:paraId="3AB9E7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3" w:type="dxa"/>
            <w:tcBorders>
              <w:left w:val="single" w:color="000000" w:sz="6" w:space="0"/>
            </w:tcBorders>
            <w:vAlign w:val="top"/>
          </w:tcPr>
          <w:p w14:paraId="589CA0B3">
            <w:pPr>
              <w:rPr>
                <w:rFonts w:ascii="Arial"/>
                <w:sz w:val="21"/>
                <w:highlight w:val="none"/>
              </w:rPr>
            </w:pPr>
          </w:p>
        </w:tc>
        <w:tc>
          <w:tcPr>
            <w:tcW w:w="544" w:type="dxa"/>
            <w:vAlign w:val="top"/>
          </w:tcPr>
          <w:p w14:paraId="2E7004AA">
            <w:pPr>
              <w:rPr>
                <w:rFonts w:ascii="Arial"/>
                <w:sz w:val="21"/>
                <w:highlight w:val="none"/>
              </w:rPr>
            </w:pPr>
          </w:p>
        </w:tc>
        <w:tc>
          <w:tcPr>
            <w:tcW w:w="581" w:type="dxa"/>
            <w:vAlign w:val="top"/>
          </w:tcPr>
          <w:p w14:paraId="5A230889">
            <w:pPr>
              <w:rPr>
                <w:rFonts w:ascii="Arial"/>
                <w:sz w:val="21"/>
                <w:highlight w:val="none"/>
              </w:rPr>
            </w:pPr>
          </w:p>
        </w:tc>
        <w:tc>
          <w:tcPr>
            <w:tcW w:w="563" w:type="dxa"/>
            <w:vAlign w:val="top"/>
          </w:tcPr>
          <w:p w14:paraId="0EAD7CDB">
            <w:pPr>
              <w:rPr>
                <w:rFonts w:ascii="Arial"/>
                <w:sz w:val="21"/>
                <w:highlight w:val="none"/>
              </w:rPr>
            </w:pPr>
          </w:p>
        </w:tc>
        <w:tc>
          <w:tcPr>
            <w:tcW w:w="544" w:type="dxa"/>
            <w:vAlign w:val="top"/>
          </w:tcPr>
          <w:p w14:paraId="726DE8E7">
            <w:pPr>
              <w:rPr>
                <w:rFonts w:ascii="Arial"/>
                <w:sz w:val="21"/>
                <w:highlight w:val="none"/>
              </w:rPr>
            </w:pPr>
          </w:p>
        </w:tc>
        <w:tc>
          <w:tcPr>
            <w:tcW w:w="586" w:type="dxa"/>
            <w:vAlign w:val="top"/>
          </w:tcPr>
          <w:p w14:paraId="7D2EEF7C">
            <w:pPr>
              <w:rPr>
                <w:rFonts w:ascii="Arial"/>
                <w:sz w:val="21"/>
                <w:highlight w:val="none"/>
              </w:rPr>
            </w:pPr>
          </w:p>
        </w:tc>
        <w:tc>
          <w:tcPr>
            <w:tcW w:w="825" w:type="dxa"/>
            <w:vAlign w:val="top"/>
          </w:tcPr>
          <w:p w14:paraId="659E1A09">
            <w:pPr>
              <w:rPr>
                <w:rFonts w:ascii="Arial"/>
                <w:sz w:val="21"/>
                <w:highlight w:val="none"/>
              </w:rPr>
            </w:pPr>
          </w:p>
        </w:tc>
        <w:tc>
          <w:tcPr>
            <w:tcW w:w="885" w:type="dxa"/>
            <w:vAlign w:val="top"/>
          </w:tcPr>
          <w:p w14:paraId="6C9F518A">
            <w:pPr>
              <w:rPr>
                <w:rFonts w:ascii="Arial"/>
                <w:sz w:val="21"/>
                <w:highlight w:val="none"/>
              </w:rPr>
            </w:pPr>
          </w:p>
        </w:tc>
        <w:tc>
          <w:tcPr>
            <w:tcW w:w="600" w:type="dxa"/>
            <w:vAlign w:val="top"/>
          </w:tcPr>
          <w:p w14:paraId="41734981">
            <w:pPr>
              <w:rPr>
                <w:rFonts w:ascii="Arial"/>
                <w:sz w:val="21"/>
                <w:highlight w:val="none"/>
              </w:rPr>
            </w:pPr>
          </w:p>
        </w:tc>
        <w:tc>
          <w:tcPr>
            <w:tcW w:w="855" w:type="dxa"/>
            <w:vAlign w:val="top"/>
          </w:tcPr>
          <w:p w14:paraId="59DB411E">
            <w:pPr>
              <w:rPr>
                <w:rFonts w:ascii="Arial"/>
                <w:sz w:val="21"/>
                <w:highlight w:val="none"/>
              </w:rPr>
            </w:pPr>
          </w:p>
        </w:tc>
        <w:tc>
          <w:tcPr>
            <w:tcW w:w="885" w:type="dxa"/>
            <w:vAlign w:val="top"/>
          </w:tcPr>
          <w:p w14:paraId="21035ECF">
            <w:pPr>
              <w:rPr>
                <w:rFonts w:ascii="Arial"/>
                <w:sz w:val="21"/>
                <w:highlight w:val="none"/>
              </w:rPr>
            </w:pPr>
          </w:p>
        </w:tc>
        <w:tc>
          <w:tcPr>
            <w:tcW w:w="1190" w:type="dxa"/>
            <w:vAlign w:val="top"/>
          </w:tcPr>
          <w:p w14:paraId="7D130729">
            <w:pPr>
              <w:rPr>
                <w:rFonts w:ascii="Arial"/>
                <w:sz w:val="21"/>
                <w:highlight w:val="none"/>
              </w:rPr>
            </w:pPr>
          </w:p>
        </w:tc>
        <w:tc>
          <w:tcPr>
            <w:tcW w:w="567" w:type="dxa"/>
            <w:tcBorders>
              <w:right w:val="single" w:color="000000" w:sz="6" w:space="0"/>
            </w:tcBorders>
            <w:vAlign w:val="top"/>
          </w:tcPr>
          <w:p w14:paraId="1CA9176E">
            <w:pPr>
              <w:rPr>
                <w:rFonts w:ascii="Arial"/>
                <w:sz w:val="21"/>
                <w:highlight w:val="none"/>
              </w:rPr>
            </w:pPr>
          </w:p>
        </w:tc>
      </w:tr>
      <w:tr w14:paraId="4A11A2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3" w:type="dxa"/>
            <w:tcBorders>
              <w:left w:val="single" w:color="000000" w:sz="6" w:space="0"/>
            </w:tcBorders>
            <w:vAlign w:val="top"/>
          </w:tcPr>
          <w:p w14:paraId="22F9976E">
            <w:pPr>
              <w:rPr>
                <w:rFonts w:ascii="Arial"/>
                <w:sz w:val="21"/>
                <w:highlight w:val="none"/>
              </w:rPr>
            </w:pPr>
          </w:p>
        </w:tc>
        <w:tc>
          <w:tcPr>
            <w:tcW w:w="544" w:type="dxa"/>
            <w:vAlign w:val="top"/>
          </w:tcPr>
          <w:p w14:paraId="7F366001">
            <w:pPr>
              <w:rPr>
                <w:rFonts w:ascii="Arial"/>
                <w:sz w:val="21"/>
                <w:highlight w:val="none"/>
              </w:rPr>
            </w:pPr>
          </w:p>
        </w:tc>
        <w:tc>
          <w:tcPr>
            <w:tcW w:w="581" w:type="dxa"/>
            <w:vAlign w:val="top"/>
          </w:tcPr>
          <w:p w14:paraId="2EB96C1D">
            <w:pPr>
              <w:rPr>
                <w:rFonts w:ascii="Arial"/>
                <w:sz w:val="21"/>
                <w:highlight w:val="none"/>
              </w:rPr>
            </w:pPr>
          </w:p>
        </w:tc>
        <w:tc>
          <w:tcPr>
            <w:tcW w:w="563" w:type="dxa"/>
            <w:vAlign w:val="top"/>
          </w:tcPr>
          <w:p w14:paraId="35F55237">
            <w:pPr>
              <w:rPr>
                <w:rFonts w:ascii="Arial"/>
                <w:sz w:val="21"/>
                <w:highlight w:val="none"/>
              </w:rPr>
            </w:pPr>
          </w:p>
        </w:tc>
        <w:tc>
          <w:tcPr>
            <w:tcW w:w="544" w:type="dxa"/>
            <w:vAlign w:val="top"/>
          </w:tcPr>
          <w:p w14:paraId="7ABB324B">
            <w:pPr>
              <w:rPr>
                <w:rFonts w:ascii="Arial"/>
                <w:sz w:val="21"/>
                <w:highlight w:val="none"/>
              </w:rPr>
            </w:pPr>
          </w:p>
        </w:tc>
        <w:tc>
          <w:tcPr>
            <w:tcW w:w="586" w:type="dxa"/>
            <w:vAlign w:val="top"/>
          </w:tcPr>
          <w:p w14:paraId="39C971CA">
            <w:pPr>
              <w:rPr>
                <w:rFonts w:ascii="Arial"/>
                <w:sz w:val="21"/>
                <w:highlight w:val="none"/>
              </w:rPr>
            </w:pPr>
          </w:p>
        </w:tc>
        <w:tc>
          <w:tcPr>
            <w:tcW w:w="825" w:type="dxa"/>
            <w:vAlign w:val="top"/>
          </w:tcPr>
          <w:p w14:paraId="370841BF">
            <w:pPr>
              <w:rPr>
                <w:rFonts w:ascii="Arial"/>
                <w:sz w:val="21"/>
                <w:highlight w:val="none"/>
              </w:rPr>
            </w:pPr>
          </w:p>
        </w:tc>
        <w:tc>
          <w:tcPr>
            <w:tcW w:w="885" w:type="dxa"/>
            <w:vAlign w:val="top"/>
          </w:tcPr>
          <w:p w14:paraId="36311039">
            <w:pPr>
              <w:rPr>
                <w:rFonts w:ascii="Arial"/>
                <w:sz w:val="21"/>
                <w:highlight w:val="none"/>
              </w:rPr>
            </w:pPr>
          </w:p>
        </w:tc>
        <w:tc>
          <w:tcPr>
            <w:tcW w:w="600" w:type="dxa"/>
            <w:vAlign w:val="top"/>
          </w:tcPr>
          <w:p w14:paraId="6FBF03AE">
            <w:pPr>
              <w:rPr>
                <w:rFonts w:ascii="Arial"/>
                <w:sz w:val="21"/>
                <w:highlight w:val="none"/>
              </w:rPr>
            </w:pPr>
          </w:p>
        </w:tc>
        <w:tc>
          <w:tcPr>
            <w:tcW w:w="855" w:type="dxa"/>
            <w:vAlign w:val="top"/>
          </w:tcPr>
          <w:p w14:paraId="47BF24A0">
            <w:pPr>
              <w:rPr>
                <w:rFonts w:ascii="Arial"/>
                <w:sz w:val="21"/>
                <w:highlight w:val="none"/>
              </w:rPr>
            </w:pPr>
          </w:p>
        </w:tc>
        <w:tc>
          <w:tcPr>
            <w:tcW w:w="885" w:type="dxa"/>
            <w:vAlign w:val="top"/>
          </w:tcPr>
          <w:p w14:paraId="652619E9">
            <w:pPr>
              <w:rPr>
                <w:rFonts w:ascii="Arial"/>
                <w:sz w:val="21"/>
                <w:highlight w:val="none"/>
              </w:rPr>
            </w:pPr>
          </w:p>
        </w:tc>
        <w:tc>
          <w:tcPr>
            <w:tcW w:w="1190" w:type="dxa"/>
            <w:vAlign w:val="top"/>
          </w:tcPr>
          <w:p w14:paraId="19123B4B">
            <w:pPr>
              <w:rPr>
                <w:rFonts w:ascii="Arial"/>
                <w:sz w:val="21"/>
                <w:highlight w:val="none"/>
              </w:rPr>
            </w:pPr>
          </w:p>
        </w:tc>
        <w:tc>
          <w:tcPr>
            <w:tcW w:w="567" w:type="dxa"/>
            <w:tcBorders>
              <w:right w:val="single" w:color="000000" w:sz="6" w:space="0"/>
            </w:tcBorders>
            <w:vAlign w:val="top"/>
          </w:tcPr>
          <w:p w14:paraId="5D907F4B">
            <w:pPr>
              <w:rPr>
                <w:rFonts w:ascii="Arial"/>
                <w:sz w:val="21"/>
                <w:highlight w:val="none"/>
              </w:rPr>
            </w:pPr>
          </w:p>
        </w:tc>
      </w:tr>
      <w:tr w14:paraId="2E2FB1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3" w:type="dxa"/>
            <w:tcBorders>
              <w:left w:val="single" w:color="000000" w:sz="6" w:space="0"/>
            </w:tcBorders>
            <w:vAlign w:val="top"/>
          </w:tcPr>
          <w:p w14:paraId="151CA102">
            <w:pPr>
              <w:rPr>
                <w:rFonts w:ascii="Arial"/>
                <w:sz w:val="21"/>
                <w:highlight w:val="none"/>
              </w:rPr>
            </w:pPr>
          </w:p>
        </w:tc>
        <w:tc>
          <w:tcPr>
            <w:tcW w:w="544" w:type="dxa"/>
            <w:vAlign w:val="top"/>
          </w:tcPr>
          <w:p w14:paraId="6D2EF022">
            <w:pPr>
              <w:rPr>
                <w:rFonts w:ascii="Arial"/>
                <w:sz w:val="21"/>
                <w:highlight w:val="none"/>
              </w:rPr>
            </w:pPr>
          </w:p>
        </w:tc>
        <w:tc>
          <w:tcPr>
            <w:tcW w:w="581" w:type="dxa"/>
            <w:vAlign w:val="top"/>
          </w:tcPr>
          <w:p w14:paraId="5EAB6048">
            <w:pPr>
              <w:rPr>
                <w:rFonts w:ascii="Arial"/>
                <w:sz w:val="21"/>
                <w:highlight w:val="none"/>
              </w:rPr>
            </w:pPr>
          </w:p>
        </w:tc>
        <w:tc>
          <w:tcPr>
            <w:tcW w:w="563" w:type="dxa"/>
            <w:vAlign w:val="top"/>
          </w:tcPr>
          <w:p w14:paraId="1D7150CD">
            <w:pPr>
              <w:rPr>
                <w:rFonts w:ascii="Arial"/>
                <w:sz w:val="21"/>
                <w:highlight w:val="none"/>
              </w:rPr>
            </w:pPr>
          </w:p>
        </w:tc>
        <w:tc>
          <w:tcPr>
            <w:tcW w:w="544" w:type="dxa"/>
            <w:vAlign w:val="top"/>
          </w:tcPr>
          <w:p w14:paraId="4CF86268">
            <w:pPr>
              <w:rPr>
                <w:rFonts w:ascii="Arial"/>
                <w:sz w:val="21"/>
                <w:highlight w:val="none"/>
              </w:rPr>
            </w:pPr>
          </w:p>
        </w:tc>
        <w:tc>
          <w:tcPr>
            <w:tcW w:w="586" w:type="dxa"/>
            <w:vAlign w:val="top"/>
          </w:tcPr>
          <w:p w14:paraId="1573B405">
            <w:pPr>
              <w:rPr>
                <w:rFonts w:ascii="Arial"/>
                <w:sz w:val="21"/>
                <w:highlight w:val="none"/>
              </w:rPr>
            </w:pPr>
          </w:p>
        </w:tc>
        <w:tc>
          <w:tcPr>
            <w:tcW w:w="825" w:type="dxa"/>
            <w:vAlign w:val="top"/>
          </w:tcPr>
          <w:p w14:paraId="5CE0AD6F">
            <w:pPr>
              <w:rPr>
                <w:rFonts w:ascii="Arial"/>
                <w:sz w:val="21"/>
                <w:highlight w:val="none"/>
              </w:rPr>
            </w:pPr>
          </w:p>
        </w:tc>
        <w:tc>
          <w:tcPr>
            <w:tcW w:w="885" w:type="dxa"/>
            <w:vAlign w:val="top"/>
          </w:tcPr>
          <w:p w14:paraId="7FA2189B">
            <w:pPr>
              <w:rPr>
                <w:rFonts w:ascii="Arial"/>
                <w:sz w:val="21"/>
                <w:highlight w:val="none"/>
              </w:rPr>
            </w:pPr>
          </w:p>
        </w:tc>
        <w:tc>
          <w:tcPr>
            <w:tcW w:w="600" w:type="dxa"/>
            <w:vAlign w:val="top"/>
          </w:tcPr>
          <w:p w14:paraId="6E0B7DA2">
            <w:pPr>
              <w:rPr>
                <w:rFonts w:ascii="Arial"/>
                <w:sz w:val="21"/>
                <w:highlight w:val="none"/>
              </w:rPr>
            </w:pPr>
          </w:p>
        </w:tc>
        <w:tc>
          <w:tcPr>
            <w:tcW w:w="855" w:type="dxa"/>
            <w:vAlign w:val="top"/>
          </w:tcPr>
          <w:p w14:paraId="63277249">
            <w:pPr>
              <w:rPr>
                <w:rFonts w:ascii="Arial"/>
                <w:sz w:val="21"/>
                <w:highlight w:val="none"/>
              </w:rPr>
            </w:pPr>
          </w:p>
        </w:tc>
        <w:tc>
          <w:tcPr>
            <w:tcW w:w="885" w:type="dxa"/>
            <w:vAlign w:val="top"/>
          </w:tcPr>
          <w:p w14:paraId="7F2D5F7D">
            <w:pPr>
              <w:rPr>
                <w:rFonts w:ascii="Arial"/>
                <w:sz w:val="21"/>
                <w:highlight w:val="none"/>
              </w:rPr>
            </w:pPr>
          </w:p>
        </w:tc>
        <w:tc>
          <w:tcPr>
            <w:tcW w:w="1190" w:type="dxa"/>
            <w:vAlign w:val="top"/>
          </w:tcPr>
          <w:p w14:paraId="294A1F8A">
            <w:pPr>
              <w:rPr>
                <w:rFonts w:ascii="Arial"/>
                <w:sz w:val="21"/>
                <w:highlight w:val="none"/>
              </w:rPr>
            </w:pPr>
          </w:p>
        </w:tc>
        <w:tc>
          <w:tcPr>
            <w:tcW w:w="567" w:type="dxa"/>
            <w:tcBorders>
              <w:right w:val="single" w:color="000000" w:sz="6" w:space="0"/>
            </w:tcBorders>
            <w:vAlign w:val="top"/>
          </w:tcPr>
          <w:p w14:paraId="1CDADFF9">
            <w:pPr>
              <w:rPr>
                <w:rFonts w:ascii="Arial"/>
                <w:sz w:val="21"/>
                <w:highlight w:val="none"/>
              </w:rPr>
            </w:pPr>
          </w:p>
        </w:tc>
      </w:tr>
      <w:tr w14:paraId="03AC21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3" w:type="dxa"/>
            <w:tcBorders>
              <w:left w:val="single" w:color="000000" w:sz="6" w:space="0"/>
            </w:tcBorders>
            <w:vAlign w:val="top"/>
          </w:tcPr>
          <w:p w14:paraId="136D2477">
            <w:pPr>
              <w:rPr>
                <w:rFonts w:ascii="Arial"/>
                <w:sz w:val="21"/>
                <w:highlight w:val="none"/>
              </w:rPr>
            </w:pPr>
          </w:p>
        </w:tc>
        <w:tc>
          <w:tcPr>
            <w:tcW w:w="544" w:type="dxa"/>
            <w:vAlign w:val="top"/>
          </w:tcPr>
          <w:p w14:paraId="791A0DF6">
            <w:pPr>
              <w:rPr>
                <w:rFonts w:ascii="Arial"/>
                <w:sz w:val="21"/>
                <w:highlight w:val="none"/>
              </w:rPr>
            </w:pPr>
          </w:p>
        </w:tc>
        <w:tc>
          <w:tcPr>
            <w:tcW w:w="581" w:type="dxa"/>
            <w:vAlign w:val="top"/>
          </w:tcPr>
          <w:p w14:paraId="6BACF4ED">
            <w:pPr>
              <w:rPr>
                <w:rFonts w:ascii="Arial"/>
                <w:sz w:val="21"/>
                <w:highlight w:val="none"/>
              </w:rPr>
            </w:pPr>
          </w:p>
        </w:tc>
        <w:tc>
          <w:tcPr>
            <w:tcW w:w="563" w:type="dxa"/>
            <w:vAlign w:val="top"/>
          </w:tcPr>
          <w:p w14:paraId="56780038">
            <w:pPr>
              <w:rPr>
                <w:rFonts w:ascii="Arial"/>
                <w:sz w:val="21"/>
                <w:highlight w:val="none"/>
              </w:rPr>
            </w:pPr>
          </w:p>
        </w:tc>
        <w:tc>
          <w:tcPr>
            <w:tcW w:w="544" w:type="dxa"/>
            <w:vAlign w:val="top"/>
          </w:tcPr>
          <w:p w14:paraId="00F82B99">
            <w:pPr>
              <w:rPr>
                <w:rFonts w:ascii="Arial"/>
                <w:sz w:val="21"/>
                <w:highlight w:val="none"/>
              </w:rPr>
            </w:pPr>
          </w:p>
        </w:tc>
        <w:tc>
          <w:tcPr>
            <w:tcW w:w="586" w:type="dxa"/>
            <w:vAlign w:val="top"/>
          </w:tcPr>
          <w:p w14:paraId="0FA20855">
            <w:pPr>
              <w:rPr>
                <w:rFonts w:ascii="Arial"/>
                <w:sz w:val="21"/>
                <w:highlight w:val="none"/>
              </w:rPr>
            </w:pPr>
          </w:p>
        </w:tc>
        <w:tc>
          <w:tcPr>
            <w:tcW w:w="825" w:type="dxa"/>
            <w:vAlign w:val="top"/>
          </w:tcPr>
          <w:p w14:paraId="25269DC8">
            <w:pPr>
              <w:rPr>
                <w:rFonts w:ascii="Arial"/>
                <w:sz w:val="21"/>
                <w:highlight w:val="none"/>
              </w:rPr>
            </w:pPr>
          </w:p>
        </w:tc>
        <w:tc>
          <w:tcPr>
            <w:tcW w:w="885" w:type="dxa"/>
            <w:vAlign w:val="top"/>
          </w:tcPr>
          <w:p w14:paraId="5377B848">
            <w:pPr>
              <w:rPr>
                <w:rFonts w:ascii="Arial"/>
                <w:sz w:val="21"/>
                <w:highlight w:val="none"/>
              </w:rPr>
            </w:pPr>
          </w:p>
        </w:tc>
        <w:tc>
          <w:tcPr>
            <w:tcW w:w="600" w:type="dxa"/>
            <w:vAlign w:val="top"/>
          </w:tcPr>
          <w:p w14:paraId="76BA21C8">
            <w:pPr>
              <w:rPr>
                <w:rFonts w:ascii="Arial"/>
                <w:sz w:val="21"/>
                <w:highlight w:val="none"/>
              </w:rPr>
            </w:pPr>
          </w:p>
        </w:tc>
        <w:tc>
          <w:tcPr>
            <w:tcW w:w="855" w:type="dxa"/>
            <w:vAlign w:val="top"/>
          </w:tcPr>
          <w:p w14:paraId="5084270E">
            <w:pPr>
              <w:rPr>
                <w:rFonts w:ascii="Arial"/>
                <w:sz w:val="21"/>
                <w:highlight w:val="none"/>
              </w:rPr>
            </w:pPr>
          </w:p>
        </w:tc>
        <w:tc>
          <w:tcPr>
            <w:tcW w:w="885" w:type="dxa"/>
            <w:vAlign w:val="top"/>
          </w:tcPr>
          <w:p w14:paraId="27842490">
            <w:pPr>
              <w:rPr>
                <w:rFonts w:ascii="Arial"/>
                <w:sz w:val="21"/>
                <w:highlight w:val="none"/>
              </w:rPr>
            </w:pPr>
          </w:p>
        </w:tc>
        <w:tc>
          <w:tcPr>
            <w:tcW w:w="1190" w:type="dxa"/>
            <w:vAlign w:val="top"/>
          </w:tcPr>
          <w:p w14:paraId="72107D78">
            <w:pPr>
              <w:rPr>
                <w:rFonts w:ascii="Arial"/>
                <w:sz w:val="21"/>
                <w:highlight w:val="none"/>
              </w:rPr>
            </w:pPr>
          </w:p>
        </w:tc>
        <w:tc>
          <w:tcPr>
            <w:tcW w:w="567" w:type="dxa"/>
            <w:tcBorders>
              <w:right w:val="single" w:color="000000" w:sz="6" w:space="0"/>
            </w:tcBorders>
            <w:vAlign w:val="top"/>
          </w:tcPr>
          <w:p w14:paraId="43433DD9">
            <w:pPr>
              <w:rPr>
                <w:rFonts w:ascii="Arial"/>
                <w:sz w:val="21"/>
                <w:highlight w:val="none"/>
              </w:rPr>
            </w:pPr>
          </w:p>
        </w:tc>
      </w:tr>
      <w:tr w14:paraId="5D7306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43" w:type="dxa"/>
            <w:tcBorders>
              <w:left w:val="single" w:color="000000" w:sz="6" w:space="0"/>
            </w:tcBorders>
            <w:vAlign w:val="top"/>
          </w:tcPr>
          <w:p w14:paraId="47300700">
            <w:pPr>
              <w:rPr>
                <w:rFonts w:ascii="Arial"/>
                <w:sz w:val="21"/>
                <w:highlight w:val="none"/>
              </w:rPr>
            </w:pPr>
          </w:p>
        </w:tc>
        <w:tc>
          <w:tcPr>
            <w:tcW w:w="544" w:type="dxa"/>
            <w:vAlign w:val="top"/>
          </w:tcPr>
          <w:p w14:paraId="2334FDCC">
            <w:pPr>
              <w:rPr>
                <w:rFonts w:ascii="Arial"/>
                <w:sz w:val="21"/>
                <w:highlight w:val="none"/>
              </w:rPr>
            </w:pPr>
          </w:p>
        </w:tc>
        <w:tc>
          <w:tcPr>
            <w:tcW w:w="581" w:type="dxa"/>
            <w:vAlign w:val="top"/>
          </w:tcPr>
          <w:p w14:paraId="26118E4F">
            <w:pPr>
              <w:rPr>
                <w:rFonts w:ascii="Arial"/>
                <w:sz w:val="21"/>
                <w:highlight w:val="none"/>
              </w:rPr>
            </w:pPr>
          </w:p>
        </w:tc>
        <w:tc>
          <w:tcPr>
            <w:tcW w:w="563" w:type="dxa"/>
            <w:vAlign w:val="top"/>
          </w:tcPr>
          <w:p w14:paraId="03C426C5">
            <w:pPr>
              <w:rPr>
                <w:rFonts w:ascii="Arial"/>
                <w:sz w:val="21"/>
                <w:highlight w:val="none"/>
              </w:rPr>
            </w:pPr>
          </w:p>
        </w:tc>
        <w:tc>
          <w:tcPr>
            <w:tcW w:w="544" w:type="dxa"/>
            <w:vAlign w:val="top"/>
          </w:tcPr>
          <w:p w14:paraId="2E7EE806">
            <w:pPr>
              <w:rPr>
                <w:rFonts w:ascii="Arial"/>
                <w:sz w:val="21"/>
                <w:highlight w:val="none"/>
              </w:rPr>
            </w:pPr>
          </w:p>
        </w:tc>
        <w:tc>
          <w:tcPr>
            <w:tcW w:w="586" w:type="dxa"/>
            <w:vAlign w:val="top"/>
          </w:tcPr>
          <w:p w14:paraId="1CD9CE9E">
            <w:pPr>
              <w:rPr>
                <w:rFonts w:ascii="Arial"/>
                <w:sz w:val="21"/>
                <w:highlight w:val="none"/>
              </w:rPr>
            </w:pPr>
          </w:p>
        </w:tc>
        <w:tc>
          <w:tcPr>
            <w:tcW w:w="825" w:type="dxa"/>
            <w:vAlign w:val="top"/>
          </w:tcPr>
          <w:p w14:paraId="4277B512">
            <w:pPr>
              <w:rPr>
                <w:rFonts w:ascii="Arial"/>
                <w:sz w:val="21"/>
                <w:highlight w:val="none"/>
              </w:rPr>
            </w:pPr>
          </w:p>
        </w:tc>
        <w:tc>
          <w:tcPr>
            <w:tcW w:w="885" w:type="dxa"/>
            <w:vAlign w:val="top"/>
          </w:tcPr>
          <w:p w14:paraId="59995120">
            <w:pPr>
              <w:rPr>
                <w:rFonts w:ascii="Arial"/>
                <w:sz w:val="21"/>
                <w:highlight w:val="none"/>
              </w:rPr>
            </w:pPr>
          </w:p>
        </w:tc>
        <w:tc>
          <w:tcPr>
            <w:tcW w:w="600" w:type="dxa"/>
            <w:vAlign w:val="top"/>
          </w:tcPr>
          <w:p w14:paraId="1ADA5041">
            <w:pPr>
              <w:rPr>
                <w:rFonts w:ascii="Arial"/>
                <w:sz w:val="21"/>
                <w:highlight w:val="none"/>
              </w:rPr>
            </w:pPr>
          </w:p>
        </w:tc>
        <w:tc>
          <w:tcPr>
            <w:tcW w:w="855" w:type="dxa"/>
            <w:vAlign w:val="top"/>
          </w:tcPr>
          <w:p w14:paraId="3F3B5629">
            <w:pPr>
              <w:rPr>
                <w:rFonts w:ascii="Arial"/>
                <w:sz w:val="21"/>
                <w:highlight w:val="none"/>
              </w:rPr>
            </w:pPr>
          </w:p>
        </w:tc>
        <w:tc>
          <w:tcPr>
            <w:tcW w:w="885" w:type="dxa"/>
            <w:vAlign w:val="top"/>
          </w:tcPr>
          <w:p w14:paraId="677F68EC">
            <w:pPr>
              <w:rPr>
                <w:rFonts w:ascii="Arial"/>
                <w:sz w:val="21"/>
                <w:highlight w:val="none"/>
              </w:rPr>
            </w:pPr>
          </w:p>
        </w:tc>
        <w:tc>
          <w:tcPr>
            <w:tcW w:w="1190" w:type="dxa"/>
            <w:vAlign w:val="top"/>
          </w:tcPr>
          <w:p w14:paraId="75774C35">
            <w:pPr>
              <w:rPr>
                <w:rFonts w:ascii="Arial"/>
                <w:sz w:val="21"/>
                <w:highlight w:val="none"/>
              </w:rPr>
            </w:pPr>
          </w:p>
        </w:tc>
        <w:tc>
          <w:tcPr>
            <w:tcW w:w="567" w:type="dxa"/>
            <w:tcBorders>
              <w:right w:val="single" w:color="000000" w:sz="6" w:space="0"/>
            </w:tcBorders>
            <w:vAlign w:val="top"/>
          </w:tcPr>
          <w:p w14:paraId="3D4BC88A">
            <w:pPr>
              <w:rPr>
                <w:rFonts w:ascii="Arial"/>
                <w:sz w:val="21"/>
                <w:highlight w:val="none"/>
              </w:rPr>
            </w:pPr>
          </w:p>
        </w:tc>
      </w:tr>
      <w:tr w14:paraId="5143C7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543" w:type="dxa"/>
            <w:tcBorders>
              <w:left w:val="single" w:color="000000" w:sz="6" w:space="0"/>
            </w:tcBorders>
            <w:vAlign w:val="top"/>
          </w:tcPr>
          <w:p w14:paraId="1657B0C0">
            <w:pPr>
              <w:rPr>
                <w:rFonts w:ascii="Arial"/>
                <w:sz w:val="21"/>
                <w:highlight w:val="none"/>
              </w:rPr>
            </w:pPr>
          </w:p>
        </w:tc>
        <w:tc>
          <w:tcPr>
            <w:tcW w:w="3643" w:type="dxa"/>
            <w:gridSpan w:val="6"/>
            <w:vAlign w:val="top"/>
          </w:tcPr>
          <w:p w14:paraId="7DB27769">
            <w:pPr>
              <w:pStyle w:val="107"/>
              <w:spacing w:before="70" w:line="219" w:lineRule="auto"/>
              <w:ind w:left="2488"/>
              <w:rPr>
                <w:sz w:val="20"/>
                <w:szCs w:val="20"/>
                <w:highlight w:val="none"/>
              </w:rPr>
            </w:pPr>
            <w:r>
              <w:rPr>
                <w:spacing w:val="-2"/>
                <w:sz w:val="20"/>
                <w:szCs w:val="20"/>
                <w:highlight w:val="none"/>
              </w:rPr>
              <w:t>本页小计</w:t>
            </w:r>
          </w:p>
        </w:tc>
        <w:tc>
          <w:tcPr>
            <w:tcW w:w="885" w:type="dxa"/>
            <w:vAlign w:val="top"/>
          </w:tcPr>
          <w:p w14:paraId="0BEEBC06">
            <w:pPr>
              <w:rPr>
                <w:rFonts w:ascii="Arial"/>
                <w:sz w:val="21"/>
                <w:highlight w:val="none"/>
              </w:rPr>
            </w:pPr>
          </w:p>
        </w:tc>
        <w:tc>
          <w:tcPr>
            <w:tcW w:w="600" w:type="dxa"/>
            <w:vAlign w:val="top"/>
          </w:tcPr>
          <w:p w14:paraId="28AACD6F">
            <w:pPr>
              <w:pStyle w:val="107"/>
              <w:spacing w:before="165" w:line="121" w:lineRule="exact"/>
              <w:jc w:val="center"/>
              <w:rPr>
                <w:highlight w:val="none"/>
              </w:rPr>
            </w:pPr>
            <w:r>
              <w:rPr>
                <w:spacing w:val="3"/>
                <w:position w:val="-3"/>
                <w:highlight w:val="none"/>
              </w:rPr>
              <w:t>—</w:t>
            </w:r>
          </w:p>
        </w:tc>
        <w:tc>
          <w:tcPr>
            <w:tcW w:w="855" w:type="dxa"/>
            <w:vAlign w:val="top"/>
          </w:tcPr>
          <w:p w14:paraId="049126A2">
            <w:pPr>
              <w:pStyle w:val="107"/>
              <w:spacing w:before="165" w:line="121" w:lineRule="exact"/>
              <w:jc w:val="center"/>
              <w:rPr>
                <w:highlight w:val="none"/>
              </w:rPr>
            </w:pPr>
            <w:r>
              <w:rPr>
                <w:spacing w:val="3"/>
                <w:position w:val="-3"/>
                <w:highlight w:val="none"/>
              </w:rPr>
              <w:t>—</w:t>
            </w:r>
          </w:p>
        </w:tc>
        <w:tc>
          <w:tcPr>
            <w:tcW w:w="885" w:type="dxa"/>
            <w:vAlign w:val="top"/>
          </w:tcPr>
          <w:p w14:paraId="5A82488F">
            <w:pPr>
              <w:jc w:val="center"/>
              <w:rPr>
                <w:rFonts w:ascii="Arial"/>
                <w:sz w:val="21"/>
                <w:highlight w:val="none"/>
              </w:rPr>
            </w:pPr>
          </w:p>
        </w:tc>
        <w:tc>
          <w:tcPr>
            <w:tcW w:w="1190" w:type="dxa"/>
            <w:vAlign w:val="top"/>
          </w:tcPr>
          <w:p w14:paraId="627D4922">
            <w:pPr>
              <w:jc w:val="center"/>
              <w:rPr>
                <w:rFonts w:ascii="Arial"/>
                <w:sz w:val="21"/>
                <w:highlight w:val="none"/>
              </w:rPr>
            </w:pPr>
          </w:p>
        </w:tc>
        <w:tc>
          <w:tcPr>
            <w:tcW w:w="567" w:type="dxa"/>
            <w:tcBorders>
              <w:right w:val="single" w:color="000000" w:sz="6" w:space="0"/>
            </w:tcBorders>
            <w:vAlign w:val="top"/>
          </w:tcPr>
          <w:p w14:paraId="14E2DE38">
            <w:pPr>
              <w:pStyle w:val="107"/>
              <w:spacing w:before="165" w:line="121" w:lineRule="exact"/>
              <w:jc w:val="center"/>
              <w:rPr>
                <w:highlight w:val="none"/>
              </w:rPr>
            </w:pPr>
            <w:r>
              <w:rPr>
                <w:spacing w:val="3"/>
                <w:position w:val="-3"/>
                <w:highlight w:val="none"/>
              </w:rPr>
              <w:t>—</w:t>
            </w:r>
          </w:p>
        </w:tc>
      </w:tr>
      <w:tr w14:paraId="54D771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43" w:type="dxa"/>
            <w:tcBorders>
              <w:left w:val="single" w:color="000000" w:sz="6" w:space="0"/>
              <w:bottom w:val="single" w:color="000000" w:sz="6" w:space="0"/>
            </w:tcBorders>
            <w:vAlign w:val="top"/>
          </w:tcPr>
          <w:p w14:paraId="5C4ACD0D">
            <w:pPr>
              <w:rPr>
                <w:rFonts w:ascii="Arial"/>
                <w:sz w:val="21"/>
                <w:highlight w:val="none"/>
              </w:rPr>
            </w:pPr>
          </w:p>
        </w:tc>
        <w:tc>
          <w:tcPr>
            <w:tcW w:w="3643" w:type="dxa"/>
            <w:gridSpan w:val="6"/>
            <w:tcBorders>
              <w:bottom w:val="single" w:color="000000" w:sz="6" w:space="0"/>
            </w:tcBorders>
            <w:vAlign w:val="top"/>
          </w:tcPr>
          <w:p w14:paraId="293DF04F">
            <w:pPr>
              <w:pStyle w:val="107"/>
              <w:spacing w:before="63" w:line="221" w:lineRule="auto"/>
              <w:ind w:left="2488"/>
              <w:rPr>
                <w:sz w:val="20"/>
                <w:szCs w:val="20"/>
                <w:highlight w:val="none"/>
              </w:rPr>
            </w:pPr>
            <w:r>
              <w:rPr>
                <w:spacing w:val="-5"/>
                <w:sz w:val="20"/>
                <w:szCs w:val="20"/>
                <w:highlight w:val="none"/>
              </w:rPr>
              <w:t>合</w:t>
            </w:r>
            <w:r>
              <w:rPr>
                <w:spacing w:val="2"/>
                <w:sz w:val="20"/>
                <w:szCs w:val="20"/>
                <w:highlight w:val="none"/>
              </w:rPr>
              <w:t xml:space="preserve">    </w:t>
            </w:r>
            <w:r>
              <w:rPr>
                <w:spacing w:val="-5"/>
                <w:sz w:val="20"/>
                <w:szCs w:val="20"/>
                <w:highlight w:val="none"/>
              </w:rPr>
              <w:t>计</w:t>
            </w:r>
          </w:p>
        </w:tc>
        <w:tc>
          <w:tcPr>
            <w:tcW w:w="885" w:type="dxa"/>
            <w:tcBorders>
              <w:bottom w:val="single" w:color="000000" w:sz="6" w:space="0"/>
            </w:tcBorders>
            <w:vAlign w:val="top"/>
          </w:tcPr>
          <w:p w14:paraId="17BAC9F9">
            <w:pPr>
              <w:rPr>
                <w:rFonts w:ascii="Arial"/>
                <w:sz w:val="21"/>
                <w:highlight w:val="none"/>
              </w:rPr>
            </w:pPr>
          </w:p>
        </w:tc>
        <w:tc>
          <w:tcPr>
            <w:tcW w:w="600" w:type="dxa"/>
            <w:tcBorders>
              <w:bottom w:val="single" w:color="000000" w:sz="6" w:space="0"/>
            </w:tcBorders>
            <w:vAlign w:val="top"/>
          </w:tcPr>
          <w:p w14:paraId="2C2478B5">
            <w:pPr>
              <w:pStyle w:val="107"/>
              <w:spacing w:before="157" w:line="122" w:lineRule="exact"/>
              <w:jc w:val="center"/>
              <w:rPr>
                <w:highlight w:val="none"/>
              </w:rPr>
            </w:pPr>
            <w:r>
              <w:rPr>
                <w:spacing w:val="3"/>
                <w:position w:val="-3"/>
                <w:highlight w:val="none"/>
              </w:rPr>
              <w:t>—</w:t>
            </w:r>
          </w:p>
        </w:tc>
        <w:tc>
          <w:tcPr>
            <w:tcW w:w="855" w:type="dxa"/>
            <w:tcBorders>
              <w:bottom w:val="single" w:color="000000" w:sz="6" w:space="0"/>
            </w:tcBorders>
            <w:vAlign w:val="top"/>
          </w:tcPr>
          <w:p w14:paraId="17CE55A3">
            <w:pPr>
              <w:pStyle w:val="107"/>
              <w:spacing w:before="157" w:line="122" w:lineRule="exact"/>
              <w:jc w:val="center"/>
              <w:rPr>
                <w:highlight w:val="none"/>
              </w:rPr>
            </w:pPr>
            <w:r>
              <w:rPr>
                <w:spacing w:val="3"/>
                <w:position w:val="-3"/>
                <w:highlight w:val="none"/>
              </w:rPr>
              <w:t>—</w:t>
            </w:r>
          </w:p>
        </w:tc>
        <w:tc>
          <w:tcPr>
            <w:tcW w:w="885" w:type="dxa"/>
            <w:tcBorders>
              <w:bottom w:val="single" w:color="000000" w:sz="6" w:space="0"/>
            </w:tcBorders>
            <w:vAlign w:val="top"/>
          </w:tcPr>
          <w:p w14:paraId="08C3EB63">
            <w:pPr>
              <w:jc w:val="center"/>
              <w:rPr>
                <w:rFonts w:ascii="Arial"/>
                <w:sz w:val="21"/>
                <w:highlight w:val="none"/>
              </w:rPr>
            </w:pPr>
          </w:p>
        </w:tc>
        <w:tc>
          <w:tcPr>
            <w:tcW w:w="1190" w:type="dxa"/>
            <w:tcBorders>
              <w:bottom w:val="single" w:color="000000" w:sz="6" w:space="0"/>
            </w:tcBorders>
            <w:vAlign w:val="top"/>
          </w:tcPr>
          <w:p w14:paraId="40670C5B">
            <w:pPr>
              <w:jc w:val="center"/>
              <w:rPr>
                <w:rFonts w:ascii="Arial"/>
                <w:sz w:val="21"/>
                <w:highlight w:val="none"/>
              </w:rPr>
            </w:pPr>
          </w:p>
        </w:tc>
        <w:tc>
          <w:tcPr>
            <w:tcW w:w="567" w:type="dxa"/>
            <w:tcBorders>
              <w:bottom w:val="single" w:color="000000" w:sz="6" w:space="0"/>
              <w:right w:val="single" w:color="000000" w:sz="6" w:space="0"/>
            </w:tcBorders>
            <w:vAlign w:val="top"/>
          </w:tcPr>
          <w:p w14:paraId="36D26D44">
            <w:pPr>
              <w:pStyle w:val="107"/>
              <w:spacing w:before="157" w:line="122" w:lineRule="exact"/>
              <w:jc w:val="center"/>
              <w:rPr>
                <w:highlight w:val="none"/>
              </w:rPr>
            </w:pPr>
            <w:r>
              <w:rPr>
                <w:spacing w:val="3"/>
                <w:position w:val="-3"/>
                <w:highlight w:val="none"/>
              </w:rPr>
              <w:t>—</w:t>
            </w:r>
          </w:p>
        </w:tc>
      </w:tr>
    </w:tbl>
    <w:p w14:paraId="57E324B6">
      <w:pPr>
        <w:spacing w:before="28" w:line="241" w:lineRule="auto"/>
        <w:ind w:left="216" w:leftChars="103" w:right="3" w:firstLine="401" w:firstLineChars="191"/>
        <w:rPr>
          <w:rFonts w:ascii="宋体" w:hAnsi="宋体" w:eastAsia="宋体" w:cs="宋体"/>
          <w:spacing w:val="-2"/>
          <w:sz w:val="21"/>
          <w:szCs w:val="21"/>
          <w:highlight w:val="none"/>
        </w:rPr>
      </w:pPr>
      <w:r>
        <w:rPr>
          <w:rFonts w:ascii="宋体" w:hAnsi="宋体" w:eastAsia="宋体" w:cs="宋体"/>
          <w:sz w:val="21"/>
          <w:szCs w:val="21"/>
          <w:highlight w:val="none"/>
        </w:rPr>
        <w:t>注：本表可由</w:t>
      </w:r>
      <w:r>
        <w:rPr>
          <w:rFonts w:hint="eastAsia" w:ascii="宋体" w:hAnsi="宋体" w:cs="宋体"/>
          <w:sz w:val="21"/>
          <w:szCs w:val="21"/>
          <w:highlight w:val="none"/>
          <w:lang w:eastAsia="zh-CN"/>
        </w:rPr>
        <w:t>发包人</w:t>
      </w:r>
      <w:r>
        <w:rPr>
          <w:rFonts w:ascii="宋体" w:hAnsi="宋体" w:eastAsia="宋体" w:cs="宋体"/>
          <w:sz w:val="21"/>
          <w:szCs w:val="21"/>
          <w:highlight w:val="none"/>
        </w:rPr>
        <w:t>填写“暂估单价</w:t>
      </w:r>
      <w:r>
        <w:rPr>
          <w:rFonts w:ascii="宋体" w:hAnsi="宋体" w:eastAsia="宋体" w:cs="宋体"/>
          <w:spacing w:val="-75"/>
          <w:sz w:val="21"/>
          <w:szCs w:val="21"/>
          <w:highlight w:val="none"/>
        </w:rPr>
        <w:t xml:space="preserve"> </w:t>
      </w:r>
      <w:r>
        <w:rPr>
          <w:rFonts w:ascii="宋体" w:hAnsi="宋体" w:eastAsia="宋体" w:cs="宋体"/>
          <w:sz w:val="21"/>
          <w:szCs w:val="21"/>
          <w:highlight w:val="none"/>
        </w:rPr>
        <w:t>”栏，并在备注栏说明拟用暂估价材料的清单项</w:t>
      </w:r>
      <w:r>
        <w:rPr>
          <w:rFonts w:ascii="宋体" w:hAnsi="宋体" w:eastAsia="宋体" w:cs="宋体"/>
          <w:spacing w:val="-1"/>
          <w:sz w:val="21"/>
          <w:szCs w:val="21"/>
          <w:highlight w:val="none"/>
        </w:rPr>
        <w:t>目，投标人应将上述材料暂估单价计入工程量清单综合单价。结算时应按合</w:t>
      </w:r>
      <w:r>
        <w:rPr>
          <w:rFonts w:ascii="宋体" w:hAnsi="宋体" w:eastAsia="宋体" w:cs="宋体"/>
          <w:spacing w:val="-2"/>
          <w:sz w:val="21"/>
          <w:szCs w:val="21"/>
          <w:highlight w:val="none"/>
        </w:rPr>
        <w:t>同约定的价格填写“确认金额</w:t>
      </w:r>
      <w:r>
        <w:rPr>
          <w:rFonts w:ascii="宋体" w:hAnsi="宋体" w:eastAsia="宋体" w:cs="宋体"/>
          <w:spacing w:val="-71"/>
          <w:sz w:val="21"/>
          <w:szCs w:val="21"/>
          <w:highlight w:val="none"/>
        </w:rPr>
        <w:t xml:space="preserve"> </w:t>
      </w:r>
      <w:r>
        <w:rPr>
          <w:rFonts w:ascii="宋体" w:hAnsi="宋体" w:eastAsia="宋体" w:cs="宋体"/>
          <w:spacing w:val="-2"/>
          <w:sz w:val="21"/>
          <w:szCs w:val="21"/>
          <w:highlight w:val="none"/>
        </w:rPr>
        <w:t>”。</w:t>
      </w:r>
    </w:p>
    <w:p w14:paraId="7218CF26">
      <w:pPr>
        <w:spacing w:before="28" w:line="241" w:lineRule="auto"/>
        <w:ind w:left="216" w:leftChars="103" w:right="3" w:firstLine="569" w:firstLineChars="191"/>
        <w:jc w:val="left"/>
        <w:outlineLvl w:val="9"/>
        <w:rPr>
          <w:rFonts w:hint="eastAsia" w:cs="Times New Roman"/>
          <w:b w:val="0"/>
          <w:bCs w:val="0"/>
          <w:spacing w:val="9"/>
          <w:sz w:val="28"/>
          <w:szCs w:val="28"/>
          <w:highlight w:val="none"/>
          <w:lang w:val="en-US" w:eastAsia="zh-CN"/>
        </w:rPr>
      </w:pPr>
    </w:p>
    <w:p w14:paraId="44F09EE0">
      <w:pPr>
        <w:spacing w:before="28" w:line="241" w:lineRule="auto"/>
        <w:ind w:left="216" w:leftChars="103" w:right="3" w:firstLine="569" w:firstLineChars="191"/>
        <w:jc w:val="left"/>
        <w:outlineLvl w:val="9"/>
        <w:rPr>
          <w:rFonts w:hint="eastAsia" w:cs="Times New Roman"/>
          <w:b w:val="0"/>
          <w:bCs w:val="0"/>
          <w:spacing w:val="9"/>
          <w:sz w:val="28"/>
          <w:szCs w:val="28"/>
          <w:highlight w:val="none"/>
          <w:lang w:val="en-US" w:eastAsia="zh-CN"/>
        </w:rPr>
      </w:pPr>
    </w:p>
    <w:p w14:paraId="38CBCED5">
      <w:pPr>
        <w:jc w:val="left"/>
        <w:outlineLvl w:val="9"/>
        <w:rPr>
          <w:rFonts w:hint="default" w:cstheme="minorBidi"/>
          <w:b w:val="0"/>
          <w:bCs w:val="0"/>
          <w:spacing w:val="0"/>
          <w:sz w:val="21"/>
          <w:szCs w:val="22"/>
          <w:highlight w:val="none"/>
          <w:lang w:val="en-US" w:eastAsia="zh-CN"/>
        </w:rPr>
      </w:pPr>
    </w:p>
    <w:p w14:paraId="325D2883">
      <w:pPr>
        <w:jc w:val="left"/>
        <w:outlineLvl w:val="9"/>
        <w:rPr>
          <w:rFonts w:hint="default" w:cstheme="minorBidi"/>
          <w:b w:val="0"/>
          <w:bCs w:val="0"/>
          <w:spacing w:val="0"/>
          <w:sz w:val="21"/>
          <w:szCs w:val="22"/>
          <w:highlight w:val="none"/>
          <w:lang w:val="en-US" w:eastAsia="zh-CN"/>
        </w:rPr>
      </w:pPr>
    </w:p>
    <w:p w14:paraId="1A9AB464">
      <w:pPr>
        <w:jc w:val="center"/>
        <w:outlineLvl w:val="2"/>
        <w:rPr>
          <w:szCs w:val="21"/>
          <w:highlight w:val="none"/>
        </w:rPr>
      </w:pPr>
      <w:r>
        <w:rPr>
          <w:b w:val="0"/>
          <w:bCs w:val="0"/>
          <w:kern w:val="0"/>
          <w:sz w:val="28"/>
          <w:szCs w:val="28"/>
          <w:highlight w:val="none"/>
        </w:rPr>
        <w:t>暂列金额明细表</w:t>
      </w:r>
    </w:p>
    <w:tbl>
      <w:tblPr>
        <w:tblStyle w:val="41"/>
        <w:tblW w:w="8850" w:type="dxa"/>
        <w:jc w:val="center"/>
        <w:tblLayout w:type="fixed"/>
        <w:tblCellMar>
          <w:top w:w="0" w:type="dxa"/>
          <w:left w:w="108" w:type="dxa"/>
          <w:bottom w:w="0" w:type="dxa"/>
          <w:right w:w="108" w:type="dxa"/>
        </w:tblCellMar>
      </w:tblPr>
      <w:tblGrid>
        <w:gridCol w:w="853"/>
        <w:gridCol w:w="3554"/>
        <w:gridCol w:w="1173"/>
        <w:gridCol w:w="2008"/>
        <w:gridCol w:w="1262"/>
      </w:tblGrid>
      <w:tr w14:paraId="2B2E3177">
        <w:tblPrEx>
          <w:tblCellMar>
            <w:top w:w="0" w:type="dxa"/>
            <w:left w:w="108" w:type="dxa"/>
            <w:bottom w:w="0" w:type="dxa"/>
            <w:right w:w="108" w:type="dxa"/>
          </w:tblCellMar>
        </w:tblPrEx>
        <w:trPr>
          <w:trHeight w:val="493" w:hRule="atLeast"/>
          <w:jc w:val="center"/>
        </w:trPr>
        <w:tc>
          <w:tcPr>
            <w:tcW w:w="853" w:type="dxa"/>
            <w:tcBorders>
              <w:top w:val="nil"/>
              <w:left w:val="nil"/>
              <w:bottom w:val="nil"/>
              <w:right w:val="nil"/>
            </w:tcBorders>
            <w:vAlign w:val="bottom"/>
          </w:tcPr>
          <w:p w14:paraId="7981B2EE">
            <w:pPr>
              <w:widowControl/>
              <w:jc w:val="left"/>
              <w:rPr>
                <w:kern w:val="0"/>
                <w:sz w:val="24"/>
                <w:highlight w:val="none"/>
              </w:rPr>
            </w:pPr>
          </w:p>
        </w:tc>
        <w:tc>
          <w:tcPr>
            <w:tcW w:w="3554" w:type="dxa"/>
            <w:tcBorders>
              <w:top w:val="nil"/>
              <w:left w:val="nil"/>
              <w:bottom w:val="nil"/>
              <w:right w:val="nil"/>
            </w:tcBorders>
            <w:vAlign w:val="bottom"/>
          </w:tcPr>
          <w:p w14:paraId="4CF10B00">
            <w:pPr>
              <w:widowControl/>
              <w:jc w:val="left"/>
              <w:rPr>
                <w:kern w:val="0"/>
                <w:sz w:val="24"/>
                <w:highlight w:val="none"/>
              </w:rPr>
            </w:pPr>
          </w:p>
        </w:tc>
        <w:tc>
          <w:tcPr>
            <w:tcW w:w="1173" w:type="dxa"/>
            <w:tcBorders>
              <w:top w:val="nil"/>
              <w:left w:val="nil"/>
              <w:bottom w:val="nil"/>
              <w:right w:val="nil"/>
            </w:tcBorders>
            <w:vAlign w:val="bottom"/>
          </w:tcPr>
          <w:p w14:paraId="551A3BFC">
            <w:pPr>
              <w:widowControl/>
              <w:jc w:val="left"/>
              <w:rPr>
                <w:kern w:val="0"/>
                <w:sz w:val="24"/>
                <w:highlight w:val="none"/>
              </w:rPr>
            </w:pPr>
          </w:p>
        </w:tc>
        <w:tc>
          <w:tcPr>
            <w:tcW w:w="2008" w:type="dxa"/>
            <w:tcBorders>
              <w:top w:val="nil"/>
              <w:left w:val="nil"/>
              <w:bottom w:val="nil"/>
              <w:right w:val="nil"/>
            </w:tcBorders>
            <w:vAlign w:val="bottom"/>
          </w:tcPr>
          <w:p w14:paraId="1CB35068">
            <w:pPr>
              <w:widowControl/>
              <w:jc w:val="left"/>
              <w:rPr>
                <w:kern w:val="0"/>
                <w:sz w:val="24"/>
                <w:highlight w:val="none"/>
              </w:rPr>
            </w:pPr>
          </w:p>
        </w:tc>
        <w:tc>
          <w:tcPr>
            <w:tcW w:w="1262" w:type="dxa"/>
            <w:tcBorders>
              <w:top w:val="nil"/>
              <w:left w:val="nil"/>
              <w:bottom w:val="nil"/>
              <w:right w:val="nil"/>
            </w:tcBorders>
            <w:vAlign w:val="bottom"/>
          </w:tcPr>
          <w:p w14:paraId="7B8351CB">
            <w:pPr>
              <w:widowControl/>
              <w:jc w:val="left"/>
              <w:rPr>
                <w:kern w:val="0"/>
                <w:sz w:val="24"/>
                <w:highlight w:val="none"/>
              </w:rPr>
            </w:pPr>
          </w:p>
        </w:tc>
      </w:tr>
      <w:tr w14:paraId="518DC63A">
        <w:tblPrEx>
          <w:tblCellMar>
            <w:top w:w="0" w:type="dxa"/>
            <w:left w:w="108" w:type="dxa"/>
            <w:bottom w:w="0" w:type="dxa"/>
            <w:right w:w="108" w:type="dxa"/>
          </w:tblCellMar>
        </w:tblPrEx>
        <w:trPr>
          <w:trHeight w:val="500" w:hRule="atLeast"/>
          <w:jc w:val="center"/>
        </w:trPr>
        <w:tc>
          <w:tcPr>
            <w:tcW w:w="5580" w:type="dxa"/>
            <w:gridSpan w:val="3"/>
            <w:tcBorders>
              <w:top w:val="nil"/>
              <w:left w:val="nil"/>
              <w:bottom w:val="single" w:color="auto" w:sz="4" w:space="0"/>
              <w:right w:val="nil"/>
            </w:tcBorders>
            <w:vAlign w:val="center"/>
          </w:tcPr>
          <w:p w14:paraId="147487B6">
            <w:pPr>
              <w:widowControl/>
              <w:jc w:val="left"/>
              <w:rPr>
                <w:kern w:val="0"/>
                <w:sz w:val="21"/>
                <w:szCs w:val="21"/>
                <w:highlight w:val="none"/>
              </w:rPr>
            </w:pPr>
            <w:r>
              <w:rPr>
                <w:kern w:val="0"/>
                <w:sz w:val="21"/>
                <w:szCs w:val="21"/>
                <w:highlight w:val="none"/>
              </w:rPr>
              <w:t>工程名称：                标段：</w:t>
            </w:r>
          </w:p>
        </w:tc>
        <w:tc>
          <w:tcPr>
            <w:tcW w:w="3270" w:type="dxa"/>
            <w:gridSpan w:val="2"/>
            <w:tcBorders>
              <w:top w:val="nil"/>
              <w:left w:val="nil"/>
              <w:bottom w:val="single" w:color="auto" w:sz="4" w:space="0"/>
              <w:right w:val="nil"/>
            </w:tcBorders>
            <w:vAlign w:val="center"/>
          </w:tcPr>
          <w:p w14:paraId="6E7321FE">
            <w:pPr>
              <w:widowControl/>
              <w:tabs>
                <w:tab w:val="left" w:pos="2677"/>
              </w:tabs>
              <w:ind w:right="-106" w:firstLine="1155" w:firstLineChars="550"/>
              <w:rPr>
                <w:kern w:val="0"/>
                <w:sz w:val="21"/>
                <w:szCs w:val="21"/>
                <w:highlight w:val="none"/>
              </w:rPr>
            </w:pPr>
            <w:r>
              <w:rPr>
                <w:kern w:val="0"/>
                <w:sz w:val="21"/>
                <w:szCs w:val="21"/>
                <w:highlight w:val="none"/>
              </w:rPr>
              <w:t>第   页   共    页</w:t>
            </w:r>
          </w:p>
        </w:tc>
      </w:tr>
      <w:tr w14:paraId="223AD5A3">
        <w:tblPrEx>
          <w:tblCellMar>
            <w:top w:w="0" w:type="dxa"/>
            <w:left w:w="108" w:type="dxa"/>
            <w:bottom w:w="0" w:type="dxa"/>
            <w:right w:w="108" w:type="dxa"/>
          </w:tblCellMar>
        </w:tblPrEx>
        <w:trPr>
          <w:trHeight w:val="827" w:hRule="atLeast"/>
          <w:jc w:val="center"/>
        </w:trPr>
        <w:tc>
          <w:tcPr>
            <w:tcW w:w="853" w:type="dxa"/>
            <w:tcBorders>
              <w:top w:val="nil"/>
              <w:left w:val="single" w:color="auto" w:sz="4" w:space="0"/>
              <w:bottom w:val="single" w:color="auto" w:sz="4" w:space="0"/>
              <w:right w:val="single" w:color="auto" w:sz="4" w:space="0"/>
            </w:tcBorders>
            <w:vAlign w:val="center"/>
          </w:tcPr>
          <w:p w14:paraId="763E4039">
            <w:pPr>
              <w:widowControl/>
              <w:jc w:val="center"/>
              <w:rPr>
                <w:kern w:val="0"/>
                <w:sz w:val="21"/>
                <w:szCs w:val="21"/>
                <w:highlight w:val="none"/>
              </w:rPr>
            </w:pPr>
            <w:r>
              <w:rPr>
                <w:kern w:val="0"/>
                <w:sz w:val="21"/>
                <w:szCs w:val="21"/>
                <w:highlight w:val="none"/>
              </w:rPr>
              <w:t>序号</w:t>
            </w:r>
          </w:p>
        </w:tc>
        <w:tc>
          <w:tcPr>
            <w:tcW w:w="3554" w:type="dxa"/>
            <w:tcBorders>
              <w:top w:val="nil"/>
              <w:left w:val="nil"/>
              <w:bottom w:val="single" w:color="auto" w:sz="4" w:space="0"/>
              <w:right w:val="single" w:color="auto" w:sz="4" w:space="0"/>
            </w:tcBorders>
            <w:vAlign w:val="center"/>
          </w:tcPr>
          <w:p w14:paraId="75F56864">
            <w:pPr>
              <w:widowControl/>
              <w:jc w:val="center"/>
              <w:rPr>
                <w:kern w:val="0"/>
                <w:sz w:val="21"/>
                <w:szCs w:val="21"/>
                <w:highlight w:val="none"/>
              </w:rPr>
            </w:pPr>
            <w:r>
              <w:rPr>
                <w:kern w:val="0"/>
                <w:sz w:val="21"/>
                <w:szCs w:val="21"/>
                <w:highlight w:val="none"/>
              </w:rPr>
              <w:t>项目名称</w:t>
            </w:r>
          </w:p>
        </w:tc>
        <w:tc>
          <w:tcPr>
            <w:tcW w:w="1173" w:type="dxa"/>
            <w:tcBorders>
              <w:top w:val="nil"/>
              <w:left w:val="nil"/>
              <w:bottom w:val="single" w:color="auto" w:sz="4" w:space="0"/>
              <w:right w:val="single" w:color="auto" w:sz="4" w:space="0"/>
            </w:tcBorders>
            <w:vAlign w:val="center"/>
          </w:tcPr>
          <w:p w14:paraId="69F12BA7">
            <w:pPr>
              <w:widowControl/>
              <w:jc w:val="center"/>
              <w:rPr>
                <w:kern w:val="0"/>
                <w:sz w:val="21"/>
                <w:szCs w:val="21"/>
                <w:highlight w:val="none"/>
              </w:rPr>
            </w:pPr>
            <w:r>
              <w:rPr>
                <w:kern w:val="0"/>
                <w:sz w:val="21"/>
                <w:szCs w:val="21"/>
                <w:highlight w:val="none"/>
              </w:rPr>
              <w:t>计量单位</w:t>
            </w:r>
          </w:p>
        </w:tc>
        <w:tc>
          <w:tcPr>
            <w:tcW w:w="2008" w:type="dxa"/>
            <w:tcBorders>
              <w:top w:val="nil"/>
              <w:left w:val="nil"/>
              <w:bottom w:val="single" w:color="auto" w:sz="4" w:space="0"/>
              <w:right w:val="single" w:color="auto" w:sz="4" w:space="0"/>
            </w:tcBorders>
            <w:vAlign w:val="center"/>
          </w:tcPr>
          <w:p w14:paraId="146A0242">
            <w:pPr>
              <w:widowControl/>
              <w:jc w:val="center"/>
              <w:rPr>
                <w:kern w:val="0"/>
                <w:sz w:val="21"/>
                <w:szCs w:val="21"/>
                <w:highlight w:val="none"/>
              </w:rPr>
            </w:pPr>
            <w:r>
              <w:rPr>
                <w:kern w:val="0"/>
                <w:sz w:val="21"/>
                <w:szCs w:val="21"/>
                <w:highlight w:val="none"/>
              </w:rPr>
              <w:t>暂列金额</w:t>
            </w:r>
            <w:r>
              <w:rPr>
                <w:rFonts w:hint="eastAsia"/>
                <w:kern w:val="0"/>
                <w:sz w:val="21"/>
                <w:szCs w:val="21"/>
                <w:highlight w:val="none"/>
                <w:lang w:eastAsia="zh-CN"/>
              </w:rPr>
              <w:t>（</w:t>
            </w:r>
            <w:r>
              <w:rPr>
                <w:kern w:val="0"/>
                <w:sz w:val="21"/>
                <w:szCs w:val="21"/>
                <w:highlight w:val="none"/>
              </w:rPr>
              <w:t>元</w:t>
            </w:r>
            <w:r>
              <w:rPr>
                <w:rFonts w:hint="eastAsia"/>
                <w:kern w:val="0"/>
                <w:sz w:val="21"/>
                <w:szCs w:val="21"/>
                <w:highlight w:val="none"/>
                <w:lang w:eastAsia="zh-CN"/>
              </w:rPr>
              <w:t>）</w:t>
            </w:r>
          </w:p>
        </w:tc>
        <w:tc>
          <w:tcPr>
            <w:tcW w:w="1262" w:type="dxa"/>
            <w:tcBorders>
              <w:top w:val="nil"/>
              <w:left w:val="nil"/>
              <w:bottom w:val="single" w:color="auto" w:sz="4" w:space="0"/>
              <w:right w:val="single" w:color="auto" w:sz="4" w:space="0"/>
            </w:tcBorders>
            <w:vAlign w:val="center"/>
          </w:tcPr>
          <w:p w14:paraId="073AA7C1">
            <w:pPr>
              <w:widowControl/>
              <w:jc w:val="center"/>
              <w:rPr>
                <w:kern w:val="0"/>
                <w:sz w:val="21"/>
                <w:szCs w:val="21"/>
                <w:highlight w:val="none"/>
              </w:rPr>
            </w:pPr>
            <w:r>
              <w:rPr>
                <w:kern w:val="0"/>
                <w:sz w:val="21"/>
                <w:szCs w:val="21"/>
                <w:highlight w:val="none"/>
              </w:rPr>
              <w:t>备注</w:t>
            </w:r>
          </w:p>
        </w:tc>
      </w:tr>
      <w:tr w14:paraId="77059D2D">
        <w:tblPrEx>
          <w:tblCellMar>
            <w:top w:w="0" w:type="dxa"/>
            <w:left w:w="108" w:type="dxa"/>
            <w:bottom w:w="0" w:type="dxa"/>
            <w:right w:w="108" w:type="dxa"/>
          </w:tblCellMar>
        </w:tblPrEx>
        <w:trPr>
          <w:trHeight w:val="773" w:hRule="atLeast"/>
          <w:jc w:val="center"/>
        </w:trPr>
        <w:tc>
          <w:tcPr>
            <w:tcW w:w="853" w:type="dxa"/>
            <w:tcBorders>
              <w:top w:val="nil"/>
              <w:left w:val="single" w:color="auto" w:sz="4" w:space="0"/>
              <w:bottom w:val="single" w:color="auto" w:sz="4" w:space="0"/>
              <w:right w:val="single" w:color="auto" w:sz="4" w:space="0"/>
            </w:tcBorders>
            <w:vAlign w:val="center"/>
          </w:tcPr>
          <w:p w14:paraId="50CFC42C">
            <w:pPr>
              <w:widowControl/>
              <w:jc w:val="center"/>
              <w:rPr>
                <w:kern w:val="0"/>
                <w:sz w:val="22"/>
                <w:szCs w:val="22"/>
                <w:highlight w:val="none"/>
              </w:rPr>
            </w:pPr>
          </w:p>
        </w:tc>
        <w:tc>
          <w:tcPr>
            <w:tcW w:w="3554" w:type="dxa"/>
            <w:tcBorders>
              <w:top w:val="nil"/>
              <w:left w:val="nil"/>
              <w:bottom w:val="single" w:color="auto" w:sz="4" w:space="0"/>
              <w:right w:val="single" w:color="auto" w:sz="4" w:space="0"/>
            </w:tcBorders>
            <w:vAlign w:val="center"/>
          </w:tcPr>
          <w:p w14:paraId="50BC2568">
            <w:pPr>
              <w:widowControl/>
              <w:jc w:val="left"/>
              <w:rPr>
                <w:kern w:val="0"/>
                <w:sz w:val="22"/>
                <w:szCs w:val="22"/>
                <w:highlight w:val="none"/>
              </w:rPr>
            </w:pPr>
          </w:p>
        </w:tc>
        <w:tc>
          <w:tcPr>
            <w:tcW w:w="1173" w:type="dxa"/>
            <w:tcBorders>
              <w:top w:val="nil"/>
              <w:left w:val="nil"/>
              <w:bottom w:val="single" w:color="auto" w:sz="4" w:space="0"/>
              <w:right w:val="single" w:color="auto" w:sz="4" w:space="0"/>
            </w:tcBorders>
            <w:vAlign w:val="center"/>
          </w:tcPr>
          <w:p w14:paraId="0F19B116">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14FE268B">
            <w:pPr>
              <w:widowControl/>
              <w:jc w:val="center"/>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5B5E0469">
            <w:pPr>
              <w:widowControl/>
              <w:jc w:val="center"/>
              <w:rPr>
                <w:kern w:val="0"/>
                <w:sz w:val="22"/>
                <w:szCs w:val="22"/>
                <w:highlight w:val="none"/>
              </w:rPr>
            </w:pPr>
          </w:p>
        </w:tc>
      </w:tr>
      <w:tr w14:paraId="54FBB330">
        <w:tblPrEx>
          <w:tblCellMar>
            <w:top w:w="0" w:type="dxa"/>
            <w:left w:w="108" w:type="dxa"/>
            <w:bottom w:w="0" w:type="dxa"/>
            <w:right w:w="108" w:type="dxa"/>
          </w:tblCellMar>
        </w:tblPrEx>
        <w:trPr>
          <w:trHeight w:val="773" w:hRule="atLeast"/>
          <w:jc w:val="center"/>
        </w:trPr>
        <w:tc>
          <w:tcPr>
            <w:tcW w:w="853" w:type="dxa"/>
            <w:tcBorders>
              <w:top w:val="nil"/>
              <w:left w:val="single" w:color="auto" w:sz="4" w:space="0"/>
              <w:bottom w:val="single" w:color="auto" w:sz="4" w:space="0"/>
              <w:right w:val="single" w:color="auto" w:sz="4" w:space="0"/>
            </w:tcBorders>
            <w:vAlign w:val="center"/>
          </w:tcPr>
          <w:p w14:paraId="089F1595">
            <w:pPr>
              <w:widowControl/>
              <w:jc w:val="center"/>
              <w:rPr>
                <w:kern w:val="0"/>
                <w:sz w:val="22"/>
                <w:szCs w:val="22"/>
                <w:highlight w:val="none"/>
              </w:rPr>
            </w:pPr>
          </w:p>
        </w:tc>
        <w:tc>
          <w:tcPr>
            <w:tcW w:w="3554" w:type="dxa"/>
            <w:tcBorders>
              <w:top w:val="nil"/>
              <w:left w:val="nil"/>
              <w:bottom w:val="single" w:color="auto" w:sz="4" w:space="0"/>
              <w:right w:val="single" w:color="auto" w:sz="4" w:space="0"/>
            </w:tcBorders>
            <w:vAlign w:val="center"/>
          </w:tcPr>
          <w:p w14:paraId="2DB139BF">
            <w:pPr>
              <w:widowControl/>
              <w:jc w:val="left"/>
              <w:rPr>
                <w:kern w:val="0"/>
                <w:sz w:val="22"/>
                <w:szCs w:val="22"/>
                <w:highlight w:val="none"/>
              </w:rPr>
            </w:pPr>
          </w:p>
        </w:tc>
        <w:tc>
          <w:tcPr>
            <w:tcW w:w="1173" w:type="dxa"/>
            <w:tcBorders>
              <w:top w:val="nil"/>
              <w:left w:val="nil"/>
              <w:bottom w:val="single" w:color="auto" w:sz="4" w:space="0"/>
              <w:right w:val="single" w:color="auto" w:sz="4" w:space="0"/>
            </w:tcBorders>
            <w:vAlign w:val="center"/>
          </w:tcPr>
          <w:p w14:paraId="12CCCB17">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599993D4">
            <w:pPr>
              <w:widowControl/>
              <w:jc w:val="left"/>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5EF62F60">
            <w:pPr>
              <w:widowControl/>
              <w:jc w:val="center"/>
              <w:rPr>
                <w:kern w:val="0"/>
                <w:sz w:val="22"/>
                <w:szCs w:val="22"/>
                <w:highlight w:val="none"/>
              </w:rPr>
            </w:pPr>
          </w:p>
        </w:tc>
      </w:tr>
      <w:tr w14:paraId="3013B8CC">
        <w:tblPrEx>
          <w:tblCellMar>
            <w:top w:w="0" w:type="dxa"/>
            <w:left w:w="108" w:type="dxa"/>
            <w:bottom w:w="0" w:type="dxa"/>
            <w:right w:w="108" w:type="dxa"/>
          </w:tblCellMar>
        </w:tblPrEx>
        <w:trPr>
          <w:trHeight w:val="774" w:hRule="atLeast"/>
          <w:jc w:val="center"/>
        </w:trPr>
        <w:tc>
          <w:tcPr>
            <w:tcW w:w="853" w:type="dxa"/>
            <w:tcBorders>
              <w:top w:val="nil"/>
              <w:left w:val="single" w:color="auto" w:sz="4" w:space="0"/>
              <w:bottom w:val="single" w:color="auto" w:sz="4" w:space="0"/>
              <w:right w:val="single" w:color="auto" w:sz="4" w:space="0"/>
            </w:tcBorders>
            <w:vAlign w:val="center"/>
          </w:tcPr>
          <w:p w14:paraId="08E3C88C">
            <w:pPr>
              <w:widowControl/>
              <w:jc w:val="center"/>
              <w:rPr>
                <w:kern w:val="0"/>
                <w:sz w:val="22"/>
                <w:szCs w:val="22"/>
                <w:highlight w:val="none"/>
              </w:rPr>
            </w:pPr>
          </w:p>
        </w:tc>
        <w:tc>
          <w:tcPr>
            <w:tcW w:w="3554" w:type="dxa"/>
            <w:tcBorders>
              <w:top w:val="nil"/>
              <w:left w:val="nil"/>
              <w:bottom w:val="single" w:color="auto" w:sz="4" w:space="0"/>
              <w:right w:val="single" w:color="auto" w:sz="4" w:space="0"/>
            </w:tcBorders>
            <w:vAlign w:val="center"/>
          </w:tcPr>
          <w:p w14:paraId="31D9A881">
            <w:pPr>
              <w:widowControl/>
              <w:jc w:val="left"/>
              <w:rPr>
                <w:kern w:val="0"/>
                <w:sz w:val="22"/>
                <w:szCs w:val="22"/>
                <w:highlight w:val="none"/>
              </w:rPr>
            </w:pPr>
          </w:p>
        </w:tc>
        <w:tc>
          <w:tcPr>
            <w:tcW w:w="1173" w:type="dxa"/>
            <w:tcBorders>
              <w:top w:val="nil"/>
              <w:left w:val="nil"/>
              <w:bottom w:val="single" w:color="auto" w:sz="4" w:space="0"/>
              <w:right w:val="single" w:color="auto" w:sz="4" w:space="0"/>
            </w:tcBorders>
            <w:vAlign w:val="center"/>
          </w:tcPr>
          <w:p w14:paraId="2C7B75A7">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430B7983">
            <w:pPr>
              <w:widowControl/>
              <w:jc w:val="center"/>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4D163BA7">
            <w:pPr>
              <w:widowControl/>
              <w:jc w:val="center"/>
              <w:rPr>
                <w:kern w:val="0"/>
                <w:sz w:val="22"/>
                <w:szCs w:val="22"/>
                <w:highlight w:val="none"/>
              </w:rPr>
            </w:pPr>
          </w:p>
        </w:tc>
      </w:tr>
      <w:tr w14:paraId="76BD563A">
        <w:tblPrEx>
          <w:tblCellMar>
            <w:top w:w="0" w:type="dxa"/>
            <w:left w:w="108" w:type="dxa"/>
            <w:bottom w:w="0" w:type="dxa"/>
            <w:right w:w="108" w:type="dxa"/>
          </w:tblCellMar>
        </w:tblPrEx>
        <w:trPr>
          <w:trHeight w:val="773" w:hRule="atLeast"/>
          <w:jc w:val="center"/>
        </w:trPr>
        <w:tc>
          <w:tcPr>
            <w:tcW w:w="853" w:type="dxa"/>
            <w:tcBorders>
              <w:top w:val="nil"/>
              <w:left w:val="single" w:color="auto" w:sz="4" w:space="0"/>
              <w:bottom w:val="single" w:color="auto" w:sz="4" w:space="0"/>
              <w:right w:val="single" w:color="auto" w:sz="4" w:space="0"/>
            </w:tcBorders>
            <w:vAlign w:val="center"/>
          </w:tcPr>
          <w:p w14:paraId="09C38147">
            <w:pPr>
              <w:widowControl/>
              <w:jc w:val="center"/>
              <w:rPr>
                <w:kern w:val="0"/>
                <w:sz w:val="22"/>
                <w:szCs w:val="22"/>
                <w:highlight w:val="none"/>
              </w:rPr>
            </w:pPr>
          </w:p>
        </w:tc>
        <w:tc>
          <w:tcPr>
            <w:tcW w:w="3554" w:type="dxa"/>
            <w:tcBorders>
              <w:top w:val="nil"/>
              <w:left w:val="nil"/>
              <w:bottom w:val="single" w:color="auto" w:sz="4" w:space="0"/>
              <w:right w:val="single" w:color="auto" w:sz="4" w:space="0"/>
            </w:tcBorders>
            <w:vAlign w:val="center"/>
          </w:tcPr>
          <w:p w14:paraId="50F26444">
            <w:pPr>
              <w:widowControl/>
              <w:jc w:val="left"/>
              <w:rPr>
                <w:kern w:val="0"/>
                <w:sz w:val="22"/>
                <w:szCs w:val="22"/>
                <w:highlight w:val="none"/>
              </w:rPr>
            </w:pPr>
          </w:p>
        </w:tc>
        <w:tc>
          <w:tcPr>
            <w:tcW w:w="1173" w:type="dxa"/>
            <w:tcBorders>
              <w:top w:val="nil"/>
              <w:left w:val="nil"/>
              <w:bottom w:val="single" w:color="auto" w:sz="4" w:space="0"/>
              <w:right w:val="single" w:color="auto" w:sz="4" w:space="0"/>
            </w:tcBorders>
            <w:vAlign w:val="center"/>
          </w:tcPr>
          <w:p w14:paraId="7180EA2D">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1D4846A0">
            <w:pPr>
              <w:widowControl/>
              <w:jc w:val="left"/>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5FDAB44D">
            <w:pPr>
              <w:widowControl/>
              <w:jc w:val="center"/>
              <w:rPr>
                <w:kern w:val="0"/>
                <w:sz w:val="22"/>
                <w:szCs w:val="22"/>
                <w:highlight w:val="none"/>
              </w:rPr>
            </w:pPr>
          </w:p>
        </w:tc>
      </w:tr>
      <w:tr w14:paraId="78AE489E">
        <w:tblPrEx>
          <w:tblCellMar>
            <w:top w:w="0" w:type="dxa"/>
            <w:left w:w="108" w:type="dxa"/>
            <w:bottom w:w="0" w:type="dxa"/>
            <w:right w:w="108" w:type="dxa"/>
          </w:tblCellMar>
        </w:tblPrEx>
        <w:trPr>
          <w:trHeight w:val="773" w:hRule="atLeast"/>
          <w:jc w:val="center"/>
        </w:trPr>
        <w:tc>
          <w:tcPr>
            <w:tcW w:w="853" w:type="dxa"/>
            <w:tcBorders>
              <w:top w:val="nil"/>
              <w:left w:val="single" w:color="auto" w:sz="4" w:space="0"/>
              <w:bottom w:val="single" w:color="auto" w:sz="4" w:space="0"/>
              <w:right w:val="single" w:color="auto" w:sz="4" w:space="0"/>
            </w:tcBorders>
            <w:vAlign w:val="center"/>
          </w:tcPr>
          <w:p w14:paraId="68A4A6A9">
            <w:pPr>
              <w:widowControl/>
              <w:jc w:val="center"/>
              <w:rPr>
                <w:kern w:val="0"/>
                <w:sz w:val="22"/>
                <w:szCs w:val="22"/>
                <w:highlight w:val="none"/>
              </w:rPr>
            </w:pPr>
          </w:p>
        </w:tc>
        <w:tc>
          <w:tcPr>
            <w:tcW w:w="3554" w:type="dxa"/>
            <w:tcBorders>
              <w:top w:val="nil"/>
              <w:left w:val="nil"/>
              <w:bottom w:val="single" w:color="auto" w:sz="4" w:space="0"/>
              <w:right w:val="single" w:color="auto" w:sz="4" w:space="0"/>
            </w:tcBorders>
            <w:vAlign w:val="center"/>
          </w:tcPr>
          <w:p w14:paraId="7A5D6F7F">
            <w:pPr>
              <w:widowControl/>
              <w:jc w:val="left"/>
              <w:rPr>
                <w:kern w:val="0"/>
                <w:sz w:val="22"/>
                <w:szCs w:val="22"/>
                <w:highlight w:val="none"/>
              </w:rPr>
            </w:pPr>
          </w:p>
        </w:tc>
        <w:tc>
          <w:tcPr>
            <w:tcW w:w="1173" w:type="dxa"/>
            <w:tcBorders>
              <w:top w:val="nil"/>
              <w:left w:val="nil"/>
              <w:bottom w:val="single" w:color="auto" w:sz="4" w:space="0"/>
              <w:right w:val="single" w:color="auto" w:sz="4" w:space="0"/>
            </w:tcBorders>
            <w:vAlign w:val="center"/>
          </w:tcPr>
          <w:p w14:paraId="21B70793">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753A3EB7">
            <w:pPr>
              <w:widowControl/>
              <w:jc w:val="left"/>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23DC09E4">
            <w:pPr>
              <w:widowControl/>
              <w:jc w:val="center"/>
              <w:rPr>
                <w:kern w:val="0"/>
                <w:sz w:val="22"/>
                <w:szCs w:val="22"/>
                <w:highlight w:val="none"/>
              </w:rPr>
            </w:pPr>
          </w:p>
        </w:tc>
      </w:tr>
      <w:tr w14:paraId="5C8A10E8">
        <w:tblPrEx>
          <w:tblCellMar>
            <w:top w:w="0" w:type="dxa"/>
            <w:left w:w="108" w:type="dxa"/>
            <w:bottom w:w="0" w:type="dxa"/>
            <w:right w:w="108" w:type="dxa"/>
          </w:tblCellMar>
        </w:tblPrEx>
        <w:trPr>
          <w:trHeight w:val="774" w:hRule="atLeast"/>
          <w:jc w:val="center"/>
        </w:trPr>
        <w:tc>
          <w:tcPr>
            <w:tcW w:w="853" w:type="dxa"/>
            <w:tcBorders>
              <w:top w:val="nil"/>
              <w:left w:val="single" w:color="auto" w:sz="4" w:space="0"/>
              <w:bottom w:val="single" w:color="auto" w:sz="4" w:space="0"/>
              <w:right w:val="single" w:color="auto" w:sz="4" w:space="0"/>
            </w:tcBorders>
            <w:vAlign w:val="center"/>
          </w:tcPr>
          <w:p w14:paraId="6B8437FC">
            <w:pPr>
              <w:widowControl/>
              <w:jc w:val="center"/>
              <w:rPr>
                <w:kern w:val="0"/>
                <w:sz w:val="22"/>
                <w:szCs w:val="22"/>
                <w:highlight w:val="none"/>
              </w:rPr>
            </w:pPr>
          </w:p>
        </w:tc>
        <w:tc>
          <w:tcPr>
            <w:tcW w:w="3554" w:type="dxa"/>
            <w:tcBorders>
              <w:top w:val="nil"/>
              <w:left w:val="nil"/>
              <w:bottom w:val="single" w:color="auto" w:sz="4" w:space="0"/>
              <w:right w:val="single" w:color="auto" w:sz="4" w:space="0"/>
            </w:tcBorders>
            <w:vAlign w:val="center"/>
          </w:tcPr>
          <w:p w14:paraId="63B3B80D">
            <w:pPr>
              <w:widowControl/>
              <w:jc w:val="left"/>
              <w:rPr>
                <w:kern w:val="0"/>
                <w:sz w:val="22"/>
                <w:szCs w:val="22"/>
                <w:highlight w:val="none"/>
              </w:rPr>
            </w:pPr>
          </w:p>
        </w:tc>
        <w:tc>
          <w:tcPr>
            <w:tcW w:w="1173" w:type="dxa"/>
            <w:tcBorders>
              <w:top w:val="nil"/>
              <w:left w:val="nil"/>
              <w:bottom w:val="single" w:color="auto" w:sz="4" w:space="0"/>
              <w:right w:val="single" w:color="auto" w:sz="4" w:space="0"/>
            </w:tcBorders>
            <w:vAlign w:val="center"/>
          </w:tcPr>
          <w:p w14:paraId="69B4ACD9">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7982D393">
            <w:pPr>
              <w:widowControl/>
              <w:jc w:val="left"/>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4063A7A9">
            <w:pPr>
              <w:widowControl/>
              <w:jc w:val="center"/>
              <w:rPr>
                <w:kern w:val="0"/>
                <w:sz w:val="22"/>
                <w:szCs w:val="22"/>
                <w:highlight w:val="none"/>
              </w:rPr>
            </w:pPr>
          </w:p>
        </w:tc>
      </w:tr>
      <w:tr w14:paraId="06C04557">
        <w:tblPrEx>
          <w:tblCellMar>
            <w:top w:w="0" w:type="dxa"/>
            <w:left w:w="108" w:type="dxa"/>
            <w:bottom w:w="0" w:type="dxa"/>
            <w:right w:w="108" w:type="dxa"/>
          </w:tblCellMar>
        </w:tblPrEx>
        <w:trPr>
          <w:trHeight w:val="773" w:hRule="atLeast"/>
          <w:jc w:val="center"/>
        </w:trPr>
        <w:tc>
          <w:tcPr>
            <w:tcW w:w="853" w:type="dxa"/>
            <w:tcBorders>
              <w:top w:val="nil"/>
              <w:left w:val="single" w:color="auto" w:sz="4" w:space="0"/>
              <w:bottom w:val="single" w:color="auto" w:sz="4" w:space="0"/>
              <w:right w:val="single" w:color="auto" w:sz="4" w:space="0"/>
            </w:tcBorders>
            <w:vAlign w:val="center"/>
          </w:tcPr>
          <w:p w14:paraId="40CFA19F">
            <w:pPr>
              <w:widowControl/>
              <w:jc w:val="center"/>
              <w:rPr>
                <w:kern w:val="0"/>
                <w:sz w:val="22"/>
                <w:szCs w:val="22"/>
                <w:highlight w:val="none"/>
              </w:rPr>
            </w:pPr>
          </w:p>
        </w:tc>
        <w:tc>
          <w:tcPr>
            <w:tcW w:w="3554" w:type="dxa"/>
            <w:tcBorders>
              <w:top w:val="nil"/>
              <w:left w:val="nil"/>
              <w:bottom w:val="single" w:color="auto" w:sz="4" w:space="0"/>
              <w:right w:val="single" w:color="auto" w:sz="4" w:space="0"/>
            </w:tcBorders>
            <w:vAlign w:val="center"/>
          </w:tcPr>
          <w:p w14:paraId="78899842">
            <w:pPr>
              <w:widowControl/>
              <w:jc w:val="left"/>
              <w:rPr>
                <w:kern w:val="0"/>
                <w:sz w:val="22"/>
                <w:szCs w:val="22"/>
                <w:highlight w:val="none"/>
              </w:rPr>
            </w:pPr>
          </w:p>
        </w:tc>
        <w:tc>
          <w:tcPr>
            <w:tcW w:w="1173" w:type="dxa"/>
            <w:tcBorders>
              <w:top w:val="nil"/>
              <w:left w:val="nil"/>
              <w:bottom w:val="single" w:color="auto" w:sz="4" w:space="0"/>
              <w:right w:val="single" w:color="auto" w:sz="4" w:space="0"/>
            </w:tcBorders>
            <w:vAlign w:val="center"/>
          </w:tcPr>
          <w:p w14:paraId="0E73FCC8">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26F32241">
            <w:pPr>
              <w:widowControl/>
              <w:jc w:val="left"/>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4CFE2072">
            <w:pPr>
              <w:widowControl/>
              <w:jc w:val="left"/>
              <w:rPr>
                <w:kern w:val="0"/>
                <w:sz w:val="22"/>
                <w:szCs w:val="22"/>
                <w:highlight w:val="none"/>
              </w:rPr>
            </w:pPr>
          </w:p>
        </w:tc>
      </w:tr>
      <w:tr w14:paraId="5311170F">
        <w:tblPrEx>
          <w:tblCellMar>
            <w:top w:w="0" w:type="dxa"/>
            <w:left w:w="108" w:type="dxa"/>
            <w:bottom w:w="0" w:type="dxa"/>
            <w:right w:w="108" w:type="dxa"/>
          </w:tblCellMar>
        </w:tblPrEx>
        <w:trPr>
          <w:trHeight w:val="773" w:hRule="atLeast"/>
          <w:jc w:val="center"/>
        </w:trPr>
        <w:tc>
          <w:tcPr>
            <w:tcW w:w="853" w:type="dxa"/>
            <w:tcBorders>
              <w:top w:val="nil"/>
              <w:left w:val="single" w:color="auto" w:sz="4" w:space="0"/>
              <w:bottom w:val="single" w:color="auto" w:sz="4" w:space="0"/>
              <w:right w:val="single" w:color="auto" w:sz="4" w:space="0"/>
            </w:tcBorders>
            <w:vAlign w:val="center"/>
          </w:tcPr>
          <w:p w14:paraId="1C4678AF">
            <w:pPr>
              <w:widowControl/>
              <w:jc w:val="center"/>
              <w:rPr>
                <w:kern w:val="0"/>
                <w:sz w:val="22"/>
                <w:szCs w:val="22"/>
                <w:highlight w:val="none"/>
              </w:rPr>
            </w:pPr>
          </w:p>
        </w:tc>
        <w:tc>
          <w:tcPr>
            <w:tcW w:w="3554" w:type="dxa"/>
            <w:tcBorders>
              <w:top w:val="nil"/>
              <w:left w:val="nil"/>
              <w:bottom w:val="single" w:color="auto" w:sz="4" w:space="0"/>
              <w:right w:val="single" w:color="auto" w:sz="4" w:space="0"/>
            </w:tcBorders>
            <w:vAlign w:val="center"/>
          </w:tcPr>
          <w:p w14:paraId="082AA9C9">
            <w:pPr>
              <w:widowControl/>
              <w:jc w:val="left"/>
              <w:rPr>
                <w:kern w:val="0"/>
                <w:sz w:val="22"/>
                <w:szCs w:val="22"/>
                <w:highlight w:val="none"/>
              </w:rPr>
            </w:pPr>
          </w:p>
        </w:tc>
        <w:tc>
          <w:tcPr>
            <w:tcW w:w="1173" w:type="dxa"/>
            <w:tcBorders>
              <w:top w:val="nil"/>
              <w:left w:val="nil"/>
              <w:bottom w:val="single" w:color="auto" w:sz="4" w:space="0"/>
              <w:right w:val="single" w:color="auto" w:sz="4" w:space="0"/>
            </w:tcBorders>
            <w:vAlign w:val="center"/>
          </w:tcPr>
          <w:p w14:paraId="7821534D">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33B14CBC">
            <w:pPr>
              <w:widowControl/>
              <w:jc w:val="left"/>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4730F3E0">
            <w:pPr>
              <w:widowControl/>
              <w:jc w:val="left"/>
              <w:rPr>
                <w:kern w:val="0"/>
                <w:sz w:val="22"/>
                <w:szCs w:val="22"/>
                <w:highlight w:val="none"/>
              </w:rPr>
            </w:pPr>
          </w:p>
        </w:tc>
      </w:tr>
      <w:tr w14:paraId="7893016C">
        <w:tblPrEx>
          <w:tblCellMar>
            <w:top w:w="0" w:type="dxa"/>
            <w:left w:w="108" w:type="dxa"/>
            <w:bottom w:w="0" w:type="dxa"/>
            <w:right w:w="108" w:type="dxa"/>
          </w:tblCellMar>
        </w:tblPrEx>
        <w:trPr>
          <w:trHeight w:val="774" w:hRule="atLeast"/>
          <w:jc w:val="center"/>
        </w:trPr>
        <w:tc>
          <w:tcPr>
            <w:tcW w:w="853" w:type="dxa"/>
            <w:tcBorders>
              <w:top w:val="nil"/>
              <w:left w:val="single" w:color="auto" w:sz="4" w:space="0"/>
              <w:bottom w:val="single" w:color="auto" w:sz="4" w:space="0"/>
              <w:right w:val="single" w:color="auto" w:sz="4" w:space="0"/>
            </w:tcBorders>
            <w:vAlign w:val="center"/>
          </w:tcPr>
          <w:p w14:paraId="5DC61C23">
            <w:pPr>
              <w:widowControl/>
              <w:jc w:val="center"/>
              <w:rPr>
                <w:kern w:val="0"/>
                <w:sz w:val="22"/>
                <w:szCs w:val="22"/>
                <w:highlight w:val="none"/>
              </w:rPr>
            </w:pPr>
          </w:p>
        </w:tc>
        <w:tc>
          <w:tcPr>
            <w:tcW w:w="3554" w:type="dxa"/>
            <w:tcBorders>
              <w:top w:val="nil"/>
              <w:left w:val="nil"/>
              <w:bottom w:val="single" w:color="auto" w:sz="4" w:space="0"/>
              <w:right w:val="single" w:color="auto" w:sz="4" w:space="0"/>
            </w:tcBorders>
            <w:vAlign w:val="center"/>
          </w:tcPr>
          <w:p w14:paraId="3AC72B12">
            <w:pPr>
              <w:widowControl/>
              <w:jc w:val="left"/>
              <w:rPr>
                <w:kern w:val="0"/>
                <w:sz w:val="22"/>
                <w:szCs w:val="22"/>
                <w:highlight w:val="none"/>
              </w:rPr>
            </w:pPr>
          </w:p>
        </w:tc>
        <w:tc>
          <w:tcPr>
            <w:tcW w:w="1173" w:type="dxa"/>
            <w:tcBorders>
              <w:top w:val="nil"/>
              <w:left w:val="nil"/>
              <w:bottom w:val="single" w:color="auto" w:sz="4" w:space="0"/>
              <w:right w:val="single" w:color="auto" w:sz="4" w:space="0"/>
            </w:tcBorders>
            <w:vAlign w:val="center"/>
          </w:tcPr>
          <w:p w14:paraId="13DE1CFF">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21B7FE7C">
            <w:pPr>
              <w:widowControl/>
              <w:jc w:val="left"/>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01B2D2AE">
            <w:pPr>
              <w:widowControl/>
              <w:jc w:val="left"/>
              <w:rPr>
                <w:kern w:val="0"/>
                <w:sz w:val="22"/>
                <w:szCs w:val="22"/>
                <w:highlight w:val="none"/>
              </w:rPr>
            </w:pPr>
          </w:p>
        </w:tc>
      </w:tr>
      <w:tr w14:paraId="17A25A7E">
        <w:tblPrEx>
          <w:tblCellMar>
            <w:top w:w="0" w:type="dxa"/>
            <w:left w:w="108" w:type="dxa"/>
            <w:bottom w:w="0" w:type="dxa"/>
            <w:right w:w="108" w:type="dxa"/>
          </w:tblCellMar>
        </w:tblPrEx>
        <w:trPr>
          <w:trHeight w:val="773" w:hRule="atLeast"/>
          <w:jc w:val="center"/>
        </w:trPr>
        <w:tc>
          <w:tcPr>
            <w:tcW w:w="853" w:type="dxa"/>
            <w:tcBorders>
              <w:top w:val="nil"/>
              <w:left w:val="single" w:color="auto" w:sz="4" w:space="0"/>
              <w:bottom w:val="single" w:color="auto" w:sz="4" w:space="0"/>
              <w:right w:val="single" w:color="auto" w:sz="4" w:space="0"/>
            </w:tcBorders>
            <w:vAlign w:val="center"/>
          </w:tcPr>
          <w:p w14:paraId="5FDAE4F0">
            <w:pPr>
              <w:widowControl/>
              <w:jc w:val="center"/>
              <w:rPr>
                <w:kern w:val="0"/>
                <w:sz w:val="22"/>
                <w:szCs w:val="22"/>
                <w:highlight w:val="none"/>
              </w:rPr>
            </w:pPr>
          </w:p>
        </w:tc>
        <w:tc>
          <w:tcPr>
            <w:tcW w:w="3554" w:type="dxa"/>
            <w:tcBorders>
              <w:top w:val="nil"/>
              <w:left w:val="nil"/>
              <w:bottom w:val="single" w:color="auto" w:sz="4" w:space="0"/>
              <w:right w:val="single" w:color="auto" w:sz="4" w:space="0"/>
            </w:tcBorders>
            <w:vAlign w:val="center"/>
          </w:tcPr>
          <w:p w14:paraId="7C584ED2">
            <w:pPr>
              <w:widowControl/>
              <w:jc w:val="left"/>
              <w:rPr>
                <w:kern w:val="0"/>
                <w:sz w:val="22"/>
                <w:szCs w:val="22"/>
                <w:highlight w:val="none"/>
              </w:rPr>
            </w:pPr>
          </w:p>
        </w:tc>
        <w:tc>
          <w:tcPr>
            <w:tcW w:w="1173" w:type="dxa"/>
            <w:tcBorders>
              <w:top w:val="nil"/>
              <w:left w:val="nil"/>
              <w:bottom w:val="single" w:color="auto" w:sz="4" w:space="0"/>
              <w:right w:val="single" w:color="auto" w:sz="4" w:space="0"/>
            </w:tcBorders>
            <w:vAlign w:val="center"/>
          </w:tcPr>
          <w:p w14:paraId="49FC7FBE">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12620B1E">
            <w:pPr>
              <w:widowControl/>
              <w:jc w:val="left"/>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4063D8BA">
            <w:pPr>
              <w:widowControl/>
              <w:jc w:val="left"/>
              <w:rPr>
                <w:kern w:val="0"/>
                <w:sz w:val="22"/>
                <w:szCs w:val="22"/>
                <w:highlight w:val="none"/>
              </w:rPr>
            </w:pPr>
          </w:p>
        </w:tc>
      </w:tr>
      <w:tr w14:paraId="6C4D4E67">
        <w:tblPrEx>
          <w:tblCellMar>
            <w:top w:w="0" w:type="dxa"/>
            <w:left w:w="108" w:type="dxa"/>
            <w:bottom w:w="0" w:type="dxa"/>
            <w:right w:w="108" w:type="dxa"/>
          </w:tblCellMar>
        </w:tblPrEx>
        <w:trPr>
          <w:trHeight w:val="774" w:hRule="atLeast"/>
          <w:jc w:val="center"/>
        </w:trPr>
        <w:tc>
          <w:tcPr>
            <w:tcW w:w="853" w:type="dxa"/>
            <w:tcBorders>
              <w:top w:val="nil"/>
              <w:left w:val="single" w:color="auto" w:sz="4" w:space="0"/>
              <w:bottom w:val="single" w:color="auto" w:sz="4" w:space="0"/>
              <w:right w:val="single" w:color="auto" w:sz="4" w:space="0"/>
            </w:tcBorders>
            <w:vAlign w:val="center"/>
          </w:tcPr>
          <w:p w14:paraId="3175F706">
            <w:pPr>
              <w:widowControl/>
              <w:jc w:val="center"/>
              <w:rPr>
                <w:kern w:val="0"/>
                <w:sz w:val="22"/>
                <w:szCs w:val="22"/>
                <w:highlight w:val="none"/>
              </w:rPr>
            </w:pPr>
          </w:p>
        </w:tc>
        <w:tc>
          <w:tcPr>
            <w:tcW w:w="3554" w:type="dxa"/>
            <w:tcBorders>
              <w:top w:val="nil"/>
              <w:left w:val="nil"/>
              <w:bottom w:val="single" w:color="auto" w:sz="4" w:space="0"/>
              <w:right w:val="single" w:color="auto" w:sz="4" w:space="0"/>
            </w:tcBorders>
            <w:vAlign w:val="center"/>
          </w:tcPr>
          <w:p w14:paraId="159D8230">
            <w:pPr>
              <w:widowControl/>
              <w:jc w:val="left"/>
              <w:rPr>
                <w:kern w:val="0"/>
                <w:sz w:val="22"/>
                <w:szCs w:val="22"/>
                <w:highlight w:val="none"/>
              </w:rPr>
            </w:pPr>
          </w:p>
        </w:tc>
        <w:tc>
          <w:tcPr>
            <w:tcW w:w="1173" w:type="dxa"/>
            <w:tcBorders>
              <w:top w:val="nil"/>
              <w:left w:val="nil"/>
              <w:bottom w:val="single" w:color="auto" w:sz="4" w:space="0"/>
              <w:right w:val="single" w:color="auto" w:sz="4" w:space="0"/>
            </w:tcBorders>
            <w:vAlign w:val="center"/>
          </w:tcPr>
          <w:p w14:paraId="4D5C472E">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430147BA">
            <w:pPr>
              <w:widowControl/>
              <w:jc w:val="left"/>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3B1F7471">
            <w:pPr>
              <w:widowControl/>
              <w:jc w:val="left"/>
              <w:rPr>
                <w:kern w:val="0"/>
                <w:sz w:val="22"/>
                <w:szCs w:val="22"/>
                <w:highlight w:val="none"/>
              </w:rPr>
            </w:pPr>
          </w:p>
        </w:tc>
      </w:tr>
      <w:tr w14:paraId="265269C1">
        <w:tblPrEx>
          <w:tblCellMar>
            <w:top w:w="0" w:type="dxa"/>
            <w:left w:w="108" w:type="dxa"/>
            <w:bottom w:w="0" w:type="dxa"/>
            <w:right w:w="108" w:type="dxa"/>
          </w:tblCellMar>
        </w:tblPrEx>
        <w:trPr>
          <w:trHeight w:val="774" w:hRule="atLeast"/>
          <w:jc w:val="center"/>
        </w:trPr>
        <w:tc>
          <w:tcPr>
            <w:tcW w:w="853" w:type="dxa"/>
            <w:tcBorders>
              <w:top w:val="nil"/>
              <w:left w:val="single" w:color="auto" w:sz="4" w:space="0"/>
              <w:bottom w:val="single" w:color="auto" w:sz="4" w:space="0"/>
              <w:right w:val="single" w:color="auto" w:sz="4" w:space="0"/>
            </w:tcBorders>
            <w:vAlign w:val="center"/>
          </w:tcPr>
          <w:p w14:paraId="6D5DF25F">
            <w:pPr>
              <w:widowControl/>
              <w:jc w:val="center"/>
              <w:rPr>
                <w:kern w:val="0"/>
                <w:sz w:val="22"/>
                <w:szCs w:val="22"/>
                <w:highlight w:val="none"/>
              </w:rPr>
            </w:pPr>
          </w:p>
        </w:tc>
        <w:tc>
          <w:tcPr>
            <w:tcW w:w="3554" w:type="dxa"/>
            <w:tcBorders>
              <w:top w:val="nil"/>
              <w:left w:val="nil"/>
              <w:bottom w:val="single" w:color="auto" w:sz="4" w:space="0"/>
              <w:right w:val="single" w:color="auto" w:sz="4" w:space="0"/>
            </w:tcBorders>
            <w:vAlign w:val="center"/>
          </w:tcPr>
          <w:p w14:paraId="245FC5C7">
            <w:pPr>
              <w:widowControl/>
              <w:jc w:val="left"/>
              <w:rPr>
                <w:kern w:val="0"/>
                <w:sz w:val="22"/>
                <w:szCs w:val="22"/>
                <w:highlight w:val="none"/>
              </w:rPr>
            </w:pPr>
          </w:p>
        </w:tc>
        <w:tc>
          <w:tcPr>
            <w:tcW w:w="1173" w:type="dxa"/>
            <w:tcBorders>
              <w:top w:val="nil"/>
              <w:left w:val="nil"/>
              <w:bottom w:val="single" w:color="auto" w:sz="4" w:space="0"/>
              <w:right w:val="single" w:color="auto" w:sz="4" w:space="0"/>
            </w:tcBorders>
            <w:vAlign w:val="center"/>
          </w:tcPr>
          <w:p w14:paraId="75146189">
            <w:pPr>
              <w:widowControl/>
              <w:jc w:val="left"/>
              <w:rPr>
                <w:kern w:val="0"/>
                <w:sz w:val="22"/>
                <w:szCs w:val="22"/>
                <w:highlight w:val="none"/>
              </w:rPr>
            </w:pPr>
          </w:p>
        </w:tc>
        <w:tc>
          <w:tcPr>
            <w:tcW w:w="2008" w:type="dxa"/>
            <w:tcBorders>
              <w:top w:val="nil"/>
              <w:left w:val="nil"/>
              <w:bottom w:val="single" w:color="auto" w:sz="4" w:space="0"/>
              <w:right w:val="single" w:color="auto" w:sz="4" w:space="0"/>
            </w:tcBorders>
            <w:vAlign w:val="center"/>
          </w:tcPr>
          <w:p w14:paraId="05ADB26D">
            <w:pPr>
              <w:widowControl/>
              <w:jc w:val="left"/>
              <w:rPr>
                <w:kern w:val="0"/>
                <w:sz w:val="22"/>
                <w:szCs w:val="22"/>
                <w:highlight w:val="none"/>
              </w:rPr>
            </w:pPr>
          </w:p>
        </w:tc>
        <w:tc>
          <w:tcPr>
            <w:tcW w:w="1262" w:type="dxa"/>
            <w:tcBorders>
              <w:top w:val="nil"/>
              <w:left w:val="nil"/>
              <w:bottom w:val="single" w:color="auto" w:sz="4" w:space="0"/>
              <w:right w:val="single" w:color="auto" w:sz="4" w:space="0"/>
            </w:tcBorders>
            <w:vAlign w:val="center"/>
          </w:tcPr>
          <w:p w14:paraId="6178B4EC">
            <w:pPr>
              <w:widowControl/>
              <w:jc w:val="left"/>
              <w:rPr>
                <w:kern w:val="0"/>
                <w:sz w:val="22"/>
                <w:szCs w:val="22"/>
                <w:highlight w:val="none"/>
              </w:rPr>
            </w:pPr>
          </w:p>
        </w:tc>
      </w:tr>
      <w:tr w14:paraId="25AFF307">
        <w:tblPrEx>
          <w:tblCellMar>
            <w:top w:w="0" w:type="dxa"/>
            <w:left w:w="108" w:type="dxa"/>
            <w:bottom w:w="0" w:type="dxa"/>
            <w:right w:w="108" w:type="dxa"/>
          </w:tblCellMar>
        </w:tblPrEx>
        <w:trPr>
          <w:trHeight w:val="827" w:hRule="atLeast"/>
          <w:jc w:val="center"/>
        </w:trPr>
        <w:tc>
          <w:tcPr>
            <w:tcW w:w="5580" w:type="dxa"/>
            <w:gridSpan w:val="3"/>
            <w:tcBorders>
              <w:top w:val="single" w:color="auto" w:sz="4" w:space="0"/>
              <w:left w:val="single" w:color="auto" w:sz="4" w:space="0"/>
              <w:bottom w:val="single" w:color="auto" w:sz="4" w:space="0"/>
              <w:right w:val="nil"/>
            </w:tcBorders>
            <w:vAlign w:val="center"/>
          </w:tcPr>
          <w:p w14:paraId="5478028B">
            <w:pPr>
              <w:widowControl/>
              <w:jc w:val="center"/>
              <w:rPr>
                <w:kern w:val="0"/>
                <w:sz w:val="22"/>
                <w:szCs w:val="22"/>
                <w:highlight w:val="none"/>
              </w:rPr>
            </w:pPr>
            <w:r>
              <w:rPr>
                <w:kern w:val="0"/>
                <w:sz w:val="21"/>
                <w:szCs w:val="21"/>
                <w:highlight w:val="none"/>
              </w:rPr>
              <w:t>合计</w:t>
            </w:r>
          </w:p>
        </w:tc>
        <w:tc>
          <w:tcPr>
            <w:tcW w:w="2008" w:type="dxa"/>
            <w:tcBorders>
              <w:top w:val="nil"/>
              <w:left w:val="single" w:color="auto" w:sz="4" w:space="0"/>
              <w:bottom w:val="single" w:color="auto" w:sz="4" w:space="0"/>
              <w:right w:val="single" w:color="auto" w:sz="4" w:space="0"/>
            </w:tcBorders>
            <w:vAlign w:val="center"/>
          </w:tcPr>
          <w:p w14:paraId="46C21DF0">
            <w:pPr>
              <w:widowControl/>
              <w:jc w:val="left"/>
              <w:rPr>
                <w:kern w:val="0"/>
                <w:sz w:val="22"/>
                <w:szCs w:val="22"/>
                <w:highlight w:val="none"/>
              </w:rPr>
            </w:pPr>
            <w:r>
              <w:rPr>
                <w:kern w:val="0"/>
                <w:sz w:val="22"/>
                <w:szCs w:val="22"/>
                <w:highlight w:val="none"/>
              </w:rPr>
              <w:t>　</w:t>
            </w:r>
          </w:p>
        </w:tc>
        <w:tc>
          <w:tcPr>
            <w:tcW w:w="1262" w:type="dxa"/>
            <w:tcBorders>
              <w:top w:val="nil"/>
              <w:left w:val="nil"/>
              <w:bottom w:val="single" w:color="auto" w:sz="4" w:space="0"/>
              <w:right w:val="single" w:color="auto" w:sz="4" w:space="0"/>
            </w:tcBorders>
            <w:vAlign w:val="center"/>
          </w:tcPr>
          <w:p w14:paraId="343C11F6">
            <w:pPr>
              <w:widowControl/>
              <w:jc w:val="center"/>
              <w:rPr>
                <w:kern w:val="0"/>
                <w:sz w:val="22"/>
                <w:szCs w:val="22"/>
                <w:highlight w:val="none"/>
              </w:rPr>
            </w:pPr>
            <w:r>
              <w:rPr>
                <w:kern w:val="0"/>
                <w:sz w:val="22"/>
                <w:szCs w:val="22"/>
                <w:highlight w:val="none"/>
              </w:rPr>
              <w:t>-</w:t>
            </w:r>
          </w:p>
        </w:tc>
      </w:tr>
    </w:tbl>
    <w:p w14:paraId="541CD550">
      <w:pPr>
        <w:jc w:val="center"/>
        <w:outlineLvl w:val="9"/>
        <w:rPr>
          <w:rFonts w:hint="eastAsia" w:cs="Times New Roman"/>
          <w:b w:val="0"/>
          <w:bCs w:val="0"/>
          <w:spacing w:val="9"/>
          <w:sz w:val="28"/>
          <w:szCs w:val="28"/>
          <w:highlight w:val="none"/>
          <w:lang w:val="en-US" w:eastAsia="zh-CN"/>
        </w:rPr>
      </w:pPr>
    </w:p>
    <w:p w14:paraId="47E10CDF">
      <w:pPr>
        <w:jc w:val="center"/>
        <w:outlineLvl w:val="9"/>
        <w:rPr>
          <w:rFonts w:hint="eastAsia" w:cs="Times New Roman"/>
          <w:b w:val="0"/>
          <w:bCs w:val="0"/>
          <w:spacing w:val="9"/>
          <w:sz w:val="28"/>
          <w:szCs w:val="28"/>
          <w:highlight w:val="none"/>
          <w:lang w:val="en-US" w:eastAsia="zh-CN"/>
        </w:rPr>
      </w:pPr>
    </w:p>
    <w:p w14:paraId="0E9763F2">
      <w:pPr>
        <w:jc w:val="center"/>
        <w:outlineLvl w:val="2"/>
        <w:rPr>
          <w:rFonts w:hint="eastAsia" w:cs="Times New Roman"/>
          <w:b w:val="0"/>
          <w:bCs w:val="0"/>
          <w:spacing w:val="9"/>
          <w:sz w:val="28"/>
          <w:szCs w:val="28"/>
          <w:highlight w:val="none"/>
          <w:lang w:val="en-US" w:eastAsia="zh-CN"/>
        </w:rPr>
      </w:pPr>
      <w:r>
        <w:rPr>
          <w:rFonts w:hint="eastAsia"/>
          <w:b w:val="0"/>
          <w:bCs w:val="0"/>
          <w:kern w:val="0"/>
          <w:sz w:val="28"/>
          <w:szCs w:val="28"/>
          <w:highlight w:val="none"/>
        </w:rPr>
        <w:t>专业工程暂估价明细表</w:t>
      </w:r>
    </w:p>
    <w:tbl>
      <w:tblPr>
        <w:tblStyle w:val="41"/>
        <w:tblW w:w="8948" w:type="dxa"/>
        <w:jc w:val="center"/>
        <w:tblLayout w:type="fixed"/>
        <w:tblCellMar>
          <w:top w:w="0" w:type="dxa"/>
          <w:left w:w="108" w:type="dxa"/>
          <w:bottom w:w="0" w:type="dxa"/>
          <w:right w:w="108" w:type="dxa"/>
        </w:tblCellMar>
      </w:tblPr>
      <w:tblGrid>
        <w:gridCol w:w="672"/>
        <w:gridCol w:w="1609"/>
        <w:gridCol w:w="1651"/>
        <w:gridCol w:w="1759"/>
        <w:gridCol w:w="426"/>
        <w:gridCol w:w="1374"/>
        <w:gridCol w:w="1429"/>
        <w:gridCol w:w="28"/>
      </w:tblGrid>
      <w:tr w14:paraId="100407A5">
        <w:tblPrEx>
          <w:tblCellMar>
            <w:top w:w="0" w:type="dxa"/>
            <w:left w:w="108" w:type="dxa"/>
            <w:bottom w:w="0" w:type="dxa"/>
            <w:right w:w="108" w:type="dxa"/>
          </w:tblCellMar>
        </w:tblPrEx>
        <w:trPr>
          <w:trHeight w:val="493" w:hRule="atLeast"/>
          <w:jc w:val="center"/>
        </w:trPr>
        <w:tc>
          <w:tcPr>
            <w:tcW w:w="8948" w:type="dxa"/>
            <w:gridSpan w:val="8"/>
            <w:tcBorders>
              <w:top w:val="nil"/>
              <w:left w:val="nil"/>
              <w:bottom w:val="nil"/>
            </w:tcBorders>
            <w:vAlign w:val="center"/>
          </w:tcPr>
          <w:p w14:paraId="0EFC183B">
            <w:pPr>
              <w:widowControl/>
              <w:jc w:val="center"/>
              <w:rPr>
                <w:kern w:val="0"/>
                <w:sz w:val="24"/>
                <w:highlight w:val="none"/>
              </w:rPr>
            </w:pPr>
          </w:p>
        </w:tc>
      </w:tr>
      <w:tr w14:paraId="1AFFE78F">
        <w:tblPrEx>
          <w:tblCellMar>
            <w:top w:w="0" w:type="dxa"/>
            <w:left w:w="108" w:type="dxa"/>
            <w:bottom w:w="0" w:type="dxa"/>
            <w:right w:w="108" w:type="dxa"/>
          </w:tblCellMar>
        </w:tblPrEx>
        <w:trPr>
          <w:trHeight w:val="493" w:hRule="atLeast"/>
          <w:jc w:val="center"/>
        </w:trPr>
        <w:tc>
          <w:tcPr>
            <w:tcW w:w="6117" w:type="dxa"/>
            <w:gridSpan w:val="5"/>
            <w:tcBorders>
              <w:top w:val="nil"/>
              <w:left w:val="nil"/>
              <w:bottom w:val="single" w:color="auto" w:sz="4" w:space="0"/>
              <w:right w:val="nil"/>
            </w:tcBorders>
            <w:vAlign w:val="center"/>
          </w:tcPr>
          <w:p w14:paraId="18334701">
            <w:pPr>
              <w:widowControl/>
              <w:jc w:val="left"/>
              <w:rPr>
                <w:kern w:val="0"/>
                <w:sz w:val="21"/>
                <w:szCs w:val="21"/>
                <w:highlight w:val="none"/>
              </w:rPr>
            </w:pPr>
            <w:r>
              <w:rPr>
                <w:kern w:val="0"/>
                <w:sz w:val="21"/>
                <w:szCs w:val="21"/>
                <w:highlight w:val="none"/>
              </w:rPr>
              <w:t>工程名称：                标段：</w:t>
            </w:r>
          </w:p>
        </w:tc>
        <w:tc>
          <w:tcPr>
            <w:tcW w:w="2831" w:type="dxa"/>
            <w:gridSpan w:val="3"/>
            <w:tcBorders>
              <w:top w:val="nil"/>
              <w:left w:val="nil"/>
              <w:bottom w:val="single" w:color="auto" w:sz="4" w:space="0"/>
              <w:right w:val="nil"/>
            </w:tcBorders>
            <w:vAlign w:val="center"/>
          </w:tcPr>
          <w:p w14:paraId="4B6090FB">
            <w:pPr>
              <w:widowControl/>
              <w:tabs>
                <w:tab w:val="left" w:pos="2677"/>
              </w:tabs>
              <w:ind w:right="-115" w:firstLine="840" w:firstLineChars="400"/>
              <w:rPr>
                <w:kern w:val="0"/>
                <w:sz w:val="21"/>
                <w:szCs w:val="21"/>
                <w:highlight w:val="none"/>
              </w:rPr>
            </w:pPr>
            <w:r>
              <w:rPr>
                <w:kern w:val="0"/>
                <w:sz w:val="21"/>
                <w:szCs w:val="21"/>
                <w:highlight w:val="none"/>
              </w:rPr>
              <w:t>第   页   共    页</w:t>
            </w:r>
          </w:p>
        </w:tc>
      </w:tr>
      <w:tr w14:paraId="45B8A986">
        <w:tblPrEx>
          <w:tblCellMar>
            <w:top w:w="0" w:type="dxa"/>
            <w:left w:w="108" w:type="dxa"/>
            <w:bottom w:w="0" w:type="dxa"/>
            <w:right w:w="108" w:type="dxa"/>
          </w:tblCellMar>
        </w:tblPrEx>
        <w:trPr>
          <w:trHeight w:val="412" w:hRule="atLeast"/>
          <w:jc w:val="center"/>
        </w:trPr>
        <w:tc>
          <w:tcPr>
            <w:tcW w:w="672" w:type="dxa"/>
            <w:vMerge w:val="restart"/>
            <w:tcBorders>
              <w:top w:val="single" w:color="auto" w:sz="4" w:space="0"/>
              <w:left w:val="single" w:color="auto" w:sz="4" w:space="0"/>
              <w:bottom w:val="single" w:color="auto" w:sz="4" w:space="0"/>
              <w:right w:val="single" w:color="auto" w:sz="4" w:space="0"/>
            </w:tcBorders>
            <w:vAlign w:val="center"/>
          </w:tcPr>
          <w:p w14:paraId="4F799F57">
            <w:pPr>
              <w:widowControl/>
              <w:jc w:val="center"/>
              <w:rPr>
                <w:kern w:val="0"/>
                <w:sz w:val="21"/>
                <w:szCs w:val="21"/>
                <w:highlight w:val="none"/>
              </w:rPr>
            </w:pPr>
            <w:r>
              <w:rPr>
                <w:kern w:val="0"/>
                <w:sz w:val="21"/>
                <w:szCs w:val="21"/>
                <w:highlight w:val="none"/>
              </w:rPr>
              <w:t>序号</w:t>
            </w:r>
          </w:p>
        </w:tc>
        <w:tc>
          <w:tcPr>
            <w:tcW w:w="1609" w:type="dxa"/>
            <w:vMerge w:val="restart"/>
            <w:tcBorders>
              <w:top w:val="single" w:color="auto" w:sz="4" w:space="0"/>
              <w:left w:val="single" w:color="auto" w:sz="4" w:space="0"/>
              <w:bottom w:val="single" w:color="auto" w:sz="4" w:space="0"/>
              <w:right w:val="single" w:color="auto" w:sz="4" w:space="0"/>
            </w:tcBorders>
            <w:vAlign w:val="center"/>
          </w:tcPr>
          <w:p w14:paraId="78C7C730">
            <w:pPr>
              <w:widowControl/>
              <w:jc w:val="center"/>
              <w:rPr>
                <w:kern w:val="0"/>
                <w:sz w:val="21"/>
                <w:szCs w:val="21"/>
                <w:highlight w:val="none"/>
              </w:rPr>
            </w:pPr>
            <w:r>
              <w:rPr>
                <w:kern w:val="0"/>
                <w:sz w:val="21"/>
                <w:szCs w:val="21"/>
                <w:highlight w:val="none"/>
              </w:rPr>
              <w:t>专业工程名称</w:t>
            </w:r>
          </w:p>
        </w:tc>
        <w:tc>
          <w:tcPr>
            <w:tcW w:w="5210" w:type="dxa"/>
            <w:gridSpan w:val="4"/>
            <w:tcBorders>
              <w:top w:val="single" w:color="auto" w:sz="4" w:space="0"/>
              <w:left w:val="single" w:color="auto" w:sz="4" w:space="0"/>
              <w:bottom w:val="single" w:color="auto" w:sz="4" w:space="0"/>
              <w:right w:val="single" w:color="auto" w:sz="4" w:space="0"/>
            </w:tcBorders>
            <w:vAlign w:val="center"/>
          </w:tcPr>
          <w:p w14:paraId="3F6F5111">
            <w:pPr>
              <w:widowControl/>
              <w:jc w:val="center"/>
              <w:rPr>
                <w:rFonts w:hint="eastAsia"/>
                <w:kern w:val="0"/>
                <w:sz w:val="21"/>
                <w:szCs w:val="21"/>
                <w:highlight w:val="none"/>
              </w:rPr>
            </w:pPr>
            <w:r>
              <w:rPr>
                <w:kern w:val="0"/>
                <w:sz w:val="21"/>
                <w:szCs w:val="21"/>
                <w:highlight w:val="none"/>
              </w:rPr>
              <w:t>暂估金额</w:t>
            </w:r>
            <w:r>
              <w:rPr>
                <w:rFonts w:hint="eastAsia"/>
                <w:kern w:val="0"/>
                <w:sz w:val="21"/>
                <w:szCs w:val="21"/>
                <w:highlight w:val="none"/>
                <w:lang w:eastAsia="zh-CN"/>
              </w:rPr>
              <w:t>（</w:t>
            </w:r>
            <w:r>
              <w:rPr>
                <w:rFonts w:hint="eastAsia"/>
                <w:kern w:val="0"/>
                <w:sz w:val="21"/>
                <w:szCs w:val="21"/>
                <w:highlight w:val="none"/>
                <w:lang w:val="en-US" w:eastAsia="zh-CN"/>
              </w:rPr>
              <w:t>元</w:t>
            </w:r>
            <w:r>
              <w:rPr>
                <w:rFonts w:hint="eastAsia"/>
                <w:kern w:val="0"/>
                <w:sz w:val="21"/>
                <w:szCs w:val="21"/>
                <w:highlight w:val="none"/>
                <w:lang w:eastAsia="zh-CN"/>
              </w:rPr>
              <w:t>）</w:t>
            </w:r>
          </w:p>
        </w:tc>
        <w:tc>
          <w:tcPr>
            <w:tcW w:w="1457" w:type="dxa"/>
            <w:gridSpan w:val="2"/>
            <w:vMerge w:val="restart"/>
            <w:tcBorders>
              <w:top w:val="single" w:color="auto" w:sz="4" w:space="0"/>
              <w:left w:val="single" w:color="auto" w:sz="4" w:space="0"/>
              <w:right w:val="single" w:color="auto" w:sz="4" w:space="0"/>
            </w:tcBorders>
            <w:vAlign w:val="center"/>
          </w:tcPr>
          <w:p w14:paraId="381554FD">
            <w:pPr>
              <w:widowControl/>
              <w:jc w:val="center"/>
              <w:rPr>
                <w:rFonts w:hint="eastAsia" w:eastAsia="宋体"/>
                <w:kern w:val="0"/>
                <w:sz w:val="21"/>
                <w:szCs w:val="21"/>
                <w:highlight w:val="none"/>
                <w:lang w:eastAsia="zh-CN"/>
              </w:rPr>
            </w:pPr>
            <w:r>
              <w:rPr>
                <w:rFonts w:hint="eastAsia"/>
                <w:kern w:val="0"/>
                <w:sz w:val="21"/>
                <w:szCs w:val="21"/>
                <w:highlight w:val="none"/>
                <w:lang w:val="en-US" w:eastAsia="zh-CN"/>
              </w:rPr>
              <w:t>备注</w:t>
            </w:r>
          </w:p>
        </w:tc>
      </w:tr>
      <w:tr w14:paraId="2A70B035">
        <w:tblPrEx>
          <w:tblCellMar>
            <w:top w:w="0" w:type="dxa"/>
            <w:left w:w="108" w:type="dxa"/>
            <w:bottom w:w="0" w:type="dxa"/>
            <w:right w:w="108" w:type="dxa"/>
          </w:tblCellMar>
        </w:tblPrEx>
        <w:trPr>
          <w:trHeight w:val="809" w:hRule="atLeast"/>
          <w:jc w:val="center"/>
        </w:trPr>
        <w:tc>
          <w:tcPr>
            <w:tcW w:w="672" w:type="dxa"/>
            <w:vMerge w:val="continue"/>
            <w:tcBorders>
              <w:top w:val="single" w:color="auto" w:sz="4" w:space="0"/>
              <w:left w:val="single" w:color="auto" w:sz="4" w:space="0"/>
              <w:bottom w:val="single" w:color="auto" w:sz="4" w:space="0"/>
              <w:right w:val="single" w:color="auto" w:sz="4" w:space="0"/>
            </w:tcBorders>
            <w:vAlign w:val="center"/>
          </w:tcPr>
          <w:p w14:paraId="554D082C">
            <w:pPr>
              <w:jc w:val="center"/>
              <w:rPr>
                <w:highlight w:val="none"/>
              </w:rPr>
            </w:pPr>
          </w:p>
        </w:tc>
        <w:tc>
          <w:tcPr>
            <w:tcW w:w="1609" w:type="dxa"/>
            <w:vMerge w:val="continue"/>
            <w:tcBorders>
              <w:top w:val="single" w:color="auto" w:sz="4" w:space="0"/>
              <w:left w:val="single" w:color="auto" w:sz="4" w:space="0"/>
              <w:bottom w:val="single" w:color="auto" w:sz="4" w:space="0"/>
              <w:right w:val="single" w:color="auto" w:sz="4" w:space="0"/>
            </w:tcBorders>
            <w:vAlign w:val="center"/>
          </w:tcPr>
          <w:p w14:paraId="3E65812C">
            <w:pPr>
              <w:jc w:val="center"/>
              <w:rPr>
                <w:highlight w:val="none"/>
              </w:rPr>
            </w:pPr>
          </w:p>
        </w:tc>
        <w:tc>
          <w:tcPr>
            <w:tcW w:w="1651" w:type="dxa"/>
            <w:tcBorders>
              <w:top w:val="single" w:color="auto" w:sz="4" w:space="0"/>
              <w:left w:val="single" w:color="auto" w:sz="4" w:space="0"/>
              <w:right w:val="single" w:color="auto" w:sz="4" w:space="0"/>
            </w:tcBorders>
            <w:vAlign w:val="center"/>
          </w:tcPr>
          <w:p w14:paraId="65A4BF09">
            <w:pPr>
              <w:widowControl/>
              <w:jc w:val="center"/>
              <w:rPr>
                <w:kern w:val="0"/>
                <w:sz w:val="21"/>
                <w:szCs w:val="21"/>
                <w:highlight w:val="none"/>
              </w:rPr>
            </w:pPr>
            <w:r>
              <w:rPr>
                <w:kern w:val="0"/>
                <w:sz w:val="21"/>
                <w:szCs w:val="21"/>
                <w:highlight w:val="none"/>
              </w:rPr>
              <w:t>不含税价格</w:t>
            </w:r>
          </w:p>
        </w:tc>
        <w:tc>
          <w:tcPr>
            <w:tcW w:w="1759" w:type="dxa"/>
            <w:tcBorders>
              <w:top w:val="single" w:color="auto" w:sz="4" w:space="0"/>
              <w:left w:val="single" w:color="auto" w:sz="4" w:space="0"/>
              <w:right w:val="single" w:color="auto" w:sz="4" w:space="0"/>
            </w:tcBorders>
            <w:vAlign w:val="center"/>
          </w:tcPr>
          <w:p w14:paraId="14730A33">
            <w:pPr>
              <w:widowControl/>
              <w:jc w:val="center"/>
              <w:rPr>
                <w:kern w:val="0"/>
                <w:sz w:val="21"/>
                <w:szCs w:val="21"/>
                <w:highlight w:val="none"/>
              </w:rPr>
            </w:pPr>
            <w:r>
              <w:rPr>
                <w:kern w:val="0"/>
                <w:sz w:val="21"/>
                <w:szCs w:val="21"/>
                <w:highlight w:val="none"/>
              </w:rPr>
              <w:t>增值税</w:t>
            </w:r>
          </w:p>
        </w:tc>
        <w:tc>
          <w:tcPr>
            <w:tcW w:w="1800" w:type="dxa"/>
            <w:gridSpan w:val="2"/>
            <w:tcBorders>
              <w:top w:val="single" w:color="auto" w:sz="4" w:space="0"/>
              <w:left w:val="single" w:color="auto" w:sz="4" w:space="0"/>
              <w:bottom w:val="single" w:color="auto" w:sz="4" w:space="0"/>
              <w:right w:val="single" w:color="auto" w:sz="4" w:space="0"/>
            </w:tcBorders>
            <w:vAlign w:val="center"/>
          </w:tcPr>
          <w:p w14:paraId="5AE51408">
            <w:pPr>
              <w:widowControl/>
              <w:jc w:val="center"/>
              <w:rPr>
                <w:rFonts w:ascii="Times New Roman" w:hAnsi="Times New Roman" w:eastAsia="宋体" w:cs="Times New Roman"/>
                <w:kern w:val="0"/>
                <w:sz w:val="21"/>
                <w:szCs w:val="21"/>
                <w:highlight w:val="none"/>
                <w:lang w:val="en-US" w:eastAsia="zh-CN" w:bidi="ar-SA"/>
              </w:rPr>
            </w:pPr>
            <w:r>
              <w:rPr>
                <w:kern w:val="0"/>
                <w:sz w:val="21"/>
                <w:szCs w:val="21"/>
                <w:highlight w:val="none"/>
              </w:rPr>
              <w:t>含税价格</w:t>
            </w:r>
          </w:p>
        </w:tc>
        <w:tc>
          <w:tcPr>
            <w:tcW w:w="1457" w:type="dxa"/>
            <w:gridSpan w:val="2"/>
            <w:vMerge w:val="continue"/>
            <w:tcBorders>
              <w:left w:val="single" w:color="auto" w:sz="4" w:space="0"/>
              <w:right w:val="single" w:color="auto" w:sz="4" w:space="0"/>
            </w:tcBorders>
            <w:vAlign w:val="center"/>
          </w:tcPr>
          <w:p w14:paraId="74BDCC80">
            <w:pPr>
              <w:widowControl/>
              <w:jc w:val="center"/>
              <w:rPr>
                <w:kern w:val="0"/>
                <w:sz w:val="22"/>
                <w:szCs w:val="22"/>
                <w:highlight w:val="none"/>
              </w:rPr>
            </w:pPr>
          </w:p>
        </w:tc>
      </w:tr>
      <w:tr w14:paraId="53EDDD53">
        <w:tblPrEx>
          <w:tblCellMar>
            <w:top w:w="0" w:type="dxa"/>
            <w:left w:w="108" w:type="dxa"/>
            <w:bottom w:w="0" w:type="dxa"/>
            <w:right w:w="108" w:type="dxa"/>
          </w:tblCellMar>
        </w:tblPrEx>
        <w:trPr>
          <w:trHeight w:val="397" w:hRule="atLeast"/>
          <w:jc w:val="center"/>
        </w:trPr>
        <w:tc>
          <w:tcPr>
            <w:tcW w:w="672" w:type="dxa"/>
            <w:tcBorders>
              <w:top w:val="single" w:color="auto" w:sz="4" w:space="0"/>
              <w:left w:val="single" w:color="auto" w:sz="4" w:space="0"/>
              <w:bottom w:val="single" w:color="auto" w:sz="4" w:space="0"/>
              <w:right w:val="single" w:color="auto" w:sz="4" w:space="0"/>
            </w:tcBorders>
            <w:vAlign w:val="center"/>
          </w:tcPr>
          <w:p w14:paraId="271095B7">
            <w:pPr>
              <w:widowControl/>
              <w:jc w:val="center"/>
              <w:rPr>
                <w:kern w:val="0"/>
                <w:sz w:val="22"/>
                <w:szCs w:val="22"/>
                <w:highlight w:val="none"/>
              </w:rPr>
            </w:pPr>
          </w:p>
        </w:tc>
        <w:tc>
          <w:tcPr>
            <w:tcW w:w="1609" w:type="dxa"/>
            <w:tcBorders>
              <w:top w:val="single" w:color="auto" w:sz="4" w:space="0"/>
              <w:left w:val="single" w:color="auto" w:sz="4" w:space="0"/>
              <w:bottom w:val="single" w:color="auto" w:sz="4" w:space="0"/>
              <w:right w:val="single" w:color="auto" w:sz="4" w:space="0"/>
            </w:tcBorders>
            <w:vAlign w:val="center"/>
          </w:tcPr>
          <w:p w14:paraId="4D4D713C">
            <w:pPr>
              <w:widowControl/>
              <w:jc w:val="center"/>
              <w:rPr>
                <w:kern w:val="0"/>
                <w:sz w:val="22"/>
                <w:szCs w:val="22"/>
                <w:highlight w:val="none"/>
              </w:rPr>
            </w:pPr>
          </w:p>
        </w:tc>
        <w:tc>
          <w:tcPr>
            <w:tcW w:w="1651" w:type="dxa"/>
            <w:tcBorders>
              <w:top w:val="single" w:color="auto" w:sz="4" w:space="0"/>
              <w:left w:val="single" w:color="auto" w:sz="4" w:space="0"/>
              <w:bottom w:val="single" w:color="auto" w:sz="4" w:space="0"/>
              <w:right w:val="single" w:color="auto" w:sz="4" w:space="0"/>
            </w:tcBorders>
            <w:vAlign w:val="center"/>
          </w:tcPr>
          <w:p w14:paraId="50DC02E2">
            <w:pPr>
              <w:widowControl/>
              <w:jc w:val="center"/>
              <w:rPr>
                <w:kern w:val="0"/>
                <w:sz w:val="22"/>
                <w:szCs w:val="22"/>
                <w:highlight w:val="none"/>
              </w:rPr>
            </w:pPr>
          </w:p>
        </w:tc>
        <w:tc>
          <w:tcPr>
            <w:tcW w:w="1759" w:type="dxa"/>
            <w:tcBorders>
              <w:top w:val="single" w:color="auto" w:sz="4" w:space="0"/>
              <w:left w:val="single" w:color="auto" w:sz="4" w:space="0"/>
              <w:bottom w:val="single" w:color="auto" w:sz="4" w:space="0"/>
              <w:right w:val="single" w:color="auto" w:sz="4" w:space="0"/>
            </w:tcBorders>
            <w:vAlign w:val="center"/>
          </w:tcPr>
          <w:p w14:paraId="1276DEF1">
            <w:pPr>
              <w:widowControl/>
              <w:jc w:val="center"/>
              <w:rPr>
                <w:kern w:val="0"/>
                <w:sz w:val="22"/>
                <w:szCs w:val="22"/>
                <w:highlight w:val="none"/>
              </w:rPr>
            </w:pPr>
          </w:p>
        </w:tc>
        <w:tc>
          <w:tcPr>
            <w:tcW w:w="1800" w:type="dxa"/>
            <w:gridSpan w:val="2"/>
            <w:tcBorders>
              <w:top w:val="single" w:color="auto" w:sz="4" w:space="0"/>
              <w:left w:val="single" w:color="auto" w:sz="4" w:space="0"/>
              <w:bottom w:val="single" w:color="auto" w:sz="4" w:space="0"/>
              <w:right w:val="single" w:color="auto" w:sz="4" w:space="0"/>
            </w:tcBorders>
            <w:vAlign w:val="center"/>
          </w:tcPr>
          <w:p w14:paraId="1DB4B5BE">
            <w:pPr>
              <w:widowControl/>
              <w:jc w:val="center"/>
              <w:rPr>
                <w:kern w:val="0"/>
                <w:sz w:val="22"/>
                <w:szCs w:val="22"/>
                <w:highlight w:val="none"/>
              </w:rPr>
            </w:pPr>
          </w:p>
        </w:tc>
        <w:tc>
          <w:tcPr>
            <w:tcW w:w="1457" w:type="dxa"/>
            <w:gridSpan w:val="2"/>
            <w:tcBorders>
              <w:top w:val="single" w:color="auto" w:sz="4" w:space="0"/>
              <w:left w:val="single" w:color="auto" w:sz="4" w:space="0"/>
              <w:bottom w:val="single" w:color="auto" w:sz="4" w:space="0"/>
              <w:right w:val="single" w:color="auto" w:sz="4" w:space="0"/>
            </w:tcBorders>
            <w:vAlign w:val="center"/>
          </w:tcPr>
          <w:p w14:paraId="4A0DA01D">
            <w:pPr>
              <w:widowControl/>
              <w:jc w:val="center"/>
              <w:rPr>
                <w:kern w:val="0"/>
                <w:sz w:val="22"/>
                <w:szCs w:val="22"/>
                <w:highlight w:val="none"/>
              </w:rPr>
            </w:pPr>
          </w:p>
        </w:tc>
      </w:tr>
      <w:tr w14:paraId="68A7E2AF">
        <w:tblPrEx>
          <w:tblCellMar>
            <w:top w:w="0" w:type="dxa"/>
            <w:left w:w="108" w:type="dxa"/>
            <w:bottom w:w="0" w:type="dxa"/>
            <w:right w:w="108" w:type="dxa"/>
          </w:tblCellMar>
        </w:tblPrEx>
        <w:trPr>
          <w:trHeight w:val="397" w:hRule="atLeast"/>
          <w:jc w:val="center"/>
        </w:trPr>
        <w:tc>
          <w:tcPr>
            <w:tcW w:w="672" w:type="dxa"/>
            <w:tcBorders>
              <w:top w:val="single" w:color="auto" w:sz="4" w:space="0"/>
              <w:left w:val="single" w:color="auto" w:sz="4" w:space="0"/>
              <w:bottom w:val="single" w:color="auto" w:sz="4" w:space="0"/>
              <w:right w:val="single" w:color="auto" w:sz="4" w:space="0"/>
            </w:tcBorders>
            <w:vAlign w:val="center"/>
          </w:tcPr>
          <w:p w14:paraId="22E5D9B9">
            <w:pPr>
              <w:widowControl/>
              <w:jc w:val="both"/>
              <w:rPr>
                <w:kern w:val="0"/>
                <w:sz w:val="22"/>
                <w:szCs w:val="22"/>
                <w:highlight w:val="none"/>
              </w:rPr>
            </w:pPr>
          </w:p>
        </w:tc>
        <w:tc>
          <w:tcPr>
            <w:tcW w:w="1609" w:type="dxa"/>
            <w:tcBorders>
              <w:top w:val="single" w:color="auto" w:sz="4" w:space="0"/>
              <w:left w:val="single" w:color="auto" w:sz="4" w:space="0"/>
              <w:bottom w:val="single" w:color="auto" w:sz="4" w:space="0"/>
              <w:right w:val="single" w:color="auto" w:sz="4" w:space="0"/>
            </w:tcBorders>
            <w:vAlign w:val="center"/>
          </w:tcPr>
          <w:p w14:paraId="2DD91DCB">
            <w:pPr>
              <w:widowControl/>
              <w:jc w:val="center"/>
              <w:rPr>
                <w:kern w:val="0"/>
                <w:sz w:val="22"/>
                <w:szCs w:val="22"/>
                <w:highlight w:val="none"/>
              </w:rPr>
            </w:pPr>
          </w:p>
        </w:tc>
        <w:tc>
          <w:tcPr>
            <w:tcW w:w="1651" w:type="dxa"/>
            <w:tcBorders>
              <w:top w:val="single" w:color="auto" w:sz="4" w:space="0"/>
              <w:left w:val="single" w:color="auto" w:sz="4" w:space="0"/>
              <w:bottom w:val="single" w:color="auto" w:sz="4" w:space="0"/>
              <w:right w:val="single" w:color="auto" w:sz="4" w:space="0"/>
            </w:tcBorders>
            <w:vAlign w:val="center"/>
          </w:tcPr>
          <w:p w14:paraId="566A837E">
            <w:pPr>
              <w:widowControl/>
              <w:jc w:val="center"/>
              <w:rPr>
                <w:kern w:val="0"/>
                <w:sz w:val="22"/>
                <w:szCs w:val="22"/>
                <w:highlight w:val="none"/>
              </w:rPr>
            </w:pPr>
          </w:p>
        </w:tc>
        <w:tc>
          <w:tcPr>
            <w:tcW w:w="1759" w:type="dxa"/>
            <w:tcBorders>
              <w:top w:val="single" w:color="auto" w:sz="4" w:space="0"/>
              <w:left w:val="single" w:color="auto" w:sz="4" w:space="0"/>
              <w:bottom w:val="single" w:color="auto" w:sz="4" w:space="0"/>
              <w:right w:val="single" w:color="auto" w:sz="4" w:space="0"/>
            </w:tcBorders>
            <w:vAlign w:val="center"/>
          </w:tcPr>
          <w:p w14:paraId="35F458FD">
            <w:pPr>
              <w:widowControl/>
              <w:jc w:val="center"/>
              <w:rPr>
                <w:kern w:val="0"/>
                <w:sz w:val="22"/>
                <w:szCs w:val="22"/>
                <w:highlight w:val="none"/>
              </w:rPr>
            </w:pPr>
          </w:p>
        </w:tc>
        <w:tc>
          <w:tcPr>
            <w:tcW w:w="1800" w:type="dxa"/>
            <w:gridSpan w:val="2"/>
            <w:tcBorders>
              <w:top w:val="single" w:color="auto" w:sz="4" w:space="0"/>
              <w:left w:val="single" w:color="auto" w:sz="4" w:space="0"/>
              <w:bottom w:val="single" w:color="auto" w:sz="4" w:space="0"/>
              <w:right w:val="single" w:color="auto" w:sz="4" w:space="0"/>
            </w:tcBorders>
            <w:vAlign w:val="center"/>
          </w:tcPr>
          <w:p w14:paraId="6232BF3B">
            <w:pPr>
              <w:widowControl/>
              <w:jc w:val="center"/>
              <w:rPr>
                <w:kern w:val="0"/>
                <w:sz w:val="22"/>
                <w:szCs w:val="22"/>
                <w:highlight w:val="none"/>
              </w:rPr>
            </w:pPr>
          </w:p>
        </w:tc>
        <w:tc>
          <w:tcPr>
            <w:tcW w:w="1457" w:type="dxa"/>
            <w:gridSpan w:val="2"/>
            <w:tcBorders>
              <w:top w:val="single" w:color="auto" w:sz="4" w:space="0"/>
              <w:left w:val="single" w:color="auto" w:sz="4" w:space="0"/>
              <w:bottom w:val="single" w:color="auto" w:sz="4" w:space="0"/>
              <w:right w:val="single" w:color="auto" w:sz="4" w:space="0"/>
            </w:tcBorders>
            <w:vAlign w:val="center"/>
          </w:tcPr>
          <w:p w14:paraId="38862534">
            <w:pPr>
              <w:widowControl/>
              <w:jc w:val="center"/>
              <w:rPr>
                <w:kern w:val="0"/>
                <w:sz w:val="22"/>
                <w:szCs w:val="22"/>
                <w:highlight w:val="none"/>
              </w:rPr>
            </w:pPr>
          </w:p>
        </w:tc>
      </w:tr>
      <w:tr w14:paraId="0F90B203">
        <w:tblPrEx>
          <w:tblCellMar>
            <w:top w:w="0" w:type="dxa"/>
            <w:left w:w="108" w:type="dxa"/>
            <w:bottom w:w="0" w:type="dxa"/>
            <w:right w:w="108" w:type="dxa"/>
          </w:tblCellMar>
        </w:tblPrEx>
        <w:trPr>
          <w:trHeight w:val="397" w:hRule="atLeast"/>
          <w:jc w:val="center"/>
        </w:trPr>
        <w:tc>
          <w:tcPr>
            <w:tcW w:w="672" w:type="dxa"/>
            <w:tcBorders>
              <w:top w:val="single" w:color="auto" w:sz="4" w:space="0"/>
              <w:left w:val="single" w:color="auto" w:sz="4" w:space="0"/>
              <w:bottom w:val="single" w:color="auto" w:sz="4" w:space="0"/>
              <w:right w:val="single" w:color="auto" w:sz="4" w:space="0"/>
            </w:tcBorders>
            <w:vAlign w:val="center"/>
          </w:tcPr>
          <w:p w14:paraId="347A8F67">
            <w:pPr>
              <w:widowControl/>
              <w:jc w:val="both"/>
              <w:rPr>
                <w:kern w:val="0"/>
                <w:sz w:val="22"/>
                <w:szCs w:val="22"/>
                <w:highlight w:val="none"/>
              </w:rPr>
            </w:pPr>
          </w:p>
        </w:tc>
        <w:tc>
          <w:tcPr>
            <w:tcW w:w="1609" w:type="dxa"/>
            <w:tcBorders>
              <w:top w:val="single" w:color="auto" w:sz="4" w:space="0"/>
              <w:left w:val="single" w:color="auto" w:sz="4" w:space="0"/>
              <w:bottom w:val="single" w:color="auto" w:sz="4" w:space="0"/>
              <w:right w:val="single" w:color="auto" w:sz="4" w:space="0"/>
            </w:tcBorders>
            <w:vAlign w:val="center"/>
          </w:tcPr>
          <w:p w14:paraId="3B39F48A">
            <w:pPr>
              <w:widowControl/>
              <w:jc w:val="center"/>
              <w:rPr>
                <w:kern w:val="0"/>
                <w:sz w:val="22"/>
                <w:szCs w:val="22"/>
                <w:highlight w:val="none"/>
              </w:rPr>
            </w:pPr>
          </w:p>
        </w:tc>
        <w:tc>
          <w:tcPr>
            <w:tcW w:w="1651" w:type="dxa"/>
            <w:tcBorders>
              <w:top w:val="single" w:color="auto" w:sz="4" w:space="0"/>
              <w:left w:val="single" w:color="auto" w:sz="4" w:space="0"/>
              <w:bottom w:val="single" w:color="auto" w:sz="4" w:space="0"/>
              <w:right w:val="single" w:color="auto" w:sz="4" w:space="0"/>
            </w:tcBorders>
            <w:vAlign w:val="center"/>
          </w:tcPr>
          <w:p w14:paraId="315506D4">
            <w:pPr>
              <w:widowControl/>
              <w:jc w:val="center"/>
              <w:rPr>
                <w:kern w:val="0"/>
                <w:sz w:val="22"/>
                <w:szCs w:val="22"/>
                <w:highlight w:val="none"/>
              </w:rPr>
            </w:pPr>
          </w:p>
        </w:tc>
        <w:tc>
          <w:tcPr>
            <w:tcW w:w="1759" w:type="dxa"/>
            <w:tcBorders>
              <w:top w:val="single" w:color="auto" w:sz="4" w:space="0"/>
              <w:left w:val="single" w:color="auto" w:sz="4" w:space="0"/>
              <w:bottom w:val="single" w:color="auto" w:sz="4" w:space="0"/>
              <w:right w:val="single" w:color="auto" w:sz="4" w:space="0"/>
            </w:tcBorders>
            <w:vAlign w:val="center"/>
          </w:tcPr>
          <w:p w14:paraId="17D099AF">
            <w:pPr>
              <w:widowControl/>
              <w:jc w:val="center"/>
              <w:rPr>
                <w:kern w:val="0"/>
                <w:sz w:val="22"/>
                <w:szCs w:val="22"/>
                <w:highlight w:val="none"/>
              </w:rPr>
            </w:pPr>
          </w:p>
        </w:tc>
        <w:tc>
          <w:tcPr>
            <w:tcW w:w="1800" w:type="dxa"/>
            <w:gridSpan w:val="2"/>
            <w:tcBorders>
              <w:top w:val="single" w:color="auto" w:sz="4" w:space="0"/>
              <w:left w:val="single" w:color="auto" w:sz="4" w:space="0"/>
              <w:bottom w:val="single" w:color="auto" w:sz="4" w:space="0"/>
              <w:right w:val="single" w:color="auto" w:sz="4" w:space="0"/>
            </w:tcBorders>
            <w:vAlign w:val="center"/>
          </w:tcPr>
          <w:p w14:paraId="3CD2FD58">
            <w:pPr>
              <w:widowControl/>
              <w:jc w:val="center"/>
              <w:rPr>
                <w:kern w:val="0"/>
                <w:sz w:val="22"/>
                <w:szCs w:val="22"/>
                <w:highlight w:val="none"/>
              </w:rPr>
            </w:pPr>
          </w:p>
        </w:tc>
        <w:tc>
          <w:tcPr>
            <w:tcW w:w="1457" w:type="dxa"/>
            <w:gridSpan w:val="2"/>
            <w:tcBorders>
              <w:top w:val="single" w:color="auto" w:sz="4" w:space="0"/>
              <w:left w:val="single" w:color="auto" w:sz="4" w:space="0"/>
              <w:bottom w:val="single" w:color="auto" w:sz="4" w:space="0"/>
              <w:right w:val="single" w:color="auto" w:sz="4" w:space="0"/>
            </w:tcBorders>
            <w:vAlign w:val="center"/>
          </w:tcPr>
          <w:p w14:paraId="3AE9F606">
            <w:pPr>
              <w:widowControl/>
              <w:jc w:val="center"/>
              <w:rPr>
                <w:kern w:val="0"/>
                <w:sz w:val="22"/>
                <w:szCs w:val="22"/>
                <w:highlight w:val="none"/>
              </w:rPr>
            </w:pPr>
          </w:p>
        </w:tc>
      </w:tr>
      <w:tr w14:paraId="6E2BF66B">
        <w:tblPrEx>
          <w:tblCellMar>
            <w:top w:w="0" w:type="dxa"/>
            <w:left w:w="108" w:type="dxa"/>
            <w:bottom w:w="0" w:type="dxa"/>
            <w:right w:w="108" w:type="dxa"/>
          </w:tblCellMar>
        </w:tblPrEx>
        <w:trPr>
          <w:trHeight w:val="397" w:hRule="atLeast"/>
          <w:jc w:val="center"/>
        </w:trPr>
        <w:tc>
          <w:tcPr>
            <w:tcW w:w="672" w:type="dxa"/>
            <w:tcBorders>
              <w:top w:val="single" w:color="auto" w:sz="4" w:space="0"/>
              <w:left w:val="single" w:color="auto" w:sz="4" w:space="0"/>
              <w:bottom w:val="single" w:color="auto" w:sz="4" w:space="0"/>
              <w:right w:val="single" w:color="auto" w:sz="4" w:space="0"/>
            </w:tcBorders>
            <w:vAlign w:val="center"/>
          </w:tcPr>
          <w:p w14:paraId="4FE08686">
            <w:pPr>
              <w:widowControl/>
              <w:jc w:val="both"/>
              <w:rPr>
                <w:kern w:val="0"/>
                <w:sz w:val="22"/>
                <w:szCs w:val="22"/>
                <w:highlight w:val="none"/>
              </w:rPr>
            </w:pPr>
          </w:p>
        </w:tc>
        <w:tc>
          <w:tcPr>
            <w:tcW w:w="1609" w:type="dxa"/>
            <w:tcBorders>
              <w:top w:val="single" w:color="auto" w:sz="4" w:space="0"/>
              <w:left w:val="single" w:color="auto" w:sz="4" w:space="0"/>
              <w:bottom w:val="single" w:color="auto" w:sz="4" w:space="0"/>
              <w:right w:val="single" w:color="auto" w:sz="4" w:space="0"/>
            </w:tcBorders>
            <w:vAlign w:val="center"/>
          </w:tcPr>
          <w:p w14:paraId="57007ECF">
            <w:pPr>
              <w:widowControl/>
              <w:jc w:val="center"/>
              <w:rPr>
                <w:kern w:val="0"/>
                <w:sz w:val="22"/>
                <w:szCs w:val="22"/>
                <w:highlight w:val="none"/>
              </w:rPr>
            </w:pPr>
          </w:p>
        </w:tc>
        <w:tc>
          <w:tcPr>
            <w:tcW w:w="1651" w:type="dxa"/>
            <w:tcBorders>
              <w:top w:val="single" w:color="auto" w:sz="4" w:space="0"/>
              <w:left w:val="single" w:color="auto" w:sz="4" w:space="0"/>
              <w:bottom w:val="single" w:color="auto" w:sz="4" w:space="0"/>
              <w:right w:val="single" w:color="auto" w:sz="4" w:space="0"/>
            </w:tcBorders>
            <w:vAlign w:val="center"/>
          </w:tcPr>
          <w:p w14:paraId="0429A0ED">
            <w:pPr>
              <w:widowControl/>
              <w:jc w:val="center"/>
              <w:rPr>
                <w:kern w:val="0"/>
                <w:sz w:val="22"/>
                <w:szCs w:val="22"/>
                <w:highlight w:val="none"/>
              </w:rPr>
            </w:pPr>
          </w:p>
        </w:tc>
        <w:tc>
          <w:tcPr>
            <w:tcW w:w="1759" w:type="dxa"/>
            <w:tcBorders>
              <w:top w:val="single" w:color="auto" w:sz="4" w:space="0"/>
              <w:left w:val="single" w:color="auto" w:sz="4" w:space="0"/>
              <w:bottom w:val="single" w:color="auto" w:sz="4" w:space="0"/>
              <w:right w:val="single" w:color="auto" w:sz="4" w:space="0"/>
            </w:tcBorders>
            <w:vAlign w:val="center"/>
          </w:tcPr>
          <w:p w14:paraId="15F4288E">
            <w:pPr>
              <w:widowControl/>
              <w:jc w:val="center"/>
              <w:rPr>
                <w:kern w:val="0"/>
                <w:sz w:val="22"/>
                <w:szCs w:val="22"/>
                <w:highlight w:val="none"/>
              </w:rPr>
            </w:pPr>
          </w:p>
        </w:tc>
        <w:tc>
          <w:tcPr>
            <w:tcW w:w="1800" w:type="dxa"/>
            <w:gridSpan w:val="2"/>
            <w:tcBorders>
              <w:top w:val="single" w:color="auto" w:sz="4" w:space="0"/>
              <w:left w:val="single" w:color="auto" w:sz="4" w:space="0"/>
              <w:bottom w:val="single" w:color="auto" w:sz="4" w:space="0"/>
              <w:right w:val="single" w:color="auto" w:sz="4" w:space="0"/>
            </w:tcBorders>
            <w:vAlign w:val="center"/>
          </w:tcPr>
          <w:p w14:paraId="6FEC2856">
            <w:pPr>
              <w:widowControl/>
              <w:jc w:val="center"/>
              <w:rPr>
                <w:kern w:val="0"/>
                <w:sz w:val="22"/>
                <w:szCs w:val="22"/>
                <w:highlight w:val="none"/>
              </w:rPr>
            </w:pPr>
          </w:p>
        </w:tc>
        <w:tc>
          <w:tcPr>
            <w:tcW w:w="1457" w:type="dxa"/>
            <w:gridSpan w:val="2"/>
            <w:tcBorders>
              <w:top w:val="single" w:color="auto" w:sz="4" w:space="0"/>
              <w:left w:val="single" w:color="auto" w:sz="4" w:space="0"/>
              <w:bottom w:val="single" w:color="auto" w:sz="4" w:space="0"/>
              <w:right w:val="single" w:color="auto" w:sz="4" w:space="0"/>
            </w:tcBorders>
            <w:vAlign w:val="center"/>
          </w:tcPr>
          <w:p w14:paraId="340189EE">
            <w:pPr>
              <w:widowControl/>
              <w:jc w:val="center"/>
              <w:rPr>
                <w:kern w:val="0"/>
                <w:sz w:val="22"/>
                <w:szCs w:val="22"/>
                <w:highlight w:val="none"/>
              </w:rPr>
            </w:pPr>
          </w:p>
        </w:tc>
      </w:tr>
      <w:tr w14:paraId="77477701">
        <w:tblPrEx>
          <w:tblCellMar>
            <w:top w:w="0" w:type="dxa"/>
            <w:left w:w="108" w:type="dxa"/>
            <w:bottom w:w="0" w:type="dxa"/>
            <w:right w:w="108" w:type="dxa"/>
          </w:tblCellMar>
        </w:tblPrEx>
        <w:trPr>
          <w:trHeight w:val="397" w:hRule="atLeast"/>
          <w:jc w:val="center"/>
        </w:trPr>
        <w:tc>
          <w:tcPr>
            <w:tcW w:w="672" w:type="dxa"/>
            <w:tcBorders>
              <w:top w:val="single" w:color="auto" w:sz="4" w:space="0"/>
              <w:left w:val="single" w:color="auto" w:sz="4" w:space="0"/>
              <w:bottom w:val="single" w:color="auto" w:sz="4" w:space="0"/>
              <w:right w:val="single" w:color="auto" w:sz="4" w:space="0"/>
            </w:tcBorders>
            <w:vAlign w:val="center"/>
          </w:tcPr>
          <w:p w14:paraId="159CDD08">
            <w:pPr>
              <w:widowControl/>
              <w:jc w:val="both"/>
              <w:rPr>
                <w:kern w:val="0"/>
                <w:sz w:val="22"/>
                <w:szCs w:val="22"/>
                <w:highlight w:val="none"/>
              </w:rPr>
            </w:pPr>
          </w:p>
        </w:tc>
        <w:tc>
          <w:tcPr>
            <w:tcW w:w="1609" w:type="dxa"/>
            <w:tcBorders>
              <w:top w:val="single" w:color="auto" w:sz="4" w:space="0"/>
              <w:left w:val="single" w:color="auto" w:sz="4" w:space="0"/>
              <w:bottom w:val="single" w:color="auto" w:sz="4" w:space="0"/>
              <w:right w:val="single" w:color="auto" w:sz="4" w:space="0"/>
            </w:tcBorders>
            <w:vAlign w:val="center"/>
          </w:tcPr>
          <w:p w14:paraId="29C04FAE">
            <w:pPr>
              <w:widowControl/>
              <w:jc w:val="center"/>
              <w:rPr>
                <w:kern w:val="0"/>
                <w:sz w:val="22"/>
                <w:szCs w:val="22"/>
                <w:highlight w:val="none"/>
              </w:rPr>
            </w:pPr>
          </w:p>
        </w:tc>
        <w:tc>
          <w:tcPr>
            <w:tcW w:w="1651" w:type="dxa"/>
            <w:tcBorders>
              <w:top w:val="single" w:color="auto" w:sz="4" w:space="0"/>
              <w:left w:val="single" w:color="auto" w:sz="4" w:space="0"/>
              <w:bottom w:val="single" w:color="auto" w:sz="4" w:space="0"/>
              <w:right w:val="single" w:color="auto" w:sz="4" w:space="0"/>
            </w:tcBorders>
            <w:vAlign w:val="center"/>
          </w:tcPr>
          <w:p w14:paraId="4849DADC">
            <w:pPr>
              <w:widowControl/>
              <w:jc w:val="center"/>
              <w:rPr>
                <w:kern w:val="0"/>
                <w:sz w:val="22"/>
                <w:szCs w:val="22"/>
                <w:highlight w:val="none"/>
              </w:rPr>
            </w:pPr>
          </w:p>
        </w:tc>
        <w:tc>
          <w:tcPr>
            <w:tcW w:w="1759" w:type="dxa"/>
            <w:tcBorders>
              <w:top w:val="single" w:color="auto" w:sz="4" w:space="0"/>
              <w:left w:val="single" w:color="auto" w:sz="4" w:space="0"/>
              <w:bottom w:val="single" w:color="auto" w:sz="4" w:space="0"/>
              <w:right w:val="single" w:color="auto" w:sz="4" w:space="0"/>
            </w:tcBorders>
            <w:vAlign w:val="center"/>
          </w:tcPr>
          <w:p w14:paraId="6343DA99">
            <w:pPr>
              <w:widowControl/>
              <w:jc w:val="center"/>
              <w:rPr>
                <w:kern w:val="0"/>
                <w:sz w:val="22"/>
                <w:szCs w:val="22"/>
                <w:highlight w:val="none"/>
              </w:rPr>
            </w:pPr>
          </w:p>
        </w:tc>
        <w:tc>
          <w:tcPr>
            <w:tcW w:w="1800" w:type="dxa"/>
            <w:gridSpan w:val="2"/>
            <w:tcBorders>
              <w:top w:val="single" w:color="auto" w:sz="4" w:space="0"/>
              <w:left w:val="single" w:color="auto" w:sz="4" w:space="0"/>
              <w:bottom w:val="single" w:color="auto" w:sz="4" w:space="0"/>
              <w:right w:val="single" w:color="auto" w:sz="4" w:space="0"/>
            </w:tcBorders>
            <w:vAlign w:val="center"/>
          </w:tcPr>
          <w:p w14:paraId="22BE9922">
            <w:pPr>
              <w:widowControl/>
              <w:jc w:val="center"/>
              <w:rPr>
                <w:kern w:val="0"/>
                <w:sz w:val="22"/>
                <w:szCs w:val="22"/>
                <w:highlight w:val="none"/>
              </w:rPr>
            </w:pPr>
          </w:p>
        </w:tc>
        <w:tc>
          <w:tcPr>
            <w:tcW w:w="1457" w:type="dxa"/>
            <w:gridSpan w:val="2"/>
            <w:tcBorders>
              <w:top w:val="single" w:color="auto" w:sz="4" w:space="0"/>
              <w:left w:val="single" w:color="auto" w:sz="4" w:space="0"/>
              <w:bottom w:val="single" w:color="auto" w:sz="4" w:space="0"/>
              <w:right w:val="single" w:color="auto" w:sz="4" w:space="0"/>
            </w:tcBorders>
            <w:vAlign w:val="center"/>
          </w:tcPr>
          <w:p w14:paraId="17705A51">
            <w:pPr>
              <w:widowControl/>
              <w:jc w:val="center"/>
              <w:rPr>
                <w:kern w:val="0"/>
                <w:sz w:val="22"/>
                <w:szCs w:val="22"/>
                <w:highlight w:val="none"/>
              </w:rPr>
            </w:pPr>
          </w:p>
        </w:tc>
      </w:tr>
      <w:tr w14:paraId="3C0EDA6E">
        <w:tblPrEx>
          <w:tblCellMar>
            <w:top w:w="0" w:type="dxa"/>
            <w:left w:w="108" w:type="dxa"/>
            <w:bottom w:w="0" w:type="dxa"/>
            <w:right w:w="108" w:type="dxa"/>
          </w:tblCellMar>
        </w:tblPrEx>
        <w:trPr>
          <w:trHeight w:val="397" w:hRule="atLeast"/>
          <w:jc w:val="center"/>
        </w:trPr>
        <w:tc>
          <w:tcPr>
            <w:tcW w:w="672" w:type="dxa"/>
            <w:tcBorders>
              <w:top w:val="single" w:color="auto" w:sz="4" w:space="0"/>
              <w:left w:val="single" w:color="auto" w:sz="4" w:space="0"/>
              <w:bottom w:val="single" w:color="auto" w:sz="4" w:space="0"/>
              <w:right w:val="single" w:color="auto" w:sz="4" w:space="0"/>
            </w:tcBorders>
            <w:vAlign w:val="center"/>
          </w:tcPr>
          <w:p w14:paraId="4E750ADD">
            <w:pPr>
              <w:widowControl/>
              <w:jc w:val="both"/>
              <w:rPr>
                <w:kern w:val="0"/>
                <w:sz w:val="22"/>
                <w:szCs w:val="22"/>
                <w:highlight w:val="none"/>
              </w:rPr>
            </w:pPr>
          </w:p>
        </w:tc>
        <w:tc>
          <w:tcPr>
            <w:tcW w:w="1609" w:type="dxa"/>
            <w:tcBorders>
              <w:top w:val="single" w:color="auto" w:sz="4" w:space="0"/>
              <w:left w:val="single" w:color="auto" w:sz="4" w:space="0"/>
              <w:bottom w:val="single" w:color="auto" w:sz="4" w:space="0"/>
              <w:right w:val="single" w:color="auto" w:sz="4" w:space="0"/>
            </w:tcBorders>
            <w:vAlign w:val="center"/>
          </w:tcPr>
          <w:p w14:paraId="6443408C">
            <w:pPr>
              <w:widowControl/>
              <w:jc w:val="center"/>
              <w:rPr>
                <w:kern w:val="0"/>
                <w:sz w:val="22"/>
                <w:szCs w:val="22"/>
                <w:highlight w:val="none"/>
              </w:rPr>
            </w:pPr>
          </w:p>
        </w:tc>
        <w:tc>
          <w:tcPr>
            <w:tcW w:w="1651" w:type="dxa"/>
            <w:tcBorders>
              <w:top w:val="single" w:color="auto" w:sz="4" w:space="0"/>
              <w:left w:val="single" w:color="auto" w:sz="4" w:space="0"/>
              <w:bottom w:val="single" w:color="auto" w:sz="4" w:space="0"/>
              <w:right w:val="single" w:color="auto" w:sz="4" w:space="0"/>
            </w:tcBorders>
            <w:vAlign w:val="center"/>
          </w:tcPr>
          <w:p w14:paraId="0209AA72">
            <w:pPr>
              <w:widowControl/>
              <w:jc w:val="center"/>
              <w:rPr>
                <w:kern w:val="0"/>
                <w:sz w:val="22"/>
                <w:szCs w:val="22"/>
                <w:highlight w:val="none"/>
              </w:rPr>
            </w:pPr>
          </w:p>
        </w:tc>
        <w:tc>
          <w:tcPr>
            <w:tcW w:w="1759" w:type="dxa"/>
            <w:tcBorders>
              <w:top w:val="single" w:color="auto" w:sz="4" w:space="0"/>
              <w:left w:val="single" w:color="auto" w:sz="4" w:space="0"/>
              <w:bottom w:val="single" w:color="auto" w:sz="4" w:space="0"/>
              <w:right w:val="single" w:color="auto" w:sz="4" w:space="0"/>
            </w:tcBorders>
            <w:vAlign w:val="center"/>
          </w:tcPr>
          <w:p w14:paraId="4C44DF6C">
            <w:pPr>
              <w:widowControl/>
              <w:jc w:val="center"/>
              <w:rPr>
                <w:kern w:val="0"/>
                <w:sz w:val="22"/>
                <w:szCs w:val="22"/>
                <w:highlight w:val="none"/>
              </w:rPr>
            </w:pPr>
          </w:p>
        </w:tc>
        <w:tc>
          <w:tcPr>
            <w:tcW w:w="1800" w:type="dxa"/>
            <w:gridSpan w:val="2"/>
            <w:tcBorders>
              <w:top w:val="single" w:color="auto" w:sz="4" w:space="0"/>
              <w:left w:val="single" w:color="auto" w:sz="4" w:space="0"/>
              <w:bottom w:val="single" w:color="auto" w:sz="4" w:space="0"/>
              <w:right w:val="single" w:color="auto" w:sz="4" w:space="0"/>
            </w:tcBorders>
            <w:vAlign w:val="center"/>
          </w:tcPr>
          <w:p w14:paraId="54031430">
            <w:pPr>
              <w:widowControl/>
              <w:jc w:val="center"/>
              <w:rPr>
                <w:kern w:val="0"/>
                <w:sz w:val="22"/>
                <w:szCs w:val="22"/>
                <w:highlight w:val="none"/>
              </w:rPr>
            </w:pPr>
          </w:p>
        </w:tc>
        <w:tc>
          <w:tcPr>
            <w:tcW w:w="1457" w:type="dxa"/>
            <w:gridSpan w:val="2"/>
            <w:tcBorders>
              <w:top w:val="single" w:color="auto" w:sz="4" w:space="0"/>
              <w:left w:val="single" w:color="auto" w:sz="4" w:space="0"/>
              <w:bottom w:val="single" w:color="auto" w:sz="4" w:space="0"/>
              <w:right w:val="single" w:color="auto" w:sz="4" w:space="0"/>
            </w:tcBorders>
            <w:vAlign w:val="center"/>
          </w:tcPr>
          <w:p w14:paraId="335FDB63">
            <w:pPr>
              <w:widowControl/>
              <w:jc w:val="center"/>
              <w:rPr>
                <w:kern w:val="0"/>
                <w:sz w:val="22"/>
                <w:szCs w:val="22"/>
                <w:highlight w:val="none"/>
              </w:rPr>
            </w:pPr>
          </w:p>
        </w:tc>
      </w:tr>
      <w:tr w14:paraId="56696975">
        <w:tblPrEx>
          <w:tblCellMar>
            <w:top w:w="0" w:type="dxa"/>
            <w:left w:w="108" w:type="dxa"/>
            <w:bottom w:w="0" w:type="dxa"/>
            <w:right w:w="108" w:type="dxa"/>
          </w:tblCellMar>
        </w:tblPrEx>
        <w:trPr>
          <w:trHeight w:val="397" w:hRule="atLeast"/>
          <w:jc w:val="center"/>
        </w:trPr>
        <w:tc>
          <w:tcPr>
            <w:tcW w:w="672" w:type="dxa"/>
            <w:tcBorders>
              <w:top w:val="single" w:color="auto" w:sz="4" w:space="0"/>
              <w:left w:val="single" w:color="auto" w:sz="4" w:space="0"/>
              <w:bottom w:val="single" w:color="auto" w:sz="4" w:space="0"/>
              <w:right w:val="single" w:color="auto" w:sz="4" w:space="0"/>
            </w:tcBorders>
            <w:vAlign w:val="center"/>
          </w:tcPr>
          <w:p w14:paraId="3EF5FBFB">
            <w:pPr>
              <w:widowControl/>
              <w:jc w:val="both"/>
              <w:rPr>
                <w:kern w:val="0"/>
                <w:sz w:val="22"/>
                <w:szCs w:val="22"/>
                <w:highlight w:val="none"/>
              </w:rPr>
            </w:pPr>
          </w:p>
        </w:tc>
        <w:tc>
          <w:tcPr>
            <w:tcW w:w="1609" w:type="dxa"/>
            <w:tcBorders>
              <w:top w:val="single" w:color="auto" w:sz="4" w:space="0"/>
              <w:left w:val="single" w:color="auto" w:sz="4" w:space="0"/>
              <w:bottom w:val="single" w:color="auto" w:sz="4" w:space="0"/>
              <w:right w:val="single" w:color="auto" w:sz="4" w:space="0"/>
            </w:tcBorders>
            <w:vAlign w:val="center"/>
          </w:tcPr>
          <w:p w14:paraId="7D56DB8F">
            <w:pPr>
              <w:widowControl/>
              <w:jc w:val="center"/>
              <w:rPr>
                <w:kern w:val="0"/>
                <w:sz w:val="22"/>
                <w:szCs w:val="22"/>
                <w:highlight w:val="none"/>
              </w:rPr>
            </w:pPr>
          </w:p>
        </w:tc>
        <w:tc>
          <w:tcPr>
            <w:tcW w:w="1651" w:type="dxa"/>
            <w:tcBorders>
              <w:top w:val="single" w:color="auto" w:sz="4" w:space="0"/>
              <w:left w:val="single" w:color="auto" w:sz="4" w:space="0"/>
              <w:bottom w:val="single" w:color="auto" w:sz="4" w:space="0"/>
              <w:right w:val="single" w:color="auto" w:sz="4" w:space="0"/>
            </w:tcBorders>
            <w:vAlign w:val="center"/>
          </w:tcPr>
          <w:p w14:paraId="7EDBEC5A">
            <w:pPr>
              <w:widowControl/>
              <w:jc w:val="center"/>
              <w:rPr>
                <w:kern w:val="0"/>
                <w:sz w:val="22"/>
                <w:szCs w:val="22"/>
                <w:highlight w:val="none"/>
              </w:rPr>
            </w:pPr>
          </w:p>
        </w:tc>
        <w:tc>
          <w:tcPr>
            <w:tcW w:w="1759" w:type="dxa"/>
            <w:tcBorders>
              <w:top w:val="single" w:color="auto" w:sz="4" w:space="0"/>
              <w:left w:val="single" w:color="auto" w:sz="4" w:space="0"/>
              <w:bottom w:val="single" w:color="auto" w:sz="4" w:space="0"/>
              <w:right w:val="single" w:color="auto" w:sz="4" w:space="0"/>
            </w:tcBorders>
            <w:vAlign w:val="center"/>
          </w:tcPr>
          <w:p w14:paraId="42D65360">
            <w:pPr>
              <w:widowControl/>
              <w:jc w:val="center"/>
              <w:rPr>
                <w:kern w:val="0"/>
                <w:sz w:val="22"/>
                <w:szCs w:val="22"/>
                <w:highlight w:val="none"/>
              </w:rPr>
            </w:pPr>
          </w:p>
        </w:tc>
        <w:tc>
          <w:tcPr>
            <w:tcW w:w="1800" w:type="dxa"/>
            <w:gridSpan w:val="2"/>
            <w:tcBorders>
              <w:top w:val="single" w:color="auto" w:sz="4" w:space="0"/>
              <w:left w:val="single" w:color="auto" w:sz="4" w:space="0"/>
              <w:bottom w:val="single" w:color="auto" w:sz="4" w:space="0"/>
              <w:right w:val="single" w:color="auto" w:sz="4" w:space="0"/>
            </w:tcBorders>
            <w:vAlign w:val="center"/>
          </w:tcPr>
          <w:p w14:paraId="400ACBC9">
            <w:pPr>
              <w:widowControl/>
              <w:jc w:val="center"/>
              <w:rPr>
                <w:kern w:val="0"/>
                <w:sz w:val="22"/>
                <w:szCs w:val="22"/>
                <w:highlight w:val="none"/>
              </w:rPr>
            </w:pPr>
          </w:p>
        </w:tc>
        <w:tc>
          <w:tcPr>
            <w:tcW w:w="1457" w:type="dxa"/>
            <w:gridSpan w:val="2"/>
            <w:tcBorders>
              <w:top w:val="single" w:color="auto" w:sz="4" w:space="0"/>
              <w:left w:val="single" w:color="auto" w:sz="4" w:space="0"/>
              <w:bottom w:val="single" w:color="auto" w:sz="4" w:space="0"/>
              <w:right w:val="single" w:color="auto" w:sz="4" w:space="0"/>
            </w:tcBorders>
            <w:vAlign w:val="center"/>
          </w:tcPr>
          <w:p w14:paraId="3D0A94E3">
            <w:pPr>
              <w:widowControl/>
              <w:jc w:val="center"/>
              <w:rPr>
                <w:kern w:val="0"/>
                <w:sz w:val="22"/>
                <w:szCs w:val="22"/>
                <w:highlight w:val="none"/>
              </w:rPr>
            </w:pPr>
          </w:p>
        </w:tc>
      </w:tr>
      <w:tr w14:paraId="2C88AB50">
        <w:tblPrEx>
          <w:tblCellMar>
            <w:top w:w="0" w:type="dxa"/>
            <w:left w:w="108" w:type="dxa"/>
            <w:bottom w:w="0" w:type="dxa"/>
            <w:right w:w="108" w:type="dxa"/>
          </w:tblCellMar>
        </w:tblPrEx>
        <w:trPr>
          <w:trHeight w:val="397" w:hRule="atLeast"/>
          <w:jc w:val="center"/>
        </w:trPr>
        <w:tc>
          <w:tcPr>
            <w:tcW w:w="672" w:type="dxa"/>
            <w:tcBorders>
              <w:top w:val="single" w:color="auto" w:sz="4" w:space="0"/>
              <w:left w:val="single" w:color="auto" w:sz="4" w:space="0"/>
              <w:bottom w:val="single" w:color="auto" w:sz="4" w:space="0"/>
              <w:right w:val="single" w:color="auto" w:sz="4" w:space="0"/>
            </w:tcBorders>
            <w:vAlign w:val="center"/>
          </w:tcPr>
          <w:p w14:paraId="3F6E6F01">
            <w:pPr>
              <w:widowControl/>
              <w:jc w:val="both"/>
              <w:rPr>
                <w:kern w:val="0"/>
                <w:sz w:val="22"/>
                <w:szCs w:val="22"/>
                <w:highlight w:val="none"/>
              </w:rPr>
            </w:pPr>
          </w:p>
        </w:tc>
        <w:tc>
          <w:tcPr>
            <w:tcW w:w="1609" w:type="dxa"/>
            <w:tcBorders>
              <w:top w:val="single" w:color="auto" w:sz="4" w:space="0"/>
              <w:left w:val="single" w:color="auto" w:sz="4" w:space="0"/>
              <w:bottom w:val="single" w:color="auto" w:sz="4" w:space="0"/>
              <w:right w:val="single" w:color="auto" w:sz="4" w:space="0"/>
            </w:tcBorders>
            <w:vAlign w:val="center"/>
          </w:tcPr>
          <w:p w14:paraId="7AE4949A">
            <w:pPr>
              <w:widowControl/>
              <w:jc w:val="center"/>
              <w:rPr>
                <w:kern w:val="0"/>
                <w:sz w:val="22"/>
                <w:szCs w:val="22"/>
                <w:highlight w:val="none"/>
              </w:rPr>
            </w:pPr>
          </w:p>
        </w:tc>
        <w:tc>
          <w:tcPr>
            <w:tcW w:w="1651" w:type="dxa"/>
            <w:tcBorders>
              <w:top w:val="single" w:color="auto" w:sz="4" w:space="0"/>
              <w:left w:val="single" w:color="auto" w:sz="4" w:space="0"/>
              <w:bottom w:val="single" w:color="auto" w:sz="4" w:space="0"/>
              <w:right w:val="single" w:color="auto" w:sz="4" w:space="0"/>
            </w:tcBorders>
            <w:vAlign w:val="center"/>
          </w:tcPr>
          <w:p w14:paraId="64951C7A">
            <w:pPr>
              <w:widowControl/>
              <w:jc w:val="center"/>
              <w:rPr>
                <w:kern w:val="0"/>
                <w:sz w:val="22"/>
                <w:szCs w:val="22"/>
                <w:highlight w:val="none"/>
              </w:rPr>
            </w:pPr>
          </w:p>
        </w:tc>
        <w:tc>
          <w:tcPr>
            <w:tcW w:w="1759" w:type="dxa"/>
            <w:tcBorders>
              <w:top w:val="single" w:color="auto" w:sz="4" w:space="0"/>
              <w:left w:val="single" w:color="auto" w:sz="4" w:space="0"/>
              <w:bottom w:val="single" w:color="auto" w:sz="4" w:space="0"/>
              <w:right w:val="single" w:color="auto" w:sz="4" w:space="0"/>
            </w:tcBorders>
            <w:vAlign w:val="center"/>
          </w:tcPr>
          <w:p w14:paraId="73F2AAFA">
            <w:pPr>
              <w:widowControl/>
              <w:jc w:val="center"/>
              <w:rPr>
                <w:kern w:val="0"/>
                <w:sz w:val="22"/>
                <w:szCs w:val="22"/>
                <w:highlight w:val="none"/>
              </w:rPr>
            </w:pPr>
          </w:p>
        </w:tc>
        <w:tc>
          <w:tcPr>
            <w:tcW w:w="1800" w:type="dxa"/>
            <w:gridSpan w:val="2"/>
            <w:tcBorders>
              <w:top w:val="single" w:color="auto" w:sz="4" w:space="0"/>
              <w:left w:val="single" w:color="auto" w:sz="4" w:space="0"/>
              <w:bottom w:val="single" w:color="auto" w:sz="4" w:space="0"/>
              <w:right w:val="single" w:color="auto" w:sz="4" w:space="0"/>
            </w:tcBorders>
            <w:vAlign w:val="center"/>
          </w:tcPr>
          <w:p w14:paraId="4727D416">
            <w:pPr>
              <w:widowControl/>
              <w:jc w:val="center"/>
              <w:rPr>
                <w:kern w:val="0"/>
                <w:sz w:val="22"/>
                <w:szCs w:val="22"/>
                <w:highlight w:val="none"/>
              </w:rPr>
            </w:pPr>
          </w:p>
        </w:tc>
        <w:tc>
          <w:tcPr>
            <w:tcW w:w="1457" w:type="dxa"/>
            <w:gridSpan w:val="2"/>
            <w:tcBorders>
              <w:top w:val="single" w:color="auto" w:sz="4" w:space="0"/>
              <w:left w:val="single" w:color="auto" w:sz="4" w:space="0"/>
              <w:bottom w:val="single" w:color="auto" w:sz="4" w:space="0"/>
              <w:right w:val="single" w:color="auto" w:sz="4" w:space="0"/>
            </w:tcBorders>
            <w:vAlign w:val="center"/>
          </w:tcPr>
          <w:p w14:paraId="297D6FE4">
            <w:pPr>
              <w:widowControl/>
              <w:jc w:val="center"/>
              <w:rPr>
                <w:kern w:val="0"/>
                <w:sz w:val="22"/>
                <w:szCs w:val="22"/>
                <w:highlight w:val="none"/>
              </w:rPr>
            </w:pPr>
          </w:p>
        </w:tc>
      </w:tr>
      <w:tr w14:paraId="6E499BE4">
        <w:tblPrEx>
          <w:tblCellMar>
            <w:top w:w="0" w:type="dxa"/>
            <w:left w:w="108" w:type="dxa"/>
            <w:bottom w:w="0" w:type="dxa"/>
            <w:right w:w="108" w:type="dxa"/>
          </w:tblCellMar>
        </w:tblPrEx>
        <w:trPr>
          <w:trHeight w:val="397" w:hRule="atLeast"/>
          <w:jc w:val="center"/>
        </w:trPr>
        <w:tc>
          <w:tcPr>
            <w:tcW w:w="672" w:type="dxa"/>
            <w:tcBorders>
              <w:top w:val="single" w:color="auto" w:sz="4" w:space="0"/>
              <w:left w:val="single" w:color="auto" w:sz="4" w:space="0"/>
              <w:bottom w:val="single" w:color="auto" w:sz="4" w:space="0"/>
              <w:right w:val="single" w:color="auto" w:sz="4" w:space="0"/>
            </w:tcBorders>
            <w:vAlign w:val="center"/>
          </w:tcPr>
          <w:p w14:paraId="6EA4ED28">
            <w:pPr>
              <w:widowControl/>
              <w:jc w:val="both"/>
              <w:rPr>
                <w:kern w:val="0"/>
                <w:sz w:val="22"/>
                <w:szCs w:val="22"/>
                <w:highlight w:val="none"/>
              </w:rPr>
            </w:pPr>
          </w:p>
        </w:tc>
        <w:tc>
          <w:tcPr>
            <w:tcW w:w="1609" w:type="dxa"/>
            <w:tcBorders>
              <w:top w:val="single" w:color="auto" w:sz="4" w:space="0"/>
              <w:left w:val="single" w:color="auto" w:sz="4" w:space="0"/>
              <w:bottom w:val="single" w:color="auto" w:sz="4" w:space="0"/>
              <w:right w:val="single" w:color="auto" w:sz="4" w:space="0"/>
            </w:tcBorders>
            <w:vAlign w:val="center"/>
          </w:tcPr>
          <w:p w14:paraId="38F04C54">
            <w:pPr>
              <w:widowControl/>
              <w:jc w:val="center"/>
              <w:rPr>
                <w:kern w:val="0"/>
                <w:sz w:val="22"/>
                <w:szCs w:val="22"/>
                <w:highlight w:val="none"/>
              </w:rPr>
            </w:pPr>
          </w:p>
        </w:tc>
        <w:tc>
          <w:tcPr>
            <w:tcW w:w="1651" w:type="dxa"/>
            <w:tcBorders>
              <w:top w:val="single" w:color="auto" w:sz="4" w:space="0"/>
              <w:left w:val="single" w:color="auto" w:sz="4" w:space="0"/>
              <w:bottom w:val="single" w:color="auto" w:sz="4" w:space="0"/>
              <w:right w:val="single" w:color="auto" w:sz="4" w:space="0"/>
            </w:tcBorders>
            <w:vAlign w:val="center"/>
          </w:tcPr>
          <w:p w14:paraId="45A676D8">
            <w:pPr>
              <w:widowControl/>
              <w:jc w:val="center"/>
              <w:rPr>
                <w:kern w:val="0"/>
                <w:sz w:val="22"/>
                <w:szCs w:val="22"/>
                <w:highlight w:val="none"/>
              </w:rPr>
            </w:pPr>
          </w:p>
        </w:tc>
        <w:tc>
          <w:tcPr>
            <w:tcW w:w="1759" w:type="dxa"/>
            <w:tcBorders>
              <w:top w:val="single" w:color="auto" w:sz="4" w:space="0"/>
              <w:left w:val="single" w:color="auto" w:sz="4" w:space="0"/>
              <w:bottom w:val="single" w:color="auto" w:sz="4" w:space="0"/>
              <w:right w:val="single" w:color="auto" w:sz="4" w:space="0"/>
            </w:tcBorders>
            <w:vAlign w:val="center"/>
          </w:tcPr>
          <w:p w14:paraId="2E9072AB">
            <w:pPr>
              <w:widowControl/>
              <w:jc w:val="center"/>
              <w:rPr>
                <w:kern w:val="0"/>
                <w:sz w:val="22"/>
                <w:szCs w:val="22"/>
                <w:highlight w:val="none"/>
              </w:rPr>
            </w:pPr>
          </w:p>
        </w:tc>
        <w:tc>
          <w:tcPr>
            <w:tcW w:w="1800" w:type="dxa"/>
            <w:gridSpan w:val="2"/>
            <w:tcBorders>
              <w:top w:val="single" w:color="auto" w:sz="4" w:space="0"/>
              <w:left w:val="single" w:color="auto" w:sz="4" w:space="0"/>
              <w:bottom w:val="single" w:color="auto" w:sz="4" w:space="0"/>
              <w:right w:val="single" w:color="auto" w:sz="4" w:space="0"/>
            </w:tcBorders>
            <w:vAlign w:val="center"/>
          </w:tcPr>
          <w:p w14:paraId="32351937">
            <w:pPr>
              <w:widowControl/>
              <w:jc w:val="center"/>
              <w:rPr>
                <w:kern w:val="0"/>
                <w:sz w:val="22"/>
                <w:szCs w:val="22"/>
                <w:highlight w:val="none"/>
              </w:rPr>
            </w:pPr>
          </w:p>
        </w:tc>
        <w:tc>
          <w:tcPr>
            <w:tcW w:w="1457" w:type="dxa"/>
            <w:gridSpan w:val="2"/>
            <w:tcBorders>
              <w:top w:val="single" w:color="auto" w:sz="4" w:space="0"/>
              <w:left w:val="single" w:color="auto" w:sz="4" w:space="0"/>
              <w:bottom w:val="single" w:color="auto" w:sz="4" w:space="0"/>
              <w:right w:val="single" w:color="auto" w:sz="4" w:space="0"/>
            </w:tcBorders>
            <w:vAlign w:val="center"/>
          </w:tcPr>
          <w:p w14:paraId="39824CCC">
            <w:pPr>
              <w:widowControl/>
              <w:jc w:val="center"/>
              <w:rPr>
                <w:kern w:val="0"/>
                <w:sz w:val="22"/>
                <w:szCs w:val="22"/>
                <w:highlight w:val="none"/>
              </w:rPr>
            </w:pPr>
          </w:p>
        </w:tc>
      </w:tr>
      <w:tr w14:paraId="00EEDFF3">
        <w:tblPrEx>
          <w:tblCellMar>
            <w:top w:w="0" w:type="dxa"/>
            <w:left w:w="108" w:type="dxa"/>
            <w:bottom w:w="0" w:type="dxa"/>
            <w:right w:w="108" w:type="dxa"/>
          </w:tblCellMar>
        </w:tblPrEx>
        <w:trPr>
          <w:trHeight w:val="397" w:hRule="atLeast"/>
          <w:jc w:val="center"/>
        </w:trPr>
        <w:tc>
          <w:tcPr>
            <w:tcW w:w="672" w:type="dxa"/>
            <w:tcBorders>
              <w:top w:val="single" w:color="auto" w:sz="4" w:space="0"/>
              <w:left w:val="single" w:color="auto" w:sz="4" w:space="0"/>
              <w:bottom w:val="single" w:color="auto" w:sz="4" w:space="0"/>
              <w:right w:val="single" w:color="auto" w:sz="4" w:space="0"/>
            </w:tcBorders>
            <w:vAlign w:val="center"/>
          </w:tcPr>
          <w:p w14:paraId="57BAB22F">
            <w:pPr>
              <w:widowControl/>
              <w:jc w:val="center"/>
              <w:rPr>
                <w:kern w:val="0"/>
                <w:sz w:val="22"/>
                <w:szCs w:val="22"/>
                <w:highlight w:val="none"/>
              </w:rPr>
            </w:pPr>
          </w:p>
        </w:tc>
        <w:tc>
          <w:tcPr>
            <w:tcW w:w="1609" w:type="dxa"/>
            <w:tcBorders>
              <w:top w:val="single" w:color="auto" w:sz="4" w:space="0"/>
              <w:left w:val="single" w:color="auto" w:sz="4" w:space="0"/>
              <w:bottom w:val="single" w:color="auto" w:sz="4" w:space="0"/>
              <w:right w:val="single" w:color="auto" w:sz="4" w:space="0"/>
            </w:tcBorders>
            <w:vAlign w:val="center"/>
          </w:tcPr>
          <w:p w14:paraId="03EF7807">
            <w:pPr>
              <w:widowControl/>
              <w:jc w:val="center"/>
              <w:rPr>
                <w:kern w:val="0"/>
                <w:sz w:val="22"/>
                <w:szCs w:val="22"/>
                <w:highlight w:val="none"/>
              </w:rPr>
            </w:pPr>
          </w:p>
        </w:tc>
        <w:tc>
          <w:tcPr>
            <w:tcW w:w="1651" w:type="dxa"/>
            <w:tcBorders>
              <w:top w:val="single" w:color="auto" w:sz="4" w:space="0"/>
              <w:left w:val="single" w:color="auto" w:sz="4" w:space="0"/>
              <w:bottom w:val="single" w:color="auto" w:sz="4" w:space="0"/>
              <w:right w:val="single" w:color="auto" w:sz="4" w:space="0"/>
            </w:tcBorders>
            <w:vAlign w:val="center"/>
          </w:tcPr>
          <w:p w14:paraId="09FD553C">
            <w:pPr>
              <w:widowControl/>
              <w:jc w:val="center"/>
              <w:rPr>
                <w:kern w:val="0"/>
                <w:sz w:val="22"/>
                <w:szCs w:val="22"/>
                <w:highlight w:val="none"/>
              </w:rPr>
            </w:pPr>
          </w:p>
        </w:tc>
        <w:tc>
          <w:tcPr>
            <w:tcW w:w="1759" w:type="dxa"/>
            <w:tcBorders>
              <w:top w:val="single" w:color="auto" w:sz="4" w:space="0"/>
              <w:left w:val="single" w:color="auto" w:sz="4" w:space="0"/>
              <w:bottom w:val="single" w:color="auto" w:sz="4" w:space="0"/>
              <w:right w:val="single" w:color="auto" w:sz="4" w:space="0"/>
            </w:tcBorders>
            <w:vAlign w:val="center"/>
          </w:tcPr>
          <w:p w14:paraId="606DFCC8">
            <w:pPr>
              <w:widowControl/>
              <w:jc w:val="center"/>
              <w:rPr>
                <w:kern w:val="0"/>
                <w:sz w:val="22"/>
                <w:szCs w:val="22"/>
                <w:highlight w:val="none"/>
              </w:rPr>
            </w:pPr>
          </w:p>
        </w:tc>
        <w:tc>
          <w:tcPr>
            <w:tcW w:w="1800" w:type="dxa"/>
            <w:gridSpan w:val="2"/>
            <w:tcBorders>
              <w:top w:val="single" w:color="auto" w:sz="4" w:space="0"/>
              <w:left w:val="single" w:color="auto" w:sz="4" w:space="0"/>
              <w:bottom w:val="single" w:color="auto" w:sz="4" w:space="0"/>
              <w:right w:val="single" w:color="auto" w:sz="4" w:space="0"/>
            </w:tcBorders>
            <w:vAlign w:val="center"/>
          </w:tcPr>
          <w:p w14:paraId="17B2D6DF">
            <w:pPr>
              <w:widowControl/>
              <w:jc w:val="center"/>
              <w:rPr>
                <w:kern w:val="0"/>
                <w:sz w:val="22"/>
                <w:szCs w:val="22"/>
                <w:highlight w:val="none"/>
              </w:rPr>
            </w:pPr>
          </w:p>
        </w:tc>
        <w:tc>
          <w:tcPr>
            <w:tcW w:w="1457" w:type="dxa"/>
            <w:gridSpan w:val="2"/>
            <w:tcBorders>
              <w:top w:val="single" w:color="auto" w:sz="4" w:space="0"/>
              <w:left w:val="single" w:color="auto" w:sz="4" w:space="0"/>
              <w:bottom w:val="single" w:color="auto" w:sz="4" w:space="0"/>
              <w:right w:val="single" w:color="auto" w:sz="4" w:space="0"/>
            </w:tcBorders>
            <w:vAlign w:val="center"/>
          </w:tcPr>
          <w:p w14:paraId="4509C584">
            <w:pPr>
              <w:widowControl/>
              <w:jc w:val="center"/>
              <w:rPr>
                <w:kern w:val="0"/>
                <w:sz w:val="22"/>
                <w:szCs w:val="22"/>
                <w:highlight w:val="none"/>
              </w:rPr>
            </w:pPr>
          </w:p>
        </w:tc>
      </w:tr>
      <w:tr w14:paraId="5401CE44">
        <w:tblPrEx>
          <w:tblCellMar>
            <w:top w:w="0" w:type="dxa"/>
            <w:left w:w="108" w:type="dxa"/>
            <w:bottom w:w="0" w:type="dxa"/>
            <w:right w:w="108" w:type="dxa"/>
          </w:tblCellMar>
        </w:tblPrEx>
        <w:trPr>
          <w:trHeight w:val="397" w:hRule="atLeast"/>
          <w:jc w:val="center"/>
        </w:trPr>
        <w:tc>
          <w:tcPr>
            <w:tcW w:w="672" w:type="dxa"/>
            <w:tcBorders>
              <w:top w:val="single" w:color="auto" w:sz="4" w:space="0"/>
              <w:left w:val="single" w:color="auto" w:sz="4" w:space="0"/>
              <w:bottom w:val="single" w:color="auto" w:sz="4" w:space="0"/>
              <w:right w:val="single" w:color="auto" w:sz="4" w:space="0"/>
            </w:tcBorders>
            <w:vAlign w:val="center"/>
          </w:tcPr>
          <w:p w14:paraId="19A5CC1C">
            <w:pPr>
              <w:widowControl/>
              <w:jc w:val="center"/>
              <w:rPr>
                <w:kern w:val="0"/>
                <w:sz w:val="22"/>
                <w:szCs w:val="22"/>
                <w:highlight w:val="none"/>
              </w:rPr>
            </w:pPr>
          </w:p>
        </w:tc>
        <w:tc>
          <w:tcPr>
            <w:tcW w:w="1609" w:type="dxa"/>
            <w:tcBorders>
              <w:top w:val="single" w:color="auto" w:sz="4" w:space="0"/>
              <w:left w:val="single" w:color="auto" w:sz="4" w:space="0"/>
              <w:bottom w:val="single" w:color="auto" w:sz="4" w:space="0"/>
              <w:right w:val="single" w:color="auto" w:sz="4" w:space="0"/>
            </w:tcBorders>
            <w:vAlign w:val="center"/>
          </w:tcPr>
          <w:p w14:paraId="1BC757BE">
            <w:pPr>
              <w:widowControl/>
              <w:jc w:val="center"/>
              <w:rPr>
                <w:kern w:val="0"/>
                <w:sz w:val="22"/>
                <w:szCs w:val="22"/>
                <w:highlight w:val="none"/>
              </w:rPr>
            </w:pPr>
          </w:p>
        </w:tc>
        <w:tc>
          <w:tcPr>
            <w:tcW w:w="1651" w:type="dxa"/>
            <w:tcBorders>
              <w:top w:val="single" w:color="auto" w:sz="4" w:space="0"/>
              <w:left w:val="single" w:color="auto" w:sz="4" w:space="0"/>
              <w:bottom w:val="single" w:color="auto" w:sz="4" w:space="0"/>
              <w:right w:val="single" w:color="auto" w:sz="4" w:space="0"/>
            </w:tcBorders>
            <w:vAlign w:val="center"/>
          </w:tcPr>
          <w:p w14:paraId="5FCCFA89">
            <w:pPr>
              <w:widowControl/>
              <w:jc w:val="center"/>
              <w:rPr>
                <w:kern w:val="0"/>
                <w:sz w:val="22"/>
                <w:szCs w:val="22"/>
                <w:highlight w:val="none"/>
              </w:rPr>
            </w:pPr>
          </w:p>
        </w:tc>
        <w:tc>
          <w:tcPr>
            <w:tcW w:w="1759" w:type="dxa"/>
            <w:tcBorders>
              <w:top w:val="single" w:color="auto" w:sz="4" w:space="0"/>
              <w:left w:val="single" w:color="auto" w:sz="4" w:space="0"/>
              <w:bottom w:val="single" w:color="auto" w:sz="4" w:space="0"/>
              <w:right w:val="single" w:color="auto" w:sz="4" w:space="0"/>
            </w:tcBorders>
            <w:vAlign w:val="center"/>
          </w:tcPr>
          <w:p w14:paraId="63A70B41">
            <w:pPr>
              <w:widowControl/>
              <w:jc w:val="center"/>
              <w:rPr>
                <w:kern w:val="0"/>
                <w:sz w:val="22"/>
                <w:szCs w:val="22"/>
                <w:highlight w:val="none"/>
              </w:rPr>
            </w:pPr>
          </w:p>
        </w:tc>
        <w:tc>
          <w:tcPr>
            <w:tcW w:w="1800" w:type="dxa"/>
            <w:gridSpan w:val="2"/>
            <w:tcBorders>
              <w:top w:val="single" w:color="auto" w:sz="4" w:space="0"/>
              <w:left w:val="single" w:color="auto" w:sz="4" w:space="0"/>
              <w:bottom w:val="single" w:color="auto" w:sz="4" w:space="0"/>
              <w:right w:val="single" w:color="auto" w:sz="4" w:space="0"/>
            </w:tcBorders>
            <w:vAlign w:val="center"/>
          </w:tcPr>
          <w:p w14:paraId="650F8D1B">
            <w:pPr>
              <w:widowControl/>
              <w:jc w:val="center"/>
              <w:rPr>
                <w:kern w:val="0"/>
                <w:sz w:val="22"/>
                <w:szCs w:val="22"/>
                <w:highlight w:val="none"/>
              </w:rPr>
            </w:pPr>
          </w:p>
        </w:tc>
        <w:tc>
          <w:tcPr>
            <w:tcW w:w="1457" w:type="dxa"/>
            <w:gridSpan w:val="2"/>
            <w:tcBorders>
              <w:top w:val="single" w:color="auto" w:sz="4" w:space="0"/>
              <w:left w:val="single" w:color="auto" w:sz="4" w:space="0"/>
              <w:bottom w:val="single" w:color="auto" w:sz="4" w:space="0"/>
              <w:right w:val="single" w:color="auto" w:sz="4" w:space="0"/>
            </w:tcBorders>
            <w:vAlign w:val="center"/>
          </w:tcPr>
          <w:p w14:paraId="6D4A6541">
            <w:pPr>
              <w:widowControl/>
              <w:jc w:val="center"/>
              <w:rPr>
                <w:kern w:val="0"/>
                <w:sz w:val="22"/>
                <w:szCs w:val="22"/>
                <w:highlight w:val="none"/>
              </w:rPr>
            </w:pPr>
          </w:p>
        </w:tc>
      </w:tr>
      <w:tr w14:paraId="0874B5D5">
        <w:tblPrEx>
          <w:tblCellMar>
            <w:top w:w="0" w:type="dxa"/>
            <w:left w:w="108" w:type="dxa"/>
            <w:bottom w:w="0" w:type="dxa"/>
            <w:right w:w="108" w:type="dxa"/>
          </w:tblCellMar>
        </w:tblPrEx>
        <w:trPr>
          <w:trHeight w:val="397" w:hRule="atLeast"/>
          <w:jc w:val="center"/>
        </w:trPr>
        <w:tc>
          <w:tcPr>
            <w:tcW w:w="672" w:type="dxa"/>
            <w:tcBorders>
              <w:top w:val="single" w:color="auto" w:sz="4" w:space="0"/>
              <w:left w:val="single" w:color="auto" w:sz="4" w:space="0"/>
              <w:bottom w:val="single" w:color="auto" w:sz="4" w:space="0"/>
              <w:right w:val="single" w:color="auto" w:sz="4" w:space="0"/>
            </w:tcBorders>
            <w:vAlign w:val="center"/>
          </w:tcPr>
          <w:p w14:paraId="3168052A">
            <w:pPr>
              <w:widowControl/>
              <w:jc w:val="center"/>
              <w:rPr>
                <w:kern w:val="0"/>
                <w:sz w:val="22"/>
                <w:szCs w:val="22"/>
                <w:highlight w:val="none"/>
              </w:rPr>
            </w:pPr>
          </w:p>
        </w:tc>
        <w:tc>
          <w:tcPr>
            <w:tcW w:w="1609" w:type="dxa"/>
            <w:tcBorders>
              <w:top w:val="single" w:color="auto" w:sz="4" w:space="0"/>
              <w:left w:val="single" w:color="auto" w:sz="4" w:space="0"/>
              <w:bottom w:val="single" w:color="auto" w:sz="4" w:space="0"/>
              <w:right w:val="single" w:color="auto" w:sz="4" w:space="0"/>
            </w:tcBorders>
            <w:vAlign w:val="center"/>
          </w:tcPr>
          <w:p w14:paraId="557C544F">
            <w:pPr>
              <w:widowControl/>
              <w:jc w:val="center"/>
              <w:rPr>
                <w:kern w:val="0"/>
                <w:sz w:val="22"/>
                <w:szCs w:val="22"/>
                <w:highlight w:val="none"/>
              </w:rPr>
            </w:pPr>
          </w:p>
        </w:tc>
        <w:tc>
          <w:tcPr>
            <w:tcW w:w="1651" w:type="dxa"/>
            <w:tcBorders>
              <w:top w:val="single" w:color="auto" w:sz="4" w:space="0"/>
              <w:left w:val="single" w:color="auto" w:sz="4" w:space="0"/>
              <w:bottom w:val="single" w:color="auto" w:sz="4" w:space="0"/>
              <w:right w:val="single" w:color="auto" w:sz="4" w:space="0"/>
            </w:tcBorders>
            <w:vAlign w:val="center"/>
          </w:tcPr>
          <w:p w14:paraId="644900A9">
            <w:pPr>
              <w:widowControl/>
              <w:jc w:val="center"/>
              <w:rPr>
                <w:kern w:val="0"/>
                <w:sz w:val="22"/>
                <w:szCs w:val="22"/>
                <w:highlight w:val="none"/>
              </w:rPr>
            </w:pPr>
          </w:p>
        </w:tc>
        <w:tc>
          <w:tcPr>
            <w:tcW w:w="1759" w:type="dxa"/>
            <w:tcBorders>
              <w:top w:val="single" w:color="auto" w:sz="4" w:space="0"/>
              <w:left w:val="single" w:color="auto" w:sz="4" w:space="0"/>
              <w:bottom w:val="single" w:color="auto" w:sz="4" w:space="0"/>
              <w:right w:val="single" w:color="auto" w:sz="4" w:space="0"/>
            </w:tcBorders>
            <w:vAlign w:val="center"/>
          </w:tcPr>
          <w:p w14:paraId="1BBD9C15">
            <w:pPr>
              <w:widowControl/>
              <w:jc w:val="center"/>
              <w:rPr>
                <w:kern w:val="0"/>
                <w:sz w:val="22"/>
                <w:szCs w:val="22"/>
                <w:highlight w:val="none"/>
              </w:rPr>
            </w:pPr>
          </w:p>
        </w:tc>
        <w:tc>
          <w:tcPr>
            <w:tcW w:w="1800" w:type="dxa"/>
            <w:gridSpan w:val="2"/>
            <w:tcBorders>
              <w:top w:val="single" w:color="auto" w:sz="4" w:space="0"/>
              <w:left w:val="single" w:color="auto" w:sz="4" w:space="0"/>
              <w:bottom w:val="single" w:color="auto" w:sz="4" w:space="0"/>
              <w:right w:val="single" w:color="auto" w:sz="4" w:space="0"/>
            </w:tcBorders>
            <w:vAlign w:val="center"/>
          </w:tcPr>
          <w:p w14:paraId="1D5752EF">
            <w:pPr>
              <w:widowControl/>
              <w:jc w:val="center"/>
              <w:rPr>
                <w:kern w:val="0"/>
                <w:sz w:val="22"/>
                <w:szCs w:val="22"/>
                <w:highlight w:val="none"/>
              </w:rPr>
            </w:pPr>
          </w:p>
        </w:tc>
        <w:tc>
          <w:tcPr>
            <w:tcW w:w="1457" w:type="dxa"/>
            <w:gridSpan w:val="2"/>
            <w:tcBorders>
              <w:top w:val="single" w:color="auto" w:sz="4" w:space="0"/>
              <w:left w:val="single" w:color="auto" w:sz="4" w:space="0"/>
              <w:bottom w:val="single" w:color="auto" w:sz="4" w:space="0"/>
              <w:right w:val="single" w:color="auto" w:sz="4" w:space="0"/>
            </w:tcBorders>
            <w:vAlign w:val="center"/>
          </w:tcPr>
          <w:p w14:paraId="458A4FC5">
            <w:pPr>
              <w:widowControl/>
              <w:jc w:val="center"/>
              <w:rPr>
                <w:kern w:val="0"/>
                <w:sz w:val="22"/>
                <w:szCs w:val="22"/>
                <w:highlight w:val="none"/>
              </w:rPr>
            </w:pPr>
          </w:p>
        </w:tc>
      </w:tr>
      <w:tr w14:paraId="35A68081">
        <w:tblPrEx>
          <w:tblCellMar>
            <w:top w:w="0" w:type="dxa"/>
            <w:left w:w="108" w:type="dxa"/>
            <w:bottom w:w="0" w:type="dxa"/>
            <w:right w:w="108" w:type="dxa"/>
          </w:tblCellMar>
        </w:tblPrEx>
        <w:trPr>
          <w:trHeight w:val="397" w:hRule="atLeast"/>
          <w:jc w:val="center"/>
        </w:trPr>
        <w:tc>
          <w:tcPr>
            <w:tcW w:w="672" w:type="dxa"/>
            <w:tcBorders>
              <w:top w:val="single" w:color="auto" w:sz="4" w:space="0"/>
              <w:left w:val="single" w:color="auto" w:sz="4" w:space="0"/>
              <w:bottom w:val="single" w:color="auto" w:sz="4" w:space="0"/>
              <w:right w:val="single" w:color="auto" w:sz="4" w:space="0"/>
            </w:tcBorders>
            <w:vAlign w:val="center"/>
          </w:tcPr>
          <w:p w14:paraId="0CB810B7">
            <w:pPr>
              <w:widowControl/>
              <w:jc w:val="center"/>
              <w:rPr>
                <w:kern w:val="0"/>
                <w:sz w:val="22"/>
                <w:szCs w:val="22"/>
                <w:highlight w:val="none"/>
              </w:rPr>
            </w:pPr>
          </w:p>
        </w:tc>
        <w:tc>
          <w:tcPr>
            <w:tcW w:w="1609" w:type="dxa"/>
            <w:tcBorders>
              <w:top w:val="single" w:color="auto" w:sz="4" w:space="0"/>
              <w:left w:val="single" w:color="auto" w:sz="4" w:space="0"/>
              <w:bottom w:val="single" w:color="auto" w:sz="4" w:space="0"/>
              <w:right w:val="single" w:color="auto" w:sz="4" w:space="0"/>
            </w:tcBorders>
            <w:vAlign w:val="center"/>
          </w:tcPr>
          <w:p w14:paraId="3A95C56F">
            <w:pPr>
              <w:widowControl/>
              <w:jc w:val="center"/>
              <w:rPr>
                <w:kern w:val="0"/>
                <w:sz w:val="22"/>
                <w:szCs w:val="22"/>
                <w:highlight w:val="none"/>
              </w:rPr>
            </w:pPr>
          </w:p>
        </w:tc>
        <w:tc>
          <w:tcPr>
            <w:tcW w:w="1651" w:type="dxa"/>
            <w:tcBorders>
              <w:top w:val="single" w:color="auto" w:sz="4" w:space="0"/>
              <w:left w:val="single" w:color="auto" w:sz="4" w:space="0"/>
              <w:bottom w:val="single" w:color="auto" w:sz="4" w:space="0"/>
              <w:right w:val="single" w:color="auto" w:sz="4" w:space="0"/>
            </w:tcBorders>
            <w:vAlign w:val="center"/>
          </w:tcPr>
          <w:p w14:paraId="3F62FD38">
            <w:pPr>
              <w:widowControl/>
              <w:jc w:val="center"/>
              <w:rPr>
                <w:kern w:val="0"/>
                <w:sz w:val="22"/>
                <w:szCs w:val="22"/>
                <w:highlight w:val="none"/>
              </w:rPr>
            </w:pPr>
          </w:p>
        </w:tc>
        <w:tc>
          <w:tcPr>
            <w:tcW w:w="1759" w:type="dxa"/>
            <w:tcBorders>
              <w:top w:val="single" w:color="auto" w:sz="4" w:space="0"/>
              <w:left w:val="single" w:color="auto" w:sz="4" w:space="0"/>
              <w:bottom w:val="single" w:color="auto" w:sz="4" w:space="0"/>
              <w:right w:val="single" w:color="auto" w:sz="4" w:space="0"/>
            </w:tcBorders>
            <w:vAlign w:val="center"/>
          </w:tcPr>
          <w:p w14:paraId="562F8DE0">
            <w:pPr>
              <w:widowControl/>
              <w:jc w:val="center"/>
              <w:rPr>
                <w:kern w:val="0"/>
                <w:sz w:val="22"/>
                <w:szCs w:val="22"/>
                <w:highlight w:val="none"/>
              </w:rPr>
            </w:pPr>
          </w:p>
        </w:tc>
        <w:tc>
          <w:tcPr>
            <w:tcW w:w="1800" w:type="dxa"/>
            <w:gridSpan w:val="2"/>
            <w:tcBorders>
              <w:top w:val="single" w:color="auto" w:sz="4" w:space="0"/>
              <w:left w:val="single" w:color="auto" w:sz="4" w:space="0"/>
              <w:bottom w:val="single" w:color="auto" w:sz="4" w:space="0"/>
              <w:right w:val="single" w:color="auto" w:sz="4" w:space="0"/>
            </w:tcBorders>
            <w:vAlign w:val="center"/>
          </w:tcPr>
          <w:p w14:paraId="2783DEF1">
            <w:pPr>
              <w:widowControl/>
              <w:jc w:val="center"/>
              <w:rPr>
                <w:kern w:val="0"/>
                <w:sz w:val="22"/>
                <w:szCs w:val="22"/>
                <w:highlight w:val="none"/>
              </w:rPr>
            </w:pPr>
          </w:p>
        </w:tc>
        <w:tc>
          <w:tcPr>
            <w:tcW w:w="1457" w:type="dxa"/>
            <w:gridSpan w:val="2"/>
            <w:tcBorders>
              <w:top w:val="single" w:color="auto" w:sz="4" w:space="0"/>
              <w:left w:val="single" w:color="auto" w:sz="4" w:space="0"/>
              <w:bottom w:val="single" w:color="auto" w:sz="4" w:space="0"/>
              <w:right w:val="single" w:color="auto" w:sz="4" w:space="0"/>
            </w:tcBorders>
            <w:vAlign w:val="center"/>
          </w:tcPr>
          <w:p w14:paraId="3C673D3C">
            <w:pPr>
              <w:widowControl/>
              <w:jc w:val="center"/>
              <w:rPr>
                <w:kern w:val="0"/>
                <w:sz w:val="22"/>
                <w:szCs w:val="22"/>
                <w:highlight w:val="none"/>
              </w:rPr>
            </w:pPr>
          </w:p>
        </w:tc>
      </w:tr>
      <w:tr w14:paraId="755E6FC2">
        <w:tblPrEx>
          <w:tblCellMar>
            <w:top w:w="0" w:type="dxa"/>
            <w:left w:w="108" w:type="dxa"/>
            <w:bottom w:w="0" w:type="dxa"/>
            <w:right w:w="108" w:type="dxa"/>
          </w:tblCellMar>
        </w:tblPrEx>
        <w:trPr>
          <w:trHeight w:val="397" w:hRule="atLeast"/>
          <w:jc w:val="center"/>
        </w:trPr>
        <w:tc>
          <w:tcPr>
            <w:tcW w:w="2281" w:type="dxa"/>
            <w:gridSpan w:val="2"/>
            <w:tcBorders>
              <w:top w:val="single" w:color="auto" w:sz="4" w:space="0"/>
              <w:left w:val="single" w:color="auto" w:sz="4" w:space="0"/>
              <w:bottom w:val="single" w:color="auto" w:sz="4" w:space="0"/>
              <w:right w:val="single" w:color="auto" w:sz="4" w:space="0"/>
            </w:tcBorders>
            <w:vAlign w:val="center"/>
          </w:tcPr>
          <w:p w14:paraId="62991E0B">
            <w:pPr>
              <w:widowControl/>
              <w:jc w:val="center"/>
              <w:rPr>
                <w:kern w:val="0"/>
                <w:sz w:val="21"/>
                <w:szCs w:val="21"/>
                <w:highlight w:val="none"/>
              </w:rPr>
            </w:pPr>
            <w:r>
              <w:rPr>
                <w:kern w:val="0"/>
                <w:sz w:val="21"/>
                <w:szCs w:val="21"/>
                <w:highlight w:val="none"/>
              </w:rPr>
              <w:t>本页小计</w:t>
            </w:r>
          </w:p>
        </w:tc>
        <w:tc>
          <w:tcPr>
            <w:tcW w:w="1651" w:type="dxa"/>
            <w:tcBorders>
              <w:top w:val="single" w:color="auto" w:sz="4" w:space="0"/>
              <w:left w:val="single" w:color="auto" w:sz="4" w:space="0"/>
              <w:bottom w:val="single" w:color="auto" w:sz="4" w:space="0"/>
              <w:right w:val="single" w:color="auto" w:sz="4" w:space="0"/>
            </w:tcBorders>
            <w:vAlign w:val="center"/>
          </w:tcPr>
          <w:p w14:paraId="12AD3FF4">
            <w:pPr>
              <w:widowControl/>
              <w:jc w:val="center"/>
              <w:rPr>
                <w:kern w:val="0"/>
                <w:sz w:val="22"/>
                <w:szCs w:val="22"/>
                <w:highlight w:val="none"/>
              </w:rPr>
            </w:pPr>
          </w:p>
        </w:tc>
        <w:tc>
          <w:tcPr>
            <w:tcW w:w="1759" w:type="dxa"/>
            <w:tcBorders>
              <w:top w:val="single" w:color="auto" w:sz="4" w:space="0"/>
              <w:left w:val="single" w:color="auto" w:sz="4" w:space="0"/>
              <w:bottom w:val="single" w:color="auto" w:sz="4" w:space="0"/>
              <w:right w:val="single" w:color="auto" w:sz="4" w:space="0"/>
            </w:tcBorders>
            <w:vAlign w:val="center"/>
          </w:tcPr>
          <w:p w14:paraId="6D0DDBFE">
            <w:pPr>
              <w:widowControl/>
              <w:jc w:val="center"/>
              <w:rPr>
                <w:kern w:val="0"/>
                <w:sz w:val="22"/>
                <w:szCs w:val="22"/>
                <w:highlight w:val="none"/>
              </w:rPr>
            </w:pPr>
          </w:p>
        </w:tc>
        <w:tc>
          <w:tcPr>
            <w:tcW w:w="1800" w:type="dxa"/>
            <w:gridSpan w:val="2"/>
            <w:tcBorders>
              <w:top w:val="single" w:color="auto" w:sz="4" w:space="0"/>
              <w:left w:val="single" w:color="auto" w:sz="4" w:space="0"/>
              <w:bottom w:val="single" w:color="auto" w:sz="4" w:space="0"/>
              <w:right w:val="single" w:color="auto" w:sz="4" w:space="0"/>
            </w:tcBorders>
            <w:vAlign w:val="center"/>
          </w:tcPr>
          <w:p w14:paraId="33704DA6">
            <w:pPr>
              <w:widowControl/>
              <w:jc w:val="center"/>
              <w:rPr>
                <w:kern w:val="0"/>
                <w:sz w:val="22"/>
                <w:szCs w:val="22"/>
                <w:highlight w:val="none"/>
              </w:rPr>
            </w:pPr>
          </w:p>
        </w:tc>
        <w:tc>
          <w:tcPr>
            <w:tcW w:w="1457" w:type="dxa"/>
            <w:gridSpan w:val="2"/>
            <w:tcBorders>
              <w:top w:val="single" w:color="auto" w:sz="4" w:space="0"/>
              <w:left w:val="single" w:color="auto" w:sz="4" w:space="0"/>
              <w:bottom w:val="single" w:color="auto" w:sz="4" w:space="0"/>
              <w:right w:val="single" w:color="auto" w:sz="4" w:space="0"/>
            </w:tcBorders>
            <w:vAlign w:val="center"/>
          </w:tcPr>
          <w:p w14:paraId="255445E8">
            <w:pPr>
              <w:widowControl/>
              <w:jc w:val="center"/>
              <w:rPr>
                <w:rFonts w:hint="eastAsia" w:ascii="宋体" w:hAnsi="宋体" w:eastAsia="宋体" w:cs="宋体"/>
                <w:kern w:val="0"/>
                <w:sz w:val="22"/>
                <w:szCs w:val="22"/>
                <w:highlight w:val="none"/>
                <w:lang w:val="en-US" w:eastAsia="zh-CN"/>
              </w:rPr>
            </w:pPr>
            <w:r>
              <w:rPr>
                <w:rFonts w:hint="eastAsia" w:ascii="宋体" w:hAnsi="宋体" w:eastAsia="宋体" w:cs="宋体"/>
                <w:kern w:val="0"/>
                <w:sz w:val="22"/>
                <w:szCs w:val="22"/>
                <w:highlight w:val="none"/>
                <w:lang w:val="en-US" w:eastAsia="zh-CN"/>
              </w:rPr>
              <w:t>-</w:t>
            </w:r>
          </w:p>
        </w:tc>
      </w:tr>
      <w:tr w14:paraId="450DF532">
        <w:tblPrEx>
          <w:tblCellMar>
            <w:top w:w="0" w:type="dxa"/>
            <w:left w:w="108" w:type="dxa"/>
            <w:bottom w:w="0" w:type="dxa"/>
            <w:right w:w="108" w:type="dxa"/>
          </w:tblCellMar>
        </w:tblPrEx>
        <w:trPr>
          <w:trHeight w:val="397" w:hRule="atLeast"/>
          <w:jc w:val="center"/>
        </w:trPr>
        <w:tc>
          <w:tcPr>
            <w:tcW w:w="2281" w:type="dxa"/>
            <w:gridSpan w:val="2"/>
            <w:tcBorders>
              <w:top w:val="single" w:color="auto" w:sz="4" w:space="0"/>
              <w:left w:val="single" w:color="auto" w:sz="4" w:space="0"/>
              <w:bottom w:val="single" w:color="auto" w:sz="4" w:space="0"/>
              <w:right w:val="single" w:color="auto" w:sz="4" w:space="0"/>
            </w:tcBorders>
            <w:vAlign w:val="center"/>
          </w:tcPr>
          <w:p w14:paraId="04E42377">
            <w:pPr>
              <w:widowControl/>
              <w:jc w:val="center"/>
              <w:rPr>
                <w:kern w:val="0"/>
                <w:sz w:val="21"/>
                <w:szCs w:val="21"/>
                <w:highlight w:val="none"/>
              </w:rPr>
            </w:pPr>
            <w:r>
              <w:rPr>
                <w:kern w:val="0"/>
                <w:sz w:val="21"/>
                <w:szCs w:val="21"/>
                <w:highlight w:val="none"/>
              </w:rPr>
              <w:t>合　　计</w:t>
            </w:r>
          </w:p>
        </w:tc>
        <w:tc>
          <w:tcPr>
            <w:tcW w:w="1651" w:type="dxa"/>
            <w:tcBorders>
              <w:top w:val="single" w:color="auto" w:sz="4" w:space="0"/>
              <w:left w:val="single" w:color="auto" w:sz="4" w:space="0"/>
              <w:bottom w:val="single" w:color="auto" w:sz="4" w:space="0"/>
              <w:right w:val="single" w:color="auto" w:sz="4" w:space="0"/>
            </w:tcBorders>
            <w:vAlign w:val="center"/>
          </w:tcPr>
          <w:p w14:paraId="3053C687">
            <w:pPr>
              <w:widowControl/>
              <w:jc w:val="center"/>
              <w:rPr>
                <w:kern w:val="0"/>
                <w:sz w:val="22"/>
                <w:szCs w:val="22"/>
                <w:highlight w:val="none"/>
              </w:rPr>
            </w:pPr>
          </w:p>
        </w:tc>
        <w:tc>
          <w:tcPr>
            <w:tcW w:w="1759" w:type="dxa"/>
            <w:tcBorders>
              <w:top w:val="single" w:color="auto" w:sz="4" w:space="0"/>
              <w:left w:val="single" w:color="auto" w:sz="4" w:space="0"/>
              <w:bottom w:val="single" w:color="auto" w:sz="4" w:space="0"/>
              <w:right w:val="single" w:color="auto" w:sz="4" w:space="0"/>
            </w:tcBorders>
            <w:vAlign w:val="center"/>
          </w:tcPr>
          <w:p w14:paraId="34AF7771">
            <w:pPr>
              <w:widowControl/>
              <w:jc w:val="center"/>
              <w:rPr>
                <w:kern w:val="0"/>
                <w:sz w:val="22"/>
                <w:szCs w:val="22"/>
                <w:highlight w:val="none"/>
              </w:rPr>
            </w:pPr>
          </w:p>
        </w:tc>
        <w:tc>
          <w:tcPr>
            <w:tcW w:w="1800" w:type="dxa"/>
            <w:gridSpan w:val="2"/>
            <w:tcBorders>
              <w:top w:val="single" w:color="auto" w:sz="4" w:space="0"/>
              <w:left w:val="single" w:color="auto" w:sz="4" w:space="0"/>
              <w:bottom w:val="single" w:color="auto" w:sz="4" w:space="0"/>
              <w:right w:val="single" w:color="auto" w:sz="4" w:space="0"/>
            </w:tcBorders>
            <w:vAlign w:val="center"/>
          </w:tcPr>
          <w:p w14:paraId="7F5EF4AB">
            <w:pPr>
              <w:widowControl/>
              <w:jc w:val="center"/>
              <w:rPr>
                <w:kern w:val="0"/>
                <w:sz w:val="22"/>
                <w:szCs w:val="22"/>
                <w:highlight w:val="none"/>
              </w:rPr>
            </w:pPr>
          </w:p>
        </w:tc>
        <w:tc>
          <w:tcPr>
            <w:tcW w:w="1457" w:type="dxa"/>
            <w:gridSpan w:val="2"/>
            <w:tcBorders>
              <w:top w:val="single" w:color="auto" w:sz="4" w:space="0"/>
              <w:left w:val="single" w:color="auto" w:sz="4" w:space="0"/>
              <w:bottom w:val="single" w:color="auto" w:sz="4" w:space="0"/>
              <w:right w:val="single" w:color="auto" w:sz="4" w:space="0"/>
            </w:tcBorders>
            <w:vAlign w:val="center"/>
          </w:tcPr>
          <w:p w14:paraId="3AC01630">
            <w:pPr>
              <w:widowControl/>
              <w:jc w:val="center"/>
              <w:rPr>
                <w:rFonts w:hint="eastAsia" w:ascii="宋体" w:hAnsi="宋体" w:eastAsia="宋体" w:cs="宋体"/>
                <w:kern w:val="0"/>
                <w:sz w:val="22"/>
                <w:szCs w:val="22"/>
                <w:highlight w:val="none"/>
                <w:lang w:val="en-US" w:eastAsia="zh-CN"/>
              </w:rPr>
            </w:pPr>
            <w:r>
              <w:rPr>
                <w:rFonts w:hint="eastAsia" w:ascii="宋体" w:hAnsi="宋体" w:eastAsia="宋体" w:cs="宋体"/>
                <w:kern w:val="0"/>
                <w:sz w:val="22"/>
                <w:szCs w:val="22"/>
                <w:highlight w:val="none"/>
                <w:lang w:val="en-US" w:eastAsia="zh-CN"/>
              </w:rPr>
              <w:t>-</w:t>
            </w:r>
          </w:p>
        </w:tc>
      </w:tr>
      <w:tr w14:paraId="0CFC02A1">
        <w:tblPrEx>
          <w:tblCellMar>
            <w:top w:w="0" w:type="dxa"/>
            <w:left w:w="108" w:type="dxa"/>
            <w:bottom w:w="0" w:type="dxa"/>
            <w:right w:w="108" w:type="dxa"/>
          </w:tblCellMar>
        </w:tblPrEx>
        <w:trPr>
          <w:gridAfter w:val="1"/>
          <w:wAfter w:w="28" w:type="dxa"/>
          <w:trHeight w:val="330" w:hRule="atLeast"/>
          <w:jc w:val="center"/>
        </w:trPr>
        <w:tc>
          <w:tcPr>
            <w:tcW w:w="8920" w:type="dxa"/>
            <w:gridSpan w:val="7"/>
            <w:tcBorders>
              <w:top w:val="single" w:color="auto" w:sz="4" w:space="0"/>
              <w:left w:val="nil"/>
              <w:bottom w:val="nil"/>
              <w:right w:val="nil"/>
            </w:tcBorders>
            <w:vAlign w:val="center"/>
          </w:tcPr>
          <w:p w14:paraId="6C64C98B">
            <w:pPr>
              <w:widowControl/>
              <w:rPr>
                <w:kern w:val="0"/>
                <w:sz w:val="18"/>
                <w:szCs w:val="18"/>
                <w:highlight w:val="none"/>
              </w:rPr>
            </w:pPr>
          </w:p>
        </w:tc>
      </w:tr>
    </w:tbl>
    <w:p w14:paraId="217AF744">
      <w:pPr>
        <w:rPr>
          <w:highlight w:val="none"/>
        </w:rPr>
      </w:pPr>
    </w:p>
    <w:p w14:paraId="4396A9A4">
      <w:pPr>
        <w:rPr>
          <w:highlight w:val="none"/>
        </w:rPr>
      </w:pPr>
    </w:p>
    <w:p w14:paraId="5F709041">
      <w:pPr>
        <w:rPr>
          <w:highlight w:val="none"/>
        </w:rPr>
      </w:pPr>
    </w:p>
    <w:p w14:paraId="0DC33160">
      <w:pPr>
        <w:rPr>
          <w:highlight w:val="none"/>
        </w:rPr>
      </w:pPr>
    </w:p>
    <w:p w14:paraId="2807AF5E">
      <w:pPr>
        <w:rPr>
          <w:highlight w:val="none"/>
        </w:rPr>
      </w:pPr>
    </w:p>
    <w:p w14:paraId="25DDAF49">
      <w:pPr>
        <w:rPr>
          <w:highlight w:val="none"/>
        </w:rPr>
      </w:pPr>
    </w:p>
    <w:p w14:paraId="7C775DCB">
      <w:pPr>
        <w:rPr>
          <w:highlight w:val="none"/>
        </w:rPr>
      </w:pPr>
    </w:p>
    <w:p w14:paraId="1FCEC92E">
      <w:pPr>
        <w:rPr>
          <w:highlight w:val="none"/>
        </w:rPr>
      </w:pPr>
    </w:p>
    <w:p w14:paraId="795A4B63">
      <w:pPr>
        <w:rPr>
          <w:highlight w:val="none"/>
        </w:rPr>
      </w:pPr>
    </w:p>
    <w:p w14:paraId="6584064B">
      <w:pPr>
        <w:rPr>
          <w:highlight w:val="none"/>
        </w:rPr>
      </w:pPr>
    </w:p>
    <w:p w14:paraId="05C9D9D1">
      <w:pPr>
        <w:rPr>
          <w:highlight w:val="none"/>
        </w:rPr>
      </w:pPr>
    </w:p>
    <w:p w14:paraId="42C3B832">
      <w:pPr>
        <w:rPr>
          <w:highlight w:val="none"/>
        </w:rPr>
      </w:pPr>
    </w:p>
    <w:p w14:paraId="616F73AA">
      <w:pPr>
        <w:rPr>
          <w:highlight w:val="none"/>
        </w:rPr>
      </w:pPr>
    </w:p>
    <w:p w14:paraId="5CBC5EF9">
      <w:pPr>
        <w:rPr>
          <w:highlight w:val="none"/>
        </w:rPr>
      </w:pPr>
    </w:p>
    <w:p w14:paraId="24A2FEC9">
      <w:pPr>
        <w:jc w:val="center"/>
        <w:outlineLvl w:val="2"/>
        <w:rPr>
          <w:highlight w:val="none"/>
        </w:rPr>
      </w:pPr>
      <w:r>
        <w:rPr>
          <w:rFonts w:hint="eastAsia" w:eastAsia="宋体"/>
          <w:b w:val="0"/>
          <w:bCs w:val="0"/>
          <w:kern w:val="0"/>
          <w:sz w:val="28"/>
          <w:szCs w:val="28"/>
          <w:highlight w:val="none"/>
          <w:lang w:val="en-US" w:eastAsia="zh-CN"/>
        </w:rPr>
        <w:t>计日工表</w:t>
      </w:r>
    </w:p>
    <w:tbl>
      <w:tblPr>
        <w:tblStyle w:val="41"/>
        <w:tblpPr w:leftFromText="180" w:rightFromText="180" w:vertAnchor="text" w:horzAnchor="page" w:tblpX="1416" w:tblpY="291"/>
        <w:tblOverlap w:val="never"/>
        <w:tblW w:w="9250" w:type="dxa"/>
        <w:tblInd w:w="0" w:type="dxa"/>
        <w:tblLayout w:type="fixed"/>
        <w:tblCellMar>
          <w:top w:w="0" w:type="dxa"/>
          <w:left w:w="108" w:type="dxa"/>
          <w:bottom w:w="0" w:type="dxa"/>
          <w:right w:w="108" w:type="dxa"/>
        </w:tblCellMar>
      </w:tblPr>
      <w:tblGrid>
        <w:gridCol w:w="717"/>
        <w:gridCol w:w="2183"/>
        <w:gridCol w:w="1291"/>
        <w:gridCol w:w="1636"/>
        <w:gridCol w:w="1486"/>
        <w:gridCol w:w="1937"/>
      </w:tblGrid>
      <w:tr w14:paraId="55595F6F">
        <w:tblPrEx>
          <w:tblCellMar>
            <w:top w:w="0" w:type="dxa"/>
            <w:left w:w="108" w:type="dxa"/>
            <w:bottom w:w="0" w:type="dxa"/>
            <w:right w:w="108" w:type="dxa"/>
          </w:tblCellMar>
        </w:tblPrEx>
        <w:trPr>
          <w:trHeight w:val="501" w:hRule="atLeast"/>
        </w:trPr>
        <w:tc>
          <w:tcPr>
            <w:tcW w:w="5827" w:type="dxa"/>
            <w:gridSpan w:val="4"/>
            <w:tcBorders>
              <w:top w:val="nil"/>
              <w:left w:val="nil"/>
              <w:bottom w:val="single" w:color="auto" w:sz="4" w:space="0"/>
              <w:right w:val="nil"/>
            </w:tcBorders>
            <w:vAlign w:val="center"/>
          </w:tcPr>
          <w:p w14:paraId="04489C4A">
            <w:pPr>
              <w:widowControl/>
              <w:jc w:val="left"/>
              <w:rPr>
                <w:kern w:val="0"/>
                <w:sz w:val="21"/>
                <w:szCs w:val="21"/>
                <w:highlight w:val="none"/>
              </w:rPr>
            </w:pPr>
            <w:r>
              <w:rPr>
                <w:kern w:val="0"/>
                <w:sz w:val="21"/>
                <w:szCs w:val="21"/>
                <w:highlight w:val="none"/>
              </w:rPr>
              <w:t>工程名称：                标段：</w:t>
            </w:r>
          </w:p>
        </w:tc>
        <w:tc>
          <w:tcPr>
            <w:tcW w:w="3423" w:type="dxa"/>
            <w:gridSpan w:val="2"/>
            <w:tcBorders>
              <w:top w:val="nil"/>
              <w:left w:val="nil"/>
              <w:bottom w:val="single" w:color="auto" w:sz="4" w:space="0"/>
              <w:right w:val="nil"/>
            </w:tcBorders>
            <w:vAlign w:val="center"/>
          </w:tcPr>
          <w:p w14:paraId="04CF6B07">
            <w:pPr>
              <w:widowControl/>
              <w:tabs>
                <w:tab w:val="left" w:pos="2677"/>
              </w:tabs>
              <w:ind w:right="-18"/>
              <w:jc w:val="right"/>
              <w:rPr>
                <w:kern w:val="0"/>
                <w:sz w:val="21"/>
                <w:szCs w:val="21"/>
                <w:highlight w:val="none"/>
              </w:rPr>
            </w:pPr>
            <w:r>
              <w:rPr>
                <w:kern w:val="0"/>
                <w:sz w:val="21"/>
                <w:szCs w:val="21"/>
                <w:highlight w:val="none"/>
              </w:rPr>
              <w:t>第   页   共    页</w:t>
            </w:r>
          </w:p>
        </w:tc>
      </w:tr>
      <w:tr w14:paraId="798199B7">
        <w:tblPrEx>
          <w:tblCellMar>
            <w:top w:w="0" w:type="dxa"/>
            <w:left w:w="108" w:type="dxa"/>
            <w:bottom w:w="0" w:type="dxa"/>
            <w:right w:w="108" w:type="dxa"/>
          </w:tblCellMar>
        </w:tblPrEx>
        <w:trPr>
          <w:trHeight w:val="956" w:hRule="atLeast"/>
        </w:trPr>
        <w:tc>
          <w:tcPr>
            <w:tcW w:w="717" w:type="dxa"/>
            <w:tcBorders>
              <w:top w:val="single" w:color="auto" w:sz="4" w:space="0"/>
              <w:left w:val="single" w:color="auto" w:sz="4" w:space="0"/>
              <w:bottom w:val="single" w:color="auto" w:sz="4" w:space="0"/>
              <w:right w:val="single" w:color="auto" w:sz="4" w:space="0"/>
            </w:tcBorders>
            <w:vAlign w:val="center"/>
          </w:tcPr>
          <w:p w14:paraId="2612610C">
            <w:pPr>
              <w:widowControl/>
              <w:jc w:val="center"/>
              <w:rPr>
                <w:kern w:val="0"/>
                <w:sz w:val="21"/>
                <w:szCs w:val="21"/>
                <w:highlight w:val="none"/>
              </w:rPr>
            </w:pPr>
            <w:r>
              <w:rPr>
                <w:kern w:val="0"/>
                <w:sz w:val="21"/>
                <w:szCs w:val="21"/>
                <w:highlight w:val="none"/>
              </w:rPr>
              <w:t>编号</w:t>
            </w:r>
          </w:p>
        </w:tc>
        <w:tc>
          <w:tcPr>
            <w:tcW w:w="2183" w:type="dxa"/>
            <w:tcBorders>
              <w:top w:val="single" w:color="auto" w:sz="4" w:space="0"/>
              <w:left w:val="nil"/>
              <w:bottom w:val="single" w:color="auto" w:sz="4" w:space="0"/>
              <w:right w:val="single" w:color="auto" w:sz="4" w:space="0"/>
            </w:tcBorders>
            <w:vAlign w:val="center"/>
          </w:tcPr>
          <w:p w14:paraId="0A164578">
            <w:pPr>
              <w:widowControl/>
              <w:jc w:val="center"/>
              <w:rPr>
                <w:kern w:val="0"/>
                <w:sz w:val="21"/>
                <w:szCs w:val="21"/>
                <w:highlight w:val="none"/>
              </w:rPr>
            </w:pPr>
            <w:r>
              <w:rPr>
                <w:kern w:val="0"/>
                <w:sz w:val="21"/>
                <w:szCs w:val="21"/>
                <w:highlight w:val="none"/>
              </w:rPr>
              <w:t>项目名称</w:t>
            </w:r>
          </w:p>
        </w:tc>
        <w:tc>
          <w:tcPr>
            <w:tcW w:w="1291" w:type="dxa"/>
            <w:tcBorders>
              <w:top w:val="single" w:color="auto" w:sz="4" w:space="0"/>
              <w:left w:val="nil"/>
              <w:bottom w:val="single" w:color="auto" w:sz="4" w:space="0"/>
              <w:right w:val="single" w:color="auto" w:sz="4" w:space="0"/>
            </w:tcBorders>
            <w:vAlign w:val="center"/>
          </w:tcPr>
          <w:p w14:paraId="09E87A62">
            <w:pPr>
              <w:widowControl/>
              <w:jc w:val="center"/>
              <w:rPr>
                <w:kern w:val="0"/>
                <w:sz w:val="21"/>
                <w:szCs w:val="21"/>
                <w:highlight w:val="none"/>
              </w:rPr>
            </w:pPr>
            <w:r>
              <w:rPr>
                <w:kern w:val="0"/>
                <w:sz w:val="21"/>
                <w:szCs w:val="21"/>
                <w:highlight w:val="none"/>
              </w:rPr>
              <w:t>单位</w:t>
            </w:r>
          </w:p>
        </w:tc>
        <w:tc>
          <w:tcPr>
            <w:tcW w:w="1636" w:type="dxa"/>
            <w:tcBorders>
              <w:top w:val="single" w:color="auto" w:sz="4" w:space="0"/>
              <w:left w:val="nil"/>
              <w:bottom w:val="single" w:color="auto" w:sz="4" w:space="0"/>
              <w:right w:val="single" w:color="auto" w:sz="4" w:space="0"/>
            </w:tcBorders>
            <w:vAlign w:val="center"/>
          </w:tcPr>
          <w:p w14:paraId="69D4011C">
            <w:pPr>
              <w:widowControl/>
              <w:jc w:val="center"/>
              <w:rPr>
                <w:rFonts w:hint="default" w:eastAsia="宋体"/>
                <w:kern w:val="0"/>
                <w:sz w:val="21"/>
                <w:szCs w:val="21"/>
                <w:highlight w:val="none"/>
                <w:lang w:val="en-US" w:eastAsia="zh-CN"/>
              </w:rPr>
            </w:pPr>
            <w:r>
              <w:rPr>
                <w:kern w:val="0"/>
                <w:sz w:val="21"/>
                <w:szCs w:val="21"/>
                <w:highlight w:val="none"/>
              </w:rPr>
              <w:t>暂定数量</w:t>
            </w:r>
          </w:p>
        </w:tc>
        <w:tc>
          <w:tcPr>
            <w:tcW w:w="1486" w:type="dxa"/>
            <w:tcBorders>
              <w:top w:val="single" w:color="auto" w:sz="4" w:space="0"/>
              <w:left w:val="nil"/>
              <w:bottom w:val="single" w:color="auto" w:sz="4" w:space="0"/>
              <w:right w:val="single" w:color="auto" w:sz="4" w:space="0"/>
            </w:tcBorders>
            <w:vAlign w:val="center"/>
          </w:tcPr>
          <w:p w14:paraId="038575C0">
            <w:pPr>
              <w:widowControl/>
              <w:jc w:val="center"/>
              <w:rPr>
                <w:kern w:val="0"/>
                <w:sz w:val="21"/>
                <w:szCs w:val="21"/>
                <w:highlight w:val="none"/>
              </w:rPr>
            </w:pPr>
            <w:r>
              <w:rPr>
                <w:kern w:val="0"/>
                <w:sz w:val="21"/>
                <w:szCs w:val="21"/>
                <w:highlight w:val="none"/>
              </w:rPr>
              <w:t>综合单价</w:t>
            </w:r>
          </w:p>
          <w:p w14:paraId="762D4256">
            <w:pPr>
              <w:widowControl/>
              <w:jc w:val="center"/>
              <w:rPr>
                <w:rFonts w:hint="eastAsia" w:eastAsia="宋体"/>
                <w:kern w:val="0"/>
                <w:sz w:val="21"/>
                <w:szCs w:val="21"/>
                <w:highlight w:val="none"/>
                <w:lang w:eastAsia="zh-CN"/>
              </w:rPr>
            </w:pPr>
            <w:r>
              <w:rPr>
                <w:rFonts w:hint="eastAsia"/>
                <w:kern w:val="0"/>
                <w:sz w:val="21"/>
                <w:szCs w:val="21"/>
                <w:highlight w:val="none"/>
                <w:lang w:eastAsia="zh-CN"/>
              </w:rPr>
              <w:t>（</w:t>
            </w:r>
            <w:r>
              <w:rPr>
                <w:rFonts w:hint="eastAsia"/>
                <w:kern w:val="0"/>
                <w:sz w:val="21"/>
                <w:szCs w:val="21"/>
                <w:highlight w:val="none"/>
                <w:lang w:val="en-US" w:eastAsia="zh-CN"/>
              </w:rPr>
              <w:t>元</w:t>
            </w:r>
            <w:r>
              <w:rPr>
                <w:rFonts w:hint="eastAsia"/>
                <w:kern w:val="0"/>
                <w:sz w:val="21"/>
                <w:szCs w:val="21"/>
                <w:highlight w:val="none"/>
                <w:lang w:eastAsia="zh-CN"/>
              </w:rPr>
              <w:t>）</w:t>
            </w:r>
          </w:p>
        </w:tc>
        <w:tc>
          <w:tcPr>
            <w:tcW w:w="1937" w:type="dxa"/>
            <w:tcBorders>
              <w:top w:val="single" w:color="auto" w:sz="4" w:space="0"/>
              <w:left w:val="nil"/>
              <w:bottom w:val="single" w:color="auto" w:sz="4" w:space="0"/>
              <w:right w:val="single" w:color="auto" w:sz="4" w:space="0"/>
            </w:tcBorders>
            <w:vAlign w:val="center"/>
          </w:tcPr>
          <w:p w14:paraId="3A579E1A">
            <w:pPr>
              <w:widowControl/>
              <w:jc w:val="center"/>
              <w:rPr>
                <w:rFonts w:hint="default" w:eastAsia="宋体"/>
                <w:kern w:val="0"/>
                <w:sz w:val="21"/>
                <w:szCs w:val="21"/>
                <w:highlight w:val="none"/>
                <w:lang w:val="en-US" w:eastAsia="zh-CN"/>
              </w:rPr>
            </w:pPr>
            <w:r>
              <w:rPr>
                <w:rFonts w:hint="eastAsia"/>
                <w:kern w:val="0"/>
                <w:sz w:val="21"/>
                <w:szCs w:val="21"/>
                <w:highlight w:val="none"/>
                <w:lang w:val="en-US" w:eastAsia="zh-CN"/>
              </w:rPr>
              <w:t>合价</w:t>
            </w:r>
          </w:p>
        </w:tc>
      </w:tr>
      <w:tr w14:paraId="5217BF07">
        <w:tblPrEx>
          <w:tblCellMar>
            <w:top w:w="0" w:type="dxa"/>
            <w:left w:w="108" w:type="dxa"/>
            <w:bottom w:w="0" w:type="dxa"/>
            <w:right w:w="108" w:type="dxa"/>
          </w:tblCellMar>
        </w:tblPrEx>
        <w:trPr>
          <w:trHeight w:val="464" w:hRule="atLeast"/>
        </w:trPr>
        <w:tc>
          <w:tcPr>
            <w:tcW w:w="717" w:type="dxa"/>
            <w:tcBorders>
              <w:top w:val="single" w:color="auto" w:sz="4" w:space="0"/>
              <w:left w:val="single" w:color="auto" w:sz="4" w:space="0"/>
              <w:bottom w:val="single" w:color="auto" w:sz="4" w:space="0"/>
              <w:right w:val="single" w:color="auto" w:sz="4" w:space="0"/>
            </w:tcBorders>
            <w:vAlign w:val="center"/>
          </w:tcPr>
          <w:p w14:paraId="566FB942">
            <w:pPr>
              <w:widowControl/>
              <w:jc w:val="center"/>
              <w:rPr>
                <w:kern w:val="0"/>
                <w:sz w:val="21"/>
                <w:szCs w:val="21"/>
                <w:highlight w:val="none"/>
              </w:rPr>
            </w:pPr>
            <w:r>
              <w:rPr>
                <w:kern w:val="0"/>
                <w:sz w:val="21"/>
                <w:szCs w:val="21"/>
                <w:highlight w:val="none"/>
              </w:rPr>
              <w:t>一</w:t>
            </w:r>
          </w:p>
        </w:tc>
        <w:tc>
          <w:tcPr>
            <w:tcW w:w="2183" w:type="dxa"/>
            <w:tcBorders>
              <w:top w:val="single" w:color="auto" w:sz="4" w:space="0"/>
              <w:left w:val="nil"/>
              <w:bottom w:val="single" w:color="auto" w:sz="4" w:space="0"/>
              <w:right w:val="single" w:color="auto" w:sz="4" w:space="0"/>
            </w:tcBorders>
            <w:vAlign w:val="center"/>
          </w:tcPr>
          <w:p w14:paraId="2BA36473">
            <w:pPr>
              <w:widowControl/>
              <w:jc w:val="center"/>
              <w:rPr>
                <w:kern w:val="0"/>
                <w:sz w:val="21"/>
                <w:szCs w:val="21"/>
                <w:highlight w:val="none"/>
              </w:rPr>
            </w:pPr>
            <w:r>
              <w:rPr>
                <w:kern w:val="0"/>
                <w:sz w:val="21"/>
                <w:szCs w:val="21"/>
                <w:highlight w:val="none"/>
              </w:rPr>
              <w:t>人工</w:t>
            </w:r>
          </w:p>
        </w:tc>
        <w:tc>
          <w:tcPr>
            <w:tcW w:w="1291" w:type="dxa"/>
            <w:tcBorders>
              <w:top w:val="single" w:color="auto" w:sz="4" w:space="0"/>
              <w:left w:val="nil"/>
              <w:bottom w:val="single" w:color="auto" w:sz="4" w:space="0"/>
              <w:right w:val="single" w:color="auto" w:sz="4" w:space="0"/>
            </w:tcBorders>
            <w:vAlign w:val="center"/>
          </w:tcPr>
          <w:p w14:paraId="3EA91A72">
            <w:pPr>
              <w:widowControl/>
              <w:jc w:val="left"/>
              <w:rPr>
                <w:kern w:val="0"/>
                <w:sz w:val="21"/>
                <w:szCs w:val="21"/>
                <w:highlight w:val="none"/>
              </w:rPr>
            </w:pPr>
            <w:r>
              <w:rPr>
                <w:kern w:val="0"/>
                <w:sz w:val="21"/>
                <w:szCs w:val="21"/>
                <w:highlight w:val="none"/>
              </w:rPr>
              <w:t>　</w:t>
            </w:r>
          </w:p>
        </w:tc>
        <w:tc>
          <w:tcPr>
            <w:tcW w:w="1636" w:type="dxa"/>
            <w:tcBorders>
              <w:top w:val="single" w:color="auto" w:sz="4" w:space="0"/>
              <w:left w:val="nil"/>
              <w:bottom w:val="single" w:color="auto" w:sz="4" w:space="0"/>
              <w:right w:val="single" w:color="auto" w:sz="4" w:space="0"/>
            </w:tcBorders>
            <w:vAlign w:val="center"/>
          </w:tcPr>
          <w:p w14:paraId="53D79004">
            <w:pPr>
              <w:widowControl/>
              <w:jc w:val="left"/>
              <w:rPr>
                <w:kern w:val="0"/>
                <w:sz w:val="21"/>
                <w:szCs w:val="21"/>
                <w:highlight w:val="none"/>
              </w:rPr>
            </w:pPr>
            <w:r>
              <w:rPr>
                <w:kern w:val="0"/>
                <w:sz w:val="21"/>
                <w:szCs w:val="21"/>
                <w:highlight w:val="none"/>
              </w:rPr>
              <w:t>　</w:t>
            </w:r>
          </w:p>
        </w:tc>
        <w:tc>
          <w:tcPr>
            <w:tcW w:w="1486" w:type="dxa"/>
            <w:tcBorders>
              <w:top w:val="single" w:color="auto" w:sz="4" w:space="0"/>
              <w:left w:val="nil"/>
              <w:bottom w:val="single" w:color="auto" w:sz="4" w:space="0"/>
              <w:right w:val="single" w:color="auto" w:sz="4" w:space="0"/>
            </w:tcBorders>
            <w:vAlign w:val="center"/>
          </w:tcPr>
          <w:p w14:paraId="10F27478">
            <w:pPr>
              <w:widowControl/>
              <w:jc w:val="center"/>
              <w:rPr>
                <w:kern w:val="0"/>
                <w:sz w:val="21"/>
                <w:szCs w:val="21"/>
                <w:highlight w:val="none"/>
              </w:rPr>
            </w:pPr>
            <w:r>
              <w:rPr>
                <w:kern w:val="0"/>
                <w:sz w:val="21"/>
                <w:szCs w:val="21"/>
                <w:highlight w:val="none"/>
              </w:rPr>
              <w:t>　</w:t>
            </w:r>
          </w:p>
        </w:tc>
        <w:tc>
          <w:tcPr>
            <w:tcW w:w="1937" w:type="dxa"/>
            <w:tcBorders>
              <w:top w:val="single" w:color="auto" w:sz="4" w:space="0"/>
              <w:left w:val="nil"/>
              <w:bottom w:val="single" w:color="auto" w:sz="4" w:space="0"/>
              <w:right w:val="single" w:color="auto" w:sz="4" w:space="0"/>
            </w:tcBorders>
            <w:vAlign w:val="center"/>
          </w:tcPr>
          <w:p w14:paraId="532B992B">
            <w:pPr>
              <w:widowControl/>
              <w:jc w:val="center"/>
              <w:rPr>
                <w:kern w:val="0"/>
                <w:sz w:val="21"/>
                <w:szCs w:val="21"/>
                <w:highlight w:val="none"/>
              </w:rPr>
            </w:pPr>
          </w:p>
        </w:tc>
      </w:tr>
      <w:tr w14:paraId="181CDDAD">
        <w:tblPrEx>
          <w:tblCellMar>
            <w:top w:w="0" w:type="dxa"/>
            <w:left w:w="108" w:type="dxa"/>
            <w:bottom w:w="0" w:type="dxa"/>
            <w:right w:w="108" w:type="dxa"/>
          </w:tblCellMar>
        </w:tblPrEx>
        <w:trPr>
          <w:trHeight w:val="464" w:hRule="atLeast"/>
        </w:trPr>
        <w:tc>
          <w:tcPr>
            <w:tcW w:w="717" w:type="dxa"/>
            <w:tcBorders>
              <w:top w:val="nil"/>
              <w:left w:val="single" w:color="auto" w:sz="4" w:space="0"/>
              <w:bottom w:val="single" w:color="auto" w:sz="4" w:space="0"/>
              <w:right w:val="single" w:color="auto" w:sz="4" w:space="0"/>
            </w:tcBorders>
            <w:vAlign w:val="center"/>
          </w:tcPr>
          <w:p w14:paraId="2C5602C9">
            <w:pPr>
              <w:widowControl/>
              <w:jc w:val="center"/>
              <w:rPr>
                <w:kern w:val="0"/>
                <w:sz w:val="21"/>
                <w:szCs w:val="21"/>
                <w:highlight w:val="none"/>
              </w:rPr>
            </w:pPr>
            <w:r>
              <w:rPr>
                <w:kern w:val="0"/>
                <w:sz w:val="21"/>
                <w:szCs w:val="21"/>
                <w:highlight w:val="none"/>
              </w:rPr>
              <w:t>1</w:t>
            </w:r>
          </w:p>
        </w:tc>
        <w:tc>
          <w:tcPr>
            <w:tcW w:w="2183" w:type="dxa"/>
            <w:tcBorders>
              <w:top w:val="nil"/>
              <w:left w:val="nil"/>
              <w:bottom w:val="single" w:color="auto" w:sz="4" w:space="0"/>
              <w:right w:val="single" w:color="auto" w:sz="4" w:space="0"/>
            </w:tcBorders>
            <w:vAlign w:val="center"/>
          </w:tcPr>
          <w:p w14:paraId="08F0B37F">
            <w:pPr>
              <w:widowControl/>
              <w:jc w:val="left"/>
              <w:rPr>
                <w:kern w:val="0"/>
                <w:sz w:val="21"/>
                <w:szCs w:val="21"/>
                <w:highlight w:val="none"/>
              </w:rPr>
            </w:pPr>
            <w:r>
              <w:rPr>
                <w:kern w:val="0"/>
                <w:sz w:val="21"/>
                <w:szCs w:val="21"/>
                <w:highlight w:val="none"/>
              </w:rPr>
              <w:t>　</w:t>
            </w:r>
          </w:p>
        </w:tc>
        <w:tc>
          <w:tcPr>
            <w:tcW w:w="1291" w:type="dxa"/>
            <w:tcBorders>
              <w:top w:val="nil"/>
              <w:left w:val="nil"/>
              <w:bottom w:val="single" w:color="auto" w:sz="4" w:space="0"/>
              <w:right w:val="single" w:color="auto" w:sz="4" w:space="0"/>
            </w:tcBorders>
            <w:vAlign w:val="center"/>
          </w:tcPr>
          <w:p w14:paraId="7AD8661E">
            <w:pPr>
              <w:widowControl/>
              <w:jc w:val="left"/>
              <w:rPr>
                <w:kern w:val="0"/>
                <w:sz w:val="21"/>
                <w:szCs w:val="21"/>
                <w:highlight w:val="none"/>
              </w:rPr>
            </w:pPr>
            <w:r>
              <w:rPr>
                <w:kern w:val="0"/>
                <w:sz w:val="21"/>
                <w:szCs w:val="21"/>
                <w:highlight w:val="none"/>
              </w:rPr>
              <w:t>　</w:t>
            </w:r>
          </w:p>
        </w:tc>
        <w:tc>
          <w:tcPr>
            <w:tcW w:w="1636" w:type="dxa"/>
            <w:tcBorders>
              <w:top w:val="nil"/>
              <w:left w:val="nil"/>
              <w:bottom w:val="single" w:color="auto" w:sz="4" w:space="0"/>
              <w:right w:val="single" w:color="auto" w:sz="4" w:space="0"/>
            </w:tcBorders>
            <w:vAlign w:val="center"/>
          </w:tcPr>
          <w:p w14:paraId="77AF71E7">
            <w:pPr>
              <w:widowControl/>
              <w:jc w:val="left"/>
              <w:rPr>
                <w:kern w:val="0"/>
                <w:sz w:val="21"/>
                <w:szCs w:val="21"/>
                <w:highlight w:val="none"/>
              </w:rPr>
            </w:pPr>
            <w:r>
              <w:rPr>
                <w:kern w:val="0"/>
                <w:sz w:val="21"/>
                <w:szCs w:val="21"/>
                <w:highlight w:val="none"/>
              </w:rPr>
              <w:t>　</w:t>
            </w:r>
          </w:p>
        </w:tc>
        <w:tc>
          <w:tcPr>
            <w:tcW w:w="1486" w:type="dxa"/>
            <w:tcBorders>
              <w:top w:val="nil"/>
              <w:left w:val="nil"/>
              <w:bottom w:val="single" w:color="auto" w:sz="4" w:space="0"/>
              <w:right w:val="single" w:color="auto" w:sz="4" w:space="0"/>
            </w:tcBorders>
            <w:vAlign w:val="center"/>
          </w:tcPr>
          <w:p w14:paraId="2D8D9BBF">
            <w:pPr>
              <w:widowControl/>
              <w:jc w:val="left"/>
              <w:rPr>
                <w:kern w:val="0"/>
                <w:sz w:val="21"/>
                <w:szCs w:val="21"/>
                <w:highlight w:val="none"/>
              </w:rPr>
            </w:pPr>
            <w:r>
              <w:rPr>
                <w:kern w:val="0"/>
                <w:sz w:val="21"/>
                <w:szCs w:val="21"/>
                <w:highlight w:val="none"/>
              </w:rPr>
              <w:t>　</w:t>
            </w:r>
          </w:p>
        </w:tc>
        <w:tc>
          <w:tcPr>
            <w:tcW w:w="1937" w:type="dxa"/>
            <w:tcBorders>
              <w:top w:val="nil"/>
              <w:left w:val="nil"/>
              <w:bottom w:val="single" w:color="auto" w:sz="4" w:space="0"/>
              <w:right w:val="single" w:color="auto" w:sz="4" w:space="0"/>
            </w:tcBorders>
            <w:vAlign w:val="center"/>
          </w:tcPr>
          <w:p w14:paraId="70D6A320">
            <w:pPr>
              <w:widowControl/>
              <w:jc w:val="center"/>
              <w:rPr>
                <w:kern w:val="0"/>
                <w:sz w:val="21"/>
                <w:szCs w:val="21"/>
                <w:highlight w:val="none"/>
              </w:rPr>
            </w:pPr>
          </w:p>
        </w:tc>
      </w:tr>
      <w:tr w14:paraId="49E1A380">
        <w:tblPrEx>
          <w:tblCellMar>
            <w:top w:w="0" w:type="dxa"/>
            <w:left w:w="108" w:type="dxa"/>
            <w:bottom w:w="0" w:type="dxa"/>
            <w:right w:w="108" w:type="dxa"/>
          </w:tblCellMar>
        </w:tblPrEx>
        <w:trPr>
          <w:trHeight w:val="464" w:hRule="atLeast"/>
        </w:trPr>
        <w:tc>
          <w:tcPr>
            <w:tcW w:w="717" w:type="dxa"/>
            <w:tcBorders>
              <w:top w:val="nil"/>
              <w:left w:val="single" w:color="auto" w:sz="4" w:space="0"/>
              <w:bottom w:val="single" w:color="auto" w:sz="4" w:space="0"/>
              <w:right w:val="single" w:color="auto" w:sz="4" w:space="0"/>
            </w:tcBorders>
            <w:vAlign w:val="center"/>
          </w:tcPr>
          <w:p w14:paraId="2E57E879">
            <w:pPr>
              <w:widowControl/>
              <w:jc w:val="center"/>
              <w:rPr>
                <w:kern w:val="0"/>
                <w:sz w:val="21"/>
                <w:szCs w:val="21"/>
                <w:highlight w:val="none"/>
              </w:rPr>
            </w:pPr>
            <w:r>
              <w:rPr>
                <w:kern w:val="0"/>
                <w:sz w:val="21"/>
                <w:szCs w:val="21"/>
                <w:highlight w:val="none"/>
              </w:rPr>
              <w:t>2</w:t>
            </w:r>
          </w:p>
        </w:tc>
        <w:tc>
          <w:tcPr>
            <w:tcW w:w="2183" w:type="dxa"/>
            <w:tcBorders>
              <w:top w:val="nil"/>
              <w:left w:val="nil"/>
              <w:bottom w:val="single" w:color="auto" w:sz="4" w:space="0"/>
              <w:right w:val="single" w:color="auto" w:sz="4" w:space="0"/>
            </w:tcBorders>
            <w:vAlign w:val="center"/>
          </w:tcPr>
          <w:p w14:paraId="25DD907D">
            <w:pPr>
              <w:widowControl/>
              <w:jc w:val="left"/>
              <w:rPr>
                <w:kern w:val="0"/>
                <w:sz w:val="21"/>
                <w:szCs w:val="21"/>
                <w:highlight w:val="none"/>
              </w:rPr>
            </w:pPr>
            <w:r>
              <w:rPr>
                <w:kern w:val="0"/>
                <w:sz w:val="21"/>
                <w:szCs w:val="21"/>
                <w:highlight w:val="none"/>
              </w:rPr>
              <w:t>　</w:t>
            </w:r>
          </w:p>
        </w:tc>
        <w:tc>
          <w:tcPr>
            <w:tcW w:w="1291" w:type="dxa"/>
            <w:tcBorders>
              <w:top w:val="nil"/>
              <w:left w:val="nil"/>
              <w:bottom w:val="single" w:color="auto" w:sz="4" w:space="0"/>
              <w:right w:val="single" w:color="auto" w:sz="4" w:space="0"/>
            </w:tcBorders>
            <w:vAlign w:val="center"/>
          </w:tcPr>
          <w:p w14:paraId="30B6C239">
            <w:pPr>
              <w:widowControl/>
              <w:jc w:val="left"/>
              <w:rPr>
                <w:kern w:val="0"/>
                <w:sz w:val="21"/>
                <w:szCs w:val="21"/>
                <w:highlight w:val="none"/>
              </w:rPr>
            </w:pPr>
            <w:r>
              <w:rPr>
                <w:kern w:val="0"/>
                <w:sz w:val="21"/>
                <w:szCs w:val="21"/>
                <w:highlight w:val="none"/>
              </w:rPr>
              <w:t>　</w:t>
            </w:r>
          </w:p>
        </w:tc>
        <w:tc>
          <w:tcPr>
            <w:tcW w:w="1636" w:type="dxa"/>
            <w:tcBorders>
              <w:top w:val="nil"/>
              <w:left w:val="nil"/>
              <w:bottom w:val="single" w:color="auto" w:sz="4" w:space="0"/>
              <w:right w:val="single" w:color="auto" w:sz="4" w:space="0"/>
            </w:tcBorders>
            <w:vAlign w:val="center"/>
          </w:tcPr>
          <w:p w14:paraId="0B36475D">
            <w:pPr>
              <w:widowControl/>
              <w:jc w:val="left"/>
              <w:rPr>
                <w:kern w:val="0"/>
                <w:sz w:val="21"/>
                <w:szCs w:val="21"/>
                <w:highlight w:val="none"/>
              </w:rPr>
            </w:pPr>
            <w:r>
              <w:rPr>
                <w:kern w:val="0"/>
                <w:sz w:val="21"/>
                <w:szCs w:val="21"/>
                <w:highlight w:val="none"/>
              </w:rPr>
              <w:t>　</w:t>
            </w:r>
          </w:p>
        </w:tc>
        <w:tc>
          <w:tcPr>
            <w:tcW w:w="1486" w:type="dxa"/>
            <w:tcBorders>
              <w:top w:val="nil"/>
              <w:left w:val="nil"/>
              <w:bottom w:val="single" w:color="auto" w:sz="4" w:space="0"/>
              <w:right w:val="single" w:color="auto" w:sz="4" w:space="0"/>
            </w:tcBorders>
            <w:vAlign w:val="center"/>
          </w:tcPr>
          <w:p w14:paraId="57E38BE6">
            <w:pPr>
              <w:widowControl/>
              <w:jc w:val="left"/>
              <w:rPr>
                <w:kern w:val="0"/>
                <w:sz w:val="21"/>
                <w:szCs w:val="21"/>
                <w:highlight w:val="none"/>
              </w:rPr>
            </w:pPr>
            <w:r>
              <w:rPr>
                <w:kern w:val="0"/>
                <w:sz w:val="21"/>
                <w:szCs w:val="21"/>
                <w:highlight w:val="none"/>
              </w:rPr>
              <w:t>　</w:t>
            </w:r>
          </w:p>
        </w:tc>
        <w:tc>
          <w:tcPr>
            <w:tcW w:w="1937" w:type="dxa"/>
            <w:tcBorders>
              <w:top w:val="nil"/>
              <w:left w:val="nil"/>
              <w:bottom w:val="single" w:color="auto" w:sz="4" w:space="0"/>
              <w:right w:val="single" w:color="auto" w:sz="4" w:space="0"/>
            </w:tcBorders>
            <w:vAlign w:val="center"/>
          </w:tcPr>
          <w:p w14:paraId="199ED3CD">
            <w:pPr>
              <w:widowControl/>
              <w:jc w:val="center"/>
              <w:rPr>
                <w:kern w:val="0"/>
                <w:sz w:val="21"/>
                <w:szCs w:val="21"/>
                <w:highlight w:val="none"/>
              </w:rPr>
            </w:pPr>
          </w:p>
        </w:tc>
      </w:tr>
      <w:tr w14:paraId="311E746C">
        <w:tblPrEx>
          <w:tblCellMar>
            <w:top w:w="0" w:type="dxa"/>
            <w:left w:w="108" w:type="dxa"/>
            <w:bottom w:w="0" w:type="dxa"/>
            <w:right w:w="108" w:type="dxa"/>
          </w:tblCellMar>
        </w:tblPrEx>
        <w:trPr>
          <w:trHeight w:val="542" w:hRule="atLeast"/>
        </w:trPr>
        <w:tc>
          <w:tcPr>
            <w:tcW w:w="2900" w:type="dxa"/>
            <w:gridSpan w:val="2"/>
            <w:tcBorders>
              <w:top w:val="single" w:color="auto" w:sz="4" w:space="0"/>
              <w:left w:val="single" w:color="auto" w:sz="4" w:space="0"/>
              <w:bottom w:val="single" w:color="auto" w:sz="4" w:space="0"/>
              <w:right w:val="single" w:color="000000" w:sz="4" w:space="0"/>
            </w:tcBorders>
            <w:vAlign w:val="center"/>
          </w:tcPr>
          <w:p w14:paraId="32F98692">
            <w:pPr>
              <w:widowControl/>
              <w:jc w:val="center"/>
              <w:rPr>
                <w:kern w:val="0"/>
                <w:sz w:val="21"/>
                <w:szCs w:val="21"/>
                <w:highlight w:val="none"/>
              </w:rPr>
            </w:pPr>
            <w:r>
              <w:rPr>
                <w:kern w:val="0"/>
                <w:sz w:val="21"/>
                <w:szCs w:val="21"/>
                <w:highlight w:val="none"/>
              </w:rPr>
              <w:t>人工小计</w:t>
            </w:r>
          </w:p>
        </w:tc>
        <w:tc>
          <w:tcPr>
            <w:tcW w:w="4413" w:type="dxa"/>
            <w:gridSpan w:val="3"/>
            <w:tcBorders>
              <w:top w:val="single" w:color="auto" w:sz="4" w:space="0"/>
              <w:left w:val="single" w:color="auto" w:sz="4" w:space="0"/>
              <w:bottom w:val="single" w:color="auto" w:sz="4" w:space="0"/>
              <w:right w:val="single" w:color="000000" w:sz="4" w:space="0"/>
            </w:tcBorders>
            <w:vAlign w:val="center"/>
          </w:tcPr>
          <w:p w14:paraId="3BB28A80">
            <w:pPr>
              <w:widowControl/>
              <w:jc w:val="center"/>
              <w:rPr>
                <w:kern w:val="0"/>
                <w:sz w:val="21"/>
                <w:szCs w:val="21"/>
                <w:highlight w:val="none"/>
              </w:rPr>
            </w:pPr>
          </w:p>
        </w:tc>
        <w:tc>
          <w:tcPr>
            <w:tcW w:w="1937" w:type="dxa"/>
            <w:tcBorders>
              <w:top w:val="nil"/>
              <w:left w:val="nil"/>
              <w:bottom w:val="single" w:color="auto" w:sz="4" w:space="0"/>
              <w:right w:val="single" w:color="auto" w:sz="4" w:space="0"/>
            </w:tcBorders>
            <w:vAlign w:val="center"/>
          </w:tcPr>
          <w:p w14:paraId="5D2CBADC">
            <w:pPr>
              <w:widowControl/>
              <w:jc w:val="center"/>
              <w:rPr>
                <w:kern w:val="0"/>
                <w:sz w:val="21"/>
                <w:szCs w:val="21"/>
                <w:highlight w:val="none"/>
              </w:rPr>
            </w:pPr>
          </w:p>
        </w:tc>
      </w:tr>
      <w:tr w14:paraId="22BF95B5">
        <w:tblPrEx>
          <w:tblCellMar>
            <w:top w:w="0" w:type="dxa"/>
            <w:left w:w="108" w:type="dxa"/>
            <w:bottom w:w="0" w:type="dxa"/>
            <w:right w:w="108" w:type="dxa"/>
          </w:tblCellMar>
        </w:tblPrEx>
        <w:trPr>
          <w:trHeight w:val="464" w:hRule="atLeast"/>
        </w:trPr>
        <w:tc>
          <w:tcPr>
            <w:tcW w:w="717" w:type="dxa"/>
            <w:tcBorders>
              <w:top w:val="nil"/>
              <w:left w:val="single" w:color="auto" w:sz="4" w:space="0"/>
              <w:bottom w:val="single" w:color="auto" w:sz="4" w:space="0"/>
              <w:right w:val="single" w:color="auto" w:sz="4" w:space="0"/>
            </w:tcBorders>
            <w:vAlign w:val="center"/>
          </w:tcPr>
          <w:p w14:paraId="33028640">
            <w:pPr>
              <w:widowControl/>
              <w:jc w:val="center"/>
              <w:rPr>
                <w:kern w:val="0"/>
                <w:sz w:val="21"/>
                <w:szCs w:val="21"/>
                <w:highlight w:val="none"/>
              </w:rPr>
            </w:pPr>
            <w:r>
              <w:rPr>
                <w:kern w:val="0"/>
                <w:sz w:val="21"/>
                <w:szCs w:val="21"/>
                <w:highlight w:val="none"/>
              </w:rPr>
              <w:t>二</w:t>
            </w:r>
          </w:p>
        </w:tc>
        <w:tc>
          <w:tcPr>
            <w:tcW w:w="2183" w:type="dxa"/>
            <w:tcBorders>
              <w:top w:val="nil"/>
              <w:left w:val="nil"/>
              <w:bottom w:val="single" w:color="auto" w:sz="4" w:space="0"/>
              <w:right w:val="single" w:color="auto" w:sz="4" w:space="0"/>
            </w:tcBorders>
            <w:vAlign w:val="center"/>
          </w:tcPr>
          <w:p w14:paraId="0DB3EB27">
            <w:pPr>
              <w:widowControl/>
              <w:jc w:val="center"/>
              <w:rPr>
                <w:kern w:val="0"/>
                <w:sz w:val="21"/>
                <w:szCs w:val="21"/>
                <w:highlight w:val="none"/>
              </w:rPr>
            </w:pPr>
            <w:r>
              <w:rPr>
                <w:kern w:val="0"/>
                <w:sz w:val="21"/>
                <w:szCs w:val="21"/>
                <w:highlight w:val="none"/>
              </w:rPr>
              <w:t>材料</w:t>
            </w:r>
          </w:p>
        </w:tc>
        <w:tc>
          <w:tcPr>
            <w:tcW w:w="1291" w:type="dxa"/>
            <w:tcBorders>
              <w:top w:val="nil"/>
              <w:left w:val="nil"/>
              <w:bottom w:val="single" w:color="auto" w:sz="4" w:space="0"/>
              <w:right w:val="single" w:color="auto" w:sz="4" w:space="0"/>
            </w:tcBorders>
            <w:vAlign w:val="center"/>
          </w:tcPr>
          <w:p w14:paraId="4125FD21">
            <w:pPr>
              <w:widowControl/>
              <w:jc w:val="left"/>
              <w:rPr>
                <w:kern w:val="0"/>
                <w:sz w:val="21"/>
                <w:szCs w:val="21"/>
                <w:highlight w:val="none"/>
              </w:rPr>
            </w:pPr>
            <w:r>
              <w:rPr>
                <w:kern w:val="0"/>
                <w:sz w:val="21"/>
                <w:szCs w:val="21"/>
                <w:highlight w:val="none"/>
              </w:rPr>
              <w:t>　</w:t>
            </w:r>
          </w:p>
        </w:tc>
        <w:tc>
          <w:tcPr>
            <w:tcW w:w="1636" w:type="dxa"/>
            <w:tcBorders>
              <w:top w:val="nil"/>
              <w:left w:val="nil"/>
              <w:bottom w:val="single" w:color="auto" w:sz="4" w:space="0"/>
              <w:right w:val="single" w:color="auto" w:sz="4" w:space="0"/>
            </w:tcBorders>
            <w:vAlign w:val="center"/>
          </w:tcPr>
          <w:p w14:paraId="30B6DC8F">
            <w:pPr>
              <w:widowControl/>
              <w:jc w:val="left"/>
              <w:rPr>
                <w:kern w:val="0"/>
                <w:sz w:val="21"/>
                <w:szCs w:val="21"/>
                <w:highlight w:val="none"/>
              </w:rPr>
            </w:pPr>
            <w:r>
              <w:rPr>
                <w:kern w:val="0"/>
                <w:sz w:val="21"/>
                <w:szCs w:val="21"/>
                <w:highlight w:val="none"/>
              </w:rPr>
              <w:t>　</w:t>
            </w:r>
          </w:p>
        </w:tc>
        <w:tc>
          <w:tcPr>
            <w:tcW w:w="1486" w:type="dxa"/>
            <w:tcBorders>
              <w:top w:val="nil"/>
              <w:left w:val="nil"/>
              <w:bottom w:val="single" w:color="auto" w:sz="4" w:space="0"/>
              <w:right w:val="single" w:color="auto" w:sz="4" w:space="0"/>
            </w:tcBorders>
            <w:vAlign w:val="center"/>
          </w:tcPr>
          <w:p w14:paraId="31E26875">
            <w:pPr>
              <w:widowControl/>
              <w:jc w:val="left"/>
              <w:rPr>
                <w:kern w:val="0"/>
                <w:sz w:val="21"/>
                <w:szCs w:val="21"/>
                <w:highlight w:val="none"/>
              </w:rPr>
            </w:pPr>
            <w:r>
              <w:rPr>
                <w:kern w:val="0"/>
                <w:sz w:val="21"/>
                <w:szCs w:val="21"/>
                <w:highlight w:val="none"/>
              </w:rPr>
              <w:t>　</w:t>
            </w:r>
          </w:p>
        </w:tc>
        <w:tc>
          <w:tcPr>
            <w:tcW w:w="1937" w:type="dxa"/>
            <w:tcBorders>
              <w:top w:val="nil"/>
              <w:left w:val="nil"/>
              <w:bottom w:val="single" w:color="auto" w:sz="4" w:space="0"/>
              <w:right w:val="single" w:color="auto" w:sz="4" w:space="0"/>
            </w:tcBorders>
            <w:vAlign w:val="center"/>
          </w:tcPr>
          <w:p w14:paraId="122A8294">
            <w:pPr>
              <w:widowControl/>
              <w:jc w:val="center"/>
              <w:rPr>
                <w:kern w:val="0"/>
                <w:sz w:val="21"/>
                <w:szCs w:val="21"/>
                <w:highlight w:val="none"/>
              </w:rPr>
            </w:pPr>
          </w:p>
        </w:tc>
      </w:tr>
      <w:tr w14:paraId="0D1FBF88">
        <w:tblPrEx>
          <w:tblCellMar>
            <w:top w:w="0" w:type="dxa"/>
            <w:left w:w="108" w:type="dxa"/>
            <w:bottom w:w="0" w:type="dxa"/>
            <w:right w:w="108" w:type="dxa"/>
          </w:tblCellMar>
        </w:tblPrEx>
        <w:trPr>
          <w:trHeight w:val="464" w:hRule="atLeast"/>
        </w:trPr>
        <w:tc>
          <w:tcPr>
            <w:tcW w:w="717" w:type="dxa"/>
            <w:tcBorders>
              <w:top w:val="nil"/>
              <w:left w:val="single" w:color="auto" w:sz="4" w:space="0"/>
              <w:bottom w:val="single" w:color="auto" w:sz="4" w:space="0"/>
              <w:right w:val="single" w:color="auto" w:sz="4" w:space="0"/>
            </w:tcBorders>
            <w:vAlign w:val="center"/>
          </w:tcPr>
          <w:p w14:paraId="4585C5BC">
            <w:pPr>
              <w:widowControl/>
              <w:jc w:val="center"/>
              <w:rPr>
                <w:kern w:val="0"/>
                <w:sz w:val="21"/>
                <w:szCs w:val="21"/>
                <w:highlight w:val="none"/>
              </w:rPr>
            </w:pPr>
            <w:r>
              <w:rPr>
                <w:kern w:val="0"/>
                <w:sz w:val="21"/>
                <w:szCs w:val="21"/>
                <w:highlight w:val="none"/>
              </w:rPr>
              <w:t>1</w:t>
            </w:r>
          </w:p>
        </w:tc>
        <w:tc>
          <w:tcPr>
            <w:tcW w:w="2183" w:type="dxa"/>
            <w:tcBorders>
              <w:top w:val="nil"/>
              <w:left w:val="nil"/>
              <w:bottom w:val="single" w:color="auto" w:sz="4" w:space="0"/>
              <w:right w:val="single" w:color="auto" w:sz="4" w:space="0"/>
            </w:tcBorders>
            <w:vAlign w:val="center"/>
          </w:tcPr>
          <w:p w14:paraId="091BC51F">
            <w:pPr>
              <w:widowControl/>
              <w:jc w:val="left"/>
              <w:rPr>
                <w:kern w:val="0"/>
                <w:sz w:val="21"/>
                <w:szCs w:val="21"/>
                <w:highlight w:val="none"/>
              </w:rPr>
            </w:pPr>
            <w:r>
              <w:rPr>
                <w:kern w:val="0"/>
                <w:sz w:val="21"/>
                <w:szCs w:val="21"/>
                <w:highlight w:val="none"/>
              </w:rPr>
              <w:t>　</w:t>
            </w:r>
          </w:p>
        </w:tc>
        <w:tc>
          <w:tcPr>
            <w:tcW w:w="1291" w:type="dxa"/>
            <w:tcBorders>
              <w:top w:val="nil"/>
              <w:left w:val="nil"/>
              <w:bottom w:val="single" w:color="auto" w:sz="4" w:space="0"/>
              <w:right w:val="single" w:color="auto" w:sz="4" w:space="0"/>
            </w:tcBorders>
            <w:vAlign w:val="center"/>
          </w:tcPr>
          <w:p w14:paraId="2451B7D1">
            <w:pPr>
              <w:widowControl/>
              <w:jc w:val="left"/>
              <w:rPr>
                <w:kern w:val="0"/>
                <w:sz w:val="21"/>
                <w:szCs w:val="21"/>
                <w:highlight w:val="none"/>
              </w:rPr>
            </w:pPr>
            <w:r>
              <w:rPr>
                <w:kern w:val="0"/>
                <w:sz w:val="21"/>
                <w:szCs w:val="21"/>
                <w:highlight w:val="none"/>
              </w:rPr>
              <w:t>　</w:t>
            </w:r>
          </w:p>
        </w:tc>
        <w:tc>
          <w:tcPr>
            <w:tcW w:w="1636" w:type="dxa"/>
            <w:tcBorders>
              <w:top w:val="nil"/>
              <w:left w:val="nil"/>
              <w:bottom w:val="single" w:color="auto" w:sz="4" w:space="0"/>
              <w:right w:val="single" w:color="auto" w:sz="4" w:space="0"/>
            </w:tcBorders>
            <w:vAlign w:val="center"/>
          </w:tcPr>
          <w:p w14:paraId="28F26986">
            <w:pPr>
              <w:widowControl/>
              <w:jc w:val="left"/>
              <w:rPr>
                <w:kern w:val="0"/>
                <w:sz w:val="21"/>
                <w:szCs w:val="21"/>
                <w:highlight w:val="none"/>
              </w:rPr>
            </w:pPr>
            <w:r>
              <w:rPr>
                <w:kern w:val="0"/>
                <w:sz w:val="21"/>
                <w:szCs w:val="21"/>
                <w:highlight w:val="none"/>
              </w:rPr>
              <w:t>　</w:t>
            </w:r>
          </w:p>
        </w:tc>
        <w:tc>
          <w:tcPr>
            <w:tcW w:w="1486" w:type="dxa"/>
            <w:tcBorders>
              <w:top w:val="nil"/>
              <w:left w:val="nil"/>
              <w:bottom w:val="single" w:color="auto" w:sz="4" w:space="0"/>
              <w:right w:val="single" w:color="auto" w:sz="4" w:space="0"/>
            </w:tcBorders>
            <w:vAlign w:val="center"/>
          </w:tcPr>
          <w:p w14:paraId="57B08DCA">
            <w:pPr>
              <w:widowControl/>
              <w:jc w:val="left"/>
              <w:rPr>
                <w:kern w:val="0"/>
                <w:sz w:val="21"/>
                <w:szCs w:val="21"/>
                <w:highlight w:val="none"/>
              </w:rPr>
            </w:pPr>
            <w:r>
              <w:rPr>
                <w:kern w:val="0"/>
                <w:sz w:val="21"/>
                <w:szCs w:val="21"/>
                <w:highlight w:val="none"/>
              </w:rPr>
              <w:t>　</w:t>
            </w:r>
          </w:p>
        </w:tc>
        <w:tc>
          <w:tcPr>
            <w:tcW w:w="1937" w:type="dxa"/>
            <w:tcBorders>
              <w:top w:val="nil"/>
              <w:left w:val="nil"/>
              <w:bottom w:val="single" w:color="auto" w:sz="4" w:space="0"/>
              <w:right w:val="single" w:color="auto" w:sz="4" w:space="0"/>
            </w:tcBorders>
            <w:vAlign w:val="center"/>
          </w:tcPr>
          <w:p w14:paraId="39E66983">
            <w:pPr>
              <w:widowControl/>
              <w:jc w:val="center"/>
              <w:rPr>
                <w:kern w:val="0"/>
                <w:sz w:val="21"/>
                <w:szCs w:val="21"/>
                <w:highlight w:val="none"/>
              </w:rPr>
            </w:pPr>
          </w:p>
        </w:tc>
      </w:tr>
      <w:tr w14:paraId="09395AF6">
        <w:tblPrEx>
          <w:tblCellMar>
            <w:top w:w="0" w:type="dxa"/>
            <w:left w:w="108" w:type="dxa"/>
            <w:bottom w:w="0" w:type="dxa"/>
            <w:right w:w="108" w:type="dxa"/>
          </w:tblCellMar>
        </w:tblPrEx>
        <w:trPr>
          <w:trHeight w:val="464" w:hRule="atLeast"/>
        </w:trPr>
        <w:tc>
          <w:tcPr>
            <w:tcW w:w="717" w:type="dxa"/>
            <w:tcBorders>
              <w:top w:val="nil"/>
              <w:left w:val="single" w:color="auto" w:sz="4" w:space="0"/>
              <w:bottom w:val="single" w:color="auto" w:sz="4" w:space="0"/>
              <w:right w:val="single" w:color="auto" w:sz="4" w:space="0"/>
            </w:tcBorders>
            <w:vAlign w:val="center"/>
          </w:tcPr>
          <w:p w14:paraId="5BF206EC">
            <w:pPr>
              <w:widowControl/>
              <w:jc w:val="center"/>
              <w:rPr>
                <w:kern w:val="0"/>
                <w:sz w:val="21"/>
                <w:szCs w:val="21"/>
                <w:highlight w:val="none"/>
              </w:rPr>
            </w:pPr>
            <w:r>
              <w:rPr>
                <w:kern w:val="0"/>
                <w:sz w:val="21"/>
                <w:szCs w:val="21"/>
                <w:highlight w:val="none"/>
              </w:rPr>
              <w:t>2</w:t>
            </w:r>
          </w:p>
        </w:tc>
        <w:tc>
          <w:tcPr>
            <w:tcW w:w="2183" w:type="dxa"/>
            <w:tcBorders>
              <w:top w:val="nil"/>
              <w:left w:val="nil"/>
              <w:bottom w:val="single" w:color="auto" w:sz="4" w:space="0"/>
              <w:right w:val="single" w:color="auto" w:sz="4" w:space="0"/>
            </w:tcBorders>
            <w:vAlign w:val="center"/>
          </w:tcPr>
          <w:p w14:paraId="51FB1492">
            <w:pPr>
              <w:widowControl/>
              <w:jc w:val="left"/>
              <w:rPr>
                <w:kern w:val="0"/>
                <w:sz w:val="21"/>
                <w:szCs w:val="21"/>
                <w:highlight w:val="none"/>
              </w:rPr>
            </w:pPr>
            <w:r>
              <w:rPr>
                <w:kern w:val="0"/>
                <w:sz w:val="21"/>
                <w:szCs w:val="21"/>
                <w:highlight w:val="none"/>
              </w:rPr>
              <w:t>　</w:t>
            </w:r>
          </w:p>
        </w:tc>
        <w:tc>
          <w:tcPr>
            <w:tcW w:w="1291" w:type="dxa"/>
            <w:tcBorders>
              <w:top w:val="nil"/>
              <w:left w:val="nil"/>
              <w:bottom w:val="single" w:color="auto" w:sz="4" w:space="0"/>
              <w:right w:val="single" w:color="auto" w:sz="4" w:space="0"/>
            </w:tcBorders>
            <w:vAlign w:val="center"/>
          </w:tcPr>
          <w:p w14:paraId="31F59EE4">
            <w:pPr>
              <w:widowControl/>
              <w:jc w:val="left"/>
              <w:rPr>
                <w:kern w:val="0"/>
                <w:sz w:val="21"/>
                <w:szCs w:val="21"/>
                <w:highlight w:val="none"/>
              </w:rPr>
            </w:pPr>
            <w:r>
              <w:rPr>
                <w:kern w:val="0"/>
                <w:sz w:val="21"/>
                <w:szCs w:val="21"/>
                <w:highlight w:val="none"/>
              </w:rPr>
              <w:t>　</w:t>
            </w:r>
          </w:p>
        </w:tc>
        <w:tc>
          <w:tcPr>
            <w:tcW w:w="1636" w:type="dxa"/>
            <w:tcBorders>
              <w:top w:val="nil"/>
              <w:left w:val="nil"/>
              <w:bottom w:val="single" w:color="auto" w:sz="4" w:space="0"/>
              <w:right w:val="single" w:color="auto" w:sz="4" w:space="0"/>
            </w:tcBorders>
            <w:vAlign w:val="center"/>
          </w:tcPr>
          <w:p w14:paraId="200A8734">
            <w:pPr>
              <w:widowControl/>
              <w:jc w:val="left"/>
              <w:rPr>
                <w:kern w:val="0"/>
                <w:sz w:val="21"/>
                <w:szCs w:val="21"/>
                <w:highlight w:val="none"/>
              </w:rPr>
            </w:pPr>
            <w:r>
              <w:rPr>
                <w:kern w:val="0"/>
                <w:sz w:val="21"/>
                <w:szCs w:val="21"/>
                <w:highlight w:val="none"/>
              </w:rPr>
              <w:t>　</w:t>
            </w:r>
          </w:p>
        </w:tc>
        <w:tc>
          <w:tcPr>
            <w:tcW w:w="1486" w:type="dxa"/>
            <w:tcBorders>
              <w:top w:val="nil"/>
              <w:left w:val="nil"/>
              <w:bottom w:val="single" w:color="auto" w:sz="4" w:space="0"/>
              <w:right w:val="single" w:color="auto" w:sz="4" w:space="0"/>
            </w:tcBorders>
            <w:vAlign w:val="center"/>
          </w:tcPr>
          <w:p w14:paraId="5E96DE83">
            <w:pPr>
              <w:widowControl/>
              <w:jc w:val="left"/>
              <w:rPr>
                <w:kern w:val="0"/>
                <w:sz w:val="21"/>
                <w:szCs w:val="21"/>
                <w:highlight w:val="none"/>
              </w:rPr>
            </w:pPr>
            <w:r>
              <w:rPr>
                <w:kern w:val="0"/>
                <w:sz w:val="21"/>
                <w:szCs w:val="21"/>
                <w:highlight w:val="none"/>
              </w:rPr>
              <w:t>　</w:t>
            </w:r>
          </w:p>
        </w:tc>
        <w:tc>
          <w:tcPr>
            <w:tcW w:w="1937" w:type="dxa"/>
            <w:tcBorders>
              <w:top w:val="nil"/>
              <w:left w:val="nil"/>
              <w:bottom w:val="single" w:color="auto" w:sz="4" w:space="0"/>
              <w:right w:val="single" w:color="auto" w:sz="4" w:space="0"/>
            </w:tcBorders>
            <w:vAlign w:val="center"/>
          </w:tcPr>
          <w:p w14:paraId="18E815AC">
            <w:pPr>
              <w:widowControl/>
              <w:jc w:val="center"/>
              <w:rPr>
                <w:kern w:val="0"/>
                <w:sz w:val="21"/>
                <w:szCs w:val="21"/>
                <w:highlight w:val="none"/>
              </w:rPr>
            </w:pPr>
          </w:p>
        </w:tc>
      </w:tr>
      <w:tr w14:paraId="3C26A70E">
        <w:tblPrEx>
          <w:tblCellMar>
            <w:top w:w="0" w:type="dxa"/>
            <w:left w:w="108" w:type="dxa"/>
            <w:bottom w:w="0" w:type="dxa"/>
            <w:right w:w="108" w:type="dxa"/>
          </w:tblCellMar>
        </w:tblPrEx>
        <w:trPr>
          <w:trHeight w:val="464" w:hRule="atLeast"/>
        </w:trPr>
        <w:tc>
          <w:tcPr>
            <w:tcW w:w="717" w:type="dxa"/>
            <w:tcBorders>
              <w:top w:val="nil"/>
              <w:left w:val="single" w:color="auto" w:sz="4" w:space="0"/>
              <w:bottom w:val="single" w:color="auto" w:sz="4" w:space="0"/>
              <w:right w:val="single" w:color="auto" w:sz="4" w:space="0"/>
            </w:tcBorders>
            <w:vAlign w:val="center"/>
          </w:tcPr>
          <w:p w14:paraId="6B79165D">
            <w:pPr>
              <w:widowControl/>
              <w:jc w:val="center"/>
              <w:rPr>
                <w:kern w:val="0"/>
                <w:sz w:val="21"/>
                <w:szCs w:val="21"/>
                <w:highlight w:val="none"/>
              </w:rPr>
            </w:pPr>
            <w:r>
              <w:rPr>
                <w:kern w:val="0"/>
                <w:sz w:val="21"/>
                <w:szCs w:val="21"/>
                <w:highlight w:val="none"/>
              </w:rPr>
              <w:t>3</w:t>
            </w:r>
          </w:p>
        </w:tc>
        <w:tc>
          <w:tcPr>
            <w:tcW w:w="2183" w:type="dxa"/>
            <w:tcBorders>
              <w:top w:val="nil"/>
              <w:left w:val="nil"/>
              <w:bottom w:val="single" w:color="auto" w:sz="4" w:space="0"/>
              <w:right w:val="single" w:color="auto" w:sz="4" w:space="0"/>
            </w:tcBorders>
            <w:vAlign w:val="center"/>
          </w:tcPr>
          <w:p w14:paraId="2F743EAB">
            <w:pPr>
              <w:widowControl/>
              <w:jc w:val="left"/>
              <w:rPr>
                <w:kern w:val="0"/>
                <w:sz w:val="21"/>
                <w:szCs w:val="21"/>
                <w:highlight w:val="none"/>
              </w:rPr>
            </w:pPr>
            <w:r>
              <w:rPr>
                <w:kern w:val="0"/>
                <w:sz w:val="21"/>
                <w:szCs w:val="21"/>
                <w:highlight w:val="none"/>
              </w:rPr>
              <w:t>　</w:t>
            </w:r>
          </w:p>
        </w:tc>
        <w:tc>
          <w:tcPr>
            <w:tcW w:w="1291" w:type="dxa"/>
            <w:tcBorders>
              <w:top w:val="nil"/>
              <w:left w:val="nil"/>
              <w:bottom w:val="single" w:color="auto" w:sz="4" w:space="0"/>
              <w:right w:val="single" w:color="auto" w:sz="4" w:space="0"/>
            </w:tcBorders>
            <w:vAlign w:val="center"/>
          </w:tcPr>
          <w:p w14:paraId="78B28D75">
            <w:pPr>
              <w:widowControl/>
              <w:jc w:val="left"/>
              <w:rPr>
                <w:kern w:val="0"/>
                <w:sz w:val="21"/>
                <w:szCs w:val="21"/>
                <w:highlight w:val="none"/>
              </w:rPr>
            </w:pPr>
            <w:r>
              <w:rPr>
                <w:kern w:val="0"/>
                <w:sz w:val="21"/>
                <w:szCs w:val="21"/>
                <w:highlight w:val="none"/>
              </w:rPr>
              <w:t>　</w:t>
            </w:r>
          </w:p>
        </w:tc>
        <w:tc>
          <w:tcPr>
            <w:tcW w:w="1636" w:type="dxa"/>
            <w:tcBorders>
              <w:top w:val="nil"/>
              <w:left w:val="nil"/>
              <w:bottom w:val="single" w:color="auto" w:sz="4" w:space="0"/>
              <w:right w:val="single" w:color="auto" w:sz="4" w:space="0"/>
            </w:tcBorders>
            <w:vAlign w:val="center"/>
          </w:tcPr>
          <w:p w14:paraId="1B42CF1C">
            <w:pPr>
              <w:widowControl/>
              <w:jc w:val="left"/>
              <w:rPr>
                <w:kern w:val="0"/>
                <w:sz w:val="21"/>
                <w:szCs w:val="21"/>
                <w:highlight w:val="none"/>
              </w:rPr>
            </w:pPr>
            <w:r>
              <w:rPr>
                <w:kern w:val="0"/>
                <w:sz w:val="21"/>
                <w:szCs w:val="21"/>
                <w:highlight w:val="none"/>
              </w:rPr>
              <w:t>　</w:t>
            </w:r>
          </w:p>
        </w:tc>
        <w:tc>
          <w:tcPr>
            <w:tcW w:w="1486" w:type="dxa"/>
            <w:tcBorders>
              <w:top w:val="nil"/>
              <w:left w:val="nil"/>
              <w:bottom w:val="single" w:color="auto" w:sz="4" w:space="0"/>
              <w:right w:val="single" w:color="auto" w:sz="4" w:space="0"/>
            </w:tcBorders>
            <w:vAlign w:val="center"/>
          </w:tcPr>
          <w:p w14:paraId="643FCAD9">
            <w:pPr>
              <w:widowControl/>
              <w:jc w:val="left"/>
              <w:rPr>
                <w:kern w:val="0"/>
                <w:sz w:val="21"/>
                <w:szCs w:val="21"/>
                <w:highlight w:val="none"/>
              </w:rPr>
            </w:pPr>
            <w:r>
              <w:rPr>
                <w:kern w:val="0"/>
                <w:sz w:val="21"/>
                <w:szCs w:val="21"/>
                <w:highlight w:val="none"/>
              </w:rPr>
              <w:t>　</w:t>
            </w:r>
          </w:p>
        </w:tc>
        <w:tc>
          <w:tcPr>
            <w:tcW w:w="1937" w:type="dxa"/>
            <w:tcBorders>
              <w:top w:val="nil"/>
              <w:left w:val="nil"/>
              <w:bottom w:val="single" w:color="auto" w:sz="4" w:space="0"/>
              <w:right w:val="single" w:color="auto" w:sz="4" w:space="0"/>
            </w:tcBorders>
            <w:vAlign w:val="center"/>
          </w:tcPr>
          <w:p w14:paraId="5A0A1FCC">
            <w:pPr>
              <w:widowControl/>
              <w:jc w:val="center"/>
              <w:rPr>
                <w:kern w:val="0"/>
                <w:sz w:val="21"/>
                <w:szCs w:val="21"/>
                <w:highlight w:val="none"/>
              </w:rPr>
            </w:pPr>
          </w:p>
        </w:tc>
      </w:tr>
      <w:tr w14:paraId="635765ED">
        <w:tblPrEx>
          <w:tblCellMar>
            <w:top w:w="0" w:type="dxa"/>
            <w:left w:w="108" w:type="dxa"/>
            <w:bottom w:w="0" w:type="dxa"/>
            <w:right w:w="108" w:type="dxa"/>
          </w:tblCellMar>
        </w:tblPrEx>
        <w:trPr>
          <w:trHeight w:val="464" w:hRule="atLeast"/>
        </w:trPr>
        <w:tc>
          <w:tcPr>
            <w:tcW w:w="717" w:type="dxa"/>
            <w:tcBorders>
              <w:top w:val="nil"/>
              <w:left w:val="single" w:color="auto" w:sz="4" w:space="0"/>
              <w:bottom w:val="single" w:color="auto" w:sz="4" w:space="0"/>
              <w:right w:val="single" w:color="auto" w:sz="4" w:space="0"/>
            </w:tcBorders>
            <w:vAlign w:val="center"/>
          </w:tcPr>
          <w:p w14:paraId="0B3A0E7F">
            <w:pPr>
              <w:widowControl/>
              <w:jc w:val="center"/>
              <w:rPr>
                <w:kern w:val="0"/>
                <w:sz w:val="21"/>
                <w:szCs w:val="21"/>
                <w:highlight w:val="none"/>
              </w:rPr>
            </w:pPr>
            <w:r>
              <w:rPr>
                <w:kern w:val="0"/>
                <w:sz w:val="21"/>
                <w:szCs w:val="21"/>
                <w:highlight w:val="none"/>
              </w:rPr>
              <w:t>4</w:t>
            </w:r>
          </w:p>
        </w:tc>
        <w:tc>
          <w:tcPr>
            <w:tcW w:w="2183" w:type="dxa"/>
            <w:tcBorders>
              <w:top w:val="nil"/>
              <w:left w:val="nil"/>
              <w:bottom w:val="single" w:color="auto" w:sz="4" w:space="0"/>
              <w:right w:val="single" w:color="auto" w:sz="4" w:space="0"/>
            </w:tcBorders>
            <w:vAlign w:val="center"/>
          </w:tcPr>
          <w:p w14:paraId="0A2BB8BE">
            <w:pPr>
              <w:widowControl/>
              <w:jc w:val="left"/>
              <w:rPr>
                <w:kern w:val="0"/>
                <w:sz w:val="21"/>
                <w:szCs w:val="21"/>
                <w:highlight w:val="none"/>
              </w:rPr>
            </w:pPr>
            <w:r>
              <w:rPr>
                <w:kern w:val="0"/>
                <w:sz w:val="21"/>
                <w:szCs w:val="21"/>
                <w:highlight w:val="none"/>
              </w:rPr>
              <w:t>　</w:t>
            </w:r>
          </w:p>
        </w:tc>
        <w:tc>
          <w:tcPr>
            <w:tcW w:w="1291" w:type="dxa"/>
            <w:tcBorders>
              <w:top w:val="nil"/>
              <w:left w:val="nil"/>
              <w:bottom w:val="single" w:color="auto" w:sz="4" w:space="0"/>
              <w:right w:val="single" w:color="auto" w:sz="4" w:space="0"/>
            </w:tcBorders>
            <w:vAlign w:val="center"/>
          </w:tcPr>
          <w:p w14:paraId="1CF85AAA">
            <w:pPr>
              <w:widowControl/>
              <w:jc w:val="left"/>
              <w:rPr>
                <w:kern w:val="0"/>
                <w:sz w:val="21"/>
                <w:szCs w:val="21"/>
                <w:highlight w:val="none"/>
              </w:rPr>
            </w:pPr>
            <w:r>
              <w:rPr>
                <w:kern w:val="0"/>
                <w:sz w:val="21"/>
                <w:szCs w:val="21"/>
                <w:highlight w:val="none"/>
              </w:rPr>
              <w:t>　</w:t>
            </w:r>
          </w:p>
        </w:tc>
        <w:tc>
          <w:tcPr>
            <w:tcW w:w="1636" w:type="dxa"/>
            <w:tcBorders>
              <w:top w:val="nil"/>
              <w:left w:val="nil"/>
              <w:bottom w:val="single" w:color="auto" w:sz="4" w:space="0"/>
              <w:right w:val="single" w:color="auto" w:sz="4" w:space="0"/>
            </w:tcBorders>
            <w:vAlign w:val="center"/>
          </w:tcPr>
          <w:p w14:paraId="34C37205">
            <w:pPr>
              <w:widowControl/>
              <w:jc w:val="left"/>
              <w:rPr>
                <w:kern w:val="0"/>
                <w:sz w:val="21"/>
                <w:szCs w:val="21"/>
                <w:highlight w:val="none"/>
              </w:rPr>
            </w:pPr>
            <w:r>
              <w:rPr>
                <w:kern w:val="0"/>
                <w:sz w:val="21"/>
                <w:szCs w:val="21"/>
                <w:highlight w:val="none"/>
              </w:rPr>
              <w:t>　</w:t>
            </w:r>
          </w:p>
        </w:tc>
        <w:tc>
          <w:tcPr>
            <w:tcW w:w="1486" w:type="dxa"/>
            <w:tcBorders>
              <w:top w:val="nil"/>
              <w:left w:val="nil"/>
              <w:bottom w:val="single" w:color="auto" w:sz="4" w:space="0"/>
              <w:right w:val="single" w:color="auto" w:sz="4" w:space="0"/>
            </w:tcBorders>
            <w:vAlign w:val="center"/>
          </w:tcPr>
          <w:p w14:paraId="71139516">
            <w:pPr>
              <w:widowControl/>
              <w:jc w:val="left"/>
              <w:rPr>
                <w:kern w:val="0"/>
                <w:sz w:val="21"/>
                <w:szCs w:val="21"/>
                <w:highlight w:val="none"/>
              </w:rPr>
            </w:pPr>
            <w:r>
              <w:rPr>
                <w:kern w:val="0"/>
                <w:sz w:val="21"/>
                <w:szCs w:val="21"/>
                <w:highlight w:val="none"/>
              </w:rPr>
              <w:t>　</w:t>
            </w:r>
          </w:p>
        </w:tc>
        <w:tc>
          <w:tcPr>
            <w:tcW w:w="1937" w:type="dxa"/>
            <w:tcBorders>
              <w:top w:val="nil"/>
              <w:left w:val="nil"/>
              <w:bottom w:val="single" w:color="auto" w:sz="4" w:space="0"/>
              <w:right w:val="single" w:color="auto" w:sz="4" w:space="0"/>
            </w:tcBorders>
            <w:vAlign w:val="center"/>
          </w:tcPr>
          <w:p w14:paraId="0F83F7D3">
            <w:pPr>
              <w:widowControl/>
              <w:jc w:val="center"/>
              <w:rPr>
                <w:kern w:val="0"/>
                <w:sz w:val="21"/>
                <w:szCs w:val="21"/>
                <w:highlight w:val="none"/>
              </w:rPr>
            </w:pPr>
          </w:p>
        </w:tc>
      </w:tr>
      <w:tr w14:paraId="31AD99EF">
        <w:tblPrEx>
          <w:tblCellMar>
            <w:top w:w="0" w:type="dxa"/>
            <w:left w:w="108" w:type="dxa"/>
            <w:bottom w:w="0" w:type="dxa"/>
            <w:right w:w="108" w:type="dxa"/>
          </w:tblCellMar>
        </w:tblPrEx>
        <w:trPr>
          <w:trHeight w:val="542" w:hRule="atLeast"/>
        </w:trPr>
        <w:tc>
          <w:tcPr>
            <w:tcW w:w="2900" w:type="dxa"/>
            <w:gridSpan w:val="2"/>
            <w:tcBorders>
              <w:top w:val="single" w:color="auto" w:sz="4" w:space="0"/>
              <w:left w:val="single" w:color="auto" w:sz="4" w:space="0"/>
              <w:bottom w:val="single" w:color="auto" w:sz="4" w:space="0"/>
              <w:right w:val="single" w:color="000000" w:sz="4" w:space="0"/>
            </w:tcBorders>
            <w:vAlign w:val="center"/>
          </w:tcPr>
          <w:p w14:paraId="188AA2F7">
            <w:pPr>
              <w:widowControl/>
              <w:jc w:val="center"/>
              <w:rPr>
                <w:kern w:val="0"/>
                <w:sz w:val="21"/>
                <w:szCs w:val="21"/>
                <w:highlight w:val="none"/>
              </w:rPr>
            </w:pPr>
            <w:r>
              <w:rPr>
                <w:kern w:val="0"/>
                <w:sz w:val="21"/>
                <w:szCs w:val="21"/>
                <w:highlight w:val="none"/>
              </w:rPr>
              <w:t>材料小计</w:t>
            </w:r>
          </w:p>
        </w:tc>
        <w:tc>
          <w:tcPr>
            <w:tcW w:w="4413" w:type="dxa"/>
            <w:gridSpan w:val="3"/>
            <w:tcBorders>
              <w:top w:val="single" w:color="auto" w:sz="4" w:space="0"/>
              <w:left w:val="single" w:color="auto" w:sz="4" w:space="0"/>
              <w:bottom w:val="single" w:color="auto" w:sz="4" w:space="0"/>
              <w:right w:val="single" w:color="000000" w:sz="4" w:space="0"/>
            </w:tcBorders>
            <w:vAlign w:val="center"/>
          </w:tcPr>
          <w:p w14:paraId="3345C2A4">
            <w:pPr>
              <w:widowControl/>
              <w:jc w:val="center"/>
              <w:rPr>
                <w:kern w:val="0"/>
                <w:sz w:val="21"/>
                <w:szCs w:val="21"/>
                <w:highlight w:val="none"/>
              </w:rPr>
            </w:pPr>
          </w:p>
        </w:tc>
        <w:tc>
          <w:tcPr>
            <w:tcW w:w="1937" w:type="dxa"/>
            <w:tcBorders>
              <w:top w:val="nil"/>
              <w:left w:val="nil"/>
              <w:bottom w:val="single" w:color="auto" w:sz="4" w:space="0"/>
              <w:right w:val="single" w:color="auto" w:sz="4" w:space="0"/>
            </w:tcBorders>
            <w:vAlign w:val="center"/>
          </w:tcPr>
          <w:p w14:paraId="66B3376B">
            <w:pPr>
              <w:widowControl/>
              <w:jc w:val="center"/>
              <w:rPr>
                <w:kern w:val="0"/>
                <w:sz w:val="21"/>
                <w:szCs w:val="21"/>
                <w:highlight w:val="none"/>
              </w:rPr>
            </w:pPr>
          </w:p>
        </w:tc>
      </w:tr>
      <w:tr w14:paraId="2858C039">
        <w:tblPrEx>
          <w:tblCellMar>
            <w:top w:w="0" w:type="dxa"/>
            <w:left w:w="108" w:type="dxa"/>
            <w:bottom w:w="0" w:type="dxa"/>
            <w:right w:w="108" w:type="dxa"/>
          </w:tblCellMar>
        </w:tblPrEx>
        <w:trPr>
          <w:trHeight w:val="464" w:hRule="atLeast"/>
        </w:trPr>
        <w:tc>
          <w:tcPr>
            <w:tcW w:w="717" w:type="dxa"/>
            <w:tcBorders>
              <w:top w:val="nil"/>
              <w:left w:val="single" w:color="auto" w:sz="4" w:space="0"/>
              <w:bottom w:val="single" w:color="auto" w:sz="4" w:space="0"/>
              <w:right w:val="single" w:color="auto" w:sz="4" w:space="0"/>
            </w:tcBorders>
            <w:vAlign w:val="center"/>
          </w:tcPr>
          <w:p w14:paraId="296E851F">
            <w:pPr>
              <w:widowControl/>
              <w:jc w:val="center"/>
              <w:rPr>
                <w:kern w:val="0"/>
                <w:sz w:val="21"/>
                <w:szCs w:val="21"/>
                <w:highlight w:val="none"/>
              </w:rPr>
            </w:pPr>
            <w:r>
              <w:rPr>
                <w:kern w:val="0"/>
                <w:sz w:val="21"/>
                <w:szCs w:val="21"/>
                <w:highlight w:val="none"/>
              </w:rPr>
              <w:t>三</w:t>
            </w:r>
          </w:p>
        </w:tc>
        <w:tc>
          <w:tcPr>
            <w:tcW w:w="2183" w:type="dxa"/>
            <w:tcBorders>
              <w:top w:val="nil"/>
              <w:left w:val="nil"/>
              <w:bottom w:val="single" w:color="auto" w:sz="4" w:space="0"/>
              <w:right w:val="single" w:color="auto" w:sz="4" w:space="0"/>
            </w:tcBorders>
            <w:vAlign w:val="center"/>
          </w:tcPr>
          <w:p w14:paraId="11B00365">
            <w:pPr>
              <w:widowControl/>
              <w:jc w:val="center"/>
              <w:rPr>
                <w:kern w:val="0"/>
                <w:sz w:val="21"/>
                <w:szCs w:val="21"/>
                <w:highlight w:val="none"/>
              </w:rPr>
            </w:pPr>
            <w:r>
              <w:rPr>
                <w:kern w:val="0"/>
                <w:sz w:val="21"/>
                <w:szCs w:val="21"/>
                <w:highlight w:val="none"/>
              </w:rPr>
              <w:t>施工机械</w:t>
            </w:r>
          </w:p>
        </w:tc>
        <w:tc>
          <w:tcPr>
            <w:tcW w:w="1291" w:type="dxa"/>
            <w:tcBorders>
              <w:top w:val="nil"/>
              <w:left w:val="nil"/>
              <w:bottom w:val="single" w:color="auto" w:sz="4" w:space="0"/>
              <w:right w:val="single" w:color="auto" w:sz="4" w:space="0"/>
            </w:tcBorders>
            <w:vAlign w:val="center"/>
          </w:tcPr>
          <w:p w14:paraId="394A8F3D">
            <w:pPr>
              <w:widowControl/>
              <w:jc w:val="left"/>
              <w:rPr>
                <w:kern w:val="0"/>
                <w:sz w:val="21"/>
                <w:szCs w:val="21"/>
                <w:highlight w:val="none"/>
              </w:rPr>
            </w:pPr>
            <w:r>
              <w:rPr>
                <w:kern w:val="0"/>
                <w:sz w:val="21"/>
                <w:szCs w:val="21"/>
                <w:highlight w:val="none"/>
              </w:rPr>
              <w:t>　</w:t>
            </w:r>
          </w:p>
        </w:tc>
        <w:tc>
          <w:tcPr>
            <w:tcW w:w="1636" w:type="dxa"/>
            <w:tcBorders>
              <w:top w:val="nil"/>
              <w:left w:val="nil"/>
              <w:bottom w:val="single" w:color="auto" w:sz="4" w:space="0"/>
              <w:right w:val="single" w:color="auto" w:sz="4" w:space="0"/>
            </w:tcBorders>
            <w:vAlign w:val="center"/>
          </w:tcPr>
          <w:p w14:paraId="28241649">
            <w:pPr>
              <w:widowControl/>
              <w:jc w:val="left"/>
              <w:rPr>
                <w:kern w:val="0"/>
                <w:sz w:val="21"/>
                <w:szCs w:val="21"/>
                <w:highlight w:val="none"/>
              </w:rPr>
            </w:pPr>
            <w:r>
              <w:rPr>
                <w:kern w:val="0"/>
                <w:sz w:val="21"/>
                <w:szCs w:val="21"/>
                <w:highlight w:val="none"/>
              </w:rPr>
              <w:t>　</w:t>
            </w:r>
          </w:p>
        </w:tc>
        <w:tc>
          <w:tcPr>
            <w:tcW w:w="1486" w:type="dxa"/>
            <w:tcBorders>
              <w:top w:val="nil"/>
              <w:left w:val="nil"/>
              <w:bottom w:val="single" w:color="auto" w:sz="4" w:space="0"/>
              <w:right w:val="single" w:color="auto" w:sz="4" w:space="0"/>
            </w:tcBorders>
            <w:vAlign w:val="center"/>
          </w:tcPr>
          <w:p w14:paraId="2E92C726">
            <w:pPr>
              <w:widowControl/>
              <w:jc w:val="center"/>
              <w:rPr>
                <w:kern w:val="0"/>
                <w:sz w:val="21"/>
                <w:szCs w:val="21"/>
                <w:highlight w:val="none"/>
              </w:rPr>
            </w:pPr>
            <w:r>
              <w:rPr>
                <w:kern w:val="0"/>
                <w:sz w:val="21"/>
                <w:szCs w:val="21"/>
                <w:highlight w:val="none"/>
              </w:rPr>
              <w:t>　</w:t>
            </w:r>
          </w:p>
        </w:tc>
        <w:tc>
          <w:tcPr>
            <w:tcW w:w="1937" w:type="dxa"/>
            <w:tcBorders>
              <w:top w:val="nil"/>
              <w:left w:val="nil"/>
              <w:bottom w:val="single" w:color="auto" w:sz="4" w:space="0"/>
              <w:right w:val="single" w:color="auto" w:sz="4" w:space="0"/>
            </w:tcBorders>
            <w:vAlign w:val="center"/>
          </w:tcPr>
          <w:p w14:paraId="721DD937">
            <w:pPr>
              <w:widowControl/>
              <w:jc w:val="center"/>
              <w:rPr>
                <w:kern w:val="0"/>
                <w:sz w:val="21"/>
                <w:szCs w:val="21"/>
                <w:highlight w:val="none"/>
              </w:rPr>
            </w:pPr>
          </w:p>
        </w:tc>
      </w:tr>
      <w:tr w14:paraId="0C52FC4F">
        <w:tblPrEx>
          <w:tblCellMar>
            <w:top w:w="0" w:type="dxa"/>
            <w:left w:w="108" w:type="dxa"/>
            <w:bottom w:w="0" w:type="dxa"/>
            <w:right w:w="108" w:type="dxa"/>
          </w:tblCellMar>
        </w:tblPrEx>
        <w:trPr>
          <w:trHeight w:val="464" w:hRule="atLeast"/>
        </w:trPr>
        <w:tc>
          <w:tcPr>
            <w:tcW w:w="717" w:type="dxa"/>
            <w:tcBorders>
              <w:top w:val="nil"/>
              <w:left w:val="single" w:color="auto" w:sz="4" w:space="0"/>
              <w:bottom w:val="single" w:color="auto" w:sz="4" w:space="0"/>
              <w:right w:val="single" w:color="auto" w:sz="4" w:space="0"/>
            </w:tcBorders>
            <w:vAlign w:val="center"/>
          </w:tcPr>
          <w:p w14:paraId="019F4AA0">
            <w:pPr>
              <w:widowControl/>
              <w:jc w:val="center"/>
              <w:rPr>
                <w:kern w:val="0"/>
                <w:sz w:val="21"/>
                <w:szCs w:val="21"/>
                <w:highlight w:val="none"/>
              </w:rPr>
            </w:pPr>
            <w:r>
              <w:rPr>
                <w:kern w:val="0"/>
                <w:sz w:val="21"/>
                <w:szCs w:val="21"/>
                <w:highlight w:val="none"/>
              </w:rPr>
              <w:t>1</w:t>
            </w:r>
          </w:p>
        </w:tc>
        <w:tc>
          <w:tcPr>
            <w:tcW w:w="2183" w:type="dxa"/>
            <w:tcBorders>
              <w:top w:val="nil"/>
              <w:left w:val="nil"/>
              <w:bottom w:val="single" w:color="auto" w:sz="4" w:space="0"/>
              <w:right w:val="single" w:color="auto" w:sz="4" w:space="0"/>
            </w:tcBorders>
            <w:vAlign w:val="center"/>
          </w:tcPr>
          <w:p w14:paraId="5C2406A5">
            <w:pPr>
              <w:widowControl/>
              <w:jc w:val="left"/>
              <w:rPr>
                <w:kern w:val="0"/>
                <w:sz w:val="21"/>
                <w:szCs w:val="21"/>
                <w:highlight w:val="none"/>
              </w:rPr>
            </w:pPr>
            <w:r>
              <w:rPr>
                <w:kern w:val="0"/>
                <w:sz w:val="21"/>
                <w:szCs w:val="21"/>
                <w:highlight w:val="none"/>
              </w:rPr>
              <w:t>　</w:t>
            </w:r>
          </w:p>
        </w:tc>
        <w:tc>
          <w:tcPr>
            <w:tcW w:w="1291" w:type="dxa"/>
            <w:tcBorders>
              <w:top w:val="nil"/>
              <w:left w:val="nil"/>
              <w:bottom w:val="single" w:color="auto" w:sz="4" w:space="0"/>
              <w:right w:val="single" w:color="auto" w:sz="4" w:space="0"/>
            </w:tcBorders>
            <w:vAlign w:val="center"/>
          </w:tcPr>
          <w:p w14:paraId="783046E7">
            <w:pPr>
              <w:widowControl/>
              <w:jc w:val="left"/>
              <w:rPr>
                <w:kern w:val="0"/>
                <w:sz w:val="21"/>
                <w:szCs w:val="21"/>
                <w:highlight w:val="none"/>
              </w:rPr>
            </w:pPr>
            <w:r>
              <w:rPr>
                <w:kern w:val="0"/>
                <w:sz w:val="21"/>
                <w:szCs w:val="21"/>
                <w:highlight w:val="none"/>
              </w:rPr>
              <w:t>　</w:t>
            </w:r>
          </w:p>
        </w:tc>
        <w:tc>
          <w:tcPr>
            <w:tcW w:w="1636" w:type="dxa"/>
            <w:tcBorders>
              <w:top w:val="nil"/>
              <w:left w:val="nil"/>
              <w:bottom w:val="single" w:color="auto" w:sz="4" w:space="0"/>
              <w:right w:val="single" w:color="auto" w:sz="4" w:space="0"/>
            </w:tcBorders>
            <w:vAlign w:val="center"/>
          </w:tcPr>
          <w:p w14:paraId="6BF518D2">
            <w:pPr>
              <w:widowControl/>
              <w:jc w:val="left"/>
              <w:rPr>
                <w:kern w:val="0"/>
                <w:sz w:val="21"/>
                <w:szCs w:val="21"/>
                <w:highlight w:val="none"/>
              </w:rPr>
            </w:pPr>
            <w:r>
              <w:rPr>
                <w:kern w:val="0"/>
                <w:sz w:val="21"/>
                <w:szCs w:val="21"/>
                <w:highlight w:val="none"/>
              </w:rPr>
              <w:t>　</w:t>
            </w:r>
          </w:p>
        </w:tc>
        <w:tc>
          <w:tcPr>
            <w:tcW w:w="1486" w:type="dxa"/>
            <w:tcBorders>
              <w:top w:val="nil"/>
              <w:left w:val="nil"/>
              <w:bottom w:val="single" w:color="auto" w:sz="4" w:space="0"/>
              <w:right w:val="single" w:color="auto" w:sz="4" w:space="0"/>
            </w:tcBorders>
            <w:vAlign w:val="center"/>
          </w:tcPr>
          <w:p w14:paraId="552C811B">
            <w:pPr>
              <w:widowControl/>
              <w:jc w:val="left"/>
              <w:rPr>
                <w:kern w:val="0"/>
                <w:sz w:val="21"/>
                <w:szCs w:val="21"/>
                <w:highlight w:val="none"/>
              </w:rPr>
            </w:pPr>
            <w:r>
              <w:rPr>
                <w:kern w:val="0"/>
                <w:sz w:val="21"/>
                <w:szCs w:val="21"/>
                <w:highlight w:val="none"/>
              </w:rPr>
              <w:t>　</w:t>
            </w:r>
          </w:p>
        </w:tc>
        <w:tc>
          <w:tcPr>
            <w:tcW w:w="1937" w:type="dxa"/>
            <w:tcBorders>
              <w:top w:val="nil"/>
              <w:left w:val="nil"/>
              <w:bottom w:val="single" w:color="auto" w:sz="4" w:space="0"/>
              <w:right w:val="single" w:color="auto" w:sz="4" w:space="0"/>
            </w:tcBorders>
            <w:vAlign w:val="center"/>
          </w:tcPr>
          <w:p w14:paraId="5AB78857">
            <w:pPr>
              <w:widowControl/>
              <w:jc w:val="center"/>
              <w:rPr>
                <w:kern w:val="0"/>
                <w:sz w:val="21"/>
                <w:szCs w:val="21"/>
                <w:highlight w:val="none"/>
              </w:rPr>
            </w:pPr>
          </w:p>
        </w:tc>
      </w:tr>
      <w:tr w14:paraId="7A4935F1">
        <w:tblPrEx>
          <w:tblCellMar>
            <w:top w:w="0" w:type="dxa"/>
            <w:left w:w="108" w:type="dxa"/>
            <w:bottom w:w="0" w:type="dxa"/>
            <w:right w:w="108" w:type="dxa"/>
          </w:tblCellMar>
        </w:tblPrEx>
        <w:trPr>
          <w:trHeight w:val="464" w:hRule="atLeast"/>
        </w:trPr>
        <w:tc>
          <w:tcPr>
            <w:tcW w:w="717" w:type="dxa"/>
            <w:tcBorders>
              <w:top w:val="nil"/>
              <w:left w:val="single" w:color="auto" w:sz="4" w:space="0"/>
              <w:bottom w:val="single" w:color="auto" w:sz="4" w:space="0"/>
              <w:right w:val="single" w:color="auto" w:sz="4" w:space="0"/>
            </w:tcBorders>
            <w:vAlign w:val="center"/>
          </w:tcPr>
          <w:p w14:paraId="4EAA7D6A">
            <w:pPr>
              <w:widowControl/>
              <w:jc w:val="center"/>
              <w:rPr>
                <w:kern w:val="0"/>
                <w:sz w:val="21"/>
                <w:szCs w:val="21"/>
                <w:highlight w:val="none"/>
              </w:rPr>
            </w:pPr>
            <w:r>
              <w:rPr>
                <w:kern w:val="0"/>
                <w:sz w:val="21"/>
                <w:szCs w:val="21"/>
                <w:highlight w:val="none"/>
              </w:rPr>
              <w:t>2</w:t>
            </w:r>
          </w:p>
        </w:tc>
        <w:tc>
          <w:tcPr>
            <w:tcW w:w="2183" w:type="dxa"/>
            <w:tcBorders>
              <w:top w:val="nil"/>
              <w:left w:val="nil"/>
              <w:bottom w:val="single" w:color="auto" w:sz="4" w:space="0"/>
              <w:right w:val="single" w:color="auto" w:sz="4" w:space="0"/>
            </w:tcBorders>
            <w:vAlign w:val="center"/>
          </w:tcPr>
          <w:p w14:paraId="6CC27E91">
            <w:pPr>
              <w:widowControl/>
              <w:jc w:val="left"/>
              <w:rPr>
                <w:kern w:val="0"/>
                <w:sz w:val="21"/>
                <w:szCs w:val="21"/>
                <w:highlight w:val="none"/>
              </w:rPr>
            </w:pPr>
            <w:r>
              <w:rPr>
                <w:kern w:val="0"/>
                <w:sz w:val="21"/>
                <w:szCs w:val="21"/>
                <w:highlight w:val="none"/>
              </w:rPr>
              <w:t>　</w:t>
            </w:r>
          </w:p>
        </w:tc>
        <w:tc>
          <w:tcPr>
            <w:tcW w:w="1291" w:type="dxa"/>
            <w:tcBorders>
              <w:top w:val="nil"/>
              <w:left w:val="nil"/>
              <w:bottom w:val="single" w:color="auto" w:sz="4" w:space="0"/>
              <w:right w:val="single" w:color="auto" w:sz="4" w:space="0"/>
            </w:tcBorders>
            <w:vAlign w:val="center"/>
          </w:tcPr>
          <w:p w14:paraId="52163EDE">
            <w:pPr>
              <w:widowControl/>
              <w:jc w:val="left"/>
              <w:rPr>
                <w:kern w:val="0"/>
                <w:sz w:val="21"/>
                <w:szCs w:val="21"/>
                <w:highlight w:val="none"/>
              </w:rPr>
            </w:pPr>
            <w:r>
              <w:rPr>
                <w:kern w:val="0"/>
                <w:sz w:val="21"/>
                <w:szCs w:val="21"/>
                <w:highlight w:val="none"/>
              </w:rPr>
              <w:t>　</w:t>
            </w:r>
          </w:p>
        </w:tc>
        <w:tc>
          <w:tcPr>
            <w:tcW w:w="1636" w:type="dxa"/>
            <w:tcBorders>
              <w:top w:val="nil"/>
              <w:left w:val="nil"/>
              <w:bottom w:val="single" w:color="auto" w:sz="4" w:space="0"/>
              <w:right w:val="single" w:color="auto" w:sz="4" w:space="0"/>
            </w:tcBorders>
            <w:vAlign w:val="center"/>
          </w:tcPr>
          <w:p w14:paraId="03EAEB3D">
            <w:pPr>
              <w:widowControl/>
              <w:jc w:val="left"/>
              <w:rPr>
                <w:kern w:val="0"/>
                <w:sz w:val="21"/>
                <w:szCs w:val="21"/>
                <w:highlight w:val="none"/>
              </w:rPr>
            </w:pPr>
            <w:r>
              <w:rPr>
                <w:kern w:val="0"/>
                <w:sz w:val="21"/>
                <w:szCs w:val="21"/>
                <w:highlight w:val="none"/>
              </w:rPr>
              <w:t>　</w:t>
            </w:r>
          </w:p>
        </w:tc>
        <w:tc>
          <w:tcPr>
            <w:tcW w:w="1486" w:type="dxa"/>
            <w:tcBorders>
              <w:top w:val="nil"/>
              <w:left w:val="nil"/>
              <w:bottom w:val="single" w:color="auto" w:sz="4" w:space="0"/>
              <w:right w:val="single" w:color="auto" w:sz="4" w:space="0"/>
            </w:tcBorders>
            <w:vAlign w:val="center"/>
          </w:tcPr>
          <w:p w14:paraId="02D8A388">
            <w:pPr>
              <w:widowControl/>
              <w:jc w:val="left"/>
              <w:rPr>
                <w:kern w:val="0"/>
                <w:sz w:val="21"/>
                <w:szCs w:val="21"/>
                <w:highlight w:val="none"/>
              </w:rPr>
            </w:pPr>
            <w:r>
              <w:rPr>
                <w:kern w:val="0"/>
                <w:sz w:val="21"/>
                <w:szCs w:val="21"/>
                <w:highlight w:val="none"/>
              </w:rPr>
              <w:t>　</w:t>
            </w:r>
          </w:p>
        </w:tc>
        <w:tc>
          <w:tcPr>
            <w:tcW w:w="1937" w:type="dxa"/>
            <w:tcBorders>
              <w:top w:val="nil"/>
              <w:left w:val="nil"/>
              <w:bottom w:val="single" w:color="auto" w:sz="4" w:space="0"/>
              <w:right w:val="single" w:color="auto" w:sz="4" w:space="0"/>
            </w:tcBorders>
            <w:vAlign w:val="center"/>
          </w:tcPr>
          <w:p w14:paraId="73E10459">
            <w:pPr>
              <w:widowControl/>
              <w:jc w:val="center"/>
              <w:rPr>
                <w:kern w:val="0"/>
                <w:sz w:val="21"/>
                <w:szCs w:val="21"/>
                <w:highlight w:val="none"/>
              </w:rPr>
            </w:pPr>
          </w:p>
        </w:tc>
      </w:tr>
      <w:tr w14:paraId="10A1301C">
        <w:tblPrEx>
          <w:tblCellMar>
            <w:top w:w="0" w:type="dxa"/>
            <w:left w:w="108" w:type="dxa"/>
            <w:bottom w:w="0" w:type="dxa"/>
            <w:right w:w="108" w:type="dxa"/>
          </w:tblCellMar>
        </w:tblPrEx>
        <w:trPr>
          <w:trHeight w:val="464" w:hRule="atLeast"/>
        </w:trPr>
        <w:tc>
          <w:tcPr>
            <w:tcW w:w="717" w:type="dxa"/>
            <w:tcBorders>
              <w:top w:val="nil"/>
              <w:left w:val="single" w:color="auto" w:sz="4" w:space="0"/>
              <w:bottom w:val="single" w:color="auto" w:sz="4" w:space="0"/>
              <w:right w:val="single" w:color="auto" w:sz="4" w:space="0"/>
            </w:tcBorders>
            <w:vAlign w:val="center"/>
          </w:tcPr>
          <w:p w14:paraId="242784CC">
            <w:pPr>
              <w:widowControl/>
              <w:jc w:val="center"/>
              <w:rPr>
                <w:kern w:val="0"/>
                <w:sz w:val="21"/>
                <w:szCs w:val="21"/>
                <w:highlight w:val="none"/>
              </w:rPr>
            </w:pPr>
            <w:r>
              <w:rPr>
                <w:kern w:val="0"/>
                <w:sz w:val="21"/>
                <w:szCs w:val="21"/>
                <w:highlight w:val="none"/>
              </w:rPr>
              <w:t>3</w:t>
            </w:r>
          </w:p>
        </w:tc>
        <w:tc>
          <w:tcPr>
            <w:tcW w:w="2183" w:type="dxa"/>
            <w:tcBorders>
              <w:top w:val="nil"/>
              <w:left w:val="nil"/>
              <w:bottom w:val="single" w:color="auto" w:sz="4" w:space="0"/>
              <w:right w:val="single" w:color="auto" w:sz="4" w:space="0"/>
            </w:tcBorders>
            <w:vAlign w:val="center"/>
          </w:tcPr>
          <w:p w14:paraId="5FACE021">
            <w:pPr>
              <w:widowControl/>
              <w:jc w:val="left"/>
              <w:rPr>
                <w:kern w:val="0"/>
                <w:sz w:val="21"/>
                <w:szCs w:val="21"/>
                <w:highlight w:val="none"/>
              </w:rPr>
            </w:pPr>
            <w:r>
              <w:rPr>
                <w:kern w:val="0"/>
                <w:sz w:val="21"/>
                <w:szCs w:val="21"/>
                <w:highlight w:val="none"/>
              </w:rPr>
              <w:t>　</w:t>
            </w:r>
          </w:p>
        </w:tc>
        <w:tc>
          <w:tcPr>
            <w:tcW w:w="1291" w:type="dxa"/>
            <w:tcBorders>
              <w:top w:val="nil"/>
              <w:left w:val="nil"/>
              <w:bottom w:val="single" w:color="auto" w:sz="4" w:space="0"/>
              <w:right w:val="single" w:color="auto" w:sz="4" w:space="0"/>
            </w:tcBorders>
            <w:vAlign w:val="center"/>
          </w:tcPr>
          <w:p w14:paraId="2E1A0A16">
            <w:pPr>
              <w:widowControl/>
              <w:jc w:val="left"/>
              <w:rPr>
                <w:kern w:val="0"/>
                <w:sz w:val="21"/>
                <w:szCs w:val="21"/>
                <w:highlight w:val="none"/>
              </w:rPr>
            </w:pPr>
            <w:r>
              <w:rPr>
                <w:kern w:val="0"/>
                <w:sz w:val="21"/>
                <w:szCs w:val="21"/>
                <w:highlight w:val="none"/>
              </w:rPr>
              <w:t>　</w:t>
            </w:r>
          </w:p>
        </w:tc>
        <w:tc>
          <w:tcPr>
            <w:tcW w:w="1636" w:type="dxa"/>
            <w:tcBorders>
              <w:top w:val="nil"/>
              <w:left w:val="nil"/>
              <w:bottom w:val="single" w:color="auto" w:sz="4" w:space="0"/>
              <w:right w:val="single" w:color="auto" w:sz="4" w:space="0"/>
            </w:tcBorders>
            <w:vAlign w:val="center"/>
          </w:tcPr>
          <w:p w14:paraId="1A9F80D5">
            <w:pPr>
              <w:widowControl/>
              <w:jc w:val="left"/>
              <w:rPr>
                <w:kern w:val="0"/>
                <w:sz w:val="21"/>
                <w:szCs w:val="21"/>
                <w:highlight w:val="none"/>
              </w:rPr>
            </w:pPr>
            <w:r>
              <w:rPr>
                <w:kern w:val="0"/>
                <w:sz w:val="21"/>
                <w:szCs w:val="21"/>
                <w:highlight w:val="none"/>
              </w:rPr>
              <w:t>　</w:t>
            </w:r>
          </w:p>
        </w:tc>
        <w:tc>
          <w:tcPr>
            <w:tcW w:w="1486" w:type="dxa"/>
            <w:tcBorders>
              <w:top w:val="nil"/>
              <w:left w:val="nil"/>
              <w:bottom w:val="single" w:color="auto" w:sz="4" w:space="0"/>
              <w:right w:val="single" w:color="auto" w:sz="4" w:space="0"/>
            </w:tcBorders>
            <w:vAlign w:val="center"/>
          </w:tcPr>
          <w:p w14:paraId="5C0F06EC">
            <w:pPr>
              <w:widowControl/>
              <w:jc w:val="left"/>
              <w:rPr>
                <w:kern w:val="0"/>
                <w:sz w:val="21"/>
                <w:szCs w:val="21"/>
                <w:highlight w:val="none"/>
              </w:rPr>
            </w:pPr>
            <w:r>
              <w:rPr>
                <w:kern w:val="0"/>
                <w:sz w:val="21"/>
                <w:szCs w:val="21"/>
                <w:highlight w:val="none"/>
              </w:rPr>
              <w:t>　</w:t>
            </w:r>
          </w:p>
        </w:tc>
        <w:tc>
          <w:tcPr>
            <w:tcW w:w="1937" w:type="dxa"/>
            <w:tcBorders>
              <w:top w:val="nil"/>
              <w:left w:val="nil"/>
              <w:bottom w:val="single" w:color="auto" w:sz="4" w:space="0"/>
              <w:right w:val="single" w:color="auto" w:sz="4" w:space="0"/>
            </w:tcBorders>
            <w:vAlign w:val="center"/>
          </w:tcPr>
          <w:p w14:paraId="291EFE47">
            <w:pPr>
              <w:widowControl/>
              <w:jc w:val="center"/>
              <w:rPr>
                <w:kern w:val="0"/>
                <w:sz w:val="21"/>
                <w:szCs w:val="21"/>
                <w:highlight w:val="none"/>
              </w:rPr>
            </w:pPr>
          </w:p>
        </w:tc>
      </w:tr>
      <w:tr w14:paraId="31877882">
        <w:tblPrEx>
          <w:tblCellMar>
            <w:top w:w="0" w:type="dxa"/>
            <w:left w:w="108" w:type="dxa"/>
            <w:bottom w:w="0" w:type="dxa"/>
            <w:right w:w="108" w:type="dxa"/>
          </w:tblCellMar>
        </w:tblPrEx>
        <w:trPr>
          <w:trHeight w:val="542" w:hRule="atLeast"/>
        </w:trPr>
        <w:tc>
          <w:tcPr>
            <w:tcW w:w="7313" w:type="dxa"/>
            <w:gridSpan w:val="5"/>
            <w:tcBorders>
              <w:top w:val="single" w:color="auto" w:sz="4" w:space="0"/>
              <w:left w:val="single" w:color="auto" w:sz="4" w:space="0"/>
              <w:bottom w:val="single" w:color="auto" w:sz="4" w:space="0"/>
              <w:right w:val="single" w:color="000000" w:sz="4" w:space="0"/>
            </w:tcBorders>
            <w:vAlign w:val="center"/>
          </w:tcPr>
          <w:p w14:paraId="7C322FD9">
            <w:pPr>
              <w:widowControl/>
              <w:jc w:val="center"/>
              <w:rPr>
                <w:kern w:val="0"/>
                <w:sz w:val="21"/>
                <w:szCs w:val="21"/>
                <w:highlight w:val="none"/>
              </w:rPr>
            </w:pPr>
            <w:r>
              <w:rPr>
                <w:kern w:val="0"/>
                <w:sz w:val="21"/>
                <w:szCs w:val="21"/>
                <w:highlight w:val="none"/>
              </w:rPr>
              <w:t>施工机械小计</w:t>
            </w:r>
          </w:p>
        </w:tc>
        <w:tc>
          <w:tcPr>
            <w:tcW w:w="1937" w:type="dxa"/>
            <w:tcBorders>
              <w:top w:val="nil"/>
              <w:left w:val="nil"/>
              <w:bottom w:val="single" w:color="auto" w:sz="4" w:space="0"/>
              <w:right w:val="single" w:color="auto" w:sz="4" w:space="0"/>
            </w:tcBorders>
            <w:vAlign w:val="center"/>
          </w:tcPr>
          <w:p w14:paraId="79894B4F">
            <w:pPr>
              <w:widowControl/>
              <w:jc w:val="left"/>
              <w:rPr>
                <w:kern w:val="0"/>
                <w:sz w:val="21"/>
                <w:szCs w:val="21"/>
                <w:highlight w:val="none"/>
              </w:rPr>
            </w:pPr>
          </w:p>
        </w:tc>
      </w:tr>
      <w:tr w14:paraId="23FBE5F7">
        <w:tblPrEx>
          <w:tblCellMar>
            <w:top w:w="0" w:type="dxa"/>
            <w:left w:w="108" w:type="dxa"/>
            <w:bottom w:w="0" w:type="dxa"/>
            <w:right w:w="108" w:type="dxa"/>
          </w:tblCellMar>
        </w:tblPrEx>
        <w:trPr>
          <w:trHeight w:val="542" w:hRule="atLeast"/>
        </w:trPr>
        <w:tc>
          <w:tcPr>
            <w:tcW w:w="7313" w:type="dxa"/>
            <w:gridSpan w:val="5"/>
            <w:tcBorders>
              <w:top w:val="single" w:color="auto" w:sz="4" w:space="0"/>
              <w:left w:val="single" w:color="auto" w:sz="4" w:space="0"/>
              <w:bottom w:val="single" w:color="auto" w:sz="4" w:space="0"/>
              <w:right w:val="single" w:color="000000" w:sz="4" w:space="0"/>
            </w:tcBorders>
            <w:vAlign w:val="center"/>
          </w:tcPr>
          <w:p w14:paraId="4CD2A640">
            <w:pPr>
              <w:widowControl/>
              <w:jc w:val="center"/>
              <w:rPr>
                <w:kern w:val="0"/>
                <w:sz w:val="21"/>
                <w:szCs w:val="21"/>
                <w:highlight w:val="none"/>
              </w:rPr>
            </w:pPr>
            <w:r>
              <w:rPr>
                <w:kern w:val="0"/>
                <w:sz w:val="21"/>
                <w:szCs w:val="21"/>
                <w:highlight w:val="none"/>
              </w:rPr>
              <w:t>合计</w:t>
            </w:r>
          </w:p>
        </w:tc>
        <w:tc>
          <w:tcPr>
            <w:tcW w:w="1937" w:type="dxa"/>
            <w:tcBorders>
              <w:top w:val="nil"/>
              <w:left w:val="nil"/>
              <w:bottom w:val="single" w:color="auto" w:sz="4" w:space="0"/>
              <w:right w:val="single" w:color="auto" w:sz="4" w:space="0"/>
            </w:tcBorders>
            <w:shd w:val="clear" w:color="auto" w:fill="auto"/>
            <w:vAlign w:val="center"/>
          </w:tcPr>
          <w:p w14:paraId="56A0DC1D">
            <w:pPr>
              <w:widowControl/>
              <w:jc w:val="center"/>
              <w:rPr>
                <w:rFonts w:ascii="Times New Roman" w:hAnsi="Times New Roman" w:eastAsia="宋体" w:cs="Times New Roman"/>
                <w:kern w:val="0"/>
                <w:sz w:val="21"/>
                <w:szCs w:val="21"/>
                <w:highlight w:val="none"/>
                <w:lang w:val="en-US" w:eastAsia="zh-CN" w:bidi="ar-SA"/>
              </w:rPr>
            </w:pPr>
          </w:p>
        </w:tc>
      </w:tr>
    </w:tbl>
    <w:p w14:paraId="70978DCF">
      <w:pPr>
        <w:rPr>
          <w:szCs w:val="21"/>
          <w:highlight w:val="none"/>
        </w:rPr>
      </w:pPr>
    </w:p>
    <w:p w14:paraId="0AA5DD10">
      <w:pPr>
        <w:rPr>
          <w:szCs w:val="21"/>
          <w:highlight w:val="none"/>
        </w:rPr>
      </w:pPr>
    </w:p>
    <w:p w14:paraId="2DEB1FF1">
      <w:pPr>
        <w:rPr>
          <w:szCs w:val="21"/>
          <w:highlight w:val="none"/>
        </w:rPr>
      </w:pPr>
    </w:p>
    <w:p w14:paraId="4F6C0196">
      <w:pPr>
        <w:rPr>
          <w:szCs w:val="21"/>
          <w:highlight w:val="none"/>
        </w:rPr>
      </w:pPr>
    </w:p>
    <w:p w14:paraId="32524CF5">
      <w:pPr>
        <w:rPr>
          <w:szCs w:val="21"/>
          <w:highlight w:val="none"/>
        </w:rPr>
      </w:pPr>
    </w:p>
    <w:p w14:paraId="420719C9">
      <w:pPr>
        <w:rPr>
          <w:szCs w:val="21"/>
          <w:highlight w:val="none"/>
        </w:rPr>
      </w:pPr>
    </w:p>
    <w:p w14:paraId="0842C62E">
      <w:pPr>
        <w:rPr>
          <w:szCs w:val="21"/>
          <w:highlight w:val="none"/>
        </w:rPr>
      </w:pPr>
    </w:p>
    <w:p w14:paraId="72BA11C7">
      <w:pPr>
        <w:rPr>
          <w:szCs w:val="21"/>
          <w:highlight w:val="none"/>
        </w:rPr>
      </w:pPr>
    </w:p>
    <w:p w14:paraId="28952BD0">
      <w:pPr>
        <w:rPr>
          <w:szCs w:val="21"/>
          <w:highlight w:val="none"/>
        </w:rPr>
      </w:pPr>
    </w:p>
    <w:p w14:paraId="5ECFB8FE">
      <w:pPr>
        <w:rPr>
          <w:szCs w:val="21"/>
          <w:highlight w:val="none"/>
        </w:rPr>
      </w:pPr>
    </w:p>
    <w:p w14:paraId="2A0E28D6">
      <w:pPr>
        <w:rPr>
          <w:szCs w:val="21"/>
          <w:highlight w:val="none"/>
        </w:rPr>
      </w:pPr>
    </w:p>
    <w:p w14:paraId="34A64D11">
      <w:pPr>
        <w:jc w:val="center"/>
        <w:rPr>
          <w:szCs w:val="21"/>
          <w:highlight w:val="none"/>
        </w:rPr>
      </w:pPr>
      <w:r>
        <w:rPr>
          <w:rFonts w:hint="eastAsia"/>
          <w:b w:val="0"/>
          <w:bCs w:val="0"/>
          <w:kern w:val="0"/>
          <w:sz w:val="28"/>
          <w:szCs w:val="28"/>
          <w:highlight w:val="none"/>
        </w:rPr>
        <w:t>总承包服务费计价表</w:t>
      </w:r>
    </w:p>
    <w:tbl>
      <w:tblPr>
        <w:tblStyle w:val="41"/>
        <w:tblW w:w="8948" w:type="dxa"/>
        <w:jc w:val="center"/>
        <w:tblLayout w:type="fixed"/>
        <w:tblCellMar>
          <w:top w:w="0" w:type="dxa"/>
          <w:left w:w="108" w:type="dxa"/>
          <w:bottom w:w="0" w:type="dxa"/>
          <w:right w:w="108" w:type="dxa"/>
        </w:tblCellMar>
      </w:tblPr>
      <w:tblGrid>
        <w:gridCol w:w="893"/>
        <w:gridCol w:w="1424"/>
        <w:gridCol w:w="1736"/>
        <w:gridCol w:w="1620"/>
        <w:gridCol w:w="210"/>
        <w:gridCol w:w="1670"/>
        <w:gridCol w:w="1395"/>
      </w:tblGrid>
      <w:tr w14:paraId="312B71EF">
        <w:tblPrEx>
          <w:tblCellMar>
            <w:top w:w="0" w:type="dxa"/>
            <w:left w:w="108" w:type="dxa"/>
            <w:bottom w:w="0" w:type="dxa"/>
            <w:right w:w="108" w:type="dxa"/>
          </w:tblCellMar>
        </w:tblPrEx>
        <w:trPr>
          <w:trHeight w:val="493" w:hRule="atLeast"/>
          <w:jc w:val="center"/>
        </w:trPr>
        <w:tc>
          <w:tcPr>
            <w:tcW w:w="8948" w:type="dxa"/>
            <w:gridSpan w:val="7"/>
            <w:tcBorders>
              <w:top w:val="nil"/>
              <w:left w:val="nil"/>
              <w:bottom w:val="nil"/>
            </w:tcBorders>
            <w:vAlign w:val="center"/>
          </w:tcPr>
          <w:p w14:paraId="36A76A09">
            <w:pPr>
              <w:widowControl/>
              <w:jc w:val="center"/>
              <w:rPr>
                <w:kern w:val="0"/>
                <w:sz w:val="24"/>
                <w:highlight w:val="none"/>
              </w:rPr>
            </w:pPr>
          </w:p>
        </w:tc>
      </w:tr>
      <w:tr w14:paraId="023BC44E">
        <w:tblPrEx>
          <w:tblCellMar>
            <w:top w:w="0" w:type="dxa"/>
            <w:left w:w="108" w:type="dxa"/>
            <w:bottom w:w="0" w:type="dxa"/>
            <w:right w:w="108" w:type="dxa"/>
          </w:tblCellMar>
        </w:tblPrEx>
        <w:trPr>
          <w:trHeight w:val="493" w:hRule="atLeast"/>
          <w:jc w:val="center"/>
        </w:trPr>
        <w:tc>
          <w:tcPr>
            <w:tcW w:w="5883" w:type="dxa"/>
            <w:gridSpan w:val="5"/>
            <w:tcBorders>
              <w:top w:val="nil"/>
              <w:left w:val="nil"/>
              <w:bottom w:val="single" w:color="auto" w:sz="4" w:space="0"/>
              <w:right w:val="nil"/>
            </w:tcBorders>
            <w:vAlign w:val="center"/>
          </w:tcPr>
          <w:p w14:paraId="0C505704">
            <w:pPr>
              <w:widowControl/>
              <w:jc w:val="left"/>
              <w:rPr>
                <w:kern w:val="0"/>
                <w:sz w:val="21"/>
                <w:szCs w:val="21"/>
                <w:highlight w:val="none"/>
              </w:rPr>
            </w:pPr>
            <w:r>
              <w:rPr>
                <w:kern w:val="0"/>
                <w:sz w:val="21"/>
                <w:szCs w:val="21"/>
                <w:highlight w:val="none"/>
              </w:rPr>
              <w:t>工程名称：                标段：</w:t>
            </w:r>
          </w:p>
        </w:tc>
        <w:tc>
          <w:tcPr>
            <w:tcW w:w="3065" w:type="dxa"/>
            <w:gridSpan w:val="2"/>
            <w:tcBorders>
              <w:top w:val="nil"/>
              <w:left w:val="nil"/>
              <w:bottom w:val="single" w:color="auto" w:sz="4" w:space="0"/>
              <w:right w:val="nil"/>
            </w:tcBorders>
            <w:vAlign w:val="center"/>
          </w:tcPr>
          <w:p w14:paraId="7E87251E">
            <w:pPr>
              <w:widowControl/>
              <w:tabs>
                <w:tab w:val="left" w:pos="2677"/>
              </w:tabs>
              <w:ind w:right="-115" w:firstLine="1050" w:firstLineChars="500"/>
              <w:rPr>
                <w:kern w:val="0"/>
                <w:sz w:val="21"/>
                <w:szCs w:val="21"/>
                <w:highlight w:val="none"/>
              </w:rPr>
            </w:pPr>
            <w:r>
              <w:rPr>
                <w:kern w:val="0"/>
                <w:sz w:val="21"/>
                <w:szCs w:val="21"/>
                <w:highlight w:val="none"/>
              </w:rPr>
              <w:t>第   页   共    页</w:t>
            </w:r>
          </w:p>
        </w:tc>
      </w:tr>
      <w:tr w14:paraId="4C4F98A7">
        <w:tblPrEx>
          <w:tblCellMar>
            <w:top w:w="0" w:type="dxa"/>
            <w:left w:w="108" w:type="dxa"/>
            <w:bottom w:w="0" w:type="dxa"/>
            <w:right w:w="108" w:type="dxa"/>
          </w:tblCellMar>
        </w:tblPrEx>
        <w:trPr>
          <w:trHeight w:val="718" w:hRule="atLeast"/>
          <w:jc w:val="center"/>
        </w:trPr>
        <w:tc>
          <w:tcPr>
            <w:tcW w:w="893" w:type="dxa"/>
            <w:tcBorders>
              <w:top w:val="single" w:color="auto" w:sz="4" w:space="0"/>
              <w:left w:val="single" w:color="auto" w:sz="4" w:space="0"/>
              <w:bottom w:val="single" w:color="auto" w:sz="4" w:space="0"/>
              <w:right w:val="single" w:color="auto" w:sz="4" w:space="0"/>
            </w:tcBorders>
            <w:vAlign w:val="center"/>
          </w:tcPr>
          <w:p w14:paraId="1A78D665">
            <w:pPr>
              <w:widowControl/>
              <w:jc w:val="center"/>
              <w:rPr>
                <w:kern w:val="0"/>
                <w:sz w:val="21"/>
                <w:szCs w:val="21"/>
                <w:highlight w:val="none"/>
              </w:rPr>
            </w:pPr>
            <w:r>
              <w:rPr>
                <w:kern w:val="0"/>
                <w:sz w:val="21"/>
                <w:szCs w:val="21"/>
                <w:highlight w:val="none"/>
              </w:rPr>
              <w:t>序号</w:t>
            </w:r>
          </w:p>
        </w:tc>
        <w:tc>
          <w:tcPr>
            <w:tcW w:w="1424" w:type="dxa"/>
            <w:tcBorders>
              <w:top w:val="single" w:color="auto" w:sz="4" w:space="0"/>
              <w:left w:val="single" w:color="auto" w:sz="4" w:space="0"/>
              <w:bottom w:val="single" w:color="auto" w:sz="4" w:space="0"/>
              <w:right w:val="single" w:color="auto" w:sz="4" w:space="0"/>
            </w:tcBorders>
            <w:vAlign w:val="center"/>
          </w:tcPr>
          <w:p w14:paraId="54F0A0D6">
            <w:pPr>
              <w:widowControl/>
              <w:jc w:val="center"/>
              <w:rPr>
                <w:kern w:val="0"/>
                <w:sz w:val="21"/>
                <w:szCs w:val="21"/>
                <w:highlight w:val="none"/>
              </w:rPr>
            </w:pPr>
            <w:r>
              <w:rPr>
                <w:kern w:val="0"/>
                <w:sz w:val="21"/>
                <w:szCs w:val="21"/>
                <w:highlight w:val="none"/>
              </w:rPr>
              <w:t>项目名称</w:t>
            </w:r>
          </w:p>
        </w:tc>
        <w:tc>
          <w:tcPr>
            <w:tcW w:w="1736" w:type="dxa"/>
            <w:tcBorders>
              <w:top w:val="single" w:color="auto" w:sz="4" w:space="0"/>
              <w:left w:val="single" w:color="auto" w:sz="4" w:space="0"/>
              <w:right w:val="single" w:color="auto" w:sz="4" w:space="0"/>
            </w:tcBorders>
            <w:vAlign w:val="center"/>
          </w:tcPr>
          <w:p w14:paraId="17783D73">
            <w:pPr>
              <w:widowControl/>
              <w:jc w:val="center"/>
              <w:rPr>
                <w:kern w:val="0"/>
                <w:sz w:val="21"/>
                <w:szCs w:val="21"/>
                <w:highlight w:val="none"/>
              </w:rPr>
            </w:pPr>
            <w:r>
              <w:rPr>
                <w:kern w:val="0"/>
                <w:sz w:val="21"/>
                <w:szCs w:val="21"/>
                <w:highlight w:val="none"/>
              </w:rPr>
              <w:t>计算基础</w:t>
            </w:r>
          </w:p>
        </w:tc>
        <w:tc>
          <w:tcPr>
            <w:tcW w:w="1620" w:type="dxa"/>
            <w:tcBorders>
              <w:top w:val="single" w:color="auto" w:sz="4" w:space="0"/>
              <w:left w:val="single" w:color="auto" w:sz="4" w:space="0"/>
              <w:right w:val="single" w:color="auto" w:sz="4" w:space="0"/>
            </w:tcBorders>
            <w:vAlign w:val="center"/>
          </w:tcPr>
          <w:p w14:paraId="08119119">
            <w:pPr>
              <w:widowControl/>
              <w:jc w:val="center"/>
              <w:rPr>
                <w:kern w:val="0"/>
                <w:sz w:val="21"/>
                <w:szCs w:val="21"/>
                <w:highlight w:val="none"/>
              </w:rPr>
            </w:pPr>
            <w:r>
              <w:rPr>
                <w:kern w:val="0"/>
                <w:sz w:val="21"/>
                <w:szCs w:val="21"/>
                <w:highlight w:val="none"/>
              </w:rPr>
              <w:t>费率（%）</w:t>
            </w:r>
          </w:p>
        </w:tc>
        <w:tc>
          <w:tcPr>
            <w:tcW w:w="1880" w:type="dxa"/>
            <w:gridSpan w:val="2"/>
            <w:tcBorders>
              <w:top w:val="single" w:color="auto" w:sz="4" w:space="0"/>
              <w:left w:val="single" w:color="auto" w:sz="4" w:space="0"/>
              <w:right w:val="single" w:color="auto" w:sz="4" w:space="0"/>
            </w:tcBorders>
            <w:vAlign w:val="center"/>
          </w:tcPr>
          <w:p w14:paraId="50F00E3F">
            <w:pPr>
              <w:widowControl/>
              <w:jc w:val="center"/>
              <w:rPr>
                <w:rFonts w:hint="eastAsia"/>
                <w:kern w:val="0"/>
                <w:sz w:val="21"/>
                <w:szCs w:val="21"/>
                <w:highlight w:val="none"/>
              </w:rPr>
            </w:pPr>
            <w:r>
              <w:rPr>
                <w:kern w:val="0"/>
                <w:sz w:val="21"/>
                <w:szCs w:val="21"/>
                <w:highlight w:val="none"/>
              </w:rPr>
              <w:t>金额（元）</w:t>
            </w:r>
          </w:p>
        </w:tc>
        <w:tc>
          <w:tcPr>
            <w:tcW w:w="1395" w:type="dxa"/>
            <w:tcBorders>
              <w:top w:val="single" w:color="auto" w:sz="4" w:space="0"/>
              <w:left w:val="single" w:color="auto" w:sz="4" w:space="0"/>
              <w:right w:val="single" w:color="auto" w:sz="4" w:space="0"/>
            </w:tcBorders>
            <w:vAlign w:val="center"/>
          </w:tcPr>
          <w:p w14:paraId="6A3EF2FF">
            <w:pPr>
              <w:widowControl/>
              <w:jc w:val="center"/>
              <w:rPr>
                <w:rFonts w:hint="eastAsia"/>
                <w:kern w:val="0"/>
                <w:sz w:val="21"/>
                <w:szCs w:val="21"/>
                <w:highlight w:val="none"/>
                <w:lang w:eastAsia="zh-CN"/>
              </w:rPr>
            </w:pPr>
            <w:r>
              <w:rPr>
                <w:kern w:val="0"/>
                <w:sz w:val="21"/>
                <w:szCs w:val="21"/>
                <w:highlight w:val="none"/>
              </w:rPr>
              <w:t>备注</w:t>
            </w:r>
          </w:p>
        </w:tc>
      </w:tr>
      <w:tr w14:paraId="3719265C">
        <w:tblPrEx>
          <w:tblCellMar>
            <w:top w:w="0" w:type="dxa"/>
            <w:left w:w="108" w:type="dxa"/>
            <w:bottom w:w="0" w:type="dxa"/>
            <w:right w:w="108" w:type="dxa"/>
          </w:tblCellMar>
        </w:tblPrEx>
        <w:trPr>
          <w:trHeight w:val="824" w:hRule="atLeast"/>
          <w:jc w:val="center"/>
        </w:trPr>
        <w:tc>
          <w:tcPr>
            <w:tcW w:w="893" w:type="dxa"/>
            <w:tcBorders>
              <w:top w:val="single" w:color="auto" w:sz="4" w:space="0"/>
              <w:left w:val="single" w:color="auto" w:sz="4" w:space="0"/>
              <w:bottom w:val="single" w:color="auto" w:sz="4" w:space="0"/>
              <w:right w:val="single" w:color="auto" w:sz="4" w:space="0"/>
            </w:tcBorders>
            <w:vAlign w:val="center"/>
          </w:tcPr>
          <w:p w14:paraId="491E1841">
            <w:pPr>
              <w:widowControl/>
              <w:jc w:val="center"/>
              <w:rPr>
                <w:kern w:val="0"/>
                <w:sz w:val="22"/>
                <w:szCs w:val="22"/>
                <w:highlight w:val="none"/>
              </w:rPr>
            </w:pPr>
          </w:p>
        </w:tc>
        <w:tc>
          <w:tcPr>
            <w:tcW w:w="1424" w:type="dxa"/>
            <w:tcBorders>
              <w:top w:val="single" w:color="auto" w:sz="4" w:space="0"/>
              <w:left w:val="single" w:color="auto" w:sz="4" w:space="0"/>
              <w:bottom w:val="single" w:color="auto" w:sz="4" w:space="0"/>
              <w:right w:val="single" w:color="auto" w:sz="4" w:space="0"/>
            </w:tcBorders>
            <w:vAlign w:val="center"/>
          </w:tcPr>
          <w:p w14:paraId="097F322E">
            <w:pPr>
              <w:widowControl/>
              <w:jc w:val="center"/>
              <w:rPr>
                <w:kern w:val="0"/>
                <w:sz w:val="22"/>
                <w:szCs w:val="22"/>
                <w:highlight w:val="none"/>
              </w:rPr>
            </w:pPr>
          </w:p>
        </w:tc>
        <w:tc>
          <w:tcPr>
            <w:tcW w:w="1736" w:type="dxa"/>
            <w:tcBorders>
              <w:top w:val="single" w:color="auto" w:sz="4" w:space="0"/>
              <w:left w:val="single" w:color="auto" w:sz="4" w:space="0"/>
              <w:bottom w:val="single" w:color="auto" w:sz="4" w:space="0"/>
              <w:right w:val="single" w:color="auto" w:sz="4" w:space="0"/>
            </w:tcBorders>
            <w:vAlign w:val="center"/>
          </w:tcPr>
          <w:p w14:paraId="7A136B81">
            <w:pPr>
              <w:widowControl/>
              <w:jc w:val="center"/>
              <w:rPr>
                <w:kern w:val="0"/>
                <w:sz w:val="22"/>
                <w:szCs w:val="22"/>
                <w:highlight w:val="none"/>
              </w:rPr>
            </w:pPr>
          </w:p>
        </w:tc>
        <w:tc>
          <w:tcPr>
            <w:tcW w:w="1620" w:type="dxa"/>
            <w:tcBorders>
              <w:top w:val="single" w:color="auto" w:sz="4" w:space="0"/>
              <w:left w:val="single" w:color="auto" w:sz="4" w:space="0"/>
              <w:bottom w:val="single" w:color="auto" w:sz="4" w:space="0"/>
              <w:right w:val="single" w:color="auto" w:sz="4" w:space="0"/>
            </w:tcBorders>
            <w:vAlign w:val="center"/>
          </w:tcPr>
          <w:p w14:paraId="487F2633">
            <w:pPr>
              <w:widowControl/>
              <w:jc w:val="center"/>
              <w:rPr>
                <w:kern w:val="0"/>
                <w:sz w:val="22"/>
                <w:szCs w:val="22"/>
                <w:highlight w:val="none"/>
              </w:rPr>
            </w:pPr>
          </w:p>
        </w:tc>
        <w:tc>
          <w:tcPr>
            <w:tcW w:w="1880" w:type="dxa"/>
            <w:gridSpan w:val="2"/>
            <w:tcBorders>
              <w:top w:val="single" w:color="auto" w:sz="4" w:space="0"/>
              <w:left w:val="single" w:color="auto" w:sz="4" w:space="0"/>
              <w:bottom w:val="single" w:color="auto" w:sz="4" w:space="0"/>
              <w:right w:val="single" w:color="auto" w:sz="4" w:space="0"/>
            </w:tcBorders>
            <w:vAlign w:val="center"/>
          </w:tcPr>
          <w:p w14:paraId="29AE0A75">
            <w:pPr>
              <w:widowControl/>
              <w:jc w:val="center"/>
              <w:rPr>
                <w:kern w:val="0"/>
                <w:sz w:val="22"/>
                <w:szCs w:val="22"/>
                <w:highlight w:val="none"/>
              </w:rPr>
            </w:pPr>
          </w:p>
        </w:tc>
        <w:tc>
          <w:tcPr>
            <w:tcW w:w="1395" w:type="dxa"/>
            <w:tcBorders>
              <w:top w:val="single" w:color="auto" w:sz="4" w:space="0"/>
              <w:left w:val="single" w:color="auto" w:sz="4" w:space="0"/>
              <w:bottom w:val="single" w:color="auto" w:sz="4" w:space="0"/>
              <w:right w:val="single" w:color="auto" w:sz="4" w:space="0"/>
            </w:tcBorders>
            <w:vAlign w:val="center"/>
          </w:tcPr>
          <w:p w14:paraId="46F35600">
            <w:pPr>
              <w:widowControl/>
              <w:jc w:val="center"/>
              <w:rPr>
                <w:kern w:val="0"/>
                <w:sz w:val="22"/>
                <w:szCs w:val="22"/>
                <w:highlight w:val="none"/>
              </w:rPr>
            </w:pPr>
          </w:p>
        </w:tc>
      </w:tr>
      <w:tr w14:paraId="0C48D9E9">
        <w:tblPrEx>
          <w:tblCellMar>
            <w:top w:w="0" w:type="dxa"/>
            <w:left w:w="108" w:type="dxa"/>
            <w:bottom w:w="0" w:type="dxa"/>
            <w:right w:w="108" w:type="dxa"/>
          </w:tblCellMar>
        </w:tblPrEx>
        <w:trPr>
          <w:trHeight w:val="824" w:hRule="atLeast"/>
          <w:jc w:val="center"/>
        </w:trPr>
        <w:tc>
          <w:tcPr>
            <w:tcW w:w="893" w:type="dxa"/>
            <w:tcBorders>
              <w:top w:val="single" w:color="auto" w:sz="4" w:space="0"/>
              <w:left w:val="single" w:color="auto" w:sz="4" w:space="0"/>
              <w:bottom w:val="single" w:color="auto" w:sz="4" w:space="0"/>
              <w:right w:val="single" w:color="auto" w:sz="4" w:space="0"/>
            </w:tcBorders>
            <w:vAlign w:val="center"/>
          </w:tcPr>
          <w:p w14:paraId="4D0FECC8">
            <w:pPr>
              <w:widowControl/>
              <w:jc w:val="center"/>
              <w:rPr>
                <w:kern w:val="0"/>
                <w:sz w:val="22"/>
                <w:szCs w:val="22"/>
                <w:highlight w:val="none"/>
              </w:rPr>
            </w:pPr>
          </w:p>
        </w:tc>
        <w:tc>
          <w:tcPr>
            <w:tcW w:w="1424" w:type="dxa"/>
            <w:tcBorders>
              <w:top w:val="single" w:color="auto" w:sz="4" w:space="0"/>
              <w:left w:val="single" w:color="auto" w:sz="4" w:space="0"/>
              <w:bottom w:val="single" w:color="auto" w:sz="4" w:space="0"/>
              <w:right w:val="single" w:color="auto" w:sz="4" w:space="0"/>
            </w:tcBorders>
            <w:vAlign w:val="center"/>
          </w:tcPr>
          <w:p w14:paraId="2FB28B54">
            <w:pPr>
              <w:widowControl/>
              <w:jc w:val="center"/>
              <w:rPr>
                <w:kern w:val="0"/>
                <w:sz w:val="22"/>
                <w:szCs w:val="22"/>
                <w:highlight w:val="none"/>
              </w:rPr>
            </w:pPr>
          </w:p>
        </w:tc>
        <w:tc>
          <w:tcPr>
            <w:tcW w:w="1736" w:type="dxa"/>
            <w:tcBorders>
              <w:top w:val="single" w:color="auto" w:sz="4" w:space="0"/>
              <w:left w:val="single" w:color="auto" w:sz="4" w:space="0"/>
              <w:bottom w:val="single" w:color="auto" w:sz="4" w:space="0"/>
              <w:right w:val="single" w:color="auto" w:sz="4" w:space="0"/>
            </w:tcBorders>
            <w:vAlign w:val="center"/>
          </w:tcPr>
          <w:p w14:paraId="6DCB979E">
            <w:pPr>
              <w:widowControl/>
              <w:jc w:val="center"/>
              <w:rPr>
                <w:kern w:val="0"/>
                <w:sz w:val="22"/>
                <w:szCs w:val="22"/>
                <w:highlight w:val="none"/>
              </w:rPr>
            </w:pPr>
          </w:p>
        </w:tc>
        <w:tc>
          <w:tcPr>
            <w:tcW w:w="1620" w:type="dxa"/>
            <w:tcBorders>
              <w:top w:val="single" w:color="auto" w:sz="4" w:space="0"/>
              <w:left w:val="single" w:color="auto" w:sz="4" w:space="0"/>
              <w:bottom w:val="single" w:color="auto" w:sz="4" w:space="0"/>
              <w:right w:val="single" w:color="auto" w:sz="4" w:space="0"/>
            </w:tcBorders>
            <w:vAlign w:val="center"/>
          </w:tcPr>
          <w:p w14:paraId="4D5DEFED">
            <w:pPr>
              <w:widowControl/>
              <w:jc w:val="center"/>
              <w:rPr>
                <w:kern w:val="0"/>
                <w:sz w:val="22"/>
                <w:szCs w:val="22"/>
                <w:highlight w:val="none"/>
              </w:rPr>
            </w:pPr>
          </w:p>
        </w:tc>
        <w:tc>
          <w:tcPr>
            <w:tcW w:w="1880" w:type="dxa"/>
            <w:gridSpan w:val="2"/>
            <w:tcBorders>
              <w:top w:val="single" w:color="auto" w:sz="4" w:space="0"/>
              <w:left w:val="single" w:color="auto" w:sz="4" w:space="0"/>
              <w:bottom w:val="single" w:color="auto" w:sz="4" w:space="0"/>
              <w:right w:val="single" w:color="auto" w:sz="4" w:space="0"/>
            </w:tcBorders>
            <w:vAlign w:val="center"/>
          </w:tcPr>
          <w:p w14:paraId="3B059D20">
            <w:pPr>
              <w:widowControl/>
              <w:jc w:val="center"/>
              <w:rPr>
                <w:kern w:val="0"/>
                <w:sz w:val="22"/>
                <w:szCs w:val="22"/>
                <w:highlight w:val="none"/>
              </w:rPr>
            </w:pPr>
          </w:p>
        </w:tc>
        <w:tc>
          <w:tcPr>
            <w:tcW w:w="1395" w:type="dxa"/>
            <w:tcBorders>
              <w:top w:val="single" w:color="auto" w:sz="4" w:space="0"/>
              <w:left w:val="single" w:color="auto" w:sz="4" w:space="0"/>
              <w:bottom w:val="single" w:color="auto" w:sz="4" w:space="0"/>
              <w:right w:val="single" w:color="auto" w:sz="4" w:space="0"/>
            </w:tcBorders>
            <w:vAlign w:val="center"/>
          </w:tcPr>
          <w:p w14:paraId="6BEEF7FD">
            <w:pPr>
              <w:widowControl/>
              <w:jc w:val="center"/>
              <w:rPr>
                <w:kern w:val="0"/>
                <w:sz w:val="22"/>
                <w:szCs w:val="22"/>
                <w:highlight w:val="none"/>
              </w:rPr>
            </w:pPr>
          </w:p>
        </w:tc>
      </w:tr>
      <w:tr w14:paraId="6D753D6D">
        <w:tblPrEx>
          <w:tblCellMar>
            <w:top w:w="0" w:type="dxa"/>
            <w:left w:w="108" w:type="dxa"/>
            <w:bottom w:w="0" w:type="dxa"/>
            <w:right w:w="108" w:type="dxa"/>
          </w:tblCellMar>
        </w:tblPrEx>
        <w:trPr>
          <w:trHeight w:val="824" w:hRule="atLeast"/>
          <w:jc w:val="center"/>
        </w:trPr>
        <w:tc>
          <w:tcPr>
            <w:tcW w:w="893" w:type="dxa"/>
            <w:tcBorders>
              <w:top w:val="single" w:color="auto" w:sz="4" w:space="0"/>
              <w:left w:val="single" w:color="auto" w:sz="4" w:space="0"/>
              <w:bottom w:val="single" w:color="auto" w:sz="4" w:space="0"/>
              <w:right w:val="single" w:color="auto" w:sz="4" w:space="0"/>
            </w:tcBorders>
            <w:vAlign w:val="center"/>
          </w:tcPr>
          <w:p w14:paraId="1419F708">
            <w:pPr>
              <w:widowControl/>
              <w:jc w:val="center"/>
              <w:rPr>
                <w:kern w:val="0"/>
                <w:sz w:val="22"/>
                <w:szCs w:val="22"/>
                <w:highlight w:val="none"/>
              </w:rPr>
            </w:pPr>
          </w:p>
        </w:tc>
        <w:tc>
          <w:tcPr>
            <w:tcW w:w="1424" w:type="dxa"/>
            <w:tcBorders>
              <w:top w:val="single" w:color="auto" w:sz="4" w:space="0"/>
              <w:left w:val="single" w:color="auto" w:sz="4" w:space="0"/>
              <w:bottom w:val="single" w:color="auto" w:sz="4" w:space="0"/>
              <w:right w:val="single" w:color="auto" w:sz="4" w:space="0"/>
            </w:tcBorders>
            <w:vAlign w:val="center"/>
          </w:tcPr>
          <w:p w14:paraId="7AE0B03C">
            <w:pPr>
              <w:widowControl/>
              <w:jc w:val="center"/>
              <w:rPr>
                <w:kern w:val="0"/>
                <w:sz w:val="22"/>
                <w:szCs w:val="22"/>
                <w:highlight w:val="none"/>
              </w:rPr>
            </w:pPr>
          </w:p>
        </w:tc>
        <w:tc>
          <w:tcPr>
            <w:tcW w:w="1736" w:type="dxa"/>
            <w:tcBorders>
              <w:top w:val="single" w:color="auto" w:sz="4" w:space="0"/>
              <w:left w:val="single" w:color="auto" w:sz="4" w:space="0"/>
              <w:bottom w:val="single" w:color="auto" w:sz="4" w:space="0"/>
              <w:right w:val="single" w:color="auto" w:sz="4" w:space="0"/>
            </w:tcBorders>
            <w:vAlign w:val="center"/>
          </w:tcPr>
          <w:p w14:paraId="04F6C2F9">
            <w:pPr>
              <w:widowControl/>
              <w:jc w:val="center"/>
              <w:rPr>
                <w:kern w:val="0"/>
                <w:sz w:val="22"/>
                <w:szCs w:val="22"/>
                <w:highlight w:val="none"/>
              </w:rPr>
            </w:pPr>
          </w:p>
        </w:tc>
        <w:tc>
          <w:tcPr>
            <w:tcW w:w="1620" w:type="dxa"/>
            <w:tcBorders>
              <w:top w:val="single" w:color="auto" w:sz="4" w:space="0"/>
              <w:left w:val="single" w:color="auto" w:sz="4" w:space="0"/>
              <w:bottom w:val="single" w:color="auto" w:sz="4" w:space="0"/>
              <w:right w:val="single" w:color="auto" w:sz="4" w:space="0"/>
            </w:tcBorders>
            <w:vAlign w:val="center"/>
          </w:tcPr>
          <w:p w14:paraId="6B41420D">
            <w:pPr>
              <w:widowControl/>
              <w:jc w:val="center"/>
              <w:rPr>
                <w:kern w:val="0"/>
                <w:sz w:val="22"/>
                <w:szCs w:val="22"/>
                <w:highlight w:val="none"/>
              </w:rPr>
            </w:pPr>
          </w:p>
        </w:tc>
        <w:tc>
          <w:tcPr>
            <w:tcW w:w="1880" w:type="dxa"/>
            <w:gridSpan w:val="2"/>
            <w:tcBorders>
              <w:top w:val="single" w:color="auto" w:sz="4" w:space="0"/>
              <w:left w:val="single" w:color="auto" w:sz="4" w:space="0"/>
              <w:bottom w:val="single" w:color="auto" w:sz="4" w:space="0"/>
              <w:right w:val="single" w:color="auto" w:sz="4" w:space="0"/>
            </w:tcBorders>
            <w:vAlign w:val="center"/>
          </w:tcPr>
          <w:p w14:paraId="04D4168A">
            <w:pPr>
              <w:widowControl/>
              <w:jc w:val="center"/>
              <w:rPr>
                <w:kern w:val="0"/>
                <w:sz w:val="22"/>
                <w:szCs w:val="22"/>
                <w:highlight w:val="none"/>
              </w:rPr>
            </w:pPr>
          </w:p>
        </w:tc>
        <w:tc>
          <w:tcPr>
            <w:tcW w:w="1395" w:type="dxa"/>
            <w:tcBorders>
              <w:top w:val="single" w:color="auto" w:sz="4" w:space="0"/>
              <w:left w:val="single" w:color="auto" w:sz="4" w:space="0"/>
              <w:bottom w:val="single" w:color="auto" w:sz="4" w:space="0"/>
              <w:right w:val="single" w:color="auto" w:sz="4" w:space="0"/>
            </w:tcBorders>
            <w:vAlign w:val="center"/>
          </w:tcPr>
          <w:p w14:paraId="26E5D6E2">
            <w:pPr>
              <w:widowControl/>
              <w:jc w:val="center"/>
              <w:rPr>
                <w:kern w:val="0"/>
                <w:sz w:val="22"/>
                <w:szCs w:val="22"/>
                <w:highlight w:val="none"/>
              </w:rPr>
            </w:pPr>
          </w:p>
        </w:tc>
      </w:tr>
      <w:tr w14:paraId="38F8C2DC">
        <w:tblPrEx>
          <w:tblCellMar>
            <w:top w:w="0" w:type="dxa"/>
            <w:left w:w="108" w:type="dxa"/>
            <w:bottom w:w="0" w:type="dxa"/>
            <w:right w:w="108" w:type="dxa"/>
          </w:tblCellMar>
        </w:tblPrEx>
        <w:trPr>
          <w:trHeight w:val="824" w:hRule="atLeast"/>
          <w:jc w:val="center"/>
        </w:trPr>
        <w:tc>
          <w:tcPr>
            <w:tcW w:w="893" w:type="dxa"/>
            <w:tcBorders>
              <w:top w:val="single" w:color="auto" w:sz="4" w:space="0"/>
              <w:left w:val="single" w:color="auto" w:sz="4" w:space="0"/>
              <w:bottom w:val="single" w:color="auto" w:sz="4" w:space="0"/>
              <w:right w:val="single" w:color="auto" w:sz="4" w:space="0"/>
            </w:tcBorders>
            <w:vAlign w:val="center"/>
          </w:tcPr>
          <w:p w14:paraId="741B52A4">
            <w:pPr>
              <w:widowControl/>
              <w:jc w:val="center"/>
              <w:rPr>
                <w:kern w:val="0"/>
                <w:sz w:val="22"/>
                <w:szCs w:val="22"/>
                <w:highlight w:val="none"/>
              </w:rPr>
            </w:pPr>
          </w:p>
        </w:tc>
        <w:tc>
          <w:tcPr>
            <w:tcW w:w="1424" w:type="dxa"/>
            <w:tcBorders>
              <w:top w:val="single" w:color="auto" w:sz="4" w:space="0"/>
              <w:left w:val="single" w:color="auto" w:sz="4" w:space="0"/>
              <w:bottom w:val="single" w:color="auto" w:sz="4" w:space="0"/>
              <w:right w:val="single" w:color="auto" w:sz="4" w:space="0"/>
            </w:tcBorders>
            <w:vAlign w:val="center"/>
          </w:tcPr>
          <w:p w14:paraId="1A18A7A7">
            <w:pPr>
              <w:widowControl/>
              <w:jc w:val="center"/>
              <w:rPr>
                <w:kern w:val="0"/>
                <w:sz w:val="22"/>
                <w:szCs w:val="22"/>
                <w:highlight w:val="none"/>
              </w:rPr>
            </w:pPr>
          </w:p>
        </w:tc>
        <w:tc>
          <w:tcPr>
            <w:tcW w:w="1736" w:type="dxa"/>
            <w:tcBorders>
              <w:top w:val="single" w:color="auto" w:sz="4" w:space="0"/>
              <w:left w:val="single" w:color="auto" w:sz="4" w:space="0"/>
              <w:bottom w:val="single" w:color="auto" w:sz="4" w:space="0"/>
              <w:right w:val="single" w:color="auto" w:sz="4" w:space="0"/>
            </w:tcBorders>
            <w:vAlign w:val="center"/>
          </w:tcPr>
          <w:p w14:paraId="54169E27">
            <w:pPr>
              <w:widowControl/>
              <w:jc w:val="center"/>
              <w:rPr>
                <w:kern w:val="0"/>
                <w:sz w:val="22"/>
                <w:szCs w:val="22"/>
                <w:highlight w:val="none"/>
              </w:rPr>
            </w:pPr>
          </w:p>
        </w:tc>
        <w:tc>
          <w:tcPr>
            <w:tcW w:w="1620" w:type="dxa"/>
            <w:tcBorders>
              <w:top w:val="single" w:color="auto" w:sz="4" w:space="0"/>
              <w:left w:val="single" w:color="auto" w:sz="4" w:space="0"/>
              <w:bottom w:val="single" w:color="auto" w:sz="4" w:space="0"/>
              <w:right w:val="single" w:color="auto" w:sz="4" w:space="0"/>
            </w:tcBorders>
            <w:vAlign w:val="center"/>
          </w:tcPr>
          <w:p w14:paraId="3CABC5B5">
            <w:pPr>
              <w:widowControl/>
              <w:jc w:val="center"/>
              <w:rPr>
                <w:kern w:val="0"/>
                <w:sz w:val="22"/>
                <w:szCs w:val="22"/>
                <w:highlight w:val="none"/>
              </w:rPr>
            </w:pPr>
          </w:p>
        </w:tc>
        <w:tc>
          <w:tcPr>
            <w:tcW w:w="1880" w:type="dxa"/>
            <w:gridSpan w:val="2"/>
            <w:tcBorders>
              <w:top w:val="single" w:color="auto" w:sz="4" w:space="0"/>
              <w:left w:val="single" w:color="auto" w:sz="4" w:space="0"/>
              <w:bottom w:val="single" w:color="auto" w:sz="4" w:space="0"/>
              <w:right w:val="single" w:color="auto" w:sz="4" w:space="0"/>
            </w:tcBorders>
            <w:vAlign w:val="center"/>
          </w:tcPr>
          <w:p w14:paraId="55F98FBE">
            <w:pPr>
              <w:widowControl/>
              <w:jc w:val="center"/>
              <w:rPr>
                <w:kern w:val="0"/>
                <w:sz w:val="22"/>
                <w:szCs w:val="22"/>
                <w:highlight w:val="none"/>
              </w:rPr>
            </w:pPr>
          </w:p>
        </w:tc>
        <w:tc>
          <w:tcPr>
            <w:tcW w:w="1395" w:type="dxa"/>
            <w:tcBorders>
              <w:top w:val="single" w:color="auto" w:sz="4" w:space="0"/>
              <w:left w:val="single" w:color="auto" w:sz="4" w:space="0"/>
              <w:bottom w:val="single" w:color="auto" w:sz="4" w:space="0"/>
              <w:right w:val="single" w:color="auto" w:sz="4" w:space="0"/>
            </w:tcBorders>
            <w:vAlign w:val="center"/>
          </w:tcPr>
          <w:p w14:paraId="6057AC66">
            <w:pPr>
              <w:widowControl/>
              <w:jc w:val="center"/>
              <w:rPr>
                <w:kern w:val="0"/>
                <w:sz w:val="22"/>
                <w:szCs w:val="22"/>
                <w:highlight w:val="none"/>
              </w:rPr>
            </w:pPr>
          </w:p>
        </w:tc>
      </w:tr>
      <w:tr w14:paraId="5244DDC5">
        <w:tblPrEx>
          <w:tblCellMar>
            <w:top w:w="0" w:type="dxa"/>
            <w:left w:w="108" w:type="dxa"/>
            <w:bottom w:w="0" w:type="dxa"/>
            <w:right w:w="108" w:type="dxa"/>
          </w:tblCellMar>
        </w:tblPrEx>
        <w:trPr>
          <w:trHeight w:val="824" w:hRule="atLeast"/>
          <w:jc w:val="center"/>
        </w:trPr>
        <w:tc>
          <w:tcPr>
            <w:tcW w:w="893" w:type="dxa"/>
            <w:tcBorders>
              <w:top w:val="single" w:color="auto" w:sz="4" w:space="0"/>
              <w:left w:val="single" w:color="auto" w:sz="4" w:space="0"/>
              <w:bottom w:val="single" w:color="auto" w:sz="4" w:space="0"/>
              <w:right w:val="single" w:color="auto" w:sz="4" w:space="0"/>
            </w:tcBorders>
            <w:vAlign w:val="center"/>
          </w:tcPr>
          <w:p w14:paraId="57396CF6">
            <w:pPr>
              <w:widowControl/>
              <w:jc w:val="center"/>
              <w:rPr>
                <w:kern w:val="0"/>
                <w:sz w:val="22"/>
                <w:szCs w:val="22"/>
                <w:highlight w:val="none"/>
              </w:rPr>
            </w:pPr>
          </w:p>
        </w:tc>
        <w:tc>
          <w:tcPr>
            <w:tcW w:w="1424" w:type="dxa"/>
            <w:tcBorders>
              <w:top w:val="single" w:color="auto" w:sz="4" w:space="0"/>
              <w:left w:val="single" w:color="auto" w:sz="4" w:space="0"/>
              <w:bottom w:val="single" w:color="auto" w:sz="4" w:space="0"/>
              <w:right w:val="single" w:color="auto" w:sz="4" w:space="0"/>
            </w:tcBorders>
            <w:vAlign w:val="center"/>
          </w:tcPr>
          <w:p w14:paraId="5605FF06">
            <w:pPr>
              <w:widowControl/>
              <w:jc w:val="center"/>
              <w:rPr>
                <w:kern w:val="0"/>
                <w:sz w:val="22"/>
                <w:szCs w:val="22"/>
                <w:highlight w:val="none"/>
              </w:rPr>
            </w:pPr>
          </w:p>
        </w:tc>
        <w:tc>
          <w:tcPr>
            <w:tcW w:w="1736" w:type="dxa"/>
            <w:tcBorders>
              <w:top w:val="single" w:color="auto" w:sz="4" w:space="0"/>
              <w:left w:val="single" w:color="auto" w:sz="4" w:space="0"/>
              <w:bottom w:val="single" w:color="auto" w:sz="4" w:space="0"/>
              <w:right w:val="single" w:color="auto" w:sz="4" w:space="0"/>
            </w:tcBorders>
            <w:vAlign w:val="center"/>
          </w:tcPr>
          <w:p w14:paraId="00037B6C">
            <w:pPr>
              <w:widowControl/>
              <w:jc w:val="center"/>
              <w:rPr>
                <w:kern w:val="0"/>
                <w:sz w:val="22"/>
                <w:szCs w:val="22"/>
                <w:highlight w:val="none"/>
              </w:rPr>
            </w:pPr>
          </w:p>
        </w:tc>
        <w:tc>
          <w:tcPr>
            <w:tcW w:w="1620" w:type="dxa"/>
            <w:tcBorders>
              <w:top w:val="single" w:color="auto" w:sz="4" w:space="0"/>
              <w:left w:val="single" w:color="auto" w:sz="4" w:space="0"/>
              <w:bottom w:val="single" w:color="auto" w:sz="4" w:space="0"/>
              <w:right w:val="single" w:color="auto" w:sz="4" w:space="0"/>
            </w:tcBorders>
            <w:vAlign w:val="center"/>
          </w:tcPr>
          <w:p w14:paraId="2E772F87">
            <w:pPr>
              <w:widowControl/>
              <w:jc w:val="center"/>
              <w:rPr>
                <w:kern w:val="0"/>
                <w:sz w:val="22"/>
                <w:szCs w:val="22"/>
                <w:highlight w:val="none"/>
              </w:rPr>
            </w:pPr>
          </w:p>
        </w:tc>
        <w:tc>
          <w:tcPr>
            <w:tcW w:w="1880" w:type="dxa"/>
            <w:gridSpan w:val="2"/>
            <w:tcBorders>
              <w:top w:val="single" w:color="auto" w:sz="4" w:space="0"/>
              <w:left w:val="single" w:color="auto" w:sz="4" w:space="0"/>
              <w:bottom w:val="single" w:color="auto" w:sz="4" w:space="0"/>
              <w:right w:val="single" w:color="auto" w:sz="4" w:space="0"/>
            </w:tcBorders>
            <w:vAlign w:val="center"/>
          </w:tcPr>
          <w:p w14:paraId="1C91DB60">
            <w:pPr>
              <w:widowControl/>
              <w:jc w:val="center"/>
              <w:rPr>
                <w:kern w:val="0"/>
                <w:sz w:val="22"/>
                <w:szCs w:val="22"/>
                <w:highlight w:val="none"/>
              </w:rPr>
            </w:pPr>
          </w:p>
        </w:tc>
        <w:tc>
          <w:tcPr>
            <w:tcW w:w="1395" w:type="dxa"/>
            <w:tcBorders>
              <w:top w:val="single" w:color="auto" w:sz="4" w:space="0"/>
              <w:left w:val="single" w:color="auto" w:sz="4" w:space="0"/>
              <w:bottom w:val="single" w:color="auto" w:sz="4" w:space="0"/>
              <w:right w:val="single" w:color="auto" w:sz="4" w:space="0"/>
            </w:tcBorders>
            <w:vAlign w:val="center"/>
          </w:tcPr>
          <w:p w14:paraId="6E7609BF">
            <w:pPr>
              <w:widowControl/>
              <w:jc w:val="center"/>
              <w:rPr>
                <w:kern w:val="0"/>
                <w:sz w:val="22"/>
                <w:szCs w:val="22"/>
                <w:highlight w:val="none"/>
              </w:rPr>
            </w:pPr>
          </w:p>
        </w:tc>
      </w:tr>
      <w:tr w14:paraId="1BF22637">
        <w:tblPrEx>
          <w:tblCellMar>
            <w:top w:w="0" w:type="dxa"/>
            <w:left w:w="108" w:type="dxa"/>
            <w:bottom w:w="0" w:type="dxa"/>
            <w:right w:w="108" w:type="dxa"/>
          </w:tblCellMar>
        </w:tblPrEx>
        <w:trPr>
          <w:trHeight w:val="824" w:hRule="atLeast"/>
          <w:jc w:val="center"/>
        </w:trPr>
        <w:tc>
          <w:tcPr>
            <w:tcW w:w="893" w:type="dxa"/>
            <w:tcBorders>
              <w:top w:val="single" w:color="auto" w:sz="4" w:space="0"/>
              <w:left w:val="single" w:color="auto" w:sz="4" w:space="0"/>
              <w:bottom w:val="single" w:color="auto" w:sz="4" w:space="0"/>
              <w:right w:val="single" w:color="auto" w:sz="4" w:space="0"/>
            </w:tcBorders>
            <w:vAlign w:val="center"/>
          </w:tcPr>
          <w:p w14:paraId="1DE04C91">
            <w:pPr>
              <w:widowControl/>
              <w:jc w:val="center"/>
              <w:rPr>
                <w:kern w:val="0"/>
                <w:sz w:val="22"/>
                <w:szCs w:val="22"/>
                <w:highlight w:val="none"/>
              </w:rPr>
            </w:pPr>
          </w:p>
        </w:tc>
        <w:tc>
          <w:tcPr>
            <w:tcW w:w="1424" w:type="dxa"/>
            <w:tcBorders>
              <w:top w:val="single" w:color="auto" w:sz="4" w:space="0"/>
              <w:left w:val="single" w:color="auto" w:sz="4" w:space="0"/>
              <w:bottom w:val="single" w:color="auto" w:sz="4" w:space="0"/>
              <w:right w:val="single" w:color="auto" w:sz="4" w:space="0"/>
            </w:tcBorders>
            <w:vAlign w:val="center"/>
          </w:tcPr>
          <w:p w14:paraId="54603678">
            <w:pPr>
              <w:widowControl/>
              <w:jc w:val="center"/>
              <w:rPr>
                <w:kern w:val="0"/>
                <w:sz w:val="22"/>
                <w:szCs w:val="22"/>
                <w:highlight w:val="none"/>
              </w:rPr>
            </w:pPr>
          </w:p>
        </w:tc>
        <w:tc>
          <w:tcPr>
            <w:tcW w:w="1736" w:type="dxa"/>
            <w:tcBorders>
              <w:top w:val="single" w:color="auto" w:sz="4" w:space="0"/>
              <w:left w:val="single" w:color="auto" w:sz="4" w:space="0"/>
              <w:bottom w:val="single" w:color="auto" w:sz="4" w:space="0"/>
              <w:right w:val="single" w:color="auto" w:sz="4" w:space="0"/>
            </w:tcBorders>
            <w:vAlign w:val="center"/>
          </w:tcPr>
          <w:p w14:paraId="2632A52E">
            <w:pPr>
              <w:widowControl/>
              <w:jc w:val="center"/>
              <w:rPr>
                <w:kern w:val="0"/>
                <w:sz w:val="22"/>
                <w:szCs w:val="22"/>
                <w:highlight w:val="none"/>
              </w:rPr>
            </w:pPr>
          </w:p>
        </w:tc>
        <w:tc>
          <w:tcPr>
            <w:tcW w:w="1620" w:type="dxa"/>
            <w:tcBorders>
              <w:top w:val="single" w:color="auto" w:sz="4" w:space="0"/>
              <w:left w:val="single" w:color="auto" w:sz="4" w:space="0"/>
              <w:bottom w:val="single" w:color="auto" w:sz="4" w:space="0"/>
              <w:right w:val="single" w:color="auto" w:sz="4" w:space="0"/>
            </w:tcBorders>
            <w:vAlign w:val="center"/>
          </w:tcPr>
          <w:p w14:paraId="0AEB62FD">
            <w:pPr>
              <w:widowControl/>
              <w:jc w:val="center"/>
              <w:rPr>
                <w:kern w:val="0"/>
                <w:sz w:val="22"/>
                <w:szCs w:val="22"/>
                <w:highlight w:val="none"/>
              </w:rPr>
            </w:pPr>
          </w:p>
        </w:tc>
        <w:tc>
          <w:tcPr>
            <w:tcW w:w="1880" w:type="dxa"/>
            <w:gridSpan w:val="2"/>
            <w:tcBorders>
              <w:top w:val="single" w:color="auto" w:sz="4" w:space="0"/>
              <w:left w:val="single" w:color="auto" w:sz="4" w:space="0"/>
              <w:bottom w:val="single" w:color="auto" w:sz="4" w:space="0"/>
              <w:right w:val="single" w:color="auto" w:sz="4" w:space="0"/>
            </w:tcBorders>
            <w:vAlign w:val="center"/>
          </w:tcPr>
          <w:p w14:paraId="6AFCACF4">
            <w:pPr>
              <w:widowControl/>
              <w:jc w:val="center"/>
              <w:rPr>
                <w:kern w:val="0"/>
                <w:sz w:val="22"/>
                <w:szCs w:val="22"/>
                <w:highlight w:val="none"/>
              </w:rPr>
            </w:pPr>
          </w:p>
        </w:tc>
        <w:tc>
          <w:tcPr>
            <w:tcW w:w="1395" w:type="dxa"/>
            <w:tcBorders>
              <w:top w:val="single" w:color="auto" w:sz="4" w:space="0"/>
              <w:left w:val="single" w:color="auto" w:sz="4" w:space="0"/>
              <w:bottom w:val="single" w:color="auto" w:sz="4" w:space="0"/>
              <w:right w:val="single" w:color="auto" w:sz="4" w:space="0"/>
            </w:tcBorders>
            <w:vAlign w:val="center"/>
          </w:tcPr>
          <w:p w14:paraId="0EDC6B36">
            <w:pPr>
              <w:widowControl/>
              <w:jc w:val="center"/>
              <w:rPr>
                <w:kern w:val="0"/>
                <w:sz w:val="22"/>
                <w:szCs w:val="22"/>
                <w:highlight w:val="none"/>
              </w:rPr>
            </w:pPr>
          </w:p>
        </w:tc>
      </w:tr>
      <w:tr w14:paraId="44716728">
        <w:tblPrEx>
          <w:tblCellMar>
            <w:top w:w="0" w:type="dxa"/>
            <w:left w:w="108" w:type="dxa"/>
            <w:bottom w:w="0" w:type="dxa"/>
            <w:right w:w="108" w:type="dxa"/>
          </w:tblCellMar>
        </w:tblPrEx>
        <w:trPr>
          <w:trHeight w:val="824" w:hRule="atLeast"/>
          <w:jc w:val="center"/>
        </w:trPr>
        <w:tc>
          <w:tcPr>
            <w:tcW w:w="893" w:type="dxa"/>
            <w:tcBorders>
              <w:top w:val="single" w:color="auto" w:sz="4" w:space="0"/>
              <w:left w:val="single" w:color="auto" w:sz="4" w:space="0"/>
              <w:bottom w:val="single" w:color="auto" w:sz="4" w:space="0"/>
              <w:right w:val="single" w:color="auto" w:sz="4" w:space="0"/>
            </w:tcBorders>
            <w:vAlign w:val="center"/>
          </w:tcPr>
          <w:p w14:paraId="6778C22B">
            <w:pPr>
              <w:widowControl/>
              <w:jc w:val="center"/>
              <w:rPr>
                <w:kern w:val="0"/>
                <w:sz w:val="22"/>
                <w:szCs w:val="22"/>
                <w:highlight w:val="none"/>
              </w:rPr>
            </w:pPr>
          </w:p>
        </w:tc>
        <w:tc>
          <w:tcPr>
            <w:tcW w:w="1424" w:type="dxa"/>
            <w:tcBorders>
              <w:top w:val="single" w:color="auto" w:sz="4" w:space="0"/>
              <w:left w:val="single" w:color="auto" w:sz="4" w:space="0"/>
              <w:bottom w:val="single" w:color="auto" w:sz="4" w:space="0"/>
              <w:right w:val="single" w:color="auto" w:sz="4" w:space="0"/>
            </w:tcBorders>
            <w:vAlign w:val="center"/>
          </w:tcPr>
          <w:p w14:paraId="247467E1">
            <w:pPr>
              <w:widowControl/>
              <w:jc w:val="center"/>
              <w:rPr>
                <w:kern w:val="0"/>
                <w:sz w:val="22"/>
                <w:szCs w:val="22"/>
                <w:highlight w:val="none"/>
              </w:rPr>
            </w:pPr>
          </w:p>
        </w:tc>
        <w:tc>
          <w:tcPr>
            <w:tcW w:w="1736" w:type="dxa"/>
            <w:tcBorders>
              <w:top w:val="single" w:color="auto" w:sz="4" w:space="0"/>
              <w:left w:val="single" w:color="auto" w:sz="4" w:space="0"/>
              <w:bottom w:val="single" w:color="auto" w:sz="4" w:space="0"/>
              <w:right w:val="single" w:color="auto" w:sz="4" w:space="0"/>
            </w:tcBorders>
            <w:vAlign w:val="center"/>
          </w:tcPr>
          <w:p w14:paraId="01D3947E">
            <w:pPr>
              <w:widowControl/>
              <w:jc w:val="center"/>
              <w:rPr>
                <w:kern w:val="0"/>
                <w:sz w:val="22"/>
                <w:szCs w:val="22"/>
                <w:highlight w:val="none"/>
              </w:rPr>
            </w:pPr>
          </w:p>
        </w:tc>
        <w:tc>
          <w:tcPr>
            <w:tcW w:w="1620" w:type="dxa"/>
            <w:tcBorders>
              <w:top w:val="single" w:color="auto" w:sz="4" w:space="0"/>
              <w:left w:val="single" w:color="auto" w:sz="4" w:space="0"/>
              <w:bottom w:val="single" w:color="auto" w:sz="4" w:space="0"/>
              <w:right w:val="single" w:color="auto" w:sz="4" w:space="0"/>
            </w:tcBorders>
            <w:vAlign w:val="center"/>
          </w:tcPr>
          <w:p w14:paraId="47F252BB">
            <w:pPr>
              <w:widowControl/>
              <w:jc w:val="center"/>
              <w:rPr>
                <w:kern w:val="0"/>
                <w:sz w:val="22"/>
                <w:szCs w:val="22"/>
                <w:highlight w:val="none"/>
              </w:rPr>
            </w:pPr>
          </w:p>
        </w:tc>
        <w:tc>
          <w:tcPr>
            <w:tcW w:w="1880" w:type="dxa"/>
            <w:gridSpan w:val="2"/>
            <w:tcBorders>
              <w:top w:val="single" w:color="auto" w:sz="4" w:space="0"/>
              <w:left w:val="single" w:color="auto" w:sz="4" w:space="0"/>
              <w:bottom w:val="single" w:color="auto" w:sz="4" w:space="0"/>
              <w:right w:val="single" w:color="auto" w:sz="4" w:space="0"/>
            </w:tcBorders>
            <w:vAlign w:val="center"/>
          </w:tcPr>
          <w:p w14:paraId="21573396">
            <w:pPr>
              <w:widowControl/>
              <w:jc w:val="center"/>
              <w:rPr>
                <w:kern w:val="0"/>
                <w:sz w:val="22"/>
                <w:szCs w:val="22"/>
                <w:highlight w:val="none"/>
              </w:rPr>
            </w:pPr>
          </w:p>
        </w:tc>
        <w:tc>
          <w:tcPr>
            <w:tcW w:w="1395" w:type="dxa"/>
            <w:tcBorders>
              <w:top w:val="single" w:color="auto" w:sz="4" w:space="0"/>
              <w:left w:val="single" w:color="auto" w:sz="4" w:space="0"/>
              <w:bottom w:val="single" w:color="auto" w:sz="4" w:space="0"/>
              <w:right w:val="single" w:color="auto" w:sz="4" w:space="0"/>
            </w:tcBorders>
            <w:vAlign w:val="center"/>
          </w:tcPr>
          <w:p w14:paraId="59756CB9">
            <w:pPr>
              <w:widowControl/>
              <w:jc w:val="center"/>
              <w:rPr>
                <w:kern w:val="0"/>
                <w:sz w:val="22"/>
                <w:szCs w:val="22"/>
                <w:highlight w:val="none"/>
              </w:rPr>
            </w:pPr>
          </w:p>
        </w:tc>
      </w:tr>
      <w:tr w14:paraId="19BB4BEC">
        <w:tblPrEx>
          <w:tblCellMar>
            <w:top w:w="0" w:type="dxa"/>
            <w:left w:w="108" w:type="dxa"/>
            <w:bottom w:w="0" w:type="dxa"/>
            <w:right w:w="108" w:type="dxa"/>
          </w:tblCellMar>
        </w:tblPrEx>
        <w:trPr>
          <w:trHeight w:val="824" w:hRule="atLeast"/>
          <w:jc w:val="center"/>
        </w:trPr>
        <w:tc>
          <w:tcPr>
            <w:tcW w:w="893" w:type="dxa"/>
            <w:tcBorders>
              <w:top w:val="single" w:color="auto" w:sz="4" w:space="0"/>
              <w:left w:val="single" w:color="auto" w:sz="4" w:space="0"/>
              <w:bottom w:val="single" w:color="auto" w:sz="4" w:space="0"/>
              <w:right w:val="single" w:color="auto" w:sz="4" w:space="0"/>
            </w:tcBorders>
            <w:vAlign w:val="center"/>
          </w:tcPr>
          <w:p w14:paraId="5351F273">
            <w:pPr>
              <w:widowControl/>
              <w:jc w:val="center"/>
              <w:rPr>
                <w:kern w:val="0"/>
                <w:sz w:val="22"/>
                <w:szCs w:val="22"/>
                <w:highlight w:val="none"/>
              </w:rPr>
            </w:pPr>
          </w:p>
        </w:tc>
        <w:tc>
          <w:tcPr>
            <w:tcW w:w="1424" w:type="dxa"/>
            <w:tcBorders>
              <w:top w:val="single" w:color="auto" w:sz="4" w:space="0"/>
              <w:left w:val="single" w:color="auto" w:sz="4" w:space="0"/>
              <w:bottom w:val="single" w:color="auto" w:sz="4" w:space="0"/>
              <w:right w:val="single" w:color="auto" w:sz="4" w:space="0"/>
            </w:tcBorders>
            <w:vAlign w:val="center"/>
          </w:tcPr>
          <w:p w14:paraId="1252298D">
            <w:pPr>
              <w:widowControl/>
              <w:jc w:val="center"/>
              <w:rPr>
                <w:kern w:val="0"/>
                <w:sz w:val="22"/>
                <w:szCs w:val="22"/>
                <w:highlight w:val="none"/>
              </w:rPr>
            </w:pPr>
          </w:p>
        </w:tc>
        <w:tc>
          <w:tcPr>
            <w:tcW w:w="1736" w:type="dxa"/>
            <w:tcBorders>
              <w:top w:val="single" w:color="auto" w:sz="4" w:space="0"/>
              <w:left w:val="single" w:color="auto" w:sz="4" w:space="0"/>
              <w:bottom w:val="single" w:color="auto" w:sz="4" w:space="0"/>
              <w:right w:val="single" w:color="auto" w:sz="4" w:space="0"/>
            </w:tcBorders>
            <w:vAlign w:val="center"/>
          </w:tcPr>
          <w:p w14:paraId="1BDBE726">
            <w:pPr>
              <w:widowControl/>
              <w:jc w:val="center"/>
              <w:rPr>
                <w:kern w:val="0"/>
                <w:sz w:val="22"/>
                <w:szCs w:val="22"/>
                <w:highlight w:val="none"/>
              </w:rPr>
            </w:pPr>
          </w:p>
        </w:tc>
        <w:tc>
          <w:tcPr>
            <w:tcW w:w="1620" w:type="dxa"/>
            <w:tcBorders>
              <w:top w:val="single" w:color="auto" w:sz="4" w:space="0"/>
              <w:left w:val="single" w:color="auto" w:sz="4" w:space="0"/>
              <w:bottom w:val="single" w:color="auto" w:sz="4" w:space="0"/>
              <w:right w:val="single" w:color="auto" w:sz="4" w:space="0"/>
            </w:tcBorders>
            <w:vAlign w:val="center"/>
          </w:tcPr>
          <w:p w14:paraId="2399AD93">
            <w:pPr>
              <w:widowControl/>
              <w:jc w:val="center"/>
              <w:rPr>
                <w:kern w:val="0"/>
                <w:sz w:val="22"/>
                <w:szCs w:val="22"/>
                <w:highlight w:val="none"/>
              </w:rPr>
            </w:pPr>
          </w:p>
        </w:tc>
        <w:tc>
          <w:tcPr>
            <w:tcW w:w="1880" w:type="dxa"/>
            <w:gridSpan w:val="2"/>
            <w:tcBorders>
              <w:top w:val="single" w:color="auto" w:sz="4" w:space="0"/>
              <w:left w:val="single" w:color="auto" w:sz="4" w:space="0"/>
              <w:bottom w:val="single" w:color="auto" w:sz="4" w:space="0"/>
              <w:right w:val="single" w:color="auto" w:sz="4" w:space="0"/>
            </w:tcBorders>
            <w:vAlign w:val="center"/>
          </w:tcPr>
          <w:p w14:paraId="141C9277">
            <w:pPr>
              <w:widowControl/>
              <w:jc w:val="center"/>
              <w:rPr>
                <w:kern w:val="0"/>
                <w:sz w:val="22"/>
                <w:szCs w:val="22"/>
                <w:highlight w:val="none"/>
              </w:rPr>
            </w:pPr>
          </w:p>
        </w:tc>
        <w:tc>
          <w:tcPr>
            <w:tcW w:w="1395" w:type="dxa"/>
            <w:tcBorders>
              <w:top w:val="single" w:color="auto" w:sz="4" w:space="0"/>
              <w:left w:val="single" w:color="auto" w:sz="4" w:space="0"/>
              <w:bottom w:val="single" w:color="auto" w:sz="4" w:space="0"/>
              <w:right w:val="single" w:color="auto" w:sz="4" w:space="0"/>
            </w:tcBorders>
            <w:vAlign w:val="center"/>
          </w:tcPr>
          <w:p w14:paraId="0BF30008">
            <w:pPr>
              <w:widowControl/>
              <w:jc w:val="center"/>
              <w:rPr>
                <w:kern w:val="0"/>
                <w:sz w:val="22"/>
                <w:szCs w:val="22"/>
                <w:highlight w:val="none"/>
              </w:rPr>
            </w:pPr>
          </w:p>
        </w:tc>
      </w:tr>
      <w:tr w14:paraId="552C8DA6">
        <w:tblPrEx>
          <w:tblCellMar>
            <w:top w:w="0" w:type="dxa"/>
            <w:left w:w="108" w:type="dxa"/>
            <w:bottom w:w="0" w:type="dxa"/>
            <w:right w:w="108" w:type="dxa"/>
          </w:tblCellMar>
        </w:tblPrEx>
        <w:trPr>
          <w:trHeight w:val="824" w:hRule="atLeast"/>
          <w:jc w:val="center"/>
        </w:trPr>
        <w:tc>
          <w:tcPr>
            <w:tcW w:w="893" w:type="dxa"/>
            <w:tcBorders>
              <w:top w:val="single" w:color="auto" w:sz="4" w:space="0"/>
              <w:left w:val="single" w:color="auto" w:sz="4" w:space="0"/>
              <w:bottom w:val="single" w:color="auto" w:sz="4" w:space="0"/>
              <w:right w:val="single" w:color="auto" w:sz="4" w:space="0"/>
            </w:tcBorders>
            <w:vAlign w:val="center"/>
          </w:tcPr>
          <w:p w14:paraId="500E87CF">
            <w:pPr>
              <w:widowControl/>
              <w:jc w:val="center"/>
              <w:rPr>
                <w:kern w:val="0"/>
                <w:sz w:val="22"/>
                <w:szCs w:val="22"/>
                <w:highlight w:val="none"/>
              </w:rPr>
            </w:pPr>
          </w:p>
        </w:tc>
        <w:tc>
          <w:tcPr>
            <w:tcW w:w="1424" w:type="dxa"/>
            <w:tcBorders>
              <w:top w:val="single" w:color="auto" w:sz="4" w:space="0"/>
              <w:left w:val="single" w:color="auto" w:sz="4" w:space="0"/>
              <w:bottom w:val="single" w:color="auto" w:sz="4" w:space="0"/>
              <w:right w:val="single" w:color="auto" w:sz="4" w:space="0"/>
            </w:tcBorders>
            <w:vAlign w:val="center"/>
          </w:tcPr>
          <w:p w14:paraId="760E38A8">
            <w:pPr>
              <w:widowControl/>
              <w:jc w:val="center"/>
              <w:rPr>
                <w:kern w:val="0"/>
                <w:sz w:val="22"/>
                <w:szCs w:val="22"/>
                <w:highlight w:val="none"/>
              </w:rPr>
            </w:pPr>
          </w:p>
        </w:tc>
        <w:tc>
          <w:tcPr>
            <w:tcW w:w="1736" w:type="dxa"/>
            <w:tcBorders>
              <w:top w:val="single" w:color="auto" w:sz="4" w:space="0"/>
              <w:left w:val="single" w:color="auto" w:sz="4" w:space="0"/>
              <w:bottom w:val="single" w:color="auto" w:sz="4" w:space="0"/>
              <w:right w:val="single" w:color="auto" w:sz="4" w:space="0"/>
            </w:tcBorders>
            <w:vAlign w:val="center"/>
          </w:tcPr>
          <w:p w14:paraId="45399DE9">
            <w:pPr>
              <w:widowControl/>
              <w:jc w:val="center"/>
              <w:rPr>
                <w:kern w:val="0"/>
                <w:sz w:val="22"/>
                <w:szCs w:val="22"/>
                <w:highlight w:val="none"/>
              </w:rPr>
            </w:pPr>
          </w:p>
        </w:tc>
        <w:tc>
          <w:tcPr>
            <w:tcW w:w="1620" w:type="dxa"/>
            <w:tcBorders>
              <w:top w:val="single" w:color="auto" w:sz="4" w:space="0"/>
              <w:left w:val="single" w:color="auto" w:sz="4" w:space="0"/>
              <w:bottom w:val="single" w:color="auto" w:sz="4" w:space="0"/>
              <w:right w:val="single" w:color="auto" w:sz="4" w:space="0"/>
            </w:tcBorders>
            <w:vAlign w:val="center"/>
          </w:tcPr>
          <w:p w14:paraId="14D1EEFF">
            <w:pPr>
              <w:widowControl/>
              <w:jc w:val="center"/>
              <w:rPr>
                <w:kern w:val="0"/>
                <w:sz w:val="22"/>
                <w:szCs w:val="22"/>
                <w:highlight w:val="none"/>
              </w:rPr>
            </w:pPr>
          </w:p>
        </w:tc>
        <w:tc>
          <w:tcPr>
            <w:tcW w:w="1880" w:type="dxa"/>
            <w:gridSpan w:val="2"/>
            <w:tcBorders>
              <w:top w:val="single" w:color="auto" w:sz="4" w:space="0"/>
              <w:left w:val="single" w:color="auto" w:sz="4" w:space="0"/>
              <w:bottom w:val="single" w:color="auto" w:sz="4" w:space="0"/>
              <w:right w:val="single" w:color="auto" w:sz="4" w:space="0"/>
            </w:tcBorders>
            <w:vAlign w:val="center"/>
          </w:tcPr>
          <w:p w14:paraId="3A463366">
            <w:pPr>
              <w:widowControl/>
              <w:jc w:val="center"/>
              <w:rPr>
                <w:kern w:val="0"/>
                <w:sz w:val="22"/>
                <w:szCs w:val="22"/>
                <w:highlight w:val="none"/>
              </w:rPr>
            </w:pPr>
          </w:p>
        </w:tc>
        <w:tc>
          <w:tcPr>
            <w:tcW w:w="1395" w:type="dxa"/>
            <w:tcBorders>
              <w:top w:val="single" w:color="auto" w:sz="4" w:space="0"/>
              <w:left w:val="single" w:color="auto" w:sz="4" w:space="0"/>
              <w:bottom w:val="single" w:color="auto" w:sz="4" w:space="0"/>
              <w:right w:val="single" w:color="auto" w:sz="4" w:space="0"/>
            </w:tcBorders>
            <w:vAlign w:val="center"/>
          </w:tcPr>
          <w:p w14:paraId="12875B59">
            <w:pPr>
              <w:widowControl/>
              <w:jc w:val="center"/>
              <w:rPr>
                <w:kern w:val="0"/>
                <w:sz w:val="22"/>
                <w:szCs w:val="22"/>
                <w:highlight w:val="none"/>
              </w:rPr>
            </w:pPr>
          </w:p>
        </w:tc>
      </w:tr>
      <w:tr w14:paraId="77C72AAA">
        <w:tblPrEx>
          <w:tblCellMar>
            <w:top w:w="0" w:type="dxa"/>
            <w:left w:w="108" w:type="dxa"/>
            <w:bottom w:w="0" w:type="dxa"/>
            <w:right w:w="108" w:type="dxa"/>
          </w:tblCellMar>
        </w:tblPrEx>
        <w:trPr>
          <w:trHeight w:val="824" w:hRule="atLeast"/>
          <w:jc w:val="center"/>
        </w:trPr>
        <w:tc>
          <w:tcPr>
            <w:tcW w:w="893" w:type="dxa"/>
            <w:tcBorders>
              <w:top w:val="single" w:color="auto" w:sz="4" w:space="0"/>
              <w:left w:val="single" w:color="auto" w:sz="4" w:space="0"/>
              <w:bottom w:val="single" w:color="auto" w:sz="4" w:space="0"/>
              <w:right w:val="single" w:color="auto" w:sz="4" w:space="0"/>
            </w:tcBorders>
            <w:vAlign w:val="center"/>
          </w:tcPr>
          <w:p w14:paraId="3CA6E1BA">
            <w:pPr>
              <w:widowControl/>
              <w:jc w:val="center"/>
              <w:rPr>
                <w:kern w:val="0"/>
                <w:sz w:val="22"/>
                <w:szCs w:val="22"/>
                <w:highlight w:val="none"/>
              </w:rPr>
            </w:pPr>
          </w:p>
        </w:tc>
        <w:tc>
          <w:tcPr>
            <w:tcW w:w="1424" w:type="dxa"/>
            <w:tcBorders>
              <w:top w:val="single" w:color="auto" w:sz="4" w:space="0"/>
              <w:left w:val="single" w:color="auto" w:sz="4" w:space="0"/>
              <w:bottom w:val="single" w:color="auto" w:sz="4" w:space="0"/>
              <w:right w:val="single" w:color="auto" w:sz="4" w:space="0"/>
            </w:tcBorders>
            <w:vAlign w:val="center"/>
          </w:tcPr>
          <w:p w14:paraId="4069E717">
            <w:pPr>
              <w:widowControl/>
              <w:jc w:val="center"/>
              <w:rPr>
                <w:kern w:val="0"/>
                <w:sz w:val="22"/>
                <w:szCs w:val="22"/>
                <w:highlight w:val="none"/>
              </w:rPr>
            </w:pPr>
          </w:p>
        </w:tc>
        <w:tc>
          <w:tcPr>
            <w:tcW w:w="1736" w:type="dxa"/>
            <w:tcBorders>
              <w:top w:val="single" w:color="auto" w:sz="4" w:space="0"/>
              <w:left w:val="single" w:color="auto" w:sz="4" w:space="0"/>
              <w:bottom w:val="single" w:color="auto" w:sz="4" w:space="0"/>
              <w:right w:val="single" w:color="auto" w:sz="4" w:space="0"/>
            </w:tcBorders>
            <w:vAlign w:val="center"/>
          </w:tcPr>
          <w:p w14:paraId="4CE044B4">
            <w:pPr>
              <w:widowControl/>
              <w:jc w:val="center"/>
              <w:rPr>
                <w:kern w:val="0"/>
                <w:sz w:val="22"/>
                <w:szCs w:val="22"/>
                <w:highlight w:val="none"/>
              </w:rPr>
            </w:pPr>
          </w:p>
        </w:tc>
        <w:tc>
          <w:tcPr>
            <w:tcW w:w="1620" w:type="dxa"/>
            <w:tcBorders>
              <w:top w:val="single" w:color="auto" w:sz="4" w:space="0"/>
              <w:left w:val="single" w:color="auto" w:sz="4" w:space="0"/>
              <w:bottom w:val="single" w:color="auto" w:sz="4" w:space="0"/>
              <w:right w:val="single" w:color="auto" w:sz="4" w:space="0"/>
            </w:tcBorders>
            <w:vAlign w:val="center"/>
          </w:tcPr>
          <w:p w14:paraId="1F836E57">
            <w:pPr>
              <w:widowControl/>
              <w:jc w:val="center"/>
              <w:rPr>
                <w:kern w:val="0"/>
                <w:sz w:val="22"/>
                <w:szCs w:val="22"/>
                <w:highlight w:val="none"/>
              </w:rPr>
            </w:pPr>
          </w:p>
        </w:tc>
        <w:tc>
          <w:tcPr>
            <w:tcW w:w="1880" w:type="dxa"/>
            <w:gridSpan w:val="2"/>
            <w:tcBorders>
              <w:top w:val="single" w:color="auto" w:sz="4" w:space="0"/>
              <w:left w:val="single" w:color="auto" w:sz="4" w:space="0"/>
              <w:bottom w:val="single" w:color="auto" w:sz="4" w:space="0"/>
              <w:right w:val="single" w:color="auto" w:sz="4" w:space="0"/>
            </w:tcBorders>
            <w:vAlign w:val="center"/>
          </w:tcPr>
          <w:p w14:paraId="6D42FC0A">
            <w:pPr>
              <w:widowControl/>
              <w:jc w:val="center"/>
              <w:rPr>
                <w:kern w:val="0"/>
                <w:sz w:val="22"/>
                <w:szCs w:val="22"/>
                <w:highlight w:val="none"/>
              </w:rPr>
            </w:pPr>
          </w:p>
        </w:tc>
        <w:tc>
          <w:tcPr>
            <w:tcW w:w="1395" w:type="dxa"/>
            <w:tcBorders>
              <w:top w:val="single" w:color="auto" w:sz="4" w:space="0"/>
              <w:left w:val="single" w:color="auto" w:sz="4" w:space="0"/>
              <w:bottom w:val="single" w:color="auto" w:sz="4" w:space="0"/>
              <w:right w:val="single" w:color="auto" w:sz="4" w:space="0"/>
            </w:tcBorders>
            <w:vAlign w:val="center"/>
          </w:tcPr>
          <w:p w14:paraId="648E35A3">
            <w:pPr>
              <w:widowControl/>
              <w:jc w:val="center"/>
              <w:rPr>
                <w:kern w:val="0"/>
                <w:sz w:val="22"/>
                <w:szCs w:val="22"/>
                <w:highlight w:val="none"/>
              </w:rPr>
            </w:pPr>
          </w:p>
        </w:tc>
      </w:tr>
      <w:tr w14:paraId="3B8707A4">
        <w:tblPrEx>
          <w:tblCellMar>
            <w:top w:w="0" w:type="dxa"/>
            <w:left w:w="108" w:type="dxa"/>
            <w:bottom w:w="0" w:type="dxa"/>
            <w:right w:w="108" w:type="dxa"/>
          </w:tblCellMar>
        </w:tblPrEx>
        <w:trPr>
          <w:trHeight w:val="824" w:hRule="atLeast"/>
          <w:jc w:val="center"/>
        </w:trPr>
        <w:tc>
          <w:tcPr>
            <w:tcW w:w="2317" w:type="dxa"/>
            <w:gridSpan w:val="2"/>
            <w:tcBorders>
              <w:top w:val="single" w:color="auto" w:sz="4" w:space="0"/>
              <w:left w:val="single" w:color="auto" w:sz="4" w:space="0"/>
              <w:bottom w:val="single" w:color="auto" w:sz="4" w:space="0"/>
              <w:right w:val="single" w:color="auto" w:sz="4" w:space="0"/>
            </w:tcBorders>
            <w:vAlign w:val="center"/>
          </w:tcPr>
          <w:p w14:paraId="107A6F80">
            <w:pPr>
              <w:widowControl/>
              <w:jc w:val="center"/>
              <w:rPr>
                <w:kern w:val="0"/>
                <w:sz w:val="21"/>
                <w:szCs w:val="21"/>
                <w:highlight w:val="none"/>
              </w:rPr>
            </w:pPr>
            <w:r>
              <w:rPr>
                <w:kern w:val="0"/>
                <w:sz w:val="21"/>
                <w:szCs w:val="21"/>
                <w:highlight w:val="none"/>
              </w:rPr>
              <w:t>本页小计</w:t>
            </w:r>
          </w:p>
        </w:tc>
        <w:tc>
          <w:tcPr>
            <w:tcW w:w="1736" w:type="dxa"/>
            <w:tcBorders>
              <w:top w:val="single" w:color="auto" w:sz="4" w:space="0"/>
              <w:left w:val="single" w:color="auto" w:sz="4" w:space="0"/>
              <w:bottom w:val="single" w:color="auto" w:sz="4" w:space="0"/>
              <w:right w:val="single" w:color="auto" w:sz="4" w:space="0"/>
            </w:tcBorders>
            <w:vAlign w:val="center"/>
          </w:tcPr>
          <w:p w14:paraId="31FD133B">
            <w:pPr>
              <w:widowControl/>
              <w:jc w:val="center"/>
              <w:rPr>
                <w:kern w:val="0"/>
                <w:sz w:val="22"/>
                <w:szCs w:val="22"/>
                <w:highlight w:val="none"/>
              </w:rPr>
            </w:pPr>
          </w:p>
        </w:tc>
        <w:tc>
          <w:tcPr>
            <w:tcW w:w="1620" w:type="dxa"/>
            <w:tcBorders>
              <w:top w:val="single" w:color="auto" w:sz="4" w:space="0"/>
              <w:left w:val="single" w:color="auto" w:sz="4" w:space="0"/>
              <w:bottom w:val="single" w:color="auto" w:sz="4" w:space="0"/>
              <w:right w:val="single" w:color="auto" w:sz="4" w:space="0"/>
            </w:tcBorders>
            <w:vAlign w:val="center"/>
          </w:tcPr>
          <w:p w14:paraId="5E1029B2">
            <w:pPr>
              <w:widowControl/>
              <w:jc w:val="center"/>
              <w:rPr>
                <w:kern w:val="0"/>
                <w:sz w:val="22"/>
                <w:szCs w:val="22"/>
                <w:highlight w:val="none"/>
              </w:rPr>
            </w:pPr>
          </w:p>
        </w:tc>
        <w:tc>
          <w:tcPr>
            <w:tcW w:w="1880" w:type="dxa"/>
            <w:gridSpan w:val="2"/>
            <w:tcBorders>
              <w:top w:val="single" w:color="auto" w:sz="4" w:space="0"/>
              <w:left w:val="single" w:color="auto" w:sz="4" w:space="0"/>
              <w:bottom w:val="single" w:color="auto" w:sz="4" w:space="0"/>
              <w:right w:val="single" w:color="auto" w:sz="4" w:space="0"/>
            </w:tcBorders>
            <w:vAlign w:val="center"/>
          </w:tcPr>
          <w:p w14:paraId="1F97DBCE">
            <w:pPr>
              <w:widowControl/>
              <w:jc w:val="center"/>
              <w:rPr>
                <w:kern w:val="0"/>
                <w:sz w:val="22"/>
                <w:szCs w:val="22"/>
                <w:highlight w:val="none"/>
              </w:rPr>
            </w:pPr>
          </w:p>
        </w:tc>
        <w:tc>
          <w:tcPr>
            <w:tcW w:w="1395" w:type="dxa"/>
            <w:tcBorders>
              <w:top w:val="single" w:color="auto" w:sz="4" w:space="0"/>
              <w:left w:val="single" w:color="auto" w:sz="4" w:space="0"/>
              <w:bottom w:val="single" w:color="auto" w:sz="4" w:space="0"/>
              <w:right w:val="single" w:color="auto" w:sz="4" w:space="0"/>
            </w:tcBorders>
            <w:vAlign w:val="center"/>
          </w:tcPr>
          <w:p w14:paraId="0251C925">
            <w:pPr>
              <w:widowControl/>
              <w:jc w:val="center"/>
              <w:rPr>
                <w:rFonts w:hint="eastAsia" w:ascii="宋体" w:hAnsi="宋体" w:eastAsia="宋体" w:cs="宋体"/>
                <w:kern w:val="0"/>
                <w:sz w:val="22"/>
                <w:szCs w:val="22"/>
                <w:highlight w:val="none"/>
                <w:lang w:val="en-US" w:eastAsia="zh-CN"/>
              </w:rPr>
            </w:pPr>
            <w:r>
              <w:rPr>
                <w:rFonts w:hint="eastAsia" w:ascii="宋体" w:hAnsi="宋体" w:eastAsia="宋体" w:cs="宋体"/>
                <w:kern w:val="0"/>
                <w:sz w:val="22"/>
                <w:szCs w:val="22"/>
                <w:highlight w:val="none"/>
                <w:lang w:val="en-US" w:eastAsia="zh-CN"/>
              </w:rPr>
              <w:t>-</w:t>
            </w:r>
          </w:p>
        </w:tc>
      </w:tr>
      <w:tr w14:paraId="63E740AE">
        <w:tblPrEx>
          <w:tblCellMar>
            <w:top w:w="0" w:type="dxa"/>
            <w:left w:w="108" w:type="dxa"/>
            <w:bottom w:w="0" w:type="dxa"/>
            <w:right w:w="108" w:type="dxa"/>
          </w:tblCellMar>
        </w:tblPrEx>
        <w:trPr>
          <w:trHeight w:val="824" w:hRule="atLeast"/>
          <w:jc w:val="center"/>
        </w:trPr>
        <w:tc>
          <w:tcPr>
            <w:tcW w:w="2317" w:type="dxa"/>
            <w:gridSpan w:val="2"/>
            <w:tcBorders>
              <w:top w:val="single" w:color="auto" w:sz="4" w:space="0"/>
              <w:left w:val="single" w:color="auto" w:sz="4" w:space="0"/>
              <w:bottom w:val="single" w:color="auto" w:sz="4" w:space="0"/>
              <w:right w:val="single" w:color="auto" w:sz="4" w:space="0"/>
            </w:tcBorders>
            <w:vAlign w:val="center"/>
          </w:tcPr>
          <w:p w14:paraId="78F1CD24">
            <w:pPr>
              <w:widowControl/>
              <w:jc w:val="center"/>
              <w:rPr>
                <w:kern w:val="0"/>
                <w:sz w:val="21"/>
                <w:szCs w:val="21"/>
                <w:highlight w:val="none"/>
              </w:rPr>
            </w:pPr>
            <w:r>
              <w:rPr>
                <w:kern w:val="0"/>
                <w:sz w:val="21"/>
                <w:szCs w:val="21"/>
                <w:highlight w:val="none"/>
              </w:rPr>
              <w:t>合　　计</w:t>
            </w:r>
          </w:p>
        </w:tc>
        <w:tc>
          <w:tcPr>
            <w:tcW w:w="1736" w:type="dxa"/>
            <w:tcBorders>
              <w:top w:val="single" w:color="auto" w:sz="4" w:space="0"/>
              <w:left w:val="single" w:color="auto" w:sz="4" w:space="0"/>
              <w:bottom w:val="single" w:color="auto" w:sz="4" w:space="0"/>
              <w:right w:val="single" w:color="auto" w:sz="4" w:space="0"/>
            </w:tcBorders>
            <w:vAlign w:val="center"/>
          </w:tcPr>
          <w:p w14:paraId="58C191AF">
            <w:pPr>
              <w:widowControl/>
              <w:jc w:val="center"/>
              <w:rPr>
                <w:kern w:val="0"/>
                <w:sz w:val="22"/>
                <w:szCs w:val="22"/>
                <w:highlight w:val="none"/>
              </w:rPr>
            </w:pPr>
          </w:p>
        </w:tc>
        <w:tc>
          <w:tcPr>
            <w:tcW w:w="1620" w:type="dxa"/>
            <w:tcBorders>
              <w:top w:val="single" w:color="auto" w:sz="4" w:space="0"/>
              <w:left w:val="single" w:color="auto" w:sz="4" w:space="0"/>
              <w:bottom w:val="single" w:color="auto" w:sz="4" w:space="0"/>
              <w:right w:val="single" w:color="auto" w:sz="4" w:space="0"/>
            </w:tcBorders>
            <w:vAlign w:val="center"/>
          </w:tcPr>
          <w:p w14:paraId="1ECDF042">
            <w:pPr>
              <w:widowControl/>
              <w:jc w:val="center"/>
              <w:rPr>
                <w:kern w:val="0"/>
                <w:sz w:val="22"/>
                <w:szCs w:val="22"/>
                <w:highlight w:val="none"/>
              </w:rPr>
            </w:pPr>
          </w:p>
        </w:tc>
        <w:tc>
          <w:tcPr>
            <w:tcW w:w="1880" w:type="dxa"/>
            <w:gridSpan w:val="2"/>
            <w:tcBorders>
              <w:top w:val="single" w:color="auto" w:sz="4" w:space="0"/>
              <w:left w:val="single" w:color="auto" w:sz="4" w:space="0"/>
              <w:bottom w:val="single" w:color="auto" w:sz="4" w:space="0"/>
              <w:right w:val="single" w:color="auto" w:sz="4" w:space="0"/>
            </w:tcBorders>
            <w:vAlign w:val="center"/>
          </w:tcPr>
          <w:p w14:paraId="5E776560">
            <w:pPr>
              <w:widowControl/>
              <w:jc w:val="center"/>
              <w:rPr>
                <w:kern w:val="0"/>
                <w:sz w:val="22"/>
                <w:szCs w:val="22"/>
                <w:highlight w:val="none"/>
              </w:rPr>
            </w:pPr>
          </w:p>
        </w:tc>
        <w:tc>
          <w:tcPr>
            <w:tcW w:w="1395" w:type="dxa"/>
            <w:tcBorders>
              <w:top w:val="single" w:color="auto" w:sz="4" w:space="0"/>
              <w:left w:val="single" w:color="auto" w:sz="4" w:space="0"/>
              <w:bottom w:val="single" w:color="auto" w:sz="4" w:space="0"/>
              <w:right w:val="single" w:color="auto" w:sz="4" w:space="0"/>
            </w:tcBorders>
            <w:vAlign w:val="center"/>
          </w:tcPr>
          <w:p w14:paraId="3C6995EB">
            <w:pPr>
              <w:widowControl/>
              <w:jc w:val="center"/>
              <w:rPr>
                <w:rFonts w:hint="eastAsia" w:ascii="宋体" w:hAnsi="宋体" w:eastAsia="宋体" w:cs="宋体"/>
                <w:kern w:val="0"/>
                <w:sz w:val="22"/>
                <w:szCs w:val="22"/>
                <w:highlight w:val="none"/>
                <w:lang w:val="en-US" w:eastAsia="zh-CN"/>
              </w:rPr>
            </w:pPr>
            <w:r>
              <w:rPr>
                <w:rFonts w:hint="eastAsia" w:ascii="宋体" w:hAnsi="宋体" w:eastAsia="宋体" w:cs="宋体"/>
                <w:kern w:val="0"/>
                <w:sz w:val="22"/>
                <w:szCs w:val="22"/>
                <w:highlight w:val="none"/>
                <w:lang w:val="en-US" w:eastAsia="zh-CN"/>
              </w:rPr>
              <w:t>-</w:t>
            </w:r>
          </w:p>
        </w:tc>
      </w:tr>
      <w:tr w14:paraId="76EA78CD">
        <w:tblPrEx>
          <w:tblCellMar>
            <w:top w:w="0" w:type="dxa"/>
            <w:left w:w="108" w:type="dxa"/>
            <w:bottom w:w="0" w:type="dxa"/>
            <w:right w:w="108" w:type="dxa"/>
          </w:tblCellMar>
        </w:tblPrEx>
        <w:trPr>
          <w:trHeight w:val="330" w:hRule="atLeast"/>
          <w:jc w:val="center"/>
        </w:trPr>
        <w:tc>
          <w:tcPr>
            <w:tcW w:w="8948" w:type="dxa"/>
            <w:gridSpan w:val="7"/>
            <w:tcBorders>
              <w:top w:val="single" w:color="auto" w:sz="4" w:space="0"/>
              <w:left w:val="nil"/>
              <w:bottom w:val="nil"/>
              <w:right w:val="nil"/>
            </w:tcBorders>
            <w:vAlign w:val="center"/>
          </w:tcPr>
          <w:p w14:paraId="5A6CF1E3">
            <w:pPr>
              <w:widowControl/>
              <w:ind w:firstLine="720" w:firstLineChars="400"/>
              <w:rPr>
                <w:kern w:val="0"/>
                <w:sz w:val="18"/>
                <w:szCs w:val="18"/>
                <w:highlight w:val="none"/>
              </w:rPr>
            </w:pPr>
          </w:p>
        </w:tc>
      </w:tr>
    </w:tbl>
    <w:p w14:paraId="4EB43678">
      <w:pPr>
        <w:rPr>
          <w:szCs w:val="21"/>
          <w:highlight w:val="none"/>
        </w:rPr>
      </w:pPr>
    </w:p>
    <w:p w14:paraId="630B72BC">
      <w:pPr>
        <w:rPr>
          <w:szCs w:val="21"/>
          <w:highlight w:val="none"/>
        </w:rPr>
      </w:pPr>
      <w:r>
        <w:rPr>
          <w:szCs w:val="21"/>
          <w:highlight w:val="none"/>
        </w:rPr>
        <w:br w:type="page"/>
      </w:r>
    </w:p>
    <w:p w14:paraId="5B2A8299">
      <w:pPr>
        <w:pStyle w:val="16"/>
        <w:widowControl/>
        <w:spacing w:before="117" w:line="219" w:lineRule="auto"/>
        <w:ind w:left="0" w:firstLine="0" w:firstLineChars="0"/>
        <w:jc w:val="center"/>
        <w:outlineLvl w:val="1"/>
        <w:rPr>
          <w:rFonts w:hint="eastAsia" w:ascii="宋体" w:hAnsi="宋体" w:eastAsia="宋体" w:cs="宋体"/>
          <w:b w:val="0"/>
          <w:bCs w:val="0"/>
          <w:spacing w:val="24"/>
          <w:sz w:val="32"/>
          <w:szCs w:val="32"/>
          <w:highlight w:val="none"/>
          <w:lang w:val="en-US" w:eastAsia="zh-CN"/>
        </w:rPr>
      </w:pPr>
      <w:r>
        <w:rPr>
          <w:rFonts w:hint="eastAsia" w:ascii="宋体" w:hAnsi="宋体" w:eastAsia="宋体" w:cs="宋体"/>
          <w:b w:val="0"/>
          <w:bCs w:val="0"/>
          <w:spacing w:val="24"/>
          <w:sz w:val="32"/>
          <w:szCs w:val="32"/>
          <w:highlight w:val="none"/>
          <w:lang w:val="en-US" w:eastAsia="zh-CN"/>
        </w:rPr>
        <w:t>主要材料一览（调差）表</w:t>
      </w:r>
    </w:p>
    <w:p w14:paraId="056F9BFC">
      <w:pPr>
        <w:jc w:val="center"/>
        <w:outlineLvl w:val="2"/>
        <w:rPr>
          <w:szCs w:val="21"/>
          <w:highlight w:val="none"/>
        </w:rPr>
      </w:pPr>
      <w:r>
        <w:rPr>
          <w:rFonts w:hint="eastAsia"/>
          <w:b w:val="0"/>
          <w:bCs w:val="0"/>
          <w:kern w:val="0"/>
          <w:sz w:val="28"/>
          <w:szCs w:val="28"/>
          <w:highlight w:val="none"/>
        </w:rPr>
        <w:t>发包人提供材料一览表</w:t>
      </w:r>
    </w:p>
    <w:p w14:paraId="60DF5D94">
      <w:pPr>
        <w:rPr>
          <w:szCs w:val="21"/>
          <w:highlight w:val="none"/>
        </w:rPr>
      </w:pPr>
    </w:p>
    <w:tbl>
      <w:tblPr>
        <w:tblStyle w:val="41"/>
        <w:tblW w:w="8858" w:type="dxa"/>
        <w:jc w:val="center"/>
        <w:tblLayout w:type="fixed"/>
        <w:tblCellMar>
          <w:top w:w="0" w:type="dxa"/>
          <w:left w:w="108" w:type="dxa"/>
          <w:bottom w:w="0" w:type="dxa"/>
          <w:right w:w="108" w:type="dxa"/>
        </w:tblCellMar>
      </w:tblPr>
      <w:tblGrid>
        <w:gridCol w:w="796"/>
        <w:gridCol w:w="2022"/>
        <w:gridCol w:w="981"/>
        <w:gridCol w:w="981"/>
        <w:gridCol w:w="981"/>
        <w:gridCol w:w="981"/>
        <w:gridCol w:w="1065"/>
        <w:gridCol w:w="1051"/>
      </w:tblGrid>
      <w:tr w14:paraId="06E7AE6F">
        <w:tblPrEx>
          <w:tblCellMar>
            <w:top w:w="0" w:type="dxa"/>
            <w:left w:w="108" w:type="dxa"/>
            <w:bottom w:w="0" w:type="dxa"/>
            <w:right w:w="108" w:type="dxa"/>
          </w:tblCellMar>
        </w:tblPrEx>
        <w:trPr>
          <w:trHeight w:val="493" w:hRule="atLeast"/>
          <w:jc w:val="center"/>
        </w:trPr>
        <w:tc>
          <w:tcPr>
            <w:tcW w:w="4780" w:type="dxa"/>
            <w:gridSpan w:val="4"/>
            <w:tcBorders>
              <w:top w:val="nil"/>
              <w:left w:val="nil"/>
              <w:bottom w:val="single" w:color="auto" w:sz="4" w:space="0"/>
              <w:right w:val="nil"/>
            </w:tcBorders>
            <w:vAlign w:val="center"/>
          </w:tcPr>
          <w:p w14:paraId="5FE7F28E">
            <w:pPr>
              <w:widowControl/>
              <w:jc w:val="left"/>
              <w:rPr>
                <w:kern w:val="0"/>
                <w:sz w:val="21"/>
                <w:szCs w:val="21"/>
                <w:highlight w:val="none"/>
              </w:rPr>
            </w:pPr>
            <w:r>
              <w:rPr>
                <w:kern w:val="0"/>
                <w:sz w:val="21"/>
                <w:szCs w:val="21"/>
                <w:highlight w:val="none"/>
              </w:rPr>
              <w:t xml:space="preserve">工程名称：                标段：  </w:t>
            </w:r>
          </w:p>
        </w:tc>
        <w:tc>
          <w:tcPr>
            <w:tcW w:w="4078" w:type="dxa"/>
            <w:gridSpan w:val="4"/>
            <w:tcBorders>
              <w:top w:val="nil"/>
              <w:left w:val="nil"/>
              <w:bottom w:val="single" w:color="auto" w:sz="4" w:space="0"/>
              <w:right w:val="nil"/>
            </w:tcBorders>
            <w:vAlign w:val="center"/>
          </w:tcPr>
          <w:p w14:paraId="3012AE2C">
            <w:pPr>
              <w:widowControl/>
              <w:tabs>
                <w:tab w:val="left" w:pos="2677"/>
                <w:tab w:val="left" w:pos="3980"/>
              </w:tabs>
              <w:ind w:right="-138" w:firstLine="2100" w:firstLineChars="1000"/>
              <w:rPr>
                <w:kern w:val="0"/>
                <w:sz w:val="21"/>
                <w:szCs w:val="21"/>
                <w:highlight w:val="none"/>
              </w:rPr>
            </w:pPr>
            <w:r>
              <w:rPr>
                <w:kern w:val="0"/>
                <w:sz w:val="21"/>
                <w:szCs w:val="21"/>
                <w:highlight w:val="none"/>
              </w:rPr>
              <w:t>第   页   共    页</w:t>
            </w:r>
          </w:p>
        </w:tc>
      </w:tr>
      <w:tr w14:paraId="53A44E8D">
        <w:tblPrEx>
          <w:tblCellMar>
            <w:top w:w="0" w:type="dxa"/>
            <w:left w:w="108" w:type="dxa"/>
            <w:bottom w:w="0" w:type="dxa"/>
            <w:right w:w="108" w:type="dxa"/>
          </w:tblCellMar>
        </w:tblPrEx>
        <w:trPr>
          <w:trHeight w:val="796" w:hRule="atLeast"/>
          <w:jc w:val="center"/>
        </w:trPr>
        <w:tc>
          <w:tcPr>
            <w:tcW w:w="796" w:type="dxa"/>
            <w:tcBorders>
              <w:top w:val="nil"/>
              <w:left w:val="single" w:color="auto" w:sz="4" w:space="0"/>
              <w:bottom w:val="single" w:color="auto" w:sz="4" w:space="0"/>
              <w:right w:val="single" w:color="auto" w:sz="4" w:space="0"/>
            </w:tcBorders>
            <w:vAlign w:val="center"/>
          </w:tcPr>
          <w:p w14:paraId="015241E9">
            <w:pPr>
              <w:widowControl/>
              <w:jc w:val="center"/>
              <w:rPr>
                <w:kern w:val="0"/>
                <w:sz w:val="21"/>
                <w:szCs w:val="21"/>
                <w:highlight w:val="none"/>
              </w:rPr>
            </w:pPr>
            <w:r>
              <w:rPr>
                <w:kern w:val="0"/>
                <w:sz w:val="21"/>
                <w:szCs w:val="21"/>
                <w:highlight w:val="none"/>
              </w:rPr>
              <w:t>序号</w:t>
            </w:r>
          </w:p>
        </w:tc>
        <w:tc>
          <w:tcPr>
            <w:tcW w:w="2022" w:type="dxa"/>
            <w:tcBorders>
              <w:top w:val="nil"/>
              <w:left w:val="nil"/>
              <w:bottom w:val="single" w:color="auto" w:sz="4" w:space="0"/>
              <w:right w:val="single" w:color="auto" w:sz="4" w:space="0"/>
            </w:tcBorders>
            <w:vAlign w:val="center"/>
          </w:tcPr>
          <w:p w14:paraId="722B61CA">
            <w:pPr>
              <w:widowControl/>
              <w:ind w:left="-8" w:leftChars="-74" w:right="-130" w:rightChars="-62" w:hanging="147" w:hangingChars="70"/>
              <w:jc w:val="center"/>
              <w:rPr>
                <w:kern w:val="0"/>
                <w:sz w:val="21"/>
                <w:szCs w:val="21"/>
                <w:highlight w:val="none"/>
              </w:rPr>
            </w:pPr>
            <w:r>
              <w:rPr>
                <w:kern w:val="0"/>
                <w:sz w:val="21"/>
                <w:szCs w:val="21"/>
                <w:highlight w:val="none"/>
              </w:rPr>
              <w:t>材料名称、</w:t>
            </w:r>
          </w:p>
          <w:p w14:paraId="2B40BCE9">
            <w:pPr>
              <w:widowControl/>
              <w:ind w:left="-8" w:leftChars="-74" w:right="-130" w:rightChars="-62" w:hanging="147" w:hangingChars="70"/>
              <w:jc w:val="center"/>
              <w:rPr>
                <w:kern w:val="0"/>
                <w:sz w:val="21"/>
                <w:szCs w:val="21"/>
                <w:highlight w:val="none"/>
              </w:rPr>
            </w:pPr>
            <w:r>
              <w:rPr>
                <w:kern w:val="0"/>
                <w:sz w:val="21"/>
                <w:szCs w:val="21"/>
                <w:highlight w:val="none"/>
              </w:rPr>
              <w:t>规格及型号</w:t>
            </w:r>
          </w:p>
        </w:tc>
        <w:tc>
          <w:tcPr>
            <w:tcW w:w="981" w:type="dxa"/>
            <w:tcBorders>
              <w:top w:val="nil"/>
              <w:left w:val="nil"/>
              <w:bottom w:val="single" w:color="auto" w:sz="4" w:space="0"/>
              <w:right w:val="single" w:color="auto" w:sz="4" w:space="0"/>
            </w:tcBorders>
            <w:vAlign w:val="center"/>
          </w:tcPr>
          <w:p w14:paraId="0C5881E1">
            <w:pPr>
              <w:widowControl/>
              <w:jc w:val="center"/>
              <w:rPr>
                <w:kern w:val="0"/>
                <w:sz w:val="21"/>
                <w:szCs w:val="21"/>
                <w:highlight w:val="none"/>
              </w:rPr>
            </w:pPr>
            <w:r>
              <w:rPr>
                <w:kern w:val="0"/>
                <w:sz w:val="21"/>
                <w:szCs w:val="21"/>
                <w:highlight w:val="none"/>
              </w:rPr>
              <w:t>单位</w:t>
            </w:r>
          </w:p>
        </w:tc>
        <w:tc>
          <w:tcPr>
            <w:tcW w:w="981" w:type="dxa"/>
            <w:tcBorders>
              <w:top w:val="nil"/>
              <w:left w:val="nil"/>
              <w:bottom w:val="single" w:color="auto" w:sz="4" w:space="0"/>
              <w:right w:val="single" w:color="auto" w:sz="4" w:space="0"/>
            </w:tcBorders>
            <w:vAlign w:val="center"/>
          </w:tcPr>
          <w:p w14:paraId="3F7D0E86">
            <w:pPr>
              <w:widowControl/>
              <w:jc w:val="center"/>
              <w:rPr>
                <w:kern w:val="0"/>
                <w:sz w:val="21"/>
                <w:szCs w:val="21"/>
                <w:highlight w:val="none"/>
              </w:rPr>
            </w:pPr>
            <w:r>
              <w:rPr>
                <w:kern w:val="0"/>
                <w:sz w:val="21"/>
                <w:szCs w:val="21"/>
                <w:highlight w:val="none"/>
              </w:rPr>
              <w:t>数量</w:t>
            </w:r>
          </w:p>
        </w:tc>
        <w:tc>
          <w:tcPr>
            <w:tcW w:w="981" w:type="dxa"/>
            <w:tcBorders>
              <w:top w:val="nil"/>
              <w:left w:val="nil"/>
              <w:bottom w:val="single" w:color="auto" w:sz="4" w:space="0"/>
              <w:right w:val="single" w:color="auto" w:sz="4" w:space="0"/>
            </w:tcBorders>
            <w:vAlign w:val="center"/>
          </w:tcPr>
          <w:p w14:paraId="5E62287D">
            <w:pPr>
              <w:widowControl/>
              <w:jc w:val="center"/>
              <w:rPr>
                <w:rFonts w:hint="eastAsia"/>
                <w:kern w:val="0"/>
                <w:sz w:val="21"/>
                <w:szCs w:val="21"/>
                <w:highlight w:val="none"/>
              </w:rPr>
            </w:pPr>
            <w:r>
              <w:rPr>
                <w:kern w:val="0"/>
                <w:sz w:val="21"/>
                <w:szCs w:val="21"/>
                <w:highlight w:val="none"/>
              </w:rPr>
              <w:t>单价</w:t>
            </w:r>
            <w:r>
              <w:rPr>
                <w:rFonts w:hint="eastAsia"/>
                <w:kern w:val="0"/>
                <w:sz w:val="21"/>
                <w:szCs w:val="21"/>
                <w:highlight w:val="none"/>
                <w:lang w:eastAsia="zh-CN"/>
              </w:rPr>
              <w:t>（</w:t>
            </w:r>
            <w:r>
              <w:rPr>
                <w:rFonts w:hint="eastAsia"/>
                <w:kern w:val="0"/>
                <w:sz w:val="21"/>
                <w:szCs w:val="21"/>
                <w:highlight w:val="none"/>
                <w:lang w:val="en-US" w:eastAsia="zh-CN"/>
              </w:rPr>
              <w:t>元</w:t>
            </w:r>
            <w:r>
              <w:rPr>
                <w:rFonts w:hint="eastAsia"/>
                <w:kern w:val="0"/>
                <w:sz w:val="21"/>
                <w:szCs w:val="21"/>
                <w:highlight w:val="none"/>
                <w:lang w:eastAsia="zh-CN"/>
              </w:rPr>
              <w:t>）</w:t>
            </w:r>
          </w:p>
        </w:tc>
        <w:tc>
          <w:tcPr>
            <w:tcW w:w="981" w:type="dxa"/>
            <w:tcBorders>
              <w:top w:val="nil"/>
              <w:left w:val="nil"/>
              <w:bottom w:val="single" w:color="auto" w:sz="4" w:space="0"/>
              <w:right w:val="single" w:color="auto" w:sz="4" w:space="0"/>
            </w:tcBorders>
            <w:vAlign w:val="center"/>
          </w:tcPr>
          <w:p w14:paraId="206035F9">
            <w:pPr>
              <w:widowControl/>
              <w:jc w:val="center"/>
              <w:rPr>
                <w:rFonts w:hint="eastAsia"/>
                <w:kern w:val="0"/>
                <w:sz w:val="21"/>
                <w:szCs w:val="21"/>
                <w:highlight w:val="none"/>
              </w:rPr>
            </w:pPr>
            <w:r>
              <w:rPr>
                <w:kern w:val="0"/>
                <w:sz w:val="21"/>
                <w:szCs w:val="21"/>
                <w:highlight w:val="none"/>
              </w:rPr>
              <w:t>合价</w:t>
            </w:r>
            <w:r>
              <w:rPr>
                <w:rFonts w:hint="eastAsia"/>
                <w:kern w:val="0"/>
                <w:sz w:val="21"/>
                <w:szCs w:val="21"/>
                <w:highlight w:val="none"/>
                <w:lang w:eastAsia="zh-CN"/>
              </w:rPr>
              <w:t>（</w:t>
            </w:r>
            <w:r>
              <w:rPr>
                <w:rFonts w:hint="eastAsia"/>
                <w:kern w:val="0"/>
                <w:sz w:val="21"/>
                <w:szCs w:val="21"/>
                <w:highlight w:val="none"/>
                <w:lang w:val="en-US" w:eastAsia="zh-CN"/>
              </w:rPr>
              <w:t>元</w:t>
            </w:r>
            <w:r>
              <w:rPr>
                <w:rFonts w:hint="eastAsia"/>
                <w:kern w:val="0"/>
                <w:sz w:val="21"/>
                <w:szCs w:val="21"/>
                <w:highlight w:val="none"/>
                <w:lang w:eastAsia="zh-CN"/>
              </w:rPr>
              <w:t>）</w:t>
            </w:r>
          </w:p>
        </w:tc>
        <w:tc>
          <w:tcPr>
            <w:tcW w:w="1065" w:type="dxa"/>
            <w:tcBorders>
              <w:top w:val="nil"/>
              <w:left w:val="nil"/>
              <w:bottom w:val="single" w:color="auto" w:sz="4" w:space="0"/>
              <w:right w:val="single" w:color="auto" w:sz="4" w:space="0"/>
            </w:tcBorders>
            <w:vAlign w:val="center"/>
          </w:tcPr>
          <w:p w14:paraId="6FF20B36">
            <w:pPr>
              <w:widowControl/>
              <w:jc w:val="center"/>
              <w:rPr>
                <w:rFonts w:hint="default" w:eastAsia="宋体"/>
                <w:kern w:val="0"/>
                <w:sz w:val="21"/>
                <w:szCs w:val="21"/>
                <w:highlight w:val="none"/>
                <w:lang w:val="en-US" w:eastAsia="zh-CN"/>
              </w:rPr>
            </w:pPr>
            <w:r>
              <w:rPr>
                <w:rFonts w:hint="eastAsia"/>
                <w:kern w:val="0"/>
                <w:sz w:val="21"/>
                <w:szCs w:val="21"/>
                <w:highlight w:val="none"/>
                <w:lang w:val="en-US" w:eastAsia="zh-CN"/>
              </w:rPr>
              <w:t>有效损耗率（%）</w:t>
            </w:r>
          </w:p>
        </w:tc>
        <w:tc>
          <w:tcPr>
            <w:tcW w:w="1051" w:type="dxa"/>
            <w:tcBorders>
              <w:top w:val="nil"/>
              <w:left w:val="nil"/>
              <w:bottom w:val="single" w:color="auto" w:sz="4" w:space="0"/>
              <w:right w:val="single" w:color="auto" w:sz="4" w:space="0"/>
            </w:tcBorders>
            <w:vAlign w:val="center"/>
          </w:tcPr>
          <w:p w14:paraId="3D9D8117">
            <w:pPr>
              <w:widowControl/>
              <w:jc w:val="center"/>
              <w:rPr>
                <w:kern w:val="0"/>
                <w:sz w:val="21"/>
                <w:szCs w:val="21"/>
                <w:highlight w:val="none"/>
              </w:rPr>
            </w:pPr>
            <w:r>
              <w:rPr>
                <w:kern w:val="0"/>
                <w:sz w:val="21"/>
                <w:szCs w:val="21"/>
                <w:highlight w:val="none"/>
              </w:rPr>
              <w:t>备注</w:t>
            </w:r>
          </w:p>
        </w:tc>
      </w:tr>
      <w:tr w14:paraId="78FFB5C2">
        <w:tblPrEx>
          <w:tblCellMar>
            <w:top w:w="0" w:type="dxa"/>
            <w:left w:w="108" w:type="dxa"/>
            <w:bottom w:w="0" w:type="dxa"/>
            <w:right w:w="108" w:type="dxa"/>
          </w:tblCellMar>
        </w:tblPrEx>
        <w:trPr>
          <w:trHeight w:val="533"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770587DC">
            <w:pPr>
              <w:widowControl/>
              <w:jc w:val="center"/>
              <w:rPr>
                <w:kern w:val="0"/>
                <w:sz w:val="22"/>
                <w:szCs w:val="22"/>
                <w:highlight w:val="none"/>
              </w:rPr>
            </w:pPr>
          </w:p>
        </w:tc>
        <w:tc>
          <w:tcPr>
            <w:tcW w:w="2022" w:type="dxa"/>
            <w:tcBorders>
              <w:top w:val="single" w:color="auto" w:sz="4" w:space="0"/>
              <w:left w:val="nil"/>
              <w:bottom w:val="single" w:color="auto" w:sz="4" w:space="0"/>
              <w:right w:val="single" w:color="auto" w:sz="4" w:space="0"/>
            </w:tcBorders>
            <w:vAlign w:val="center"/>
          </w:tcPr>
          <w:p w14:paraId="3C7DC5E0">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14D47712">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11BAA2EA">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3BF66DAE">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52963989">
            <w:pPr>
              <w:widowControl/>
              <w:jc w:val="center"/>
              <w:rPr>
                <w:kern w:val="0"/>
                <w:sz w:val="22"/>
                <w:szCs w:val="22"/>
                <w:highlight w:val="none"/>
              </w:rPr>
            </w:pPr>
          </w:p>
        </w:tc>
        <w:tc>
          <w:tcPr>
            <w:tcW w:w="1065" w:type="dxa"/>
            <w:tcBorders>
              <w:top w:val="single" w:color="auto" w:sz="4" w:space="0"/>
              <w:left w:val="nil"/>
              <w:bottom w:val="single" w:color="auto" w:sz="4" w:space="0"/>
              <w:right w:val="single" w:color="auto" w:sz="4" w:space="0"/>
            </w:tcBorders>
            <w:vAlign w:val="center"/>
          </w:tcPr>
          <w:p w14:paraId="7F8940DA">
            <w:pPr>
              <w:widowControl/>
              <w:jc w:val="center"/>
              <w:rPr>
                <w:kern w:val="0"/>
                <w:sz w:val="22"/>
                <w:szCs w:val="22"/>
                <w:highlight w:val="none"/>
              </w:rPr>
            </w:pPr>
          </w:p>
        </w:tc>
        <w:tc>
          <w:tcPr>
            <w:tcW w:w="1051" w:type="dxa"/>
            <w:tcBorders>
              <w:top w:val="single" w:color="auto" w:sz="4" w:space="0"/>
              <w:left w:val="nil"/>
              <w:bottom w:val="single" w:color="auto" w:sz="4" w:space="0"/>
              <w:right w:val="single" w:color="auto" w:sz="4" w:space="0"/>
            </w:tcBorders>
            <w:vAlign w:val="center"/>
          </w:tcPr>
          <w:p w14:paraId="077E08C9">
            <w:pPr>
              <w:widowControl/>
              <w:jc w:val="center"/>
              <w:rPr>
                <w:kern w:val="0"/>
                <w:sz w:val="22"/>
                <w:szCs w:val="22"/>
                <w:highlight w:val="none"/>
              </w:rPr>
            </w:pPr>
          </w:p>
        </w:tc>
      </w:tr>
      <w:tr w14:paraId="7D91274A">
        <w:tblPrEx>
          <w:tblCellMar>
            <w:top w:w="0" w:type="dxa"/>
            <w:left w:w="108" w:type="dxa"/>
            <w:bottom w:w="0" w:type="dxa"/>
            <w:right w:w="108" w:type="dxa"/>
          </w:tblCellMar>
        </w:tblPrEx>
        <w:trPr>
          <w:trHeight w:val="533"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5E534050">
            <w:pPr>
              <w:widowControl/>
              <w:jc w:val="center"/>
              <w:rPr>
                <w:kern w:val="0"/>
                <w:sz w:val="22"/>
                <w:szCs w:val="22"/>
                <w:highlight w:val="none"/>
              </w:rPr>
            </w:pPr>
          </w:p>
        </w:tc>
        <w:tc>
          <w:tcPr>
            <w:tcW w:w="2022" w:type="dxa"/>
            <w:tcBorders>
              <w:top w:val="single" w:color="auto" w:sz="4" w:space="0"/>
              <w:left w:val="nil"/>
              <w:bottom w:val="single" w:color="auto" w:sz="4" w:space="0"/>
              <w:right w:val="single" w:color="auto" w:sz="4" w:space="0"/>
            </w:tcBorders>
            <w:vAlign w:val="center"/>
          </w:tcPr>
          <w:p w14:paraId="78BEB01E">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37EE4284">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59F3EF39">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387F756D">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24E6CCDF">
            <w:pPr>
              <w:widowControl/>
              <w:jc w:val="center"/>
              <w:rPr>
                <w:kern w:val="0"/>
                <w:sz w:val="22"/>
                <w:szCs w:val="22"/>
                <w:highlight w:val="none"/>
              </w:rPr>
            </w:pPr>
          </w:p>
        </w:tc>
        <w:tc>
          <w:tcPr>
            <w:tcW w:w="1065" w:type="dxa"/>
            <w:tcBorders>
              <w:top w:val="single" w:color="auto" w:sz="4" w:space="0"/>
              <w:left w:val="nil"/>
              <w:bottom w:val="single" w:color="auto" w:sz="4" w:space="0"/>
              <w:right w:val="single" w:color="auto" w:sz="4" w:space="0"/>
            </w:tcBorders>
            <w:vAlign w:val="center"/>
          </w:tcPr>
          <w:p w14:paraId="34935677">
            <w:pPr>
              <w:widowControl/>
              <w:jc w:val="center"/>
              <w:rPr>
                <w:kern w:val="0"/>
                <w:sz w:val="22"/>
                <w:szCs w:val="22"/>
                <w:highlight w:val="none"/>
              </w:rPr>
            </w:pPr>
          </w:p>
        </w:tc>
        <w:tc>
          <w:tcPr>
            <w:tcW w:w="1051" w:type="dxa"/>
            <w:tcBorders>
              <w:top w:val="single" w:color="auto" w:sz="4" w:space="0"/>
              <w:left w:val="nil"/>
              <w:bottom w:val="single" w:color="auto" w:sz="4" w:space="0"/>
              <w:right w:val="single" w:color="auto" w:sz="4" w:space="0"/>
            </w:tcBorders>
            <w:vAlign w:val="center"/>
          </w:tcPr>
          <w:p w14:paraId="08933FA0">
            <w:pPr>
              <w:widowControl/>
              <w:jc w:val="center"/>
              <w:rPr>
                <w:kern w:val="0"/>
                <w:sz w:val="22"/>
                <w:szCs w:val="22"/>
                <w:highlight w:val="none"/>
              </w:rPr>
            </w:pPr>
          </w:p>
        </w:tc>
      </w:tr>
      <w:tr w14:paraId="75CE9C8C">
        <w:tblPrEx>
          <w:tblCellMar>
            <w:top w:w="0" w:type="dxa"/>
            <w:left w:w="108" w:type="dxa"/>
            <w:bottom w:w="0" w:type="dxa"/>
            <w:right w:w="108" w:type="dxa"/>
          </w:tblCellMar>
        </w:tblPrEx>
        <w:trPr>
          <w:trHeight w:val="534"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226322C3">
            <w:pPr>
              <w:widowControl/>
              <w:jc w:val="center"/>
              <w:rPr>
                <w:kern w:val="0"/>
                <w:sz w:val="22"/>
                <w:szCs w:val="22"/>
                <w:highlight w:val="none"/>
              </w:rPr>
            </w:pPr>
          </w:p>
        </w:tc>
        <w:tc>
          <w:tcPr>
            <w:tcW w:w="2022" w:type="dxa"/>
            <w:tcBorders>
              <w:top w:val="single" w:color="auto" w:sz="4" w:space="0"/>
              <w:left w:val="nil"/>
              <w:bottom w:val="single" w:color="auto" w:sz="4" w:space="0"/>
              <w:right w:val="single" w:color="auto" w:sz="4" w:space="0"/>
            </w:tcBorders>
            <w:vAlign w:val="center"/>
          </w:tcPr>
          <w:p w14:paraId="4F5EAE3F">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62EC45A6">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1914ABAA">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7F3298D2">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38D22BE7">
            <w:pPr>
              <w:widowControl/>
              <w:jc w:val="center"/>
              <w:rPr>
                <w:kern w:val="0"/>
                <w:sz w:val="22"/>
                <w:szCs w:val="22"/>
                <w:highlight w:val="none"/>
              </w:rPr>
            </w:pPr>
          </w:p>
        </w:tc>
        <w:tc>
          <w:tcPr>
            <w:tcW w:w="1065" w:type="dxa"/>
            <w:tcBorders>
              <w:top w:val="single" w:color="auto" w:sz="4" w:space="0"/>
              <w:left w:val="nil"/>
              <w:bottom w:val="single" w:color="auto" w:sz="4" w:space="0"/>
              <w:right w:val="single" w:color="auto" w:sz="4" w:space="0"/>
            </w:tcBorders>
            <w:vAlign w:val="center"/>
          </w:tcPr>
          <w:p w14:paraId="605C6284">
            <w:pPr>
              <w:widowControl/>
              <w:jc w:val="center"/>
              <w:rPr>
                <w:kern w:val="0"/>
                <w:sz w:val="22"/>
                <w:szCs w:val="22"/>
                <w:highlight w:val="none"/>
              </w:rPr>
            </w:pPr>
          </w:p>
        </w:tc>
        <w:tc>
          <w:tcPr>
            <w:tcW w:w="1051" w:type="dxa"/>
            <w:tcBorders>
              <w:top w:val="single" w:color="auto" w:sz="4" w:space="0"/>
              <w:left w:val="nil"/>
              <w:bottom w:val="single" w:color="auto" w:sz="4" w:space="0"/>
              <w:right w:val="single" w:color="auto" w:sz="4" w:space="0"/>
            </w:tcBorders>
            <w:vAlign w:val="center"/>
          </w:tcPr>
          <w:p w14:paraId="61CF8928">
            <w:pPr>
              <w:widowControl/>
              <w:jc w:val="center"/>
              <w:rPr>
                <w:kern w:val="0"/>
                <w:sz w:val="22"/>
                <w:szCs w:val="22"/>
                <w:highlight w:val="none"/>
              </w:rPr>
            </w:pPr>
          </w:p>
        </w:tc>
      </w:tr>
      <w:tr w14:paraId="45D2AE4C">
        <w:tblPrEx>
          <w:tblCellMar>
            <w:top w:w="0" w:type="dxa"/>
            <w:left w:w="108" w:type="dxa"/>
            <w:bottom w:w="0" w:type="dxa"/>
            <w:right w:w="108" w:type="dxa"/>
          </w:tblCellMar>
        </w:tblPrEx>
        <w:trPr>
          <w:trHeight w:val="533"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3586A408">
            <w:pPr>
              <w:widowControl/>
              <w:jc w:val="center"/>
              <w:rPr>
                <w:kern w:val="0"/>
                <w:sz w:val="22"/>
                <w:szCs w:val="22"/>
                <w:highlight w:val="none"/>
              </w:rPr>
            </w:pPr>
          </w:p>
        </w:tc>
        <w:tc>
          <w:tcPr>
            <w:tcW w:w="2022" w:type="dxa"/>
            <w:tcBorders>
              <w:top w:val="single" w:color="auto" w:sz="4" w:space="0"/>
              <w:left w:val="nil"/>
              <w:bottom w:val="single" w:color="auto" w:sz="4" w:space="0"/>
              <w:right w:val="single" w:color="auto" w:sz="4" w:space="0"/>
            </w:tcBorders>
            <w:vAlign w:val="center"/>
          </w:tcPr>
          <w:p w14:paraId="7D78B455">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798CD485">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1205326C">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518A7CBC">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09709660">
            <w:pPr>
              <w:widowControl/>
              <w:jc w:val="center"/>
              <w:rPr>
                <w:kern w:val="0"/>
                <w:sz w:val="22"/>
                <w:szCs w:val="22"/>
                <w:highlight w:val="none"/>
              </w:rPr>
            </w:pPr>
          </w:p>
        </w:tc>
        <w:tc>
          <w:tcPr>
            <w:tcW w:w="1065" w:type="dxa"/>
            <w:tcBorders>
              <w:top w:val="single" w:color="auto" w:sz="4" w:space="0"/>
              <w:left w:val="nil"/>
              <w:bottom w:val="single" w:color="auto" w:sz="4" w:space="0"/>
              <w:right w:val="single" w:color="auto" w:sz="4" w:space="0"/>
            </w:tcBorders>
            <w:vAlign w:val="center"/>
          </w:tcPr>
          <w:p w14:paraId="227DD04D">
            <w:pPr>
              <w:widowControl/>
              <w:jc w:val="center"/>
              <w:rPr>
                <w:kern w:val="0"/>
                <w:sz w:val="22"/>
                <w:szCs w:val="22"/>
                <w:highlight w:val="none"/>
              </w:rPr>
            </w:pPr>
          </w:p>
        </w:tc>
        <w:tc>
          <w:tcPr>
            <w:tcW w:w="1051" w:type="dxa"/>
            <w:tcBorders>
              <w:top w:val="single" w:color="auto" w:sz="4" w:space="0"/>
              <w:left w:val="nil"/>
              <w:bottom w:val="single" w:color="auto" w:sz="4" w:space="0"/>
              <w:right w:val="single" w:color="auto" w:sz="4" w:space="0"/>
            </w:tcBorders>
            <w:vAlign w:val="center"/>
          </w:tcPr>
          <w:p w14:paraId="58B7D588">
            <w:pPr>
              <w:widowControl/>
              <w:jc w:val="center"/>
              <w:rPr>
                <w:kern w:val="0"/>
                <w:sz w:val="22"/>
                <w:szCs w:val="22"/>
                <w:highlight w:val="none"/>
              </w:rPr>
            </w:pPr>
          </w:p>
        </w:tc>
      </w:tr>
      <w:tr w14:paraId="7E102DF4">
        <w:tblPrEx>
          <w:tblCellMar>
            <w:top w:w="0" w:type="dxa"/>
            <w:left w:w="108" w:type="dxa"/>
            <w:bottom w:w="0" w:type="dxa"/>
            <w:right w:w="108" w:type="dxa"/>
          </w:tblCellMar>
        </w:tblPrEx>
        <w:trPr>
          <w:trHeight w:val="533"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411C2395">
            <w:pPr>
              <w:widowControl/>
              <w:jc w:val="center"/>
              <w:rPr>
                <w:kern w:val="0"/>
                <w:sz w:val="22"/>
                <w:szCs w:val="22"/>
                <w:highlight w:val="none"/>
              </w:rPr>
            </w:pPr>
          </w:p>
        </w:tc>
        <w:tc>
          <w:tcPr>
            <w:tcW w:w="2022" w:type="dxa"/>
            <w:tcBorders>
              <w:top w:val="single" w:color="auto" w:sz="4" w:space="0"/>
              <w:left w:val="nil"/>
              <w:bottom w:val="single" w:color="auto" w:sz="4" w:space="0"/>
              <w:right w:val="single" w:color="auto" w:sz="4" w:space="0"/>
            </w:tcBorders>
            <w:vAlign w:val="center"/>
          </w:tcPr>
          <w:p w14:paraId="74351853">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4239B3AC">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2AE58337">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6FE66CE9">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0A7CBE5F">
            <w:pPr>
              <w:widowControl/>
              <w:jc w:val="center"/>
              <w:rPr>
                <w:kern w:val="0"/>
                <w:sz w:val="22"/>
                <w:szCs w:val="22"/>
                <w:highlight w:val="none"/>
              </w:rPr>
            </w:pPr>
          </w:p>
        </w:tc>
        <w:tc>
          <w:tcPr>
            <w:tcW w:w="1065" w:type="dxa"/>
            <w:tcBorders>
              <w:top w:val="single" w:color="auto" w:sz="4" w:space="0"/>
              <w:left w:val="nil"/>
              <w:bottom w:val="single" w:color="auto" w:sz="4" w:space="0"/>
              <w:right w:val="single" w:color="auto" w:sz="4" w:space="0"/>
            </w:tcBorders>
            <w:vAlign w:val="center"/>
          </w:tcPr>
          <w:p w14:paraId="6E80DB9B">
            <w:pPr>
              <w:widowControl/>
              <w:jc w:val="center"/>
              <w:rPr>
                <w:kern w:val="0"/>
                <w:sz w:val="22"/>
                <w:szCs w:val="22"/>
                <w:highlight w:val="none"/>
              </w:rPr>
            </w:pPr>
          </w:p>
        </w:tc>
        <w:tc>
          <w:tcPr>
            <w:tcW w:w="1051" w:type="dxa"/>
            <w:tcBorders>
              <w:top w:val="single" w:color="auto" w:sz="4" w:space="0"/>
              <w:left w:val="nil"/>
              <w:bottom w:val="single" w:color="auto" w:sz="4" w:space="0"/>
              <w:right w:val="single" w:color="auto" w:sz="4" w:space="0"/>
            </w:tcBorders>
            <w:vAlign w:val="center"/>
          </w:tcPr>
          <w:p w14:paraId="2B1D759A">
            <w:pPr>
              <w:widowControl/>
              <w:jc w:val="center"/>
              <w:rPr>
                <w:kern w:val="0"/>
                <w:sz w:val="22"/>
                <w:szCs w:val="22"/>
                <w:highlight w:val="none"/>
              </w:rPr>
            </w:pPr>
          </w:p>
        </w:tc>
      </w:tr>
      <w:tr w14:paraId="5133FE08">
        <w:tblPrEx>
          <w:tblCellMar>
            <w:top w:w="0" w:type="dxa"/>
            <w:left w:w="108" w:type="dxa"/>
            <w:bottom w:w="0" w:type="dxa"/>
            <w:right w:w="108" w:type="dxa"/>
          </w:tblCellMar>
        </w:tblPrEx>
        <w:trPr>
          <w:trHeight w:val="534"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37951F23">
            <w:pPr>
              <w:widowControl/>
              <w:jc w:val="center"/>
              <w:rPr>
                <w:kern w:val="0"/>
                <w:sz w:val="22"/>
                <w:szCs w:val="22"/>
                <w:highlight w:val="none"/>
              </w:rPr>
            </w:pPr>
          </w:p>
        </w:tc>
        <w:tc>
          <w:tcPr>
            <w:tcW w:w="2022" w:type="dxa"/>
            <w:tcBorders>
              <w:top w:val="single" w:color="auto" w:sz="4" w:space="0"/>
              <w:left w:val="nil"/>
              <w:bottom w:val="single" w:color="auto" w:sz="4" w:space="0"/>
              <w:right w:val="single" w:color="auto" w:sz="4" w:space="0"/>
            </w:tcBorders>
            <w:vAlign w:val="center"/>
          </w:tcPr>
          <w:p w14:paraId="6AA860C2">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3ADBEA5D">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1AB66274">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278AB658">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1453D7FE">
            <w:pPr>
              <w:widowControl/>
              <w:jc w:val="center"/>
              <w:rPr>
                <w:kern w:val="0"/>
                <w:sz w:val="22"/>
                <w:szCs w:val="22"/>
                <w:highlight w:val="none"/>
              </w:rPr>
            </w:pPr>
          </w:p>
        </w:tc>
        <w:tc>
          <w:tcPr>
            <w:tcW w:w="1065" w:type="dxa"/>
            <w:tcBorders>
              <w:top w:val="single" w:color="auto" w:sz="4" w:space="0"/>
              <w:left w:val="nil"/>
              <w:bottom w:val="single" w:color="auto" w:sz="4" w:space="0"/>
              <w:right w:val="single" w:color="auto" w:sz="4" w:space="0"/>
            </w:tcBorders>
            <w:vAlign w:val="center"/>
          </w:tcPr>
          <w:p w14:paraId="20526245">
            <w:pPr>
              <w:widowControl/>
              <w:jc w:val="center"/>
              <w:rPr>
                <w:kern w:val="0"/>
                <w:sz w:val="22"/>
                <w:szCs w:val="22"/>
                <w:highlight w:val="none"/>
              </w:rPr>
            </w:pPr>
          </w:p>
        </w:tc>
        <w:tc>
          <w:tcPr>
            <w:tcW w:w="1051" w:type="dxa"/>
            <w:tcBorders>
              <w:top w:val="single" w:color="auto" w:sz="4" w:space="0"/>
              <w:left w:val="nil"/>
              <w:bottom w:val="single" w:color="auto" w:sz="4" w:space="0"/>
              <w:right w:val="single" w:color="auto" w:sz="4" w:space="0"/>
            </w:tcBorders>
            <w:vAlign w:val="center"/>
          </w:tcPr>
          <w:p w14:paraId="2E564430">
            <w:pPr>
              <w:widowControl/>
              <w:jc w:val="center"/>
              <w:rPr>
                <w:kern w:val="0"/>
                <w:sz w:val="22"/>
                <w:szCs w:val="22"/>
                <w:highlight w:val="none"/>
              </w:rPr>
            </w:pPr>
          </w:p>
        </w:tc>
      </w:tr>
      <w:tr w14:paraId="0A6A1769">
        <w:tblPrEx>
          <w:tblCellMar>
            <w:top w:w="0" w:type="dxa"/>
            <w:left w:w="108" w:type="dxa"/>
            <w:bottom w:w="0" w:type="dxa"/>
            <w:right w:w="108" w:type="dxa"/>
          </w:tblCellMar>
        </w:tblPrEx>
        <w:trPr>
          <w:trHeight w:val="533"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7A46694D">
            <w:pPr>
              <w:widowControl/>
              <w:jc w:val="center"/>
              <w:rPr>
                <w:kern w:val="0"/>
                <w:sz w:val="22"/>
                <w:szCs w:val="22"/>
                <w:highlight w:val="none"/>
              </w:rPr>
            </w:pPr>
          </w:p>
        </w:tc>
        <w:tc>
          <w:tcPr>
            <w:tcW w:w="2022" w:type="dxa"/>
            <w:tcBorders>
              <w:top w:val="single" w:color="auto" w:sz="4" w:space="0"/>
              <w:left w:val="nil"/>
              <w:bottom w:val="single" w:color="auto" w:sz="4" w:space="0"/>
              <w:right w:val="single" w:color="auto" w:sz="4" w:space="0"/>
            </w:tcBorders>
            <w:vAlign w:val="center"/>
          </w:tcPr>
          <w:p w14:paraId="4302779B">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7C1A8BE7">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7B91F33A">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5DB5BD61">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1EE0FF46">
            <w:pPr>
              <w:widowControl/>
              <w:jc w:val="center"/>
              <w:rPr>
                <w:kern w:val="0"/>
                <w:sz w:val="22"/>
                <w:szCs w:val="22"/>
                <w:highlight w:val="none"/>
              </w:rPr>
            </w:pPr>
          </w:p>
        </w:tc>
        <w:tc>
          <w:tcPr>
            <w:tcW w:w="1065" w:type="dxa"/>
            <w:tcBorders>
              <w:top w:val="single" w:color="auto" w:sz="4" w:space="0"/>
              <w:left w:val="nil"/>
              <w:bottom w:val="single" w:color="auto" w:sz="4" w:space="0"/>
              <w:right w:val="single" w:color="auto" w:sz="4" w:space="0"/>
            </w:tcBorders>
            <w:vAlign w:val="center"/>
          </w:tcPr>
          <w:p w14:paraId="63346AB2">
            <w:pPr>
              <w:widowControl/>
              <w:jc w:val="center"/>
              <w:rPr>
                <w:kern w:val="0"/>
                <w:sz w:val="22"/>
                <w:szCs w:val="22"/>
                <w:highlight w:val="none"/>
              </w:rPr>
            </w:pPr>
          </w:p>
        </w:tc>
        <w:tc>
          <w:tcPr>
            <w:tcW w:w="1051" w:type="dxa"/>
            <w:tcBorders>
              <w:top w:val="single" w:color="auto" w:sz="4" w:space="0"/>
              <w:left w:val="nil"/>
              <w:bottom w:val="single" w:color="auto" w:sz="4" w:space="0"/>
              <w:right w:val="single" w:color="auto" w:sz="4" w:space="0"/>
            </w:tcBorders>
            <w:vAlign w:val="center"/>
          </w:tcPr>
          <w:p w14:paraId="091C8767">
            <w:pPr>
              <w:widowControl/>
              <w:jc w:val="center"/>
              <w:rPr>
                <w:kern w:val="0"/>
                <w:sz w:val="22"/>
                <w:szCs w:val="22"/>
                <w:highlight w:val="none"/>
              </w:rPr>
            </w:pPr>
          </w:p>
        </w:tc>
      </w:tr>
      <w:tr w14:paraId="0C31E84A">
        <w:tblPrEx>
          <w:tblCellMar>
            <w:top w:w="0" w:type="dxa"/>
            <w:left w:w="108" w:type="dxa"/>
            <w:bottom w:w="0" w:type="dxa"/>
            <w:right w:w="108" w:type="dxa"/>
          </w:tblCellMar>
        </w:tblPrEx>
        <w:trPr>
          <w:trHeight w:val="533"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32FFF0E7">
            <w:pPr>
              <w:widowControl/>
              <w:jc w:val="center"/>
              <w:rPr>
                <w:kern w:val="0"/>
                <w:sz w:val="22"/>
                <w:szCs w:val="22"/>
                <w:highlight w:val="none"/>
              </w:rPr>
            </w:pPr>
          </w:p>
        </w:tc>
        <w:tc>
          <w:tcPr>
            <w:tcW w:w="2022" w:type="dxa"/>
            <w:tcBorders>
              <w:top w:val="single" w:color="auto" w:sz="4" w:space="0"/>
              <w:left w:val="nil"/>
              <w:bottom w:val="single" w:color="auto" w:sz="4" w:space="0"/>
              <w:right w:val="single" w:color="auto" w:sz="4" w:space="0"/>
            </w:tcBorders>
            <w:vAlign w:val="center"/>
          </w:tcPr>
          <w:p w14:paraId="256C2B19">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1BD942BA">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2EA9EC22">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49078B9D">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1B334DDC">
            <w:pPr>
              <w:widowControl/>
              <w:jc w:val="center"/>
              <w:rPr>
                <w:kern w:val="0"/>
                <w:sz w:val="22"/>
                <w:szCs w:val="22"/>
                <w:highlight w:val="none"/>
              </w:rPr>
            </w:pPr>
          </w:p>
        </w:tc>
        <w:tc>
          <w:tcPr>
            <w:tcW w:w="1065" w:type="dxa"/>
            <w:tcBorders>
              <w:top w:val="single" w:color="auto" w:sz="4" w:space="0"/>
              <w:left w:val="nil"/>
              <w:bottom w:val="single" w:color="auto" w:sz="4" w:space="0"/>
              <w:right w:val="single" w:color="auto" w:sz="4" w:space="0"/>
            </w:tcBorders>
            <w:vAlign w:val="center"/>
          </w:tcPr>
          <w:p w14:paraId="00465D76">
            <w:pPr>
              <w:widowControl/>
              <w:jc w:val="center"/>
              <w:rPr>
                <w:kern w:val="0"/>
                <w:sz w:val="22"/>
                <w:szCs w:val="22"/>
                <w:highlight w:val="none"/>
              </w:rPr>
            </w:pPr>
          </w:p>
        </w:tc>
        <w:tc>
          <w:tcPr>
            <w:tcW w:w="1051" w:type="dxa"/>
            <w:tcBorders>
              <w:top w:val="single" w:color="auto" w:sz="4" w:space="0"/>
              <w:left w:val="nil"/>
              <w:bottom w:val="single" w:color="auto" w:sz="4" w:space="0"/>
              <w:right w:val="single" w:color="auto" w:sz="4" w:space="0"/>
            </w:tcBorders>
            <w:vAlign w:val="center"/>
          </w:tcPr>
          <w:p w14:paraId="3DB46F5F">
            <w:pPr>
              <w:widowControl/>
              <w:jc w:val="center"/>
              <w:rPr>
                <w:kern w:val="0"/>
                <w:sz w:val="22"/>
                <w:szCs w:val="22"/>
                <w:highlight w:val="none"/>
              </w:rPr>
            </w:pPr>
          </w:p>
        </w:tc>
      </w:tr>
      <w:tr w14:paraId="3045CBB9">
        <w:tblPrEx>
          <w:tblCellMar>
            <w:top w:w="0" w:type="dxa"/>
            <w:left w:w="108" w:type="dxa"/>
            <w:bottom w:w="0" w:type="dxa"/>
            <w:right w:w="108" w:type="dxa"/>
          </w:tblCellMar>
        </w:tblPrEx>
        <w:trPr>
          <w:trHeight w:val="534"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5180FC9F">
            <w:pPr>
              <w:widowControl/>
              <w:jc w:val="center"/>
              <w:rPr>
                <w:kern w:val="0"/>
                <w:sz w:val="22"/>
                <w:szCs w:val="22"/>
                <w:highlight w:val="none"/>
              </w:rPr>
            </w:pPr>
          </w:p>
        </w:tc>
        <w:tc>
          <w:tcPr>
            <w:tcW w:w="2022" w:type="dxa"/>
            <w:tcBorders>
              <w:top w:val="single" w:color="auto" w:sz="4" w:space="0"/>
              <w:left w:val="nil"/>
              <w:bottom w:val="single" w:color="auto" w:sz="4" w:space="0"/>
              <w:right w:val="single" w:color="auto" w:sz="4" w:space="0"/>
            </w:tcBorders>
            <w:vAlign w:val="center"/>
          </w:tcPr>
          <w:p w14:paraId="36616B55">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4B7B30CD">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024A6ADB">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50B16071">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6CA6B2DB">
            <w:pPr>
              <w:widowControl/>
              <w:jc w:val="center"/>
              <w:rPr>
                <w:kern w:val="0"/>
                <w:sz w:val="22"/>
                <w:szCs w:val="22"/>
                <w:highlight w:val="none"/>
              </w:rPr>
            </w:pPr>
          </w:p>
        </w:tc>
        <w:tc>
          <w:tcPr>
            <w:tcW w:w="1065" w:type="dxa"/>
            <w:tcBorders>
              <w:top w:val="single" w:color="auto" w:sz="4" w:space="0"/>
              <w:left w:val="nil"/>
              <w:bottom w:val="single" w:color="auto" w:sz="4" w:space="0"/>
              <w:right w:val="single" w:color="auto" w:sz="4" w:space="0"/>
            </w:tcBorders>
            <w:vAlign w:val="center"/>
          </w:tcPr>
          <w:p w14:paraId="1DBD468A">
            <w:pPr>
              <w:widowControl/>
              <w:jc w:val="center"/>
              <w:rPr>
                <w:kern w:val="0"/>
                <w:sz w:val="22"/>
                <w:szCs w:val="22"/>
                <w:highlight w:val="none"/>
              </w:rPr>
            </w:pPr>
          </w:p>
        </w:tc>
        <w:tc>
          <w:tcPr>
            <w:tcW w:w="1051" w:type="dxa"/>
            <w:tcBorders>
              <w:top w:val="single" w:color="auto" w:sz="4" w:space="0"/>
              <w:left w:val="nil"/>
              <w:bottom w:val="single" w:color="auto" w:sz="4" w:space="0"/>
              <w:right w:val="single" w:color="auto" w:sz="4" w:space="0"/>
            </w:tcBorders>
            <w:vAlign w:val="center"/>
          </w:tcPr>
          <w:p w14:paraId="30AF0BBF">
            <w:pPr>
              <w:widowControl/>
              <w:jc w:val="center"/>
              <w:rPr>
                <w:kern w:val="0"/>
                <w:sz w:val="22"/>
                <w:szCs w:val="22"/>
                <w:highlight w:val="none"/>
              </w:rPr>
            </w:pPr>
          </w:p>
        </w:tc>
      </w:tr>
      <w:tr w14:paraId="7288B7F9">
        <w:tblPrEx>
          <w:tblCellMar>
            <w:top w:w="0" w:type="dxa"/>
            <w:left w:w="108" w:type="dxa"/>
            <w:bottom w:w="0" w:type="dxa"/>
            <w:right w:w="108" w:type="dxa"/>
          </w:tblCellMar>
        </w:tblPrEx>
        <w:trPr>
          <w:trHeight w:val="533"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4150B7E8">
            <w:pPr>
              <w:widowControl/>
              <w:jc w:val="center"/>
              <w:rPr>
                <w:kern w:val="0"/>
                <w:sz w:val="22"/>
                <w:szCs w:val="22"/>
                <w:highlight w:val="none"/>
              </w:rPr>
            </w:pPr>
          </w:p>
        </w:tc>
        <w:tc>
          <w:tcPr>
            <w:tcW w:w="2022" w:type="dxa"/>
            <w:tcBorders>
              <w:top w:val="single" w:color="auto" w:sz="4" w:space="0"/>
              <w:left w:val="nil"/>
              <w:bottom w:val="single" w:color="auto" w:sz="4" w:space="0"/>
              <w:right w:val="single" w:color="auto" w:sz="4" w:space="0"/>
            </w:tcBorders>
            <w:vAlign w:val="center"/>
          </w:tcPr>
          <w:p w14:paraId="536773F1">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1112E41E">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158524D2">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6E45ADE9">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7A4AD375">
            <w:pPr>
              <w:widowControl/>
              <w:jc w:val="center"/>
              <w:rPr>
                <w:kern w:val="0"/>
                <w:sz w:val="22"/>
                <w:szCs w:val="22"/>
                <w:highlight w:val="none"/>
              </w:rPr>
            </w:pPr>
          </w:p>
        </w:tc>
        <w:tc>
          <w:tcPr>
            <w:tcW w:w="1065" w:type="dxa"/>
            <w:tcBorders>
              <w:top w:val="single" w:color="auto" w:sz="4" w:space="0"/>
              <w:left w:val="nil"/>
              <w:bottom w:val="single" w:color="auto" w:sz="4" w:space="0"/>
              <w:right w:val="single" w:color="auto" w:sz="4" w:space="0"/>
            </w:tcBorders>
            <w:vAlign w:val="center"/>
          </w:tcPr>
          <w:p w14:paraId="695C14B9">
            <w:pPr>
              <w:widowControl/>
              <w:jc w:val="center"/>
              <w:rPr>
                <w:kern w:val="0"/>
                <w:sz w:val="22"/>
                <w:szCs w:val="22"/>
                <w:highlight w:val="none"/>
              </w:rPr>
            </w:pPr>
          </w:p>
        </w:tc>
        <w:tc>
          <w:tcPr>
            <w:tcW w:w="1051" w:type="dxa"/>
            <w:tcBorders>
              <w:top w:val="single" w:color="auto" w:sz="4" w:space="0"/>
              <w:left w:val="nil"/>
              <w:bottom w:val="single" w:color="auto" w:sz="4" w:space="0"/>
              <w:right w:val="single" w:color="auto" w:sz="4" w:space="0"/>
            </w:tcBorders>
            <w:vAlign w:val="center"/>
          </w:tcPr>
          <w:p w14:paraId="725DC1AA">
            <w:pPr>
              <w:widowControl/>
              <w:jc w:val="center"/>
              <w:rPr>
                <w:kern w:val="0"/>
                <w:sz w:val="22"/>
                <w:szCs w:val="22"/>
                <w:highlight w:val="none"/>
              </w:rPr>
            </w:pPr>
          </w:p>
        </w:tc>
      </w:tr>
      <w:tr w14:paraId="749CC9BC">
        <w:tblPrEx>
          <w:tblCellMar>
            <w:top w:w="0" w:type="dxa"/>
            <w:left w:w="108" w:type="dxa"/>
            <w:bottom w:w="0" w:type="dxa"/>
            <w:right w:w="108" w:type="dxa"/>
          </w:tblCellMar>
        </w:tblPrEx>
        <w:trPr>
          <w:trHeight w:val="533"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6165FB0C">
            <w:pPr>
              <w:widowControl/>
              <w:jc w:val="center"/>
              <w:rPr>
                <w:kern w:val="0"/>
                <w:sz w:val="22"/>
                <w:szCs w:val="22"/>
                <w:highlight w:val="none"/>
              </w:rPr>
            </w:pPr>
          </w:p>
        </w:tc>
        <w:tc>
          <w:tcPr>
            <w:tcW w:w="2022" w:type="dxa"/>
            <w:tcBorders>
              <w:top w:val="single" w:color="auto" w:sz="4" w:space="0"/>
              <w:left w:val="nil"/>
              <w:bottom w:val="single" w:color="auto" w:sz="4" w:space="0"/>
              <w:right w:val="single" w:color="auto" w:sz="4" w:space="0"/>
            </w:tcBorders>
            <w:vAlign w:val="center"/>
          </w:tcPr>
          <w:p w14:paraId="765EFE00">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3EAF9578">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19953647">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15D62283">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22934B95">
            <w:pPr>
              <w:widowControl/>
              <w:jc w:val="center"/>
              <w:rPr>
                <w:kern w:val="0"/>
                <w:sz w:val="22"/>
                <w:szCs w:val="22"/>
                <w:highlight w:val="none"/>
              </w:rPr>
            </w:pPr>
          </w:p>
        </w:tc>
        <w:tc>
          <w:tcPr>
            <w:tcW w:w="1065" w:type="dxa"/>
            <w:tcBorders>
              <w:top w:val="single" w:color="auto" w:sz="4" w:space="0"/>
              <w:left w:val="nil"/>
              <w:bottom w:val="single" w:color="auto" w:sz="4" w:space="0"/>
              <w:right w:val="single" w:color="auto" w:sz="4" w:space="0"/>
            </w:tcBorders>
            <w:vAlign w:val="center"/>
          </w:tcPr>
          <w:p w14:paraId="309AA5D0">
            <w:pPr>
              <w:widowControl/>
              <w:jc w:val="center"/>
              <w:rPr>
                <w:kern w:val="0"/>
                <w:sz w:val="22"/>
                <w:szCs w:val="22"/>
                <w:highlight w:val="none"/>
              </w:rPr>
            </w:pPr>
          </w:p>
        </w:tc>
        <w:tc>
          <w:tcPr>
            <w:tcW w:w="1051" w:type="dxa"/>
            <w:tcBorders>
              <w:top w:val="single" w:color="auto" w:sz="4" w:space="0"/>
              <w:left w:val="nil"/>
              <w:bottom w:val="single" w:color="auto" w:sz="4" w:space="0"/>
              <w:right w:val="single" w:color="auto" w:sz="4" w:space="0"/>
            </w:tcBorders>
            <w:vAlign w:val="center"/>
          </w:tcPr>
          <w:p w14:paraId="69C6F883">
            <w:pPr>
              <w:widowControl/>
              <w:jc w:val="center"/>
              <w:rPr>
                <w:kern w:val="0"/>
                <w:sz w:val="22"/>
                <w:szCs w:val="22"/>
                <w:highlight w:val="none"/>
              </w:rPr>
            </w:pPr>
          </w:p>
        </w:tc>
      </w:tr>
      <w:tr w14:paraId="205832F4">
        <w:tblPrEx>
          <w:tblCellMar>
            <w:top w:w="0" w:type="dxa"/>
            <w:left w:w="108" w:type="dxa"/>
            <w:bottom w:w="0" w:type="dxa"/>
            <w:right w:w="108" w:type="dxa"/>
          </w:tblCellMar>
        </w:tblPrEx>
        <w:trPr>
          <w:trHeight w:val="534"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4B33CBD3">
            <w:pPr>
              <w:widowControl/>
              <w:jc w:val="center"/>
              <w:rPr>
                <w:kern w:val="0"/>
                <w:sz w:val="22"/>
                <w:szCs w:val="22"/>
                <w:highlight w:val="none"/>
              </w:rPr>
            </w:pPr>
          </w:p>
        </w:tc>
        <w:tc>
          <w:tcPr>
            <w:tcW w:w="2022" w:type="dxa"/>
            <w:tcBorders>
              <w:top w:val="single" w:color="auto" w:sz="4" w:space="0"/>
              <w:left w:val="nil"/>
              <w:bottom w:val="single" w:color="auto" w:sz="4" w:space="0"/>
              <w:right w:val="single" w:color="auto" w:sz="4" w:space="0"/>
            </w:tcBorders>
            <w:vAlign w:val="center"/>
          </w:tcPr>
          <w:p w14:paraId="562FD5BB">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1FEE4CE0">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1CCFE028">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03DC2BBC">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6AE7B1E4">
            <w:pPr>
              <w:widowControl/>
              <w:jc w:val="center"/>
              <w:rPr>
                <w:kern w:val="0"/>
                <w:sz w:val="22"/>
                <w:szCs w:val="22"/>
                <w:highlight w:val="none"/>
              </w:rPr>
            </w:pPr>
          </w:p>
        </w:tc>
        <w:tc>
          <w:tcPr>
            <w:tcW w:w="1065" w:type="dxa"/>
            <w:tcBorders>
              <w:top w:val="single" w:color="auto" w:sz="4" w:space="0"/>
              <w:left w:val="nil"/>
              <w:bottom w:val="single" w:color="auto" w:sz="4" w:space="0"/>
              <w:right w:val="single" w:color="auto" w:sz="4" w:space="0"/>
            </w:tcBorders>
            <w:vAlign w:val="center"/>
          </w:tcPr>
          <w:p w14:paraId="2D2C3001">
            <w:pPr>
              <w:widowControl/>
              <w:jc w:val="center"/>
              <w:rPr>
                <w:kern w:val="0"/>
                <w:sz w:val="22"/>
                <w:szCs w:val="22"/>
                <w:highlight w:val="none"/>
              </w:rPr>
            </w:pPr>
          </w:p>
        </w:tc>
        <w:tc>
          <w:tcPr>
            <w:tcW w:w="1051" w:type="dxa"/>
            <w:tcBorders>
              <w:top w:val="single" w:color="auto" w:sz="4" w:space="0"/>
              <w:left w:val="nil"/>
              <w:bottom w:val="single" w:color="auto" w:sz="4" w:space="0"/>
              <w:right w:val="single" w:color="auto" w:sz="4" w:space="0"/>
            </w:tcBorders>
            <w:vAlign w:val="center"/>
          </w:tcPr>
          <w:p w14:paraId="1B861C16">
            <w:pPr>
              <w:widowControl/>
              <w:jc w:val="center"/>
              <w:rPr>
                <w:kern w:val="0"/>
                <w:sz w:val="22"/>
                <w:szCs w:val="22"/>
                <w:highlight w:val="none"/>
              </w:rPr>
            </w:pPr>
          </w:p>
        </w:tc>
      </w:tr>
      <w:tr w14:paraId="3CC88EC3">
        <w:tblPrEx>
          <w:tblCellMar>
            <w:top w:w="0" w:type="dxa"/>
            <w:left w:w="108" w:type="dxa"/>
            <w:bottom w:w="0" w:type="dxa"/>
            <w:right w:w="108" w:type="dxa"/>
          </w:tblCellMar>
        </w:tblPrEx>
        <w:trPr>
          <w:trHeight w:val="533"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73BC51C8">
            <w:pPr>
              <w:widowControl/>
              <w:jc w:val="center"/>
              <w:rPr>
                <w:kern w:val="0"/>
                <w:sz w:val="22"/>
                <w:szCs w:val="22"/>
                <w:highlight w:val="none"/>
              </w:rPr>
            </w:pPr>
          </w:p>
        </w:tc>
        <w:tc>
          <w:tcPr>
            <w:tcW w:w="2022" w:type="dxa"/>
            <w:tcBorders>
              <w:top w:val="single" w:color="auto" w:sz="4" w:space="0"/>
              <w:left w:val="nil"/>
              <w:bottom w:val="single" w:color="auto" w:sz="4" w:space="0"/>
              <w:right w:val="single" w:color="auto" w:sz="4" w:space="0"/>
            </w:tcBorders>
            <w:vAlign w:val="center"/>
          </w:tcPr>
          <w:p w14:paraId="04AF4634">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48EB896E">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61BB20C7">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304AD6CD">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64FF790E">
            <w:pPr>
              <w:widowControl/>
              <w:jc w:val="center"/>
              <w:rPr>
                <w:kern w:val="0"/>
                <w:sz w:val="22"/>
                <w:szCs w:val="22"/>
                <w:highlight w:val="none"/>
              </w:rPr>
            </w:pPr>
          </w:p>
        </w:tc>
        <w:tc>
          <w:tcPr>
            <w:tcW w:w="1065" w:type="dxa"/>
            <w:tcBorders>
              <w:top w:val="single" w:color="auto" w:sz="4" w:space="0"/>
              <w:left w:val="nil"/>
              <w:bottom w:val="single" w:color="auto" w:sz="4" w:space="0"/>
              <w:right w:val="single" w:color="auto" w:sz="4" w:space="0"/>
            </w:tcBorders>
            <w:vAlign w:val="center"/>
          </w:tcPr>
          <w:p w14:paraId="72429FC9">
            <w:pPr>
              <w:widowControl/>
              <w:jc w:val="center"/>
              <w:rPr>
                <w:kern w:val="0"/>
                <w:sz w:val="22"/>
                <w:szCs w:val="22"/>
                <w:highlight w:val="none"/>
              </w:rPr>
            </w:pPr>
          </w:p>
        </w:tc>
        <w:tc>
          <w:tcPr>
            <w:tcW w:w="1051" w:type="dxa"/>
            <w:tcBorders>
              <w:top w:val="single" w:color="auto" w:sz="4" w:space="0"/>
              <w:left w:val="nil"/>
              <w:bottom w:val="single" w:color="auto" w:sz="4" w:space="0"/>
              <w:right w:val="single" w:color="auto" w:sz="4" w:space="0"/>
            </w:tcBorders>
            <w:vAlign w:val="center"/>
          </w:tcPr>
          <w:p w14:paraId="7130031C">
            <w:pPr>
              <w:widowControl/>
              <w:jc w:val="center"/>
              <w:rPr>
                <w:kern w:val="0"/>
                <w:sz w:val="22"/>
                <w:szCs w:val="22"/>
                <w:highlight w:val="none"/>
              </w:rPr>
            </w:pPr>
          </w:p>
        </w:tc>
      </w:tr>
      <w:tr w14:paraId="7690A611">
        <w:tblPrEx>
          <w:tblCellMar>
            <w:top w:w="0" w:type="dxa"/>
            <w:left w:w="108" w:type="dxa"/>
            <w:bottom w:w="0" w:type="dxa"/>
            <w:right w:w="108" w:type="dxa"/>
          </w:tblCellMar>
        </w:tblPrEx>
        <w:trPr>
          <w:trHeight w:val="534"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0862BCF6">
            <w:pPr>
              <w:widowControl/>
              <w:jc w:val="center"/>
              <w:rPr>
                <w:kern w:val="0"/>
                <w:sz w:val="22"/>
                <w:szCs w:val="22"/>
                <w:highlight w:val="none"/>
              </w:rPr>
            </w:pPr>
          </w:p>
        </w:tc>
        <w:tc>
          <w:tcPr>
            <w:tcW w:w="2022" w:type="dxa"/>
            <w:tcBorders>
              <w:top w:val="single" w:color="auto" w:sz="4" w:space="0"/>
              <w:left w:val="nil"/>
              <w:bottom w:val="single" w:color="auto" w:sz="4" w:space="0"/>
              <w:right w:val="single" w:color="auto" w:sz="4" w:space="0"/>
            </w:tcBorders>
            <w:vAlign w:val="center"/>
          </w:tcPr>
          <w:p w14:paraId="399C4FEF">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5BF9FE61">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2A935CEE">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2A11ACED">
            <w:pPr>
              <w:widowControl/>
              <w:jc w:val="center"/>
              <w:rPr>
                <w:kern w:val="0"/>
                <w:sz w:val="22"/>
                <w:szCs w:val="22"/>
                <w:highlight w:val="none"/>
              </w:rPr>
            </w:pPr>
          </w:p>
        </w:tc>
        <w:tc>
          <w:tcPr>
            <w:tcW w:w="981" w:type="dxa"/>
            <w:tcBorders>
              <w:top w:val="single" w:color="auto" w:sz="4" w:space="0"/>
              <w:left w:val="nil"/>
              <w:bottom w:val="single" w:color="auto" w:sz="4" w:space="0"/>
              <w:right w:val="single" w:color="auto" w:sz="4" w:space="0"/>
            </w:tcBorders>
            <w:vAlign w:val="center"/>
          </w:tcPr>
          <w:p w14:paraId="652CC9DF">
            <w:pPr>
              <w:widowControl/>
              <w:jc w:val="center"/>
              <w:rPr>
                <w:kern w:val="0"/>
                <w:sz w:val="22"/>
                <w:szCs w:val="22"/>
                <w:highlight w:val="none"/>
              </w:rPr>
            </w:pPr>
          </w:p>
        </w:tc>
        <w:tc>
          <w:tcPr>
            <w:tcW w:w="1065" w:type="dxa"/>
            <w:tcBorders>
              <w:top w:val="single" w:color="auto" w:sz="4" w:space="0"/>
              <w:left w:val="nil"/>
              <w:bottom w:val="single" w:color="auto" w:sz="4" w:space="0"/>
              <w:right w:val="single" w:color="auto" w:sz="4" w:space="0"/>
            </w:tcBorders>
            <w:vAlign w:val="center"/>
          </w:tcPr>
          <w:p w14:paraId="277F9465">
            <w:pPr>
              <w:widowControl/>
              <w:jc w:val="center"/>
              <w:rPr>
                <w:kern w:val="0"/>
                <w:sz w:val="22"/>
                <w:szCs w:val="22"/>
                <w:highlight w:val="none"/>
              </w:rPr>
            </w:pPr>
          </w:p>
        </w:tc>
        <w:tc>
          <w:tcPr>
            <w:tcW w:w="1051" w:type="dxa"/>
            <w:tcBorders>
              <w:top w:val="single" w:color="auto" w:sz="4" w:space="0"/>
              <w:left w:val="nil"/>
              <w:bottom w:val="single" w:color="auto" w:sz="4" w:space="0"/>
              <w:right w:val="single" w:color="auto" w:sz="4" w:space="0"/>
            </w:tcBorders>
            <w:vAlign w:val="center"/>
          </w:tcPr>
          <w:p w14:paraId="6054D51C">
            <w:pPr>
              <w:widowControl/>
              <w:jc w:val="center"/>
              <w:rPr>
                <w:kern w:val="0"/>
                <w:sz w:val="22"/>
                <w:szCs w:val="22"/>
                <w:highlight w:val="none"/>
              </w:rPr>
            </w:pPr>
          </w:p>
        </w:tc>
      </w:tr>
      <w:tr w14:paraId="30BA75F4">
        <w:tblPrEx>
          <w:tblCellMar>
            <w:top w:w="0" w:type="dxa"/>
            <w:left w:w="108" w:type="dxa"/>
            <w:bottom w:w="0" w:type="dxa"/>
            <w:right w:w="108" w:type="dxa"/>
          </w:tblCellMar>
        </w:tblPrEx>
        <w:trPr>
          <w:trHeight w:val="796"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14:paraId="5EC05F3D">
            <w:pPr>
              <w:widowControl/>
              <w:jc w:val="center"/>
              <w:rPr>
                <w:kern w:val="0"/>
                <w:sz w:val="22"/>
                <w:szCs w:val="22"/>
                <w:highlight w:val="none"/>
              </w:rPr>
            </w:pPr>
          </w:p>
        </w:tc>
        <w:tc>
          <w:tcPr>
            <w:tcW w:w="4965" w:type="dxa"/>
            <w:gridSpan w:val="4"/>
            <w:tcBorders>
              <w:top w:val="single" w:color="auto" w:sz="4" w:space="0"/>
              <w:left w:val="nil"/>
              <w:bottom w:val="single" w:color="auto" w:sz="4" w:space="0"/>
              <w:right w:val="single" w:color="auto" w:sz="4" w:space="0"/>
            </w:tcBorders>
            <w:vAlign w:val="center"/>
          </w:tcPr>
          <w:p w14:paraId="36B996C6">
            <w:pPr>
              <w:widowControl/>
              <w:jc w:val="center"/>
              <w:rPr>
                <w:kern w:val="0"/>
                <w:sz w:val="22"/>
                <w:szCs w:val="22"/>
                <w:highlight w:val="none"/>
              </w:rPr>
            </w:pPr>
            <w:r>
              <w:rPr>
                <w:kern w:val="0"/>
                <w:sz w:val="21"/>
                <w:szCs w:val="21"/>
                <w:highlight w:val="none"/>
              </w:rPr>
              <w:t>合　　　　计</w:t>
            </w:r>
          </w:p>
        </w:tc>
        <w:tc>
          <w:tcPr>
            <w:tcW w:w="981" w:type="dxa"/>
            <w:tcBorders>
              <w:top w:val="single" w:color="auto" w:sz="4" w:space="0"/>
              <w:left w:val="nil"/>
              <w:bottom w:val="single" w:color="auto" w:sz="4" w:space="0"/>
              <w:right w:val="single" w:color="auto" w:sz="4" w:space="0"/>
            </w:tcBorders>
            <w:vAlign w:val="center"/>
          </w:tcPr>
          <w:p w14:paraId="08F770CD">
            <w:pPr>
              <w:widowControl/>
              <w:jc w:val="center"/>
              <w:rPr>
                <w:kern w:val="0"/>
                <w:sz w:val="22"/>
                <w:szCs w:val="22"/>
                <w:highlight w:val="none"/>
              </w:rPr>
            </w:pPr>
          </w:p>
        </w:tc>
        <w:tc>
          <w:tcPr>
            <w:tcW w:w="1065" w:type="dxa"/>
            <w:tcBorders>
              <w:top w:val="single" w:color="auto" w:sz="4" w:space="0"/>
              <w:left w:val="nil"/>
              <w:bottom w:val="single" w:color="auto" w:sz="4" w:space="0"/>
              <w:right w:val="single" w:color="auto" w:sz="4" w:space="0"/>
            </w:tcBorders>
            <w:vAlign w:val="center"/>
          </w:tcPr>
          <w:p w14:paraId="57219521">
            <w:pPr>
              <w:widowControl/>
              <w:jc w:val="center"/>
              <w:rPr>
                <w:rFonts w:hint="eastAsia" w:ascii="宋体" w:hAnsi="宋体" w:eastAsia="宋体" w:cs="宋体"/>
                <w:kern w:val="0"/>
                <w:sz w:val="22"/>
                <w:szCs w:val="22"/>
                <w:highlight w:val="none"/>
                <w:lang w:val="en-US" w:eastAsia="zh-CN"/>
              </w:rPr>
            </w:pPr>
            <w:r>
              <w:rPr>
                <w:rFonts w:hint="eastAsia" w:ascii="宋体" w:hAnsi="宋体" w:eastAsia="宋体" w:cs="宋体"/>
                <w:kern w:val="0"/>
                <w:sz w:val="22"/>
                <w:szCs w:val="22"/>
                <w:highlight w:val="none"/>
                <w:lang w:val="en-US" w:eastAsia="zh-CN"/>
              </w:rPr>
              <w:t>-</w:t>
            </w:r>
          </w:p>
        </w:tc>
        <w:tc>
          <w:tcPr>
            <w:tcW w:w="1051" w:type="dxa"/>
            <w:tcBorders>
              <w:top w:val="single" w:color="auto" w:sz="4" w:space="0"/>
              <w:left w:val="nil"/>
              <w:bottom w:val="single" w:color="auto" w:sz="4" w:space="0"/>
              <w:right w:val="single" w:color="auto" w:sz="4" w:space="0"/>
            </w:tcBorders>
            <w:vAlign w:val="center"/>
          </w:tcPr>
          <w:p w14:paraId="3E266A95">
            <w:pPr>
              <w:widowControl/>
              <w:jc w:val="center"/>
              <w:rPr>
                <w:rFonts w:hint="eastAsia" w:ascii="宋体" w:hAnsi="宋体" w:eastAsia="宋体" w:cs="宋体"/>
                <w:kern w:val="0"/>
                <w:sz w:val="22"/>
                <w:szCs w:val="22"/>
                <w:highlight w:val="none"/>
                <w:lang w:val="en-US" w:eastAsia="zh-CN"/>
              </w:rPr>
            </w:pPr>
            <w:r>
              <w:rPr>
                <w:rFonts w:hint="eastAsia" w:ascii="宋体" w:hAnsi="宋体" w:eastAsia="宋体" w:cs="宋体"/>
                <w:kern w:val="0"/>
                <w:sz w:val="22"/>
                <w:szCs w:val="22"/>
                <w:highlight w:val="none"/>
                <w:lang w:val="en-US" w:eastAsia="zh-CN"/>
              </w:rPr>
              <w:t>-</w:t>
            </w:r>
          </w:p>
        </w:tc>
      </w:tr>
    </w:tbl>
    <w:p w14:paraId="42630C46">
      <w:pPr>
        <w:rPr>
          <w:szCs w:val="21"/>
          <w:highlight w:val="none"/>
        </w:rPr>
      </w:pPr>
    </w:p>
    <w:p w14:paraId="1014E12D">
      <w:pPr>
        <w:rPr>
          <w:szCs w:val="21"/>
          <w:highlight w:val="none"/>
        </w:rPr>
      </w:pPr>
    </w:p>
    <w:p w14:paraId="5F25A438">
      <w:pPr>
        <w:rPr>
          <w:szCs w:val="21"/>
          <w:highlight w:val="none"/>
        </w:rPr>
      </w:pPr>
    </w:p>
    <w:p w14:paraId="4060A7A7">
      <w:pPr>
        <w:rPr>
          <w:szCs w:val="21"/>
          <w:highlight w:val="none"/>
        </w:rPr>
      </w:pPr>
    </w:p>
    <w:p w14:paraId="35C3FA72">
      <w:pPr>
        <w:rPr>
          <w:szCs w:val="21"/>
          <w:highlight w:val="none"/>
        </w:rPr>
      </w:pPr>
    </w:p>
    <w:p w14:paraId="33282AFA">
      <w:pPr>
        <w:rPr>
          <w:szCs w:val="21"/>
          <w:highlight w:val="none"/>
        </w:rPr>
      </w:pPr>
    </w:p>
    <w:p w14:paraId="3124513E">
      <w:pPr>
        <w:rPr>
          <w:szCs w:val="21"/>
          <w:highlight w:val="none"/>
        </w:rPr>
      </w:pPr>
    </w:p>
    <w:p w14:paraId="13A6CE93">
      <w:pPr>
        <w:rPr>
          <w:szCs w:val="21"/>
          <w:highlight w:val="none"/>
        </w:rPr>
      </w:pPr>
    </w:p>
    <w:p w14:paraId="364C3F0C">
      <w:pPr>
        <w:widowControl/>
        <w:jc w:val="center"/>
        <w:outlineLvl w:val="9"/>
        <w:rPr>
          <w:highlight w:val="none"/>
        </w:rPr>
      </w:pPr>
      <w:r>
        <w:rPr>
          <w:rFonts w:ascii="Times New Roman" w:hAnsi="Times New Roman" w:eastAsia="Times New Roman" w:cs="Times New Roman"/>
          <w:b w:val="0"/>
          <w:bCs w:val="0"/>
          <w:spacing w:val="9"/>
          <w:sz w:val="28"/>
          <w:szCs w:val="28"/>
          <w:highlight w:val="none"/>
        </w:rPr>
        <w:t>承包人提供</w:t>
      </w:r>
      <w:r>
        <w:rPr>
          <w:rFonts w:hint="eastAsia" w:ascii="Times New Roman" w:hAnsi="Times New Roman" w:eastAsia="Times New Roman" w:cs="Times New Roman"/>
          <w:b w:val="0"/>
          <w:bCs w:val="0"/>
          <w:spacing w:val="9"/>
          <w:sz w:val="28"/>
          <w:szCs w:val="28"/>
          <w:highlight w:val="none"/>
          <w:lang w:val="en-US" w:eastAsia="zh-CN"/>
        </w:rPr>
        <w:t>可调差</w:t>
      </w:r>
      <w:r>
        <w:rPr>
          <w:rFonts w:ascii="Times New Roman" w:hAnsi="Times New Roman" w:eastAsia="Times New Roman" w:cs="Times New Roman"/>
          <w:b w:val="0"/>
          <w:bCs w:val="0"/>
          <w:spacing w:val="9"/>
          <w:sz w:val="28"/>
          <w:szCs w:val="28"/>
          <w:highlight w:val="none"/>
        </w:rPr>
        <w:t>人工、主要材料</w:t>
      </w:r>
      <w:r>
        <w:rPr>
          <w:rFonts w:hint="eastAsia" w:ascii="Times New Roman" w:hAnsi="Times New Roman" w:eastAsia="Times New Roman" w:cs="Times New Roman"/>
          <w:b w:val="0"/>
          <w:bCs w:val="0"/>
          <w:spacing w:val="9"/>
          <w:sz w:val="28"/>
          <w:szCs w:val="28"/>
          <w:highlight w:val="none"/>
          <w:lang w:val="en-US" w:eastAsia="zh-CN"/>
        </w:rPr>
        <w:t>表一</w:t>
      </w:r>
    </w:p>
    <w:tbl>
      <w:tblPr>
        <w:tblStyle w:val="41"/>
        <w:tblW w:w="9436" w:type="dxa"/>
        <w:jc w:val="center"/>
        <w:tblLayout w:type="fixed"/>
        <w:tblCellMar>
          <w:top w:w="0" w:type="dxa"/>
          <w:left w:w="108" w:type="dxa"/>
          <w:bottom w:w="0" w:type="dxa"/>
          <w:right w:w="108" w:type="dxa"/>
        </w:tblCellMar>
      </w:tblPr>
      <w:tblGrid>
        <w:gridCol w:w="525"/>
        <w:gridCol w:w="1227"/>
        <w:gridCol w:w="525"/>
        <w:gridCol w:w="525"/>
        <w:gridCol w:w="846"/>
        <w:gridCol w:w="945"/>
        <w:gridCol w:w="1123"/>
        <w:gridCol w:w="1240"/>
        <w:gridCol w:w="1043"/>
        <w:gridCol w:w="1437"/>
      </w:tblGrid>
      <w:tr w14:paraId="3CD24561">
        <w:tblPrEx>
          <w:tblCellMar>
            <w:top w:w="0" w:type="dxa"/>
            <w:left w:w="108" w:type="dxa"/>
            <w:bottom w:w="0" w:type="dxa"/>
            <w:right w:w="108" w:type="dxa"/>
          </w:tblCellMar>
        </w:tblPrEx>
        <w:trPr>
          <w:trHeight w:val="493" w:hRule="atLeast"/>
          <w:jc w:val="center"/>
        </w:trPr>
        <w:tc>
          <w:tcPr>
            <w:tcW w:w="9436" w:type="dxa"/>
            <w:gridSpan w:val="10"/>
            <w:tcBorders>
              <w:top w:val="nil"/>
              <w:left w:val="nil"/>
              <w:bottom w:val="nil"/>
              <w:right w:val="nil"/>
            </w:tcBorders>
            <w:vAlign w:val="bottom"/>
          </w:tcPr>
          <w:p w14:paraId="71D2BF32">
            <w:pPr>
              <w:widowControl/>
              <w:jc w:val="center"/>
              <w:rPr>
                <w:b/>
                <w:bCs/>
                <w:kern w:val="0"/>
                <w:sz w:val="24"/>
                <w:szCs w:val="24"/>
                <w:highlight w:val="none"/>
              </w:rPr>
            </w:pPr>
          </w:p>
        </w:tc>
      </w:tr>
      <w:tr w14:paraId="05DC8031">
        <w:tblPrEx>
          <w:tblCellMar>
            <w:top w:w="0" w:type="dxa"/>
            <w:left w:w="108" w:type="dxa"/>
            <w:bottom w:w="0" w:type="dxa"/>
            <w:right w:w="108" w:type="dxa"/>
          </w:tblCellMar>
        </w:tblPrEx>
        <w:trPr>
          <w:trHeight w:val="496" w:hRule="atLeast"/>
          <w:jc w:val="center"/>
        </w:trPr>
        <w:tc>
          <w:tcPr>
            <w:tcW w:w="3648" w:type="dxa"/>
            <w:gridSpan w:val="5"/>
            <w:tcBorders>
              <w:top w:val="nil"/>
              <w:left w:val="nil"/>
              <w:bottom w:val="single" w:color="auto" w:sz="4" w:space="0"/>
              <w:right w:val="nil"/>
            </w:tcBorders>
            <w:vAlign w:val="center"/>
          </w:tcPr>
          <w:p w14:paraId="7162DB5B">
            <w:pPr>
              <w:widowControl/>
              <w:jc w:val="left"/>
              <w:rPr>
                <w:kern w:val="0"/>
                <w:sz w:val="21"/>
                <w:szCs w:val="21"/>
                <w:highlight w:val="none"/>
              </w:rPr>
            </w:pPr>
            <w:r>
              <w:rPr>
                <w:kern w:val="0"/>
                <w:sz w:val="21"/>
                <w:szCs w:val="21"/>
                <w:highlight w:val="none"/>
              </w:rPr>
              <w:t>工程名称：                标段：</w:t>
            </w:r>
          </w:p>
        </w:tc>
        <w:tc>
          <w:tcPr>
            <w:tcW w:w="5788" w:type="dxa"/>
            <w:gridSpan w:val="5"/>
            <w:tcBorders>
              <w:top w:val="nil"/>
              <w:left w:val="nil"/>
              <w:bottom w:val="single" w:color="auto" w:sz="4" w:space="0"/>
              <w:right w:val="nil"/>
            </w:tcBorders>
            <w:vAlign w:val="center"/>
          </w:tcPr>
          <w:p w14:paraId="694449CC">
            <w:pPr>
              <w:widowControl/>
              <w:jc w:val="right"/>
              <w:rPr>
                <w:kern w:val="0"/>
                <w:sz w:val="21"/>
                <w:szCs w:val="21"/>
                <w:highlight w:val="none"/>
              </w:rPr>
            </w:pPr>
            <w:r>
              <w:rPr>
                <w:kern w:val="0"/>
                <w:sz w:val="21"/>
                <w:szCs w:val="21"/>
                <w:highlight w:val="none"/>
              </w:rPr>
              <w:t>第   页   共    页</w:t>
            </w:r>
          </w:p>
        </w:tc>
      </w:tr>
      <w:tr w14:paraId="2955C10E">
        <w:tblPrEx>
          <w:tblCellMar>
            <w:top w:w="0" w:type="dxa"/>
            <w:left w:w="108" w:type="dxa"/>
            <w:bottom w:w="0" w:type="dxa"/>
            <w:right w:w="108" w:type="dxa"/>
          </w:tblCellMar>
        </w:tblPrEx>
        <w:trPr>
          <w:trHeight w:val="878" w:hRule="atLeast"/>
          <w:jc w:val="center"/>
        </w:trPr>
        <w:tc>
          <w:tcPr>
            <w:tcW w:w="525" w:type="dxa"/>
            <w:tcBorders>
              <w:top w:val="single" w:color="auto" w:sz="4" w:space="0"/>
              <w:left w:val="single" w:color="auto" w:sz="4" w:space="0"/>
              <w:bottom w:val="single" w:color="auto" w:sz="4" w:space="0"/>
              <w:right w:val="single" w:color="auto" w:sz="4" w:space="0"/>
            </w:tcBorders>
            <w:vAlign w:val="center"/>
          </w:tcPr>
          <w:p w14:paraId="583657C0">
            <w:pPr>
              <w:widowControl/>
              <w:jc w:val="center"/>
              <w:rPr>
                <w:kern w:val="0"/>
                <w:sz w:val="21"/>
                <w:szCs w:val="21"/>
                <w:highlight w:val="none"/>
              </w:rPr>
            </w:pPr>
            <w:r>
              <w:rPr>
                <w:kern w:val="0"/>
                <w:sz w:val="21"/>
                <w:szCs w:val="21"/>
                <w:highlight w:val="none"/>
              </w:rPr>
              <w:t>序号</w:t>
            </w:r>
          </w:p>
        </w:tc>
        <w:tc>
          <w:tcPr>
            <w:tcW w:w="1227" w:type="dxa"/>
            <w:tcBorders>
              <w:top w:val="single" w:color="auto" w:sz="4" w:space="0"/>
              <w:left w:val="single" w:color="auto" w:sz="4" w:space="0"/>
              <w:bottom w:val="single" w:color="auto" w:sz="4" w:space="0"/>
              <w:right w:val="single" w:color="auto" w:sz="4" w:space="0"/>
            </w:tcBorders>
            <w:vAlign w:val="center"/>
          </w:tcPr>
          <w:p w14:paraId="26EB42E6">
            <w:pPr>
              <w:widowControl/>
              <w:jc w:val="center"/>
              <w:rPr>
                <w:kern w:val="0"/>
                <w:sz w:val="21"/>
                <w:szCs w:val="21"/>
                <w:highlight w:val="none"/>
              </w:rPr>
            </w:pPr>
            <w:r>
              <w:rPr>
                <w:kern w:val="0"/>
                <w:sz w:val="21"/>
                <w:szCs w:val="21"/>
                <w:highlight w:val="none"/>
              </w:rPr>
              <w:t>名称、规格、型号</w:t>
            </w:r>
          </w:p>
        </w:tc>
        <w:tc>
          <w:tcPr>
            <w:tcW w:w="525" w:type="dxa"/>
            <w:tcBorders>
              <w:top w:val="single" w:color="auto" w:sz="4" w:space="0"/>
              <w:left w:val="single" w:color="auto" w:sz="4" w:space="0"/>
              <w:bottom w:val="single" w:color="auto" w:sz="4" w:space="0"/>
              <w:right w:val="single" w:color="auto" w:sz="4" w:space="0"/>
            </w:tcBorders>
            <w:vAlign w:val="center"/>
          </w:tcPr>
          <w:p w14:paraId="4C855820">
            <w:pPr>
              <w:widowControl/>
              <w:jc w:val="center"/>
              <w:rPr>
                <w:kern w:val="0"/>
                <w:sz w:val="21"/>
                <w:szCs w:val="21"/>
                <w:highlight w:val="none"/>
              </w:rPr>
            </w:pPr>
            <w:r>
              <w:rPr>
                <w:kern w:val="0"/>
                <w:sz w:val="21"/>
                <w:szCs w:val="21"/>
                <w:highlight w:val="none"/>
              </w:rPr>
              <w:t>单位</w:t>
            </w:r>
          </w:p>
        </w:tc>
        <w:tc>
          <w:tcPr>
            <w:tcW w:w="525" w:type="dxa"/>
            <w:tcBorders>
              <w:top w:val="single" w:color="auto" w:sz="4" w:space="0"/>
              <w:left w:val="single" w:color="auto" w:sz="4" w:space="0"/>
              <w:bottom w:val="single" w:color="auto" w:sz="4" w:space="0"/>
              <w:right w:val="single" w:color="auto" w:sz="4" w:space="0"/>
            </w:tcBorders>
            <w:vAlign w:val="center"/>
          </w:tcPr>
          <w:p w14:paraId="0BEACEDF">
            <w:pPr>
              <w:widowControl/>
              <w:jc w:val="center"/>
              <w:rPr>
                <w:kern w:val="0"/>
                <w:sz w:val="21"/>
                <w:szCs w:val="21"/>
                <w:highlight w:val="none"/>
              </w:rPr>
            </w:pPr>
            <w:r>
              <w:rPr>
                <w:kern w:val="0"/>
                <w:sz w:val="21"/>
                <w:szCs w:val="21"/>
                <w:highlight w:val="none"/>
              </w:rPr>
              <w:t>数量</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5C929237">
            <w:pPr>
              <w:widowControl/>
              <w:jc w:val="center"/>
              <w:rPr>
                <w:rFonts w:hint="eastAsia"/>
                <w:kern w:val="0"/>
                <w:sz w:val="21"/>
                <w:szCs w:val="21"/>
                <w:highlight w:val="none"/>
                <w:lang w:val="en-US" w:eastAsia="zh-CN"/>
              </w:rPr>
            </w:pPr>
            <w:r>
              <w:rPr>
                <w:rFonts w:hint="eastAsia"/>
                <w:kern w:val="0"/>
                <w:sz w:val="21"/>
                <w:szCs w:val="21"/>
                <w:highlight w:val="none"/>
                <w:lang w:val="en-US" w:eastAsia="zh-CN"/>
              </w:rPr>
              <w:t>基准价</w:t>
            </w:r>
          </w:p>
          <w:p w14:paraId="377C1C13">
            <w:pPr>
              <w:widowControl/>
              <w:jc w:val="center"/>
              <w:rPr>
                <w:rFonts w:ascii="Times New Roman" w:hAnsi="Times New Roman" w:eastAsia="宋体" w:cs="Times New Roman"/>
                <w:kern w:val="0"/>
                <w:sz w:val="21"/>
                <w:szCs w:val="21"/>
                <w:highlight w:val="none"/>
                <w:lang w:val="en-US" w:eastAsia="zh-CN" w:bidi="ar-SA"/>
              </w:rPr>
            </w:pPr>
            <w:r>
              <w:rPr>
                <w:rFonts w:hint="eastAsia"/>
                <w:kern w:val="0"/>
                <w:sz w:val="21"/>
                <w:szCs w:val="21"/>
                <w:highlight w:val="none"/>
                <w:lang w:val="en-US" w:eastAsia="zh-CN"/>
              </w:rPr>
              <w:t>（元）</w:t>
            </w:r>
          </w:p>
        </w:tc>
        <w:tc>
          <w:tcPr>
            <w:tcW w:w="945" w:type="dxa"/>
            <w:tcBorders>
              <w:top w:val="single" w:color="auto" w:sz="4" w:space="0"/>
              <w:left w:val="single" w:color="auto" w:sz="4" w:space="0"/>
              <w:bottom w:val="single" w:color="auto" w:sz="4" w:space="0"/>
              <w:right w:val="single" w:color="auto" w:sz="4" w:space="0"/>
            </w:tcBorders>
            <w:vAlign w:val="center"/>
          </w:tcPr>
          <w:p w14:paraId="71237FDC">
            <w:pPr>
              <w:widowControl/>
              <w:jc w:val="center"/>
              <w:rPr>
                <w:rFonts w:hint="eastAsia"/>
                <w:kern w:val="0"/>
                <w:sz w:val="21"/>
                <w:szCs w:val="21"/>
                <w:highlight w:val="none"/>
                <w:lang w:val="en-US" w:eastAsia="zh-CN"/>
              </w:rPr>
            </w:pPr>
            <w:r>
              <w:rPr>
                <w:rFonts w:hint="eastAsia"/>
                <w:kern w:val="0"/>
                <w:sz w:val="21"/>
                <w:szCs w:val="21"/>
                <w:highlight w:val="none"/>
                <w:lang w:val="en-US" w:eastAsia="zh-CN"/>
              </w:rPr>
              <w:t>投标报价</w:t>
            </w:r>
          </w:p>
          <w:p w14:paraId="2B876FF7">
            <w:pPr>
              <w:widowControl/>
              <w:jc w:val="center"/>
              <w:rPr>
                <w:kern w:val="0"/>
                <w:sz w:val="21"/>
                <w:szCs w:val="21"/>
                <w:highlight w:val="none"/>
              </w:rPr>
            </w:pPr>
            <w:r>
              <w:rPr>
                <w:rFonts w:hint="eastAsia"/>
                <w:kern w:val="0"/>
                <w:sz w:val="21"/>
                <w:szCs w:val="21"/>
                <w:highlight w:val="none"/>
                <w:lang w:val="en-US" w:eastAsia="zh-CN"/>
              </w:rPr>
              <w:t>（元）</w:t>
            </w:r>
          </w:p>
        </w:tc>
        <w:tc>
          <w:tcPr>
            <w:tcW w:w="1123" w:type="dxa"/>
            <w:tcBorders>
              <w:top w:val="single" w:color="auto" w:sz="4" w:space="0"/>
              <w:left w:val="single" w:color="auto" w:sz="4" w:space="0"/>
              <w:bottom w:val="single" w:color="auto" w:sz="4" w:space="0"/>
              <w:right w:val="single" w:color="auto" w:sz="4" w:space="0"/>
            </w:tcBorders>
            <w:vAlign w:val="center"/>
          </w:tcPr>
          <w:p w14:paraId="5EF5BAFF">
            <w:pPr>
              <w:widowControl/>
              <w:jc w:val="center"/>
              <w:rPr>
                <w:rFonts w:hint="eastAsia"/>
                <w:kern w:val="0"/>
                <w:sz w:val="21"/>
                <w:szCs w:val="21"/>
                <w:highlight w:val="none"/>
                <w:lang w:val="en-US" w:eastAsia="zh-CN"/>
              </w:rPr>
            </w:pPr>
            <w:r>
              <w:rPr>
                <w:rFonts w:hint="eastAsia"/>
                <w:kern w:val="0"/>
                <w:sz w:val="21"/>
                <w:szCs w:val="21"/>
                <w:highlight w:val="none"/>
                <w:lang w:val="en-US" w:eastAsia="zh-CN"/>
              </w:rPr>
              <w:t>风险幅度系数</w:t>
            </w:r>
          </w:p>
          <w:p w14:paraId="3C2F3B9A">
            <w:pPr>
              <w:widowControl/>
              <w:jc w:val="center"/>
              <w:rPr>
                <w:rFonts w:hint="default" w:eastAsia="宋体"/>
                <w:kern w:val="0"/>
                <w:sz w:val="21"/>
                <w:szCs w:val="21"/>
                <w:highlight w:val="none"/>
                <w:lang w:val="en-US" w:eastAsia="zh-CN"/>
              </w:rPr>
            </w:pPr>
            <w:r>
              <w:rPr>
                <w:rFonts w:hint="eastAsia"/>
                <w:kern w:val="0"/>
                <w:sz w:val="21"/>
                <w:szCs w:val="21"/>
                <w:highlight w:val="none"/>
                <w:lang w:val="en-US" w:eastAsia="zh-CN"/>
              </w:rPr>
              <w:t>（%）</w:t>
            </w:r>
          </w:p>
        </w:tc>
        <w:tc>
          <w:tcPr>
            <w:tcW w:w="1240" w:type="dxa"/>
            <w:tcBorders>
              <w:top w:val="single" w:color="auto" w:sz="4" w:space="0"/>
              <w:left w:val="single" w:color="auto" w:sz="4" w:space="0"/>
              <w:bottom w:val="single" w:color="auto" w:sz="4" w:space="0"/>
              <w:right w:val="single" w:color="auto" w:sz="4" w:space="0"/>
            </w:tcBorders>
            <w:vAlign w:val="center"/>
          </w:tcPr>
          <w:p w14:paraId="004BD9DB">
            <w:pPr>
              <w:widowControl/>
              <w:jc w:val="center"/>
              <w:rPr>
                <w:rFonts w:hint="default" w:eastAsia="宋体"/>
                <w:kern w:val="0"/>
                <w:sz w:val="21"/>
                <w:szCs w:val="21"/>
                <w:highlight w:val="none"/>
                <w:lang w:val="en-US" w:eastAsia="zh-CN"/>
              </w:rPr>
            </w:pPr>
            <w:r>
              <w:rPr>
                <w:rFonts w:hint="eastAsia"/>
                <w:kern w:val="0"/>
                <w:sz w:val="21"/>
                <w:szCs w:val="21"/>
                <w:highlight w:val="none"/>
                <w:lang w:val="en-US" w:eastAsia="zh-CN"/>
              </w:rPr>
              <w:t>价格信息（元）</w:t>
            </w:r>
          </w:p>
        </w:tc>
        <w:tc>
          <w:tcPr>
            <w:tcW w:w="1043" w:type="dxa"/>
            <w:tcBorders>
              <w:top w:val="single" w:color="auto" w:sz="4" w:space="0"/>
              <w:left w:val="single" w:color="auto" w:sz="4" w:space="0"/>
              <w:bottom w:val="single" w:color="auto" w:sz="4" w:space="0"/>
              <w:right w:val="single" w:color="auto" w:sz="4" w:space="0"/>
            </w:tcBorders>
            <w:vAlign w:val="center"/>
          </w:tcPr>
          <w:p w14:paraId="636825A2">
            <w:pPr>
              <w:widowControl/>
              <w:jc w:val="center"/>
              <w:rPr>
                <w:rFonts w:hint="default"/>
                <w:kern w:val="0"/>
                <w:sz w:val="21"/>
                <w:szCs w:val="21"/>
                <w:highlight w:val="none"/>
                <w:lang w:val="en-US"/>
              </w:rPr>
            </w:pPr>
            <w:r>
              <w:rPr>
                <w:rFonts w:hint="default"/>
                <w:kern w:val="0"/>
                <w:sz w:val="21"/>
                <w:szCs w:val="21"/>
                <w:highlight w:val="none"/>
                <w:lang w:val="en-US" w:eastAsia="zh-CN"/>
              </w:rPr>
              <w:t>价差（元）</w:t>
            </w:r>
          </w:p>
        </w:tc>
        <w:tc>
          <w:tcPr>
            <w:tcW w:w="1437" w:type="dxa"/>
            <w:tcBorders>
              <w:top w:val="single" w:color="auto" w:sz="4" w:space="0"/>
              <w:left w:val="single" w:color="auto" w:sz="4" w:space="0"/>
              <w:bottom w:val="single" w:color="auto" w:sz="4" w:space="0"/>
              <w:right w:val="single" w:color="auto" w:sz="4" w:space="0"/>
            </w:tcBorders>
            <w:vAlign w:val="center"/>
          </w:tcPr>
          <w:p w14:paraId="442A80B8">
            <w:pPr>
              <w:jc w:val="center"/>
              <w:rPr>
                <w:rFonts w:hint="eastAsia" w:eastAsia="宋体"/>
                <w:kern w:val="0"/>
                <w:sz w:val="21"/>
                <w:szCs w:val="21"/>
                <w:highlight w:val="none"/>
                <w:lang w:eastAsia="zh-CN"/>
              </w:rPr>
            </w:pPr>
            <w:r>
              <w:rPr>
                <w:rFonts w:hint="default"/>
                <w:kern w:val="0"/>
                <w:sz w:val="21"/>
                <w:szCs w:val="21"/>
                <w:highlight w:val="none"/>
                <w:lang w:val="en-US" w:eastAsia="zh-CN"/>
              </w:rPr>
              <w:t>价差</w:t>
            </w:r>
            <w:r>
              <w:rPr>
                <w:rFonts w:hint="eastAsia"/>
                <w:kern w:val="0"/>
                <w:sz w:val="21"/>
                <w:szCs w:val="21"/>
                <w:highlight w:val="none"/>
                <w:lang w:val="en-US" w:eastAsia="zh-CN"/>
              </w:rPr>
              <w:t>调整金额</w:t>
            </w:r>
            <w:r>
              <w:rPr>
                <w:rFonts w:hint="default"/>
                <w:kern w:val="0"/>
                <w:sz w:val="21"/>
                <w:szCs w:val="21"/>
                <w:highlight w:val="none"/>
                <w:lang w:val="en-US" w:eastAsia="zh-CN"/>
              </w:rPr>
              <w:t>（元）</w:t>
            </w:r>
          </w:p>
        </w:tc>
      </w:tr>
      <w:tr w14:paraId="4A367304">
        <w:tblPrEx>
          <w:tblCellMar>
            <w:top w:w="0" w:type="dxa"/>
            <w:left w:w="108" w:type="dxa"/>
            <w:bottom w:w="0" w:type="dxa"/>
            <w:right w:w="108" w:type="dxa"/>
          </w:tblCellMar>
        </w:tblPrEx>
        <w:trPr>
          <w:trHeight w:val="420" w:hRule="atLeast"/>
          <w:jc w:val="center"/>
        </w:trPr>
        <w:tc>
          <w:tcPr>
            <w:tcW w:w="525" w:type="dxa"/>
            <w:tcBorders>
              <w:top w:val="single" w:color="auto" w:sz="4" w:space="0"/>
              <w:left w:val="single" w:color="auto" w:sz="4" w:space="0"/>
              <w:bottom w:val="single" w:color="auto" w:sz="4" w:space="0"/>
              <w:right w:val="single" w:color="auto" w:sz="4" w:space="0"/>
            </w:tcBorders>
            <w:vAlign w:val="center"/>
          </w:tcPr>
          <w:p w14:paraId="17B671EA">
            <w:pPr>
              <w:widowControl/>
              <w:jc w:val="center"/>
              <w:rPr>
                <w:kern w:val="0"/>
                <w:sz w:val="22"/>
                <w:szCs w:val="22"/>
                <w:highlight w:val="none"/>
              </w:rPr>
            </w:pPr>
          </w:p>
        </w:tc>
        <w:tc>
          <w:tcPr>
            <w:tcW w:w="1227" w:type="dxa"/>
            <w:tcBorders>
              <w:top w:val="single" w:color="auto" w:sz="4" w:space="0"/>
              <w:left w:val="single" w:color="auto" w:sz="4" w:space="0"/>
              <w:bottom w:val="single" w:color="auto" w:sz="4" w:space="0"/>
              <w:right w:val="single" w:color="auto" w:sz="4" w:space="0"/>
            </w:tcBorders>
            <w:vAlign w:val="center"/>
          </w:tcPr>
          <w:p w14:paraId="007BE055">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5796FB54">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4263C13E">
            <w:pPr>
              <w:widowControl/>
              <w:jc w:val="center"/>
              <w:rPr>
                <w:kern w:val="0"/>
                <w:sz w:val="22"/>
                <w:szCs w:val="22"/>
                <w:highlight w:val="none"/>
              </w:rPr>
            </w:pPr>
          </w:p>
        </w:tc>
        <w:tc>
          <w:tcPr>
            <w:tcW w:w="846" w:type="dxa"/>
            <w:tcBorders>
              <w:top w:val="single" w:color="auto" w:sz="4" w:space="0"/>
              <w:left w:val="single" w:color="auto" w:sz="4" w:space="0"/>
              <w:bottom w:val="single" w:color="auto" w:sz="4" w:space="0"/>
              <w:right w:val="single" w:color="auto" w:sz="4" w:space="0"/>
            </w:tcBorders>
            <w:vAlign w:val="center"/>
          </w:tcPr>
          <w:p w14:paraId="2F37DA00">
            <w:pPr>
              <w:widowControl/>
              <w:jc w:val="center"/>
              <w:rPr>
                <w:kern w:val="0"/>
                <w:sz w:val="22"/>
                <w:szCs w:val="22"/>
                <w:highlight w:val="none"/>
              </w:rPr>
            </w:pPr>
          </w:p>
        </w:tc>
        <w:tc>
          <w:tcPr>
            <w:tcW w:w="945" w:type="dxa"/>
            <w:tcBorders>
              <w:top w:val="single" w:color="auto" w:sz="4" w:space="0"/>
              <w:left w:val="single" w:color="auto" w:sz="4" w:space="0"/>
              <w:bottom w:val="single" w:color="auto" w:sz="4" w:space="0"/>
              <w:right w:val="single" w:color="auto" w:sz="4" w:space="0"/>
            </w:tcBorders>
            <w:vAlign w:val="center"/>
          </w:tcPr>
          <w:p w14:paraId="5F763339">
            <w:pPr>
              <w:widowControl/>
              <w:jc w:val="center"/>
              <w:rPr>
                <w:kern w:val="0"/>
                <w:sz w:val="22"/>
                <w:szCs w:val="22"/>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14:paraId="52629B63">
            <w:pPr>
              <w:widowControl/>
              <w:jc w:val="center"/>
              <w:rPr>
                <w:kern w:val="0"/>
                <w:sz w:val="22"/>
                <w:szCs w:val="22"/>
                <w:highlight w:val="none"/>
              </w:rPr>
            </w:pPr>
          </w:p>
        </w:tc>
        <w:tc>
          <w:tcPr>
            <w:tcW w:w="1240" w:type="dxa"/>
            <w:tcBorders>
              <w:top w:val="single" w:color="auto" w:sz="4" w:space="0"/>
              <w:left w:val="single" w:color="auto" w:sz="4" w:space="0"/>
              <w:bottom w:val="single" w:color="auto" w:sz="4" w:space="0"/>
              <w:right w:val="single" w:color="auto" w:sz="4" w:space="0"/>
            </w:tcBorders>
            <w:vAlign w:val="center"/>
          </w:tcPr>
          <w:p w14:paraId="2B0EE243">
            <w:pPr>
              <w:widowControl/>
              <w:jc w:val="center"/>
              <w:rPr>
                <w:kern w:val="0"/>
                <w:sz w:val="22"/>
                <w:szCs w:val="22"/>
                <w:highlight w:val="none"/>
              </w:rPr>
            </w:pPr>
          </w:p>
        </w:tc>
        <w:tc>
          <w:tcPr>
            <w:tcW w:w="1043" w:type="dxa"/>
            <w:tcBorders>
              <w:top w:val="single" w:color="auto" w:sz="4" w:space="0"/>
              <w:left w:val="single" w:color="auto" w:sz="4" w:space="0"/>
              <w:bottom w:val="single" w:color="auto" w:sz="4" w:space="0"/>
              <w:right w:val="single" w:color="auto" w:sz="4" w:space="0"/>
            </w:tcBorders>
            <w:vAlign w:val="center"/>
          </w:tcPr>
          <w:p w14:paraId="589A0FAB">
            <w:pPr>
              <w:widowControl/>
              <w:jc w:val="center"/>
              <w:rPr>
                <w:kern w:val="0"/>
                <w:sz w:val="22"/>
                <w:szCs w:val="22"/>
                <w:highlight w:val="none"/>
              </w:rPr>
            </w:pPr>
          </w:p>
        </w:tc>
        <w:tc>
          <w:tcPr>
            <w:tcW w:w="1437" w:type="dxa"/>
            <w:tcBorders>
              <w:top w:val="single" w:color="auto" w:sz="4" w:space="0"/>
              <w:left w:val="single" w:color="auto" w:sz="4" w:space="0"/>
              <w:bottom w:val="single" w:color="auto" w:sz="4" w:space="0"/>
              <w:right w:val="single" w:color="auto" w:sz="4" w:space="0"/>
            </w:tcBorders>
          </w:tcPr>
          <w:p w14:paraId="3117AD91">
            <w:pPr>
              <w:widowControl/>
              <w:jc w:val="center"/>
              <w:rPr>
                <w:kern w:val="0"/>
                <w:sz w:val="22"/>
                <w:szCs w:val="22"/>
                <w:highlight w:val="none"/>
              </w:rPr>
            </w:pPr>
          </w:p>
        </w:tc>
      </w:tr>
      <w:tr w14:paraId="13A8F1D2">
        <w:tblPrEx>
          <w:tblCellMar>
            <w:top w:w="0" w:type="dxa"/>
            <w:left w:w="108" w:type="dxa"/>
            <w:bottom w:w="0" w:type="dxa"/>
            <w:right w:w="108" w:type="dxa"/>
          </w:tblCellMar>
        </w:tblPrEx>
        <w:trPr>
          <w:trHeight w:val="418" w:hRule="atLeast"/>
          <w:jc w:val="center"/>
        </w:trPr>
        <w:tc>
          <w:tcPr>
            <w:tcW w:w="525" w:type="dxa"/>
            <w:tcBorders>
              <w:top w:val="single" w:color="auto" w:sz="4" w:space="0"/>
              <w:left w:val="single" w:color="auto" w:sz="4" w:space="0"/>
              <w:bottom w:val="single" w:color="auto" w:sz="4" w:space="0"/>
              <w:right w:val="single" w:color="auto" w:sz="4" w:space="0"/>
            </w:tcBorders>
            <w:vAlign w:val="center"/>
          </w:tcPr>
          <w:p w14:paraId="7A33ACBA">
            <w:pPr>
              <w:widowControl/>
              <w:jc w:val="center"/>
              <w:rPr>
                <w:kern w:val="0"/>
                <w:sz w:val="22"/>
                <w:szCs w:val="22"/>
                <w:highlight w:val="none"/>
              </w:rPr>
            </w:pPr>
          </w:p>
        </w:tc>
        <w:tc>
          <w:tcPr>
            <w:tcW w:w="1227" w:type="dxa"/>
            <w:tcBorders>
              <w:top w:val="single" w:color="auto" w:sz="4" w:space="0"/>
              <w:left w:val="single" w:color="auto" w:sz="4" w:space="0"/>
              <w:bottom w:val="single" w:color="auto" w:sz="4" w:space="0"/>
              <w:right w:val="single" w:color="auto" w:sz="4" w:space="0"/>
            </w:tcBorders>
            <w:vAlign w:val="center"/>
          </w:tcPr>
          <w:p w14:paraId="0137AE5E">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3B99E808">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1949F11D">
            <w:pPr>
              <w:widowControl/>
              <w:jc w:val="center"/>
              <w:rPr>
                <w:kern w:val="0"/>
                <w:sz w:val="22"/>
                <w:szCs w:val="22"/>
                <w:highlight w:val="none"/>
              </w:rPr>
            </w:pPr>
          </w:p>
        </w:tc>
        <w:tc>
          <w:tcPr>
            <w:tcW w:w="846" w:type="dxa"/>
            <w:tcBorders>
              <w:top w:val="single" w:color="auto" w:sz="4" w:space="0"/>
              <w:left w:val="single" w:color="auto" w:sz="4" w:space="0"/>
              <w:bottom w:val="single" w:color="auto" w:sz="4" w:space="0"/>
              <w:right w:val="single" w:color="auto" w:sz="4" w:space="0"/>
            </w:tcBorders>
            <w:vAlign w:val="center"/>
          </w:tcPr>
          <w:p w14:paraId="2005A9B9">
            <w:pPr>
              <w:widowControl/>
              <w:jc w:val="center"/>
              <w:rPr>
                <w:kern w:val="0"/>
                <w:sz w:val="22"/>
                <w:szCs w:val="22"/>
                <w:highlight w:val="none"/>
              </w:rPr>
            </w:pPr>
          </w:p>
        </w:tc>
        <w:tc>
          <w:tcPr>
            <w:tcW w:w="945" w:type="dxa"/>
            <w:tcBorders>
              <w:top w:val="single" w:color="auto" w:sz="4" w:space="0"/>
              <w:left w:val="single" w:color="auto" w:sz="4" w:space="0"/>
              <w:bottom w:val="single" w:color="auto" w:sz="4" w:space="0"/>
              <w:right w:val="single" w:color="auto" w:sz="4" w:space="0"/>
            </w:tcBorders>
            <w:vAlign w:val="center"/>
          </w:tcPr>
          <w:p w14:paraId="710437CE">
            <w:pPr>
              <w:widowControl/>
              <w:jc w:val="center"/>
              <w:rPr>
                <w:kern w:val="0"/>
                <w:sz w:val="22"/>
                <w:szCs w:val="22"/>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14:paraId="7A80A142">
            <w:pPr>
              <w:widowControl/>
              <w:jc w:val="center"/>
              <w:rPr>
                <w:kern w:val="0"/>
                <w:sz w:val="22"/>
                <w:szCs w:val="22"/>
                <w:highlight w:val="none"/>
              </w:rPr>
            </w:pPr>
          </w:p>
        </w:tc>
        <w:tc>
          <w:tcPr>
            <w:tcW w:w="1240" w:type="dxa"/>
            <w:tcBorders>
              <w:top w:val="single" w:color="auto" w:sz="4" w:space="0"/>
              <w:left w:val="single" w:color="auto" w:sz="4" w:space="0"/>
              <w:bottom w:val="single" w:color="auto" w:sz="4" w:space="0"/>
              <w:right w:val="single" w:color="auto" w:sz="4" w:space="0"/>
            </w:tcBorders>
            <w:vAlign w:val="center"/>
          </w:tcPr>
          <w:p w14:paraId="7E519415">
            <w:pPr>
              <w:widowControl/>
              <w:jc w:val="center"/>
              <w:rPr>
                <w:kern w:val="0"/>
                <w:sz w:val="22"/>
                <w:szCs w:val="22"/>
                <w:highlight w:val="none"/>
              </w:rPr>
            </w:pPr>
          </w:p>
        </w:tc>
        <w:tc>
          <w:tcPr>
            <w:tcW w:w="1043" w:type="dxa"/>
            <w:tcBorders>
              <w:top w:val="single" w:color="auto" w:sz="4" w:space="0"/>
              <w:left w:val="single" w:color="auto" w:sz="4" w:space="0"/>
              <w:bottom w:val="single" w:color="auto" w:sz="4" w:space="0"/>
              <w:right w:val="single" w:color="auto" w:sz="4" w:space="0"/>
            </w:tcBorders>
            <w:vAlign w:val="center"/>
          </w:tcPr>
          <w:p w14:paraId="43288DC8">
            <w:pPr>
              <w:widowControl/>
              <w:jc w:val="center"/>
              <w:rPr>
                <w:kern w:val="0"/>
                <w:sz w:val="22"/>
                <w:szCs w:val="22"/>
                <w:highlight w:val="none"/>
              </w:rPr>
            </w:pPr>
          </w:p>
        </w:tc>
        <w:tc>
          <w:tcPr>
            <w:tcW w:w="1437" w:type="dxa"/>
            <w:tcBorders>
              <w:top w:val="single" w:color="auto" w:sz="4" w:space="0"/>
              <w:left w:val="single" w:color="auto" w:sz="4" w:space="0"/>
              <w:bottom w:val="single" w:color="auto" w:sz="4" w:space="0"/>
              <w:right w:val="single" w:color="auto" w:sz="4" w:space="0"/>
            </w:tcBorders>
          </w:tcPr>
          <w:p w14:paraId="6B7A6D15">
            <w:pPr>
              <w:widowControl/>
              <w:jc w:val="center"/>
              <w:rPr>
                <w:kern w:val="0"/>
                <w:sz w:val="22"/>
                <w:szCs w:val="22"/>
                <w:highlight w:val="none"/>
              </w:rPr>
            </w:pPr>
          </w:p>
        </w:tc>
      </w:tr>
      <w:tr w14:paraId="55528E7F">
        <w:tblPrEx>
          <w:tblCellMar>
            <w:top w:w="0" w:type="dxa"/>
            <w:left w:w="108" w:type="dxa"/>
            <w:bottom w:w="0" w:type="dxa"/>
            <w:right w:w="108" w:type="dxa"/>
          </w:tblCellMar>
        </w:tblPrEx>
        <w:trPr>
          <w:trHeight w:val="418" w:hRule="atLeast"/>
          <w:jc w:val="center"/>
        </w:trPr>
        <w:tc>
          <w:tcPr>
            <w:tcW w:w="525" w:type="dxa"/>
            <w:tcBorders>
              <w:top w:val="single" w:color="auto" w:sz="4" w:space="0"/>
              <w:left w:val="single" w:color="auto" w:sz="4" w:space="0"/>
              <w:bottom w:val="single" w:color="auto" w:sz="4" w:space="0"/>
              <w:right w:val="single" w:color="auto" w:sz="4" w:space="0"/>
            </w:tcBorders>
            <w:vAlign w:val="center"/>
          </w:tcPr>
          <w:p w14:paraId="5C503565">
            <w:pPr>
              <w:widowControl/>
              <w:jc w:val="center"/>
              <w:rPr>
                <w:kern w:val="0"/>
                <w:sz w:val="22"/>
                <w:szCs w:val="22"/>
                <w:highlight w:val="none"/>
              </w:rPr>
            </w:pPr>
          </w:p>
        </w:tc>
        <w:tc>
          <w:tcPr>
            <w:tcW w:w="1227" w:type="dxa"/>
            <w:tcBorders>
              <w:top w:val="single" w:color="auto" w:sz="4" w:space="0"/>
              <w:left w:val="single" w:color="auto" w:sz="4" w:space="0"/>
              <w:bottom w:val="single" w:color="auto" w:sz="4" w:space="0"/>
              <w:right w:val="single" w:color="auto" w:sz="4" w:space="0"/>
            </w:tcBorders>
            <w:vAlign w:val="center"/>
          </w:tcPr>
          <w:p w14:paraId="534B1927">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0089745B">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69CE888D">
            <w:pPr>
              <w:widowControl/>
              <w:jc w:val="center"/>
              <w:rPr>
                <w:kern w:val="0"/>
                <w:sz w:val="22"/>
                <w:szCs w:val="22"/>
                <w:highlight w:val="none"/>
              </w:rPr>
            </w:pPr>
          </w:p>
        </w:tc>
        <w:tc>
          <w:tcPr>
            <w:tcW w:w="846" w:type="dxa"/>
            <w:tcBorders>
              <w:top w:val="single" w:color="auto" w:sz="4" w:space="0"/>
              <w:left w:val="single" w:color="auto" w:sz="4" w:space="0"/>
              <w:bottom w:val="single" w:color="auto" w:sz="4" w:space="0"/>
              <w:right w:val="single" w:color="auto" w:sz="4" w:space="0"/>
            </w:tcBorders>
            <w:vAlign w:val="center"/>
          </w:tcPr>
          <w:p w14:paraId="7B0E780F">
            <w:pPr>
              <w:widowControl/>
              <w:jc w:val="center"/>
              <w:rPr>
                <w:kern w:val="0"/>
                <w:sz w:val="22"/>
                <w:szCs w:val="22"/>
                <w:highlight w:val="none"/>
              </w:rPr>
            </w:pPr>
          </w:p>
        </w:tc>
        <w:tc>
          <w:tcPr>
            <w:tcW w:w="945" w:type="dxa"/>
            <w:tcBorders>
              <w:top w:val="single" w:color="auto" w:sz="4" w:space="0"/>
              <w:left w:val="single" w:color="auto" w:sz="4" w:space="0"/>
              <w:bottom w:val="single" w:color="auto" w:sz="4" w:space="0"/>
              <w:right w:val="single" w:color="auto" w:sz="4" w:space="0"/>
            </w:tcBorders>
            <w:vAlign w:val="center"/>
          </w:tcPr>
          <w:p w14:paraId="6436143F">
            <w:pPr>
              <w:widowControl/>
              <w:jc w:val="center"/>
              <w:rPr>
                <w:kern w:val="0"/>
                <w:sz w:val="22"/>
                <w:szCs w:val="22"/>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14:paraId="7DB78C94">
            <w:pPr>
              <w:widowControl/>
              <w:jc w:val="center"/>
              <w:rPr>
                <w:kern w:val="0"/>
                <w:sz w:val="22"/>
                <w:szCs w:val="22"/>
                <w:highlight w:val="none"/>
              </w:rPr>
            </w:pPr>
          </w:p>
        </w:tc>
        <w:tc>
          <w:tcPr>
            <w:tcW w:w="1240" w:type="dxa"/>
            <w:tcBorders>
              <w:top w:val="single" w:color="auto" w:sz="4" w:space="0"/>
              <w:left w:val="single" w:color="auto" w:sz="4" w:space="0"/>
              <w:bottom w:val="single" w:color="auto" w:sz="4" w:space="0"/>
              <w:right w:val="single" w:color="auto" w:sz="4" w:space="0"/>
            </w:tcBorders>
            <w:vAlign w:val="center"/>
          </w:tcPr>
          <w:p w14:paraId="618D0E64">
            <w:pPr>
              <w:widowControl/>
              <w:jc w:val="center"/>
              <w:rPr>
                <w:kern w:val="0"/>
                <w:sz w:val="22"/>
                <w:szCs w:val="22"/>
                <w:highlight w:val="none"/>
              </w:rPr>
            </w:pPr>
          </w:p>
        </w:tc>
        <w:tc>
          <w:tcPr>
            <w:tcW w:w="1043" w:type="dxa"/>
            <w:tcBorders>
              <w:top w:val="single" w:color="auto" w:sz="4" w:space="0"/>
              <w:left w:val="single" w:color="auto" w:sz="4" w:space="0"/>
              <w:bottom w:val="single" w:color="auto" w:sz="4" w:space="0"/>
              <w:right w:val="single" w:color="auto" w:sz="4" w:space="0"/>
            </w:tcBorders>
            <w:vAlign w:val="center"/>
          </w:tcPr>
          <w:p w14:paraId="090644F9">
            <w:pPr>
              <w:widowControl/>
              <w:jc w:val="center"/>
              <w:rPr>
                <w:kern w:val="0"/>
                <w:sz w:val="22"/>
                <w:szCs w:val="22"/>
                <w:highlight w:val="none"/>
              </w:rPr>
            </w:pPr>
          </w:p>
        </w:tc>
        <w:tc>
          <w:tcPr>
            <w:tcW w:w="1437" w:type="dxa"/>
            <w:tcBorders>
              <w:top w:val="single" w:color="auto" w:sz="4" w:space="0"/>
              <w:left w:val="single" w:color="auto" w:sz="4" w:space="0"/>
              <w:bottom w:val="single" w:color="auto" w:sz="4" w:space="0"/>
              <w:right w:val="single" w:color="auto" w:sz="4" w:space="0"/>
            </w:tcBorders>
          </w:tcPr>
          <w:p w14:paraId="11B8E70D">
            <w:pPr>
              <w:widowControl/>
              <w:jc w:val="center"/>
              <w:rPr>
                <w:kern w:val="0"/>
                <w:sz w:val="22"/>
                <w:szCs w:val="22"/>
                <w:highlight w:val="none"/>
              </w:rPr>
            </w:pPr>
          </w:p>
        </w:tc>
      </w:tr>
      <w:tr w14:paraId="79A01431">
        <w:tblPrEx>
          <w:tblCellMar>
            <w:top w:w="0" w:type="dxa"/>
            <w:left w:w="108" w:type="dxa"/>
            <w:bottom w:w="0" w:type="dxa"/>
            <w:right w:w="108" w:type="dxa"/>
          </w:tblCellMar>
        </w:tblPrEx>
        <w:trPr>
          <w:trHeight w:val="418" w:hRule="atLeast"/>
          <w:jc w:val="center"/>
        </w:trPr>
        <w:tc>
          <w:tcPr>
            <w:tcW w:w="525" w:type="dxa"/>
            <w:tcBorders>
              <w:top w:val="single" w:color="auto" w:sz="4" w:space="0"/>
              <w:left w:val="single" w:color="auto" w:sz="4" w:space="0"/>
              <w:bottom w:val="single" w:color="auto" w:sz="4" w:space="0"/>
              <w:right w:val="single" w:color="auto" w:sz="4" w:space="0"/>
            </w:tcBorders>
            <w:vAlign w:val="center"/>
          </w:tcPr>
          <w:p w14:paraId="221BD8B6">
            <w:pPr>
              <w:widowControl/>
              <w:jc w:val="center"/>
              <w:rPr>
                <w:kern w:val="0"/>
                <w:sz w:val="22"/>
                <w:szCs w:val="22"/>
                <w:highlight w:val="none"/>
              </w:rPr>
            </w:pPr>
          </w:p>
        </w:tc>
        <w:tc>
          <w:tcPr>
            <w:tcW w:w="1227" w:type="dxa"/>
            <w:tcBorders>
              <w:top w:val="single" w:color="auto" w:sz="4" w:space="0"/>
              <w:left w:val="single" w:color="auto" w:sz="4" w:space="0"/>
              <w:bottom w:val="single" w:color="auto" w:sz="4" w:space="0"/>
              <w:right w:val="single" w:color="auto" w:sz="4" w:space="0"/>
            </w:tcBorders>
            <w:vAlign w:val="center"/>
          </w:tcPr>
          <w:p w14:paraId="3853D08D">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5DCFE610">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4BAE747D">
            <w:pPr>
              <w:widowControl/>
              <w:jc w:val="center"/>
              <w:rPr>
                <w:kern w:val="0"/>
                <w:sz w:val="22"/>
                <w:szCs w:val="22"/>
                <w:highlight w:val="none"/>
              </w:rPr>
            </w:pPr>
          </w:p>
        </w:tc>
        <w:tc>
          <w:tcPr>
            <w:tcW w:w="846" w:type="dxa"/>
            <w:tcBorders>
              <w:top w:val="single" w:color="auto" w:sz="4" w:space="0"/>
              <w:left w:val="single" w:color="auto" w:sz="4" w:space="0"/>
              <w:bottom w:val="single" w:color="auto" w:sz="4" w:space="0"/>
              <w:right w:val="single" w:color="auto" w:sz="4" w:space="0"/>
            </w:tcBorders>
            <w:vAlign w:val="center"/>
          </w:tcPr>
          <w:p w14:paraId="301BB0A3">
            <w:pPr>
              <w:widowControl/>
              <w:jc w:val="center"/>
              <w:rPr>
                <w:kern w:val="0"/>
                <w:sz w:val="22"/>
                <w:szCs w:val="22"/>
                <w:highlight w:val="none"/>
              </w:rPr>
            </w:pPr>
          </w:p>
        </w:tc>
        <w:tc>
          <w:tcPr>
            <w:tcW w:w="945" w:type="dxa"/>
            <w:tcBorders>
              <w:top w:val="single" w:color="auto" w:sz="4" w:space="0"/>
              <w:left w:val="single" w:color="auto" w:sz="4" w:space="0"/>
              <w:bottom w:val="single" w:color="auto" w:sz="4" w:space="0"/>
              <w:right w:val="single" w:color="auto" w:sz="4" w:space="0"/>
            </w:tcBorders>
            <w:vAlign w:val="center"/>
          </w:tcPr>
          <w:p w14:paraId="238D4FF8">
            <w:pPr>
              <w:widowControl/>
              <w:jc w:val="center"/>
              <w:rPr>
                <w:kern w:val="0"/>
                <w:sz w:val="22"/>
                <w:szCs w:val="22"/>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14:paraId="6EE007C9">
            <w:pPr>
              <w:widowControl/>
              <w:jc w:val="center"/>
              <w:rPr>
                <w:kern w:val="0"/>
                <w:sz w:val="22"/>
                <w:szCs w:val="22"/>
                <w:highlight w:val="none"/>
              </w:rPr>
            </w:pPr>
          </w:p>
        </w:tc>
        <w:tc>
          <w:tcPr>
            <w:tcW w:w="1240" w:type="dxa"/>
            <w:tcBorders>
              <w:top w:val="single" w:color="auto" w:sz="4" w:space="0"/>
              <w:left w:val="single" w:color="auto" w:sz="4" w:space="0"/>
              <w:bottom w:val="single" w:color="auto" w:sz="4" w:space="0"/>
              <w:right w:val="single" w:color="auto" w:sz="4" w:space="0"/>
            </w:tcBorders>
            <w:vAlign w:val="center"/>
          </w:tcPr>
          <w:p w14:paraId="08D118ED">
            <w:pPr>
              <w:widowControl/>
              <w:jc w:val="center"/>
              <w:rPr>
                <w:kern w:val="0"/>
                <w:sz w:val="22"/>
                <w:szCs w:val="22"/>
                <w:highlight w:val="none"/>
              </w:rPr>
            </w:pPr>
          </w:p>
        </w:tc>
        <w:tc>
          <w:tcPr>
            <w:tcW w:w="1043" w:type="dxa"/>
            <w:tcBorders>
              <w:top w:val="single" w:color="auto" w:sz="4" w:space="0"/>
              <w:left w:val="single" w:color="auto" w:sz="4" w:space="0"/>
              <w:bottom w:val="single" w:color="auto" w:sz="4" w:space="0"/>
              <w:right w:val="single" w:color="auto" w:sz="4" w:space="0"/>
            </w:tcBorders>
            <w:vAlign w:val="center"/>
          </w:tcPr>
          <w:p w14:paraId="30716EBC">
            <w:pPr>
              <w:widowControl/>
              <w:jc w:val="center"/>
              <w:rPr>
                <w:kern w:val="0"/>
                <w:sz w:val="22"/>
                <w:szCs w:val="22"/>
                <w:highlight w:val="none"/>
              </w:rPr>
            </w:pPr>
          </w:p>
        </w:tc>
        <w:tc>
          <w:tcPr>
            <w:tcW w:w="1437" w:type="dxa"/>
            <w:tcBorders>
              <w:top w:val="single" w:color="auto" w:sz="4" w:space="0"/>
              <w:left w:val="single" w:color="auto" w:sz="4" w:space="0"/>
              <w:bottom w:val="single" w:color="auto" w:sz="4" w:space="0"/>
              <w:right w:val="single" w:color="auto" w:sz="4" w:space="0"/>
            </w:tcBorders>
          </w:tcPr>
          <w:p w14:paraId="39839F27">
            <w:pPr>
              <w:widowControl/>
              <w:jc w:val="center"/>
              <w:rPr>
                <w:kern w:val="0"/>
                <w:sz w:val="22"/>
                <w:szCs w:val="22"/>
                <w:highlight w:val="none"/>
              </w:rPr>
            </w:pPr>
          </w:p>
        </w:tc>
      </w:tr>
      <w:tr w14:paraId="3AD0A39D">
        <w:tblPrEx>
          <w:tblCellMar>
            <w:top w:w="0" w:type="dxa"/>
            <w:left w:w="108" w:type="dxa"/>
            <w:bottom w:w="0" w:type="dxa"/>
            <w:right w:w="108" w:type="dxa"/>
          </w:tblCellMar>
        </w:tblPrEx>
        <w:trPr>
          <w:trHeight w:val="418" w:hRule="atLeast"/>
          <w:jc w:val="center"/>
        </w:trPr>
        <w:tc>
          <w:tcPr>
            <w:tcW w:w="525" w:type="dxa"/>
            <w:tcBorders>
              <w:top w:val="single" w:color="auto" w:sz="4" w:space="0"/>
              <w:left w:val="single" w:color="auto" w:sz="4" w:space="0"/>
              <w:bottom w:val="single" w:color="auto" w:sz="4" w:space="0"/>
              <w:right w:val="single" w:color="auto" w:sz="4" w:space="0"/>
            </w:tcBorders>
            <w:vAlign w:val="center"/>
          </w:tcPr>
          <w:p w14:paraId="0DC8F449">
            <w:pPr>
              <w:widowControl/>
              <w:jc w:val="center"/>
              <w:rPr>
                <w:kern w:val="0"/>
                <w:sz w:val="22"/>
                <w:szCs w:val="22"/>
                <w:highlight w:val="none"/>
              </w:rPr>
            </w:pPr>
          </w:p>
        </w:tc>
        <w:tc>
          <w:tcPr>
            <w:tcW w:w="1227" w:type="dxa"/>
            <w:tcBorders>
              <w:top w:val="single" w:color="auto" w:sz="4" w:space="0"/>
              <w:left w:val="single" w:color="auto" w:sz="4" w:space="0"/>
              <w:bottom w:val="single" w:color="auto" w:sz="4" w:space="0"/>
              <w:right w:val="single" w:color="auto" w:sz="4" w:space="0"/>
            </w:tcBorders>
            <w:vAlign w:val="center"/>
          </w:tcPr>
          <w:p w14:paraId="4005AE1D">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25D21602">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1D64ABD9">
            <w:pPr>
              <w:widowControl/>
              <w:jc w:val="center"/>
              <w:rPr>
                <w:kern w:val="0"/>
                <w:sz w:val="22"/>
                <w:szCs w:val="22"/>
                <w:highlight w:val="none"/>
              </w:rPr>
            </w:pPr>
          </w:p>
        </w:tc>
        <w:tc>
          <w:tcPr>
            <w:tcW w:w="846" w:type="dxa"/>
            <w:tcBorders>
              <w:top w:val="single" w:color="auto" w:sz="4" w:space="0"/>
              <w:left w:val="single" w:color="auto" w:sz="4" w:space="0"/>
              <w:bottom w:val="single" w:color="auto" w:sz="4" w:space="0"/>
              <w:right w:val="single" w:color="auto" w:sz="4" w:space="0"/>
            </w:tcBorders>
            <w:vAlign w:val="center"/>
          </w:tcPr>
          <w:p w14:paraId="76DE603D">
            <w:pPr>
              <w:widowControl/>
              <w:jc w:val="center"/>
              <w:rPr>
                <w:kern w:val="0"/>
                <w:sz w:val="22"/>
                <w:szCs w:val="22"/>
                <w:highlight w:val="none"/>
              </w:rPr>
            </w:pPr>
          </w:p>
        </w:tc>
        <w:tc>
          <w:tcPr>
            <w:tcW w:w="945" w:type="dxa"/>
            <w:tcBorders>
              <w:top w:val="single" w:color="auto" w:sz="4" w:space="0"/>
              <w:left w:val="single" w:color="auto" w:sz="4" w:space="0"/>
              <w:bottom w:val="single" w:color="auto" w:sz="4" w:space="0"/>
              <w:right w:val="single" w:color="auto" w:sz="4" w:space="0"/>
            </w:tcBorders>
            <w:vAlign w:val="center"/>
          </w:tcPr>
          <w:p w14:paraId="3D619641">
            <w:pPr>
              <w:widowControl/>
              <w:jc w:val="center"/>
              <w:rPr>
                <w:kern w:val="0"/>
                <w:sz w:val="22"/>
                <w:szCs w:val="22"/>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14:paraId="0927284D">
            <w:pPr>
              <w:widowControl/>
              <w:jc w:val="center"/>
              <w:rPr>
                <w:kern w:val="0"/>
                <w:sz w:val="22"/>
                <w:szCs w:val="22"/>
                <w:highlight w:val="none"/>
              </w:rPr>
            </w:pPr>
          </w:p>
        </w:tc>
        <w:tc>
          <w:tcPr>
            <w:tcW w:w="1240" w:type="dxa"/>
            <w:tcBorders>
              <w:top w:val="single" w:color="auto" w:sz="4" w:space="0"/>
              <w:left w:val="single" w:color="auto" w:sz="4" w:space="0"/>
              <w:bottom w:val="single" w:color="auto" w:sz="4" w:space="0"/>
              <w:right w:val="single" w:color="auto" w:sz="4" w:space="0"/>
            </w:tcBorders>
            <w:vAlign w:val="center"/>
          </w:tcPr>
          <w:p w14:paraId="6F94DB13">
            <w:pPr>
              <w:widowControl/>
              <w:jc w:val="center"/>
              <w:rPr>
                <w:kern w:val="0"/>
                <w:sz w:val="22"/>
                <w:szCs w:val="22"/>
                <w:highlight w:val="none"/>
              </w:rPr>
            </w:pPr>
          </w:p>
        </w:tc>
        <w:tc>
          <w:tcPr>
            <w:tcW w:w="1043" w:type="dxa"/>
            <w:tcBorders>
              <w:top w:val="single" w:color="auto" w:sz="4" w:space="0"/>
              <w:left w:val="single" w:color="auto" w:sz="4" w:space="0"/>
              <w:bottom w:val="single" w:color="auto" w:sz="4" w:space="0"/>
              <w:right w:val="single" w:color="auto" w:sz="4" w:space="0"/>
            </w:tcBorders>
            <w:vAlign w:val="center"/>
          </w:tcPr>
          <w:p w14:paraId="17436F53">
            <w:pPr>
              <w:widowControl/>
              <w:jc w:val="center"/>
              <w:rPr>
                <w:kern w:val="0"/>
                <w:sz w:val="22"/>
                <w:szCs w:val="22"/>
                <w:highlight w:val="none"/>
              </w:rPr>
            </w:pPr>
          </w:p>
        </w:tc>
        <w:tc>
          <w:tcPr>
            <w:tcW w:w="1437" w:type="dxa"/>
            <w:tcBorders>
              <w:top w:val="single" w:color="auto" w:sz="4" w:space="0"/>
              <w:left w:val="single" w:color="auto" w:sz="4" w:space="0"/>
              <w:bottom w:val="single" w:color="auto" w:sz="4" w:space="0"/>
              <w:right w:val="single" w:color="auto" w:sz="4" w:space="0"/>
            </w:tcBorders>
          </w:tcPr>
          <w:p w14:paraId="71947ABB">
            <w:pPr>
              <w:widowControl/>
              <w:jc w:val="center"/>
              <w:rPr>
                <w:kern w:val="0"/>
                <w:sz w:val="22"/>
                <w:szCs w:val="22"/>
                <w:highlight w:val="none"/>
              </w:rPr>
            </w:pPr>
          </w:p>
        </w:tc>
      </w:tr>
      <w:tr w14:paraId="14651C6B">
        <w:tblPrEx>
          <w:tblCellMar>
            <w:top w:w="0" w:type="dxa"/>
            <w:left w:w="108" w:type="dxa"/>
            <w:bottom w:w="0" w:type="dxa"/>
            <w:right w:w="108" w:type="dxa"/>
          </w:tblCellMar>
        </w:tblPrEx>
        <w:trPr>
          <w:trHeight w:val="418" w:hRule="atLeast"/>
          <w:jc w:val="center"/>
        </w:trPr>
        <w:tc>
          <w:tcPr>
            <w:tcW w:w="525" w:type="dxa"/>
            <w:tcBorders>
              <w:top w:val="single" w:color="auto" w:sz="4" w:space="0"/>
              <w:left w:val="single" w:color="auto" w:sz="4" w:space="0"/>
              <w:bottom w:val="single" w:color="auto" w:sz="4" w:space="0"/>
              <w:right w:val="single" w:color="auto" w:sz="4" w:space="0"/>
            </w:tcBorders>
            <w:vAlign w:val="center"/>
          </w:tcPr>
          <w:p w14:paraId="23D07B8A">
            <w:pPr>
              <w:widowControl/>
              <w:jc w:val="center"/>
              <w:rPr>
                <w:kern w:val="0"/>
                <w:sz w:val="22"/>
                <w:szCs w:val="22"/>
                <w:highlight w:val="none"/>
              </w:rPr>
            </w:pPr>
          </w:p>
        </w:tc>
        <w:tc>
          <w:tcPr>
            <w:tcW w:w="1227" w:type="dxa"/>
            <w:tcBorders>
              <w:top w:val="single" w:color="auto" w:sz="4" w:space="0"/>
              <w:left w:val="single" w:color="auto" w:sz="4" w:space="0"/>
              <w:bottom w:val="single" w:color="auto" w:sz="4" w:space="0"/>
              <w:right w:val="single" w:color="auto" w:sz="4" w:space="0"/>
            </w:tcBorders>
            <w:vAlign w:val="center"/>
          </w:tcPr>
          <w:p w14:paraId="66A99D79">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413FCE8D">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7E0F482F">
            <w:pPr>
              <w:widowControl/>
              <w:jc w:val="center"/>
              <w:rPr>
                <w:kern w:val="0"/>
                <w:sz w:val="22"/>
                <w:szCs w:val="22"/>
                <w:highlight w:val="none"/>
              </w:rPr>
            </w:pPr>
          </w:p>
        </w:tc>
        <w:tc>
          <w:tcPr>
            <w:tcW w:w="846" w:type="dxa"/>
            <w:tcBorders>
              <w:top w:val="single" w:color="auto" w:sz="4" w:space="0"/>
              <w:left w:val="single" w:color="auto" w:sz="4" w:space="0"/>
              <w:bottom w:val="single" w:color="auto" w:sz="4" w:space="0"/>
              <w:right w:val="single" w:color="auto" w:sz="4" w:space="0"/>
            </w:tcBorders>
            <w:vAlign w:val="center"/>
          </w:tcPr>
          <w:p w14:paraId="61EE6DD7">
            <w:pPr>
              <w:widowControl/>
              <w:jc w:val="center"/>
              <w:rPr>
                <w:kern w:val="0"/>
                <w:sz w:val="22"/>
                <w:szCs w:val="22"/>
                <w:highlight w:val="none"/>
              </w:rPr>
            </w:pPr>
          </w:p>
        </w:tc>
        <w:tc>
          <w:tcPr>
            <w:tcW w:w="945" w:type="dxa"/>
            <w:tcBorders>
              <w:top w:val="single" w:color="auto" w:sz="4" w:space="0"/>
              <w:left w:val="single" w:color="auto" w:sz="4" w:space="0"/>
              <w:bottom w:val="single" w:color="auto" w:sz="4" w:space="0"/>
              <w:right w:val="single" w:color="auto" w:sz="4" w:space="0"/>
            </w:tcBorders>
            <w:vAlign w:val="center"/>
          </w:tcPr>
          <w:p w14:paraId="4978D571">
            <w:pPr>
              <w:widowControl/>
              <w:jc w:val="center"/>
              <w:rPr>
                <w:kern w:val="0"/>
                <w:sz w:val="22"/>
                <w:szCs w:val="22"/>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14:paraId="197A5DD4">
            <w:pPr>
              <w:widowControl/>
              <w:jc w:val="center"/>
              <w:rPr>
                <w:kern w:val="0"/>
                <w:sz w:val="22"/>
                <w:szCs w:val="22"/>
                <w:highlight w:val="none"/>
              </w:rPr>
            </w:pPr>
          </w:p>
        </w:tc>
        <w:tc>
          <w:tcPr>
            <w:tcW w:w="1240" w:type="dxa"/>
            <w:tcBorders>
              <w:top w:val="single" w:color="auto" w:sz="4" w:space="0"/>
              <w:left w:val="single" w:color="auto" w:sz="4" w:space="0"/>
              <w:bottom w:val="single" w:color="auto" w:sz="4" w:space="0"/>
              <w:right w:val="single" w:color="auto" w:sz="4" w:space="0"/>
            </w:tcBorders>
            <w:vAlign w:val="center"/>
          </w:tcPr>
          <w:p w14:paraId="6718E1E5">
            <w:pPr>
              <w:widowControl/>
              <w:jc w:val="center"/>
              <w:rPr>
                <w:kern w:val="0"/>
                <w:sz w:val="22"/>
                <w:szCs w:val="22"/>
                <w:highlight w:val="none"/>
              </w:rPr>
            </w:pPr>
          </w:p>
        </w:tc>
        <w:tc>
          <w:tcPr>
            <w:tcW w:w="1043" w:type="dxa"/>
            <w:tcBorders>
              <w:top w:val="single" w:color="auto" w:sz="4" w:space="0"/>
              <w:left w:val="single" w:color="auto" w:sz="4" w:space="0"/>
              <w:bottom w:val="single" w:color="auto" w:sz="4" w:space="0"/>
              <w:right w:val="single" w:color="auto" w:sz="4" w:space="0"/>
            </w:tcBorders>
            <w:vAlign w:val="center"/>
          </w:tcPr>
          <w:p w14:paraId="3C699D26">
            <w:pPr>
              <w:widowControl/>
              <w:jc w:val="center"/>
              <w:rPr>
                <w:kern w:val="0"/>
                <w:sz w:val="22"/>
                <w:szCs w:val="22"/>
                <w:highlight w:val="none"/>
              </w:rPr>
            </w:pPr>
          </w:p>
        </w:tc>
        <w:tc>
          <w:tcPr>
            <w:tcW w:w="1437" w:type="dxa"/>
            <w:tcBorders>
              <w:top w:val="single" w:color="auto" w:sz="4" w:space="0"/>
              <w:left w:val="single" w:color="auto" w:sz="4" w:space="0"/>
              <w:bottom w:val="single" w:color="auto" w:sz="4" w:space="0"/>
              <w:right w:val="single" w:color="auto" w:sz="4" w:space="0"/>
            </w:tcBorders>
          </w:tcPr>
          <w:p w14:paraId="52E9CD66">
            <w:pPr>
              <w:widowControl/>
              <w:jc w:val="center"/>
              <w:rPr>
                <w:kern w:val="0"/>
                <w:sz w:val="22"/>
                <w:szCs w:val="22"/>
                <w:highlight w:val="none"/>
              </w:rPr>
            </w:pPr>
          </w:p>
        </w:tc>
      </w:tr>
      <w:tr w14:paraId="14DC266B">
        <w:tblPrEx>
          <w:tblCellMar>
            <w:top w:w="0" w:type="dxa"/>
            <w:left w:w="108" w:type="dxa"/>
            <w:bottom w:w="0" w:type="dxa"/>
            <w:right w:w="108" w:type="dxa"/>
          </w:tblCellMar>
        </w:tblPrEx>
        <w:trPr>
          <w:trHeight w:val="418" w:hRule="atLeast"/>
          <w:jc w:val="center"/>
        </w:trPr>
        <w:tc>
          <w:tcPr>
            <w:tcW w:w="525" w:type="dxa"/>
            <w:tcBorders>
              <w:top w:val="single" w:color="auto" w:sz="4" w:space="0"/>
              <w:left w:val="single" w:color="auto" w:sz="4" w:space="0"/>
              <w:bottom w:val="single" w:color="auto" w:sz="4" w:space="0"/>
              <w:right w:val="single" w:color="auto" w:sz="4" w:space="0"/>
            </w:tcBorders>
            <w:vAlign w:val="center"/>
          </w:tcPr>
          <w:p w14:paraId="26E4F29D">
            <w:pPr>
              <w:widowControl/>
              <w:jc w:val="center"/>
              <w:rPr>
                <w:kern w:val="0"/>
                <w:sz w:val="22"/>
                <w:szCs w:val="22"/>
                <w:highlight w:val="none"/>
              </w:rPr>
            </w:pPr>
          </w:p>
        </w:tc>
        <w:tc>
          <w:tcPr>
            <w:tcW w:w="1227" w:type="dxa"/>
            <w:tcBorders>
              <w:top w:val="single" w:color="auto" w:sz="4" w:space="0"/>
              <w:left w:val="nil"/>
              <w:bottom w:val="single" w:color="auto" w:sz="4" w:space="0"/>
              <w:right w:val="single" w:color="auto" w:sz="4" w:space="0"/>
            </w:tcBorders>
            <w:vAlign w:val="center"/>
          </w:tcPr>
          <w:p w14:paraId="55618B1B">
            <w:pPr>
              <w:widowControl/>
              <w:jc w:val="center"/>
              <w:rPr>
                <w:kern w:val="0"/>
                <w:sz w:val="22"/>
                <w:szCs w:val="22"/>
                <w:highlight w:val="none"/>
              </w:rPr>
            </w:pPr>
          </w:p>
        </w:tc>
        <w:tc>
          <w:tcPr>
            <w:tcW w:w="525" w:type="dxa"/>
            <w:tcBorders>
              <w:top w:val="single" w:color="auto" w:sz="4" w:space="0"/>
              <w:left w:val="nil"/>
              <w:bottom w:val="single" w:color="auto" w:sz="4" w:space="0"/>
              <w:right w:val="single" w:color="auto" w:sz="4" w:space="0"/>
            </w:tcBorders>
            <w:vAlign w:val="center"/>
          </w:tcPr>
          <w:p w14:paraId="12406BB2">
            <w:pPr>
              <w:widowControl/>
              <w:jc w:val="center"/>
              <w:rPr>
                <w:kern w:val="0"/>
                <w:sz w:val="22"/>
                <w:szCs w:val="22"/>
                <w:highlight w:val="none"/>
              </w:rPr>
            </w:pPr>
          </w:p>
        </w:tc>
        <w:tc>
          <w:tcPr>
            <w:tcW w:w="525" w:type="dxa"/>
            <w:tcBorders>
              <w:top w:val="single" w:color="auto" w:sz="4" w:space="0"/>
              <w:left w:val="nil"/>
              <w:bottom w:val="single" w:color="auto" w:sz="4" w:space="0"/>
              <w:right w:val="single" w:color="auto" w:sz="4" w:space="0"/>
            </w:tcBorders>
            <w:vAlign w:val="center"/>
          </w:tcPr>
          <w:p w14:paraId="44DE84CF">
            <w:pPr>
              <w:widowControl/>
              <w:jc w:val="center"/>
              <w:rPr>
                <w:kern w:val="0"/>
                <w:sz w:val="22"/>
                <w:szCs w:val="22"/>
                <w:highlight w:val="none"/>
              </w:rPr>
            </w:pPr>
          </w:p>
        </w:tc>
        <w:tc>
          <w:tcPr>
            <w:tcW w:w="846" w:type="dxa"/>
            <w:tcBorders>
              <w:top w:val="single" w:color="auto" w:sz="4" w:space="0"/>
              <w:left w:val="nil"/>
              <w:bottom w:val="single" w:color="auto" w:sz="4" w:space="0"/>
              <w:right w:val="single" w:color="auto" w:sz="4" w:space="0"/>
            </w:tcBorders>
            <w:vAlign w:val="center"/>
          </w:tcPr>
          <w:p w14:paraId="6D9E58D1">
            <w:pPr>
              <w:widowControl/>
              <w:jc w:val="center"/>
              <w:rPr>
                <w:kern w:val="0"/>
                <w:sz w:val="22"/>
                <w:szCs w:val="22"/>
                <w:highlight w:val="none"/>
              </w:rPr>
            </w:pPr>
          </w:p>
        </w:tc>
        <w:tc>
          <w:tcPr>
            <w:tcW w:w="945" w:type="dxa"/>
            <w:tcBorders>
              <w:top w:val="single" w:color="auto" w:sz="4" w:space="0"/>
              <w:left w:val="nil"/>
              <w:bottom w:val="single" w:color="auto" w:sz="4" w:space="0"/>
              <w:right w:val="single" w:color="auto" w:sz="4" w:space="0"/>
            </w:tcBorders>
            <w:vAlign w:val="center"/>
          </w:tcPr>
          <w:p w14:paraId="67234E95">
            <w:pPr>
              <w:widowControl/>
              <w:jc w:val="center"/>
              <w:rPr>
                <w:kern w:val="0"/>
                <w:sz w:val="22"/>
                <w:szCs w:val="22"/>
                <w:highlight w:val="none"/>
              </w:rPr>
            </w:pPr>
          </w:p>
        </w:tc>
        <w:tc>
          <w:tcPr>
            <w:tcW w:w="1123" w:type="dxa"/>
            <w:tcBorders>
              <w:top w:val="single" w:color="auto" w:sz="4" w:space="0"/>
              <w:left w:val="nil"/>
              <w:bottom w:val="single" w:color="auto" w:sz="4" w:space="0"/>
              <w:right w:val="single" w:color="auto" w:sz="4" w:space="0"/>
            </w:tcBorders>
            <w:vAlign w:val="center"/>
          </w:tcPr>
          <w:p w14:paraId="2A89E19C">
            <w:pPr>
              <w:widowControl/>
              <w:jc w:val="center"/>
              <w:rPr>
                <w:kern w:val="0"/>
                <w:sz w:val="22"/>
                <w:szCs w:val="22"/>
                <w:highlight w:val="none"/>
              </w:rPr>
            </w:pPr>
          </w:p>
        </w:tc>
        <w:tc>
          <w:tcPr>
            <w:tcW w:w="1240" w:type="dxa"/>
            <w:tcBorders>
              <w:top w:val="single" w:color="auto" w:sz="4" w:space="0"/>
              <w:left w:val="nil"/>
              <w:bottom w:val="single" w:color="auto" w:sz="4" w:space="0"/>
              <w:right w:val="single" w:color="auto" w:sz="4" w:space="0"/>
            </w:tcBorders>
            <w:vAlign w:val="center"/>
          </w:tcPr>
          <w:p w14:paraId="2C2C5567">
            <w:pPr>
              <w:widowControl/>
              <w:jc w:val="center"/>
              <w:rPr>
                <w:kern w:val="0"/>
                <w:sz w:val="22"/>
                <w:szCs w:val="22"/>
                <w:highlight w:val="none"/>
              </w:rPr>
            </w:pPr>
          </w:p>
        </w:tc>
        <w:tc>
          <w:tcPr>
            <w:tcW w:w="1043" w:type="dxa"/>
            <w:tcBorders>
              <w:top w:val="single" w:color="auto" w:sz="4" w:space="0"/>
              <w:left w:val="nil"/>
              <w:bottom w:val="single" w:color="auto" w:sz="4" w:space="0"/>
              <w:right w:val="single" w:color="auto" w:sz="4" w:space="0"/>
            </w:tcBorders>
            <w:vAlign w:val="center"/>
          </w:tcPr>
          <w:p w14:paraId="3C0EA5FD">
            <w:pPr>
              <w:widowControl/>
              <w:jc w:val="center"/>
              <w:rPr>
                <w:kern w:val="0"/>
                <w:sz w:val="22"/>
                <w:szCs w:val="22"/>
                <w:highlight w:val="none"/>
              </w:rPr>
            </w:pPr>
          </w:p>
        </w:tc>
        <w:tc>
          <w:tcPr>
            <w:tcW w:w="1437" w:type="dxa"/>
            <w:tcBorders>
              <w:top w:val="single" w:color="auto" w:sz="4" w:space="0"/>
              <w:left w:val="nil"/>
              <w:bottom w:val="single" w:color="auto" w:sz="4" w:space="0"/>
              <w:right w:val="single" w:color="auto" w:sz="4" w:space="0"/>
            </w:tcBorders>
          </w:tcPr>
          <w:p w14:paraId="2ED731CD">
            <w:pPr>
              <w:widowControl/>
              <w:jc w:val="center"/>
              <w:rPr>
                <w:kern w:val="0"/>
                <w:sz w:val="22"/>
                <w:szCs w:val="22"/>
                <w:highlight w:val="none"/>
              </w:rPr>
            </w:pPr>
          </w:p>
        </w:tc>
      </w:tr>
      <w:tr w14:paraId="7C2A0275">
        <w:tblPrEx>
          <w:tblCellMar>
            <w:top w:w="0" w:type="dxa"/>
            <w:left w:w="108" w:type="dxa"/>
            <w:bottom w:w="0" w:type="dxa"/>
            <w:right w:w="108" w:type="dxa"/>
          </w:tblCellMar>
        </w:tblPrEx>
        <w:trPr>
          <w:trHeight w:val="418" w:hRule="atLeast"/>
          <w:jc w:val="center"/>
        </w:trPr>
        <w:tc>
          <w:tcPr>
            <w:tcW w:w="525" w:type="dxa"/>
            <w:tcBorders>
              <w:top w:val="nil"/>
              <w:left w:val="single" w:color="auto" w:sz="4" w:space="0"/>
              <w:bottom w:val="single" w:color="auto" w:sz="4" w:space="0"/>
              <w:right w:val="single" w:color="auto" w:sz="4" w:space="0"/>
            </w:tcBorders>
            <w:vAlign w:val="center"/>
          </w:tcPr>
          <w:p w14:paraId="606030DA">
            <w:pPr>
              <w:widowControl/>
              <w:jc w:val="center"/>
              <w:rPr>
                <w:kern w:val="0"/>
                <w:sz w:val="22"/>
                <w:szCs w:val="22"/>
                <w:highlight w:val="none"/>
              </w:rPr>
            </w:pPr>
          </w:p>
        </w:tc>
        <w:tc>
          <w:tcPr>
            <w:tcW w:w="1227" w:type="dxa"/>
            <w:tcBorders>
              <w:top w:val="nil"/>
              <w:left w:val="nil"/>
              <w:bottom w:val="single" w:color="auto" w:sz="4" w:space="0"/>
              <w:right w:val="single" w:color="auto" w:sz="4" w:space="0"/>
            </w:tcBorders>
            <w:vAlign w:val="center"/>
          </w:tcPr>
          <w:p w14:paraId="3E53CE49">
            <w:pPr>
              <w:widowControl/>
              <w:jc w:val="center"/>
              <w:rPr>
                <w:kern w:val="0"/>
                <w:sz w:val="22"/>
                <w:szCs w:val="22"/>
                <w:highlight w:val="none"/>
              </w:rPr>
            </w:pPr>
          </w:p>
        </w:tc>
        <w:tc>
          <w:tcPr>
            <w:tcW w:w="525" w:type="dxa"/>
            <w:tcBorders>
              <w:top w:val="nil"/>
              <w:left w:val="nil"/>
              <w:bottom w:val="single" w:color="auto" w:sz="4" w:space="0"/>
              <w:right w:val="single" w:color="auto" w:sz="4" w:space="0"/>
            </w:tcBorders>
            <w:vAlign w:val="center"/>
          </w:tcPr>
          <w:p w14:paraId="124D6F77">
            <w:pPr>
              <w:widowControl/>
              <w:jc w:val="center"/>
              <w:rPr>
                <w:kern w:val="0"/>
                <w:sz w:val="22"/>
                <w:szCs w:val="22"/>
                <w:highlight w:val="none"/>
              </w:rPr>
            </w:pPr>
          </w:p>
        </w:tc>
        <w:tc>
          <w:tcPr>
            <w:tcW w:w="525" w:type="dxa"/>
            <w:tcBorders>
              <w:top w:val="nil"/>
              <w:left w:val="nil"/>
              <w:bottom w:val="single" w:color="auto" w:sz="4" w:space="0"/>
              <w:right w:val="single" w:color="auto" w:sz="4" w:space="0"/>
            </w:tcBorders>
            <w:vAlign w:val="center"/>
          </w:tcPr>
          <w:p w14:paraId="730B8246">
            <w:pPr>
              <w:widowControl/>
              <w:jc w:val="center"/>
              <w:rPr>
                <w:kern w:val="0"/>
                <w:sz w:val="22"/>
                <w:szCs w:val="22"/>
                <w:highlight w:val="none"/>
              </w:rPr>
            </w:pPr>
          </w:p>
        </w:tc>
        <w:tc>
          <w:tcPr>
            <w:tcW w:w="846" w:type="dxa"/>
            <w:tcBorders>
              <w:top w:val="nil"/>
              <w:left w:val="nil"/>
              <w:bottom w:val="single" w:color="auto" w:sz="4" w:space="0"/>
              <w:right w:val="single" w:color="auto" w:sz="4" w:space="0"/>
            </w:tcBorders>
            <w:vAlign w:val="center"/>
          </w:tcPr>
          <w:p w14:paraId="35A5CD53">
            <w:pPr>
              <w:widowControl/>
              <w:jc w:val="center"/>
              <w:rPr>
                <w:kern w:val="0"/>
                <w:sz w:val="22"/>
                <w:szCs w:val="22"/>
                <w:highlight w:val="none"/>
              </w:rPr>
            </w:pPr>
          </w:p>
        </w:tc>
        <w:tc>
          <w:tcPr>
            <w:tcW w:w="945" w:type="dxa"/>
            <w:tcBorders>
              <w:top w:val="nil"/>
              <w:left w:val="nil"/>
              <w:bottom w:val="single" w:color="auto" w:sz="4" w:space="0"/>
              <w:right w:val="single" w:color="auto" w:sz="4" w:space="0"/>
            </w:tcBorders>
            <w:vAlign w:val="center"/>
          </w:tcPr>
          <w:p w14:paraId="59A8CEC4">
            <w:pPr>
              <w:widowControl/>
              <w:jc w:val="center"/>
              <w:rPr>
                <w:kern w:val="0"/>
                <w:sz w:val="22"/>
                <w:szCs w:val="22"/>
                <w:highlight w:val="none"/>
              </w:rPr>
            </w:pPr>
          </w:p>
        </w:tc>
        <w:tc>
          <w:tcPr>
            <w:tcW w:w="1123" w:type="dxa"/>
            <w:tcBorders>
              <w:top w:val="nil"/>
              <w:left w:val="nil"/>
              <w:bottom w:val="single" w:color="auto" w:sz="4" w:space="0"/>
              <w:right w:val="single" w:color="auto" w:sz="4" w:space="0"/>
            </w:tcBorders>
            <w:vAlign w:val="center"/>
          </w:tcPr>
          <w:p w14:paraId="72262A4D">
            <w:pPr>
              <w:widowControl/>
              <w:jc w:val="center"/>
              <w:rPr>
                <w:kern w:val="0"/>
                <w:sz w:val="22"/>
                <w:szCs w:val="22"/>
                <w:highlight w:val="none"/>
              </w:rPr>
            </w:pPr>
          </w:p>
        </w:tc>
        <w:tc>
          <w:tcPr>
            <w:tcW w:w="1240" w:type="dxa"/>
            <w:tcBorders>
              <w:top w:val="nil"/>
              <w:left w:val="nil"/>
              <w:bottom w:val="single" w:color="auto" w:sz="4" w:space="0"/>
              <w:right w:val="single" w:color="auto" w:sz="4" w:space="0"/>
            </w:tcBorders>
            <w:vAlign w:val="center"/>
          </w:tcPr>
          <w:p w14:paraId="1DFA1A4D">
            <w:pPr>
              <w:widowControl/>
              <w:jc w:val="center"/>
              <w:rPr>
                <w:kern w:val="0"/>
                <w:sz w:val="22"/>
                <w:szCs w:val="22"/>
                <w:highlight w:val="none"/>
              </w:rPr>
            </w:pPr>
          </w:p>
        </w:tc>
        <w:tc>
          <w:tcPr>
            <w:tcW w:w="1043" w:type="dxa"/>
            <w:tcBorders>
              <w:top w:val="nil"/>
              <w:left w:val="nil"/>
              <w:bottom w:val="single" w:color="auto" w:sz="4" w:space="0"/>
              <w:right w:val="single" w:color="auto" w:sz="4" w:space="0"/>
            </w:tcBorders>
            <w:vAlign w:val="center"/>
          </w:tcPr>
          <w:p w14:paraId="68EC9292">
            <w:pPr>
              <w:widowControl/>
              <w:jc w:val="center"/>
              <w:rPr>
                <w:kern w:val="0"/>
                <w:sz w:val="22"/>
                <w:szCs w:val="22"/>
                <w:highlight w:val="none"/>
              </w:rPr>
            </w:pPr>
          </w:p>
        </w:tc>
        <w:tc>
          <w:tcPr>
            <w:tcW w:w="1437" w:type="dxa"/>
            <w:tcBorders>
              <w:top w:val="nil"/>
              <w:left w:val="nil"/>
              <w:bottom w:val="single" w:color="auto" w:sz="4" w:space="0"/>
              <w:right w:val="single" w:color="auto" w:sz="4" w:space="0"/>
            </w:tcBorders>
          </w:tcPr>
          <w:p w14:paraId="23044E2E">
            <w:pPr>
              <w:widowControl/>
              <w:jc w:val="center"/>
              <w:rPr>
                <w:kern w:val="0"/>
                <w:sz w:val="22"/>
                <w:szCs w:val="22"/>
                <w:highlight w:val="none"/>
              </w:rPr>
            </w:pPr>
          </w:p>
        </w:tc>
      </w:tr>
      <w:tr w14:paraId="6F5E9345">
        <w:tblPrEx>
          <w:tblCellMar>
            <w:top w:w="0" w:type="dxa"/>
            <w:left w:w="108" w:type="dxa"/>
            <w:bottom w:w="0" w:type="dxa"/>
            <w:right w:w="108" w:type="dxa"/>
          </w:tblCellMar>
        </w:tblPrEx>
        <w:trPr>
          <w:trHeight w:val="418" w:hRule="atLeast"/>
          <w:jc w:val="center"/>
        </w:trPr>
        <w:tc>
          <w:tcPr>
            <w:tcW w:w="525" w:type="dxa"/>
            <w:tcBorders>
              <w:top w:val="single" w:color="auto" w:sz="4" w:space="0"/>
              <w:left w:val="single" w:color="auto" w:sz="4" w:space="0"/>
              <w:bottom w:val="single" w:color="auto" w:sz="4" w:space="0"/>
              <w:right w:val="single" w:color="auto" w:sz="4" w:space="0"/>
            </w:tcBorders>
            <w:vAlign w:val="center"/>
          </w:tcPr>
          <w:p w14:paraId="1C4F6DD8">
            <w:pPr>
              <w:widowControl/>
              <w:jc w:val="center"/>
              <w:rPr>
                <w:kern w:val="0"/>
                <w:sz w:val="22"/>
                <w:szCs w:val="22"/>
                <w:highlight w:val="none"/>
              </w:rPr>
            </w:pPr>
          </w:p>
        </w:tc>
        <w:tc>
          <w:tcPr>
            <w:tcW w:w="1227" w:type="dxa"/>
            <w:tcBorders>
              <w:top w:val="single" w:color="auto" w:sz="4" w:space="0"/>
              <w:left w:val="single" w:color="auto" w:sz="4" w:space="0"/>
              <w:bottom w:val="single" w:color="auto" w:sz="4" w:space="0"/>
              <w:right w:val="single" w:color="auto" w:sz="4" w:space="0"/>
            </w:tcBorders>
            <w:vAlign w:val="center"/>
          </w:tcPr>
          <w:p w14:paraId="1F377BEC">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0B8228DB">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3D275EAD">
            <w:pPr>
              <w:widowControl/>
              <w:jc w:val="center"/>
              <w:rPr>
                <w:kern w:val="0"/>
                <w:sz w:val="22"/>
                <w:szCs w:val="22"/>
                <w:highlight w:val="none"/>
              </w:rPr>
            </w:pPr>
          </w:p>
        </w:tc>
        <w:tc>
          <w:tcPr>
            <w:tcW w:w="846" w:type="dxa"/>
            <w:tcBorders>
              <w:top w:val="single" w:color="auto" w:sz="4" w:space="0"/>
              <w:left w:val="single" w:color="auto" w:sz="4" w:space="0"/>
              <w:bottom w:val="single" w:color="auto" w:sz="4" w:space="0"/>
              <w:right w:val="single" w:color="auto" w:sz="4" w:space="0"/>
            </w:tcBorders>
            <w:vAlign w:val="center"/>
          </w:tcPr>
          <w:p w14:paraId="3162B677">
            <w:pPr>
              <w:widowControl/>
              <w:jc w:val="center"/>
              <w:rPr>
                <w:kern w:val="0"/>
                <w:sz w:val="22"/>
                <w:szCs w:val="22"/>
                <w:highlight w:val="none"/>
              </w:rPr>
            </w:pPr>
          </w:p>
        </w:tc>
        <w:tc>
          <w:tcPr>
            <w:tcW w:w="945" w:type="dxa"/>
            <w:tcBorders>
              <w:top w:val="single" w:color="auto" w:sz="4" w:space="0"/>
              <w:left w:val="single" w:color="auto" w:sz="4" w:space="0"/>
              <w:bottom w:val="single" w:color="auto" w:sz="4" w:space="0"/>
              <w:right w:val="single" w:color="auto" w:sz="4" w:space="0"/>
            </w:tcBorders>
            <w:vAlign w:val="center"/>
          </w:tcPr>
          <w:p w14:paraId="70182856">
            <w:pPr>
              <w:widowControl/>
              <w:jc w:val="center"/>
              <w:rPr>
                <w:kern w:val="0"/>
                <w:sz w:val="22"/>
                <w:szCs w:val="22"/>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14:paraId="12AFD74B">
            <w:pPr>
              <w:widowControl/>
              <w:jc w:val="center"/>
              <w:rPr>
                <w:kern w:val="0"/>
                <w:sz w:val="22"/>
                <w:szCs w:val="22"/>
                <w:highlight w:val="none"/>
              </w:rPr>
            </w:pPr>
          </w:p>
        </w:tc>
        <w:tc>
          <w:tcPr>
            <w:tcW w:w="1240" w:type="dxa"/>
            <w:tcBorders>
              <w:top w:val="single" w:color="auto" w:sz="4" w:space="0"/>
              <w:left w:val="single" w:color="auto" w:sz="4" w:space="0"/>
              <w:bottom w:val="single" w:color="auto" w:sz="4" w:space="0"/>
              <w:right w:val="single" w:color="auto" w:sz="4" w:space="0"/>
            </w:tcBorders>
            <w:vAlign w:val="center"/>
          </w:tcPr>
          <w:p w14:paraId="2561E87B">
            <w:pPr>
              <w:widowControl/>
              <w:jc w:val="center"/>
              <w:rPr>
                <w:kern w:val="0"/>
                <w:sz w:val="22"/>
                <w:szCs w:val="22"/>
                <w:highlight w:val="none"/>
              </w:rPr>
            </w:pPr>
          </w:p>
        </w:tc>
        <w:tc>
          <w:tcPr>
            <w:tcW w:w="1043" w:type="dxa"/>
            <w:tcBorders>
              <w:top w:val="single" w:color="auto" w:sz="4" w:space="0"/>
              <w:left w:val="single" w:color="auto" w:sz="4" w:space="0"/>
              <w:bottom w:val="single" w:color="auto" w:sz="4" w:space="0"/>
              <w:right w:val="single" w:color="auto" w:sz="4" w:space="0"/>
            </w:tcBorders>
            <w:vAlign w:val="center"/>
          </w:tcPr>
          <w:p w14:paraId="06B719C4">
            <w:pPr>
              <w:widowControl/>
              <w:jc w:val="center"/>
              <w:rPr>
                <w:kern w:val="0"/>
                <w:sz w:val="22"/>
                <w:szCs w:val="22"/>
                <w:highlight w:val="none"/>
              </w:rPr>
            </w:pPr>
          </w:p>
        </w:tc>
        <w:tc>
          <w:tcPr>
            <w:tcW w:w="1437" w:type="dxa"/>
            <w:tcBorders>
              <w:top w:val="single" w:color="auto" w:sz="4" w:space="0"/>
              <w:left w:val="single" w:color="auto" w:sz="4" w:space="0"/>
              <w:bottom w:val="single" w:color="auto" w:sz="4" w:space="0"/>
              <w:right w:val="single" w:color="auto" w:sz="4" w:space="0"/>
            </w:tcBorders>
          </w:tcPr>
          <w:p w14:paraId="3F441DB7">
            <w:pPr>
              <w:widowControl/>
              <w:jc w:val="center"/>
              <w:rPr>
                <w:kern w:val="0"/>
                <w:sz w:val="22"/>
                <w:szCs w:val="22"/>
                <w:highlight w:val="none"/>
              </w:rPr>
            </w:pPr>
          </w:p>
        </w:tc>
      </w:tr>
      <w:tr w14:paraId="2B99C581">
        <w:tblPrEx>
          <w:tblCellMar>
            <w:top w:w="0" w:type="dxa"/>
            <w:left w:w="108" w:type="dxa"/>
            <w:bottom w:w="0" w:type="dxa"/>
            <w:right w:w="108" w:type="dxa"/>
          </w:tblCellMar>
        </w:tblPrEx>
        <w:trPr>
          <w:trHeight w:val="418" w:hRule="atLeast"/>
          <w:jc w:val="center"/>
        </w:trPr>
        <w:tc>
          <w:tcPr>
            <w:tcW w:w="525" w:type="dxa"/>
            <w:tcBorders>
              <w:top w:val="single" w:color="auto" w:sz="4" w:space="0"/>
              <w:left w:val="single" w:color="auto" w:sz="4" w:space="0"/>
              <w:bottom w:val="single" w:color="auto" w:sz="4" w:space="0"/>
              <w:right w:val="single" w:color="auto" w:sz="4" w:space="0"/>
            </w:tcBorders>
            <w:vAlign w:val="center"/>
          </w:tcPr>
          <w:p w14:paraId="3AB2DC52">
            <w:pPr>
              <w:widowControl/>
              <w:jc w:val="center"/>
              <w:rPr>
                <w:kern w:val="0"/>
                <w:sz w:val="22"/>
                <w:szCs w:val="22"/>
                <w:highlight w:val="none"/>
              </w:rPr>
            </w:pPr>
          </w:p>
        </w:tc>
        <w:tc>
          <w:tcPr>
            <w:tcW w:w="1227" w:type="dxa"/>
            <w:tcBorders>
              <w:top w:val="single" w:color="auto" w:sz="4" w:space="0"/>
              <w:left w:val="single" w:color="auto" w:sz="4" w:space="0"/>
              <w:bottom w:val="single" w:color="auto" w:sz="4" w:space="0"/>
              <w:right w:val="single" w:color="auto" w:sz="4" w:space="0"/>
            </w:tcBorders>
            <w:vAlign w:val="center"/>
          </w:tcPr>
          <w:p w14:paraId="1C26A12B">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0234BFBA">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6EC290F8">
            <w:pPr>
              <w:widowControl/>
              <w:jc w:val="center"/>
              <w:rPr>
                <w:kern w:val="0"/>
                <w:sz w:val="22"/>
                <w:szCs w:val="22"/>
                <w:highlight w:val="none"/>
              </w:rPr>
            </w:pPr>
          </w:p>
        </w:tc>
        <w:tc>
          <w:tcPr>
            <w:tcW w:w="846" w:type="dxa"/>
            <w:tcBorders>
              <w:top w:val="single" w:color="auto" w:sz="4" w:space="0"/>
              <w:left w:val="single" w:color="auto" w:sz="4" w:space="0"/>
              <w:bottom w:val="single" w:color="auto" w:sz="4" w:space="0"/>
              <w:right w:val="single" w:color="auto" w:sz="4" w:space="0"/>
            </w:tcBorders>
            <w:vAlign w:val="center"/>
          </w:tcPr>
          <w:p w14:paraId="48CFBADE">
            <w:pPr>
              <w:widowControl/>
              <w:jc w:val="center"/>
              <w:rPr>
                <w:kern w:val="0"/>
                <w:sz w:val="22"/>
                <w:szCs w:val="22"/>
                <w:highlight w:val="none"/>
              </w:rPr>
            </w:pPr>
          </w:p>
        </w:tc>
        <w:tc>
          <w:tcPr>
            <w:tcW w:w="945" w:type="dxa"/>
            <w:tcBorders>
              <w:top w:val="single" w:color="auto" w:sz="4" w:space="0"/>
              <w:left w:val="single" w:color="auto" w:sz="4" w:space="0"/>
              <w:bottom w:val="single" w:color="auto" w:sz="4" w:space="0"/>
              <w:right w:val="single" w:color="auto" w:sz="4" w:space="0"/>
            </w:tcBorders>
            <w:vAlign w:val="center"/>
          </w:tcPr>
          <w:p w14:paraId="7B1C9B64">
            <w:pPr>
              <w:widowControl/>
              <w:jc w:val="center"/>
              <w:rPr>
                <w:kern w:val="0"/>
                <w:sz w:val="22"/>
                <w:szCs w:val="22"/>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14:paraId="11BA61BB">
            <w:pPr>
              <w:widowControl/>
              <w:jc w:val="center"/>
              <w:rPr>
                <w:kern w:val="0"/>
                <w:sz w:val="22"/>
                <w:szCs w:val="22"/>
                <w:highlight w:val="none"/>
              </w:rPr>
            </w:pPr>
          </w:p>
        </w:tc>
        <w:tc>
          <w:tcPr>
            <w:tcW w:w="1240" w:type="dxa"/>
            <w:tcBorders>
              <w:top w:val="single" w:color="auto" w:sz="4" w:space="0"/>
              <w:left w:val="single" w:color="auto" w:sz="4" w:space="0"/>
              <w:bottom w:val="single" w:color="auto" w:sz="4" w:space="0"/>
              <w:right w:val="single" w:color="auto" w:sz="4" w:space="0"/>
            </w:tcBorders>
            <w:vAlign w:val="center"/>
          </w:tcPr>
          <w:p w14:paraId="15931CE3">
            <w:pPr>
              <w:widowControl/>
              <w:jc w:val="center"/>
              <w:rPr>
                <w:kern w:val="0"/>
                <w:sz w:val="22"/>
                <w:szCs w:val="22"/>
                <w:highlight w:val="none"/>
              </w:rPr>
            </w:pPr>
          </w:p>
        </w:tc>
        <w:tc>
          <w:tcPr>
            <w:tcW w:w="1043" w:type="dxa"/>
            <w:tcBorders>
              <w:top w:val="single" w:color="auto" w:sz="4" w:space="0"/>
              <w:left w:val="single" w:color="auto" w:sz="4" w:space="0"/>
              <w:bottom w:val="single" w:color="auto" w:sz="4" w:space="0"/>
              <w:right w:val="single" w:color="auto" w:sz="4" w:space="0"/>
            </w:tcBorders>
            <w:vAlign w:val="center"/>
          </w:tcPr>
          <w:p w14:paraId="2373DF9D">
            <w:pPr>
              <w:widowControl/>
              <w:jc w:val="center"/>
              <w:rPr>
                <w:kern w:val="0"/>
                <w:sz w:val="22"/>
                <w:szCs w:val="22"/>
                <w:highlight w:val="none"/>
              </w:rPr>
            </w:pPr>
          </w:p>
        </w:tc>
        <w:tc>
          <w:tcPr>
            <w:tcW w:w="1437" w:type="dxa"/>
            <w:tcBorders>
              <w:top w:val="single" w:color="auto" w:sz="4" w:space="0"/>
              <w:left w:val="single" w:color="auto" w:sz="4" w:space="0"/>
              <w:bottom w:val="single" w:color="auto" w:sz="4" w:space="0"/>
              <w:right w:val="single" w:color="auto" w:sz="4" w:space="0"/>
            </w:tcBorders>
          </w:tcPr>
          <w:p w14:paraId="6FD533AB">
            <w:pPr>
              <w:widowControl/>
              <w:jc w:val="center"/>
              <w:rPr>
                <w:kern w:val="0"/>
                <w:sz w:val="22"/>
                <w:szCs w:val="22"/>
                <w:highlight w:val="none"/>
              </w:rPr>
            </w:pPr>
          </w:p>
        </w:tc>
      </w:tr>
      <w:tr w14:paraId="159B2B0D">
        <w:tblPrEx>
          <w:tblCellMar>
            <w:top w:w="0" w:type="dxa"/>
            <w:left w:w="108" w:type="dxa"/>
            <w:bottom w:w="0" w:type="dxa"/>
            <w:right w:w="108" w:type="dxa"/>
          </w:tblCellMar>
        </w:tblPrEx>
        <w:trPr>
          <w:trHeight w:val="418" w:hRule="atLeast"/>
          <w:jc w:val="center"/>
        </w:trPr>
        <w:tc>
          <w:tcPr>
            <w:tcW w:w="525" w:type="dxa"/>
            <w:tcBorders>
              <w:top w:val="single" w:color="auto" w:sz="4" w:space="0"/>
              <w:left w:val="single" w:color="auto" w:sz="4" w:space="0"/>
              <w:bottom w:val="single" w:color="auto" w:sz="4" w:space="0"/>
              <w:right w:val="single" w:color="auto" w:sz="4" w:space="0"/>
            </w:tcBorders>
            <w:vAlign w:val="center"/>
          </w:tcPr>
          <w:p w14:paraId="229A885F">
            <w:pPr>
              <w:widowControl/>
              <w:jc w:val="center"/>
              <w:rPr>
                <w:kern w:val="0"/>
                <w:sz w:val="22"/>
                <w:szCs w:val="22"/>
                <w:highlight w:val="none"/>
              </w:rPr>
            </w:pPr>
          </w:p>
        </w:tc>
        <w:tc>
          <w:tcPr>
            <w:tcW w:w="1227" w:type="dxa"/>
            <w:tcBorders>
              <w:top w:val="single" w:color="auto" w:sz="4" w:space="0"/>
              <w:left w:val="single" w:color="auto" w:sz="4" w:space="0"/>
              <w:bottom w:val="single" w:color="auto" w:sz="4" w:space="0"/>
              <w:right w:val="single" w:color="auto" w:sz="4" w:space="0"/>
            </w:tcBorders>
            <w:vAlign w:val="center"/>
          </w:tcPr>
          <w:p w14:paraId="11A21A30">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693D3BF5">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621EB2F1">
            <w:pPr>
              <w:widowControl/>
              <w:jc w:val="center"/>
              <w:rPr>
                <w:kern w:val="0"/>
                <w:sz w:val="22"/>
                <w:szCs w:val="22"/>
                <w:highlight w:val="none"/>
              </w:rPr>
            </w:pPr>
          </w:p>
        </w:tc>
        <w:tc>
          <w:tcPr>
            <w:tcW w:w="846" w:type="dxa"/>
            <w:tcBorders>
              <w:top w:val="single" w:color="auto" w:sz="4" w:space="0"/>
              <w:left w:val="single" w:color="auto" w:sz="4" w:space="0"/>
              <w:bottom w:val="single" w:color="auto" w:sz="4" w:space="0"/>
              <w:right w:val="single" w:color="auto" w:sz="4" w:space="0"/>
            </w:tcBorders>
            <w:vAlign w:val="center"/>
          </w:tcPr>
          <w:p w14:paraId="05F1B135">
            <w:pPr>
              <w:widowControl/>
              <w:jc w:val="center"/>
              <w:rPr>
                <w:kern w:val="0"/>
                <w:sz w:val="22"/>
                <w:szCs w:val="22"/>
                <w:highlight w:val="none"/>
              </w:rPr>
            </w:pPr>
          </w:p>
        </w:tc>
        <w:tc>
          <w:tcPr>
            <w:tcW w:w="945" w:type="dxa"/>
            <w:tcBorders>
              <w:top w:val="single" w:color="auto" w:sz="4" w:space="0"/>
              <w:left w:val="single" w:color="auto" w:sz="4" w:space="0"/>
              <w:bottom w:val="single" w:color="auto" w:sz="4" w:space="0"/>
              <w:right w:val="single" w:color="auto" w:sz="4" w:space="0"/>
            </w:tcBorders>
            <w:vAlign w:val="center"/>
          </w:tcPr>
          <w:p w14:paraId="6CD07BEF">
            <w:pPr>
              <w:widowControl/>
              <w:jc w:val="center"/>
              <w:rPr>
                <w:kern w:val="0"/>
                <w:sz w:val="22"/>
                <w:szCs w:val="22"/>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14:paraId="45800F3E">
            <w:pPr>
              <w:widowControl/>
              <w:jc w:val="center"/>
              <w:rPr>
                <w:kern w:val="0"/>
                <w:sz w:val="22"/>
                <w:szCs w:val="22"/>
                <w:highlight w:val="none"/>
              </w:rPr>
            </w:pPr>
          </w:p>
        </w:tc>
        <w:tc>
          <w:tcPr>
            <w:tcW w:w="1240" w:type="dxa"/>
            <w:tcBorders>
              <w:top w:val="single" w:color="auto" w:sz="4" w:space="0"/>
              <w:left w:val="single" w:color="auto" w:sz="4" w:space="0"/>
              <w:bottom w:val="single" w:color="auto" w:sz="4" w:space="0"/>
              <w:right w:val="single" w:color="auto" w:sz="4" w:space="0"/>
            </w:tcBorders>
            <w:vAlign w:val="center"/>
          </w:tcPr>
          <w:p w14:paraId="3EF52A88">
            <w:pPr>
              <w:widowControl/>
              <w:jc w:val="center"/>
              <w:rPr>
                <w:kern w:val="0"/>
                <w:sz w:val="22"/>
                <w:szCs w:val="22"/>
                <w:highlight w:val="none"/>
              </w:rPr>
            </w:pPr>
          </w:p>
        </w:tc>
        <w:tc>
          <w:tcPr>
            <w:tcW w:w="1043" w:type="dxa"/>
            <w:tcBorders>
              <w:top w:val="single" w:color="auto" w:sz="4" w:space="0"/>
              <w:left w:val="single" w:color="auto" w:sz="4" w:space="0"/>
              <w:bottom w:val="single" w:color="auto" w:sz="4" w:space="0"/>
              <w:right w:val="single" w:color="auto" w:sz="4" w:space="0"/>
            </w:tcBorders>
            <w:vAlign w:val="center"/>
          </w:tcPr>
          <w:p w14:paraId="2E610A3B">
            <w:pPr>
              <w:widowControl/>
              <w:jc w:val="center"/>
              <w:rPr>
                <w:kern w:val="0"/>
                <w:sz w:val="22"/>
                <w:szCs w:val="22"/>
                <w:highlight w:val="none"/>
              </w:rPr>
            </w:pPr>
          </w:p>
        </w:tc>
        <w:tc>
          <w:tcPr>
            <w:tcW w:w="1437" w:type="dxa"/>
            <w:tcBorders>
              <w:top w:val="single" w:color="auto" w:sz="4" w:space="0"/>
              <w:left w:val="single" w:color="auto" w:sz="4" w:space="0"/>
              <w:bottom w:val="single" w:color="auto" w:sz="4" w:space="0"/>
              <w:right w:val="single" w:color="auto" w:sz="4" w:space="0"/>
            </w:tcBorders>
          </w:tcPr>
          <w:p w14:paraId="1AF36EC6">
            <w:pPr>
              <w:widowControl/>
              <w:jc w:val="center"/>
              <w:rPr>
                <w:kern w:val="0"/>
                <w:sz w:val="22"/>
                <w:szCs w:val="22"/>
                <w:highlight w:val="none"/>
              </w:rPr>
            </w:pPr>
          </w:p>
        </w:tc>
      </w:tr>
      <w:tr w14:paraId="31C2D19C">
        <w:tblPrEx>
          <w:tblCellMar>
            <w:top w:w="0" w:type="dxa"/>
            <w:left w:w="108" w:type="dxa"/>
            <w:bottom w:w="0" w:type="dxa"/>
            <w:right w:w="108" w:type="dxa"/>
          </w:tblCellMar>
        </w:tblPrEx>
        <w:trPr>
          <w:trHeight w:val="418" w:hRule="atLeast"/>
          <w:jc w:val="center"/>
        </w:trPr>
        <w:tc>
          <w:tcPr>
            <w:tcW w:w="525" w:type="dxa"/>
            <w:tcBorders>
              <w:top w:val="single" w:color="auto" w:sz="4" w:space="0"/>
              <w:left w:val="single" w:color="auto" w:sz="4" w:space="0"/>
              <w:bottom w:val="single" w:color="auto" w:sz="4" w:space="0"/>
              <w:right w:val="single" w:color="auto" w:sz="4" w:space="0"/>
            </w:tcBorders>
            <w:vAlign w:val="center"/>
          </w:tcPr>
          <w:p w14:paraId="3151C087">
            <w:pPr>
              <w:widowControl/>
              <w:jc w:val="center"/>
              <w:rPr>
                <w:kern w:val="0"/>
                <w:sz w:val="22"/>
                <w:szCs w:val="22"/>
                <w:highlight w:val="none"/>
              </w:rPr>
            </w:pPr>
          </w:p>
        </w:tc>
        <w:tc>
          <w:tcPr>
            <w:tcW w:w="1227" w:type="dxa"/>
            <w:tcBorders>
              <w:top w:val="single" w:color="auto" w:sz="4" w:space="0"/>
              <w:left w:val="single" w:color="auto" w:sz="4" w:space="0"/>
              <w:bottom w:val="single" w:color="auto" w:sz="4" w:space="0"/>
              <w:right w:val="single" w:color="auto" w:sz="4" w:space="0"/>
            </w:tcBorders>
            <w:vAlign w:val="center"/>
          </w:tcPr>
          <w:p w14:paraId="1AA13B68">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0A3708FD">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11B8CB24">
            <w:pPr>
              <w:widowControl/>
              <w:jc w:val="center"/>
              <w:rPr>
                <w:kern w:val="0"/>
                <w:sz w:val="22"/>
                <w:szCs w:val="22"/>
                <w:highlight w:val="none"/>
              </w:rPr>
            </w:pPr>
          </w:p>
        </w:tc>
        <w:tc>
          <w:tcPr>
            <w:tcW w:w="846" w:type="dxa"/>
            <w:tcBorders>
              <w:top w:val="single" w:color="auto" w:sz="4" w:space="0"/>
              <w:left w:val="single" w:color="auto" w:sz="4" w:space="0"/>
              <w:bottom w:val="single" w:color="auto" w:sz="4" w:space="0"/>
              <w:right w:val="single" w:color="auto" w:sz="4" w:space="0"/>
            </w:tcBorders>
            <w:vAlign w:val="center"/>
          </w:tcPr>
          <w:p w14:paraId="1BCEA2FB">
            <w:pPr>
              <w:widowControl/>
              <w:jc w:val="center"/>
              <w:rPr>
                <w:kern w:val="0"/>
                <w:sz w:val="22"/>
                <w:szCs w:val="22"/>
                <w:highlight w:val="none"/>
              </w:rPr>
            </w:pPr>
          </w:p>
        </w:tc>
        <w:tc>
          <w:tcPr>
            <w:tcW w:w="945" w:type="dxa"/>
            <w:tcBorders>
              <w:top w:val="single" w:color="auto" w:sz="4" w:space="0"/>
              <w:left w:val="single" w:color="auto" w:sz="4" w:space="0"/>
              <w:bottom w:val="single" w:color="auto" w:sz="4" w:space="0"/>
              <w:right w:val="single" w:color="auto" w:sz="4" w:space="0"/>
            </w:tcBorders>
            <w:vAlign w:val="center"/>
          </w:tcPr>
          <w:p w14:paraId="432B25C2">
            <w:pPr>
              <w:widowControl/>
              <w:jc w:val="center"/>
              <w:rPr>
                <w:kern w:val="0"/>
                <w:sz w:val="22"/>
                <w:szCs w:val="22"/>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14:paraId="66F62674">
            <w:pPr>
              <w:widowControl/>
              <w:jc w:val="center"/>
              <w:rPr>
                <w:kern w:val="0"/>
                <w:sz w:val="22"/>
                <w:szCs w:val="22"/>
                <w:highlight w:val="none"/>
              </w:rPr>
            </w:pPr>
          </w:p>
        </w:tc>
        <w:tc>
          <w:tcPr>
            <w:tcW w:w="1240" w:type="dxa"/>
            <w:tcBorders>
              <w:top w:val="single" w:color="auto" w:sz="4" w:space="0"/>
              <w:left w:val="single" w:color="auto" w:sz="4" w:space="0"/>
              <w:bottom w:val="single" w:color="auto" w:sz="4" w:space="0"/>
              <w:right w:val="single" w:color="auto" w:sz="4" w:space="0"/>
            </w:tcBorders>
            <w:vAlign w:val="center"/>
          </w:tcPr>
          <w:p w14:paraId="3A55E9F7">
            <w:pPr>
              <w:widowControl/>
              <w:jc w:val="center"/>
              <w:rPr>
                <w:kern w:val="0"/>
                <w:sz w:val="22"/>
                <w:szCs w:val="22"/>
                <w:highlight w:val="none"/>
              </w:rPr>
            </w:pPr>
          </w:p>
        </w:tc>
        <w:tc>
          <w:tcPr>
            <w:tcW w:w="1043" w:type="dxa"/>
            <w:tcBorders>
              <w:top w:val="single" w:color="auto" w:sz="4" w:space="0"/>
              <w:left w:val="single" w:color="auto" w:sz="4" w:space="0"/>
              <w:bottom w:val="single" w:color="auto" w:sz="4" w:space="0"/>
              <w:right w:val="single" w:color="auto" w:sz="4" w:space="0"/>
            </w:tcBorders>
            <w:vAlign w:val="center"/>
          </w:tcPr>
          <w:p w14:paraId="3D6C422E">
            <w:pPr>
              <w:widowControl/>
              <w:jc w:val="center"/>
              <w:rPr>
                <w:kern w:val="0"/>
                <w:sz w:val="22"/>
                <w:szCs w:val="22"/>
                <w:highlight w:val="none"/>
              </w:rPr>
            </w:pPr>
          </w:p>
        </w:tc>
        <w:tc>
          <w:tcPr>
            <w:tcW w:w="1437" w:type="dxa"/>
            <w:tcBorders>
              <w:top w:val="single" w:color="auto" w:sz="4" w:space="0"/>
              <w:left w:val="single" w:color="auto" w:sz="4" w:space="0"/>
              <w:bottom w:val="single" w:color="auto" w:sz="4" w:space="0"/>
              <w:right w:val="single" w:color="auto" w:sz="4" w:space="0"/>
            </w:tcBorders>
          </w:tcPr>
          <w:p w14:paraId="61193F29">
            <w:pPr>
              <w:widowControl/>
              <w:jc w:val="center"/>
              <w:rPr>
                <w:kern w:val="0"/>
                <w:sz w:val="22"/>
                <w:szCs w:val="22"/>
                <w:highlight w:val="none"/>
              </w:rPr>
            </w:pPr>
          </w:p>
        </w:tc>
      </w:tr>
      <w:tr w14:paraId="2A3C7B2F">
        <w:tblPrEx>
          <w:tblCellMar>
            <w:top w:w="0" w:type="dxa"/>
            <w:left w:w="108" w:type="dxa"/>
            <w:bottom w:w="0" w:type="dxa"/>
            <w:right w:w="108" w:type="dxa"/>
          </w:tblCellMar>
        </w:tblPrEx>
        <w:trPr>
          <w:trHeight w:val="418" w:hRule="atLeast"/>
          <w:jc w:val="center"/>
        </w:trPr>
        <w:tc>
          <w:tcPr>
            <w:tcW w:w="525" w:type="dxa"/>
            <w:tcBorders>
              <w:top w:val="single" w:color="auto" w:sz="4" w:space="0"/>
              <w:left w:val="single" w:color="auto" w:sz="4" w:space="0"/>
              <w:bottom w:val="single" w:color="auto" w:sz="4" w:space="0"/>
              <w:right w:val="single" w:color="auto" w:sz="4" w:space="0"/>
            </w:tcBorders>
            <w:vAlign w:val="center"/>
          </w:tcPr>
          <w:p w14:paraId="09982704">
            <w:pPr>
              <w:widowControl/>
              <w:jc w:val="center"/>
              <w:rPr>
                <w:kern w:val="0"/>
                <w:sz w:val="22"/>
                <w:szCs w:val="22"/>
                <w:highlight w:val="none"/>
              </w:rPr>
            </w:pPr>
          </w:p>
        </w:tc>
        <w:tc>
          <w:tcPr>
            <w:tcW w:w="1227" w:type="dxa"/>
            <w:tcBorders>
              <w:top w:val="single" w:color="auto" w:sz="4" w:space="0"/>
              <w:left w:val="single" w:color="auto" w:sz="4" w:space="0"/>
              <w:bottom w:val="single" w:color="auto" w:sz="4" w:space="0"/>
              <w:right w:val="single" w:color="auto" w:sz="4" w:space="0"/>
            </w:tcBorders>
            <w:vAlign w:val="center"/>
          </w:tcPr>
          <w:p w14:paraId="20DD809A">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54AECA30">
            <w:pPr>
              <w:widowControl/>
              <w:jc w:val="center"/>
              <w:rPr>
                <w:kern w:val="0"/>
                <w:sz w:val="22"/>
                <w:szCs w:val="22"/>
                <w:highlight w:val="none"/>
              </w:rPr>
            </w:pPr>
          </w:p>
        </w:tc>
        <w:tc>
          <w:tcPr>
            <w:tcW w:w="525" w:type="dxa"/>
            <w:tcBorders>
              <w:top w:val="single" w:color="auto" w:sz="4" w:space="0"/>
              <w:left w:val="single" w:color="auto" w:sz="4" w:space="0"/>
              <w:bottom w:val="single" w:color="auto" w:sz="4" w:space="0"/>
              <w:right w:val="single" w:color="auto" w:sz="4" w:space="0"/>
            </w:tcBorders>
            <w:vAlign w:val="center"/>
          </w:tcPr>
          <w:p w14:paraId="58B3814E">
            <w:pPr>
              <w:widowControl/>
              <w:jc w:val="center"/>
              <w:rPr>
                <w:kern w:val="0"/>
                <w:sz w:val="22"/>
                <w:szCs w:val="22"/>
                <w:highlight w:val="none"/>
              </w:rPr>
            </w:pPr>
          </w:p>
        </w:tc>
        <w:tc>
          <w:tcPr>
            <w:tcW w:w="846" w:type="dxa"/>
            <w:tcBorders>
              <w:top w:val="single" w:color="auto" w:sz="4" w:space="0"/>
              <w:left w:val="single" w:color="auto" w:sz="4" w:space="0"/>
              <w:bottom w:val="single" w:color="auto" w:sz="4" w:space="0"/>
              <w:right w:val="single" w:color="auto" w:sz="4" w:space="0"/>
            </w:tcBorders>
            <w:vAlign w:val="center"/>
          </w:tcPr>
          <w:p w14:paraId="2CF1F2A3">
            <w:pPr>
              <w:widowControl/>
              <w:jc w:val="center"/>
              <w:rPr>
                <w:kern w:val="0"/>
                <w:sz w:val="22"/>
                <w:szCs w:val="22"/>
                <w:highlight w:val="none"/>
              </w:rPr>
            </w:pPr>
          </w:p>
        </w:tc>
        <w:tc>
          <w:tcPr>
            <w:tcW w:w="945" w:type="dxa"/>
            <w:tcBorders>
              <w:top w:val="single" w:color="auto" w:sz="4" w:space="0"/>
              <w:left w:val="single" w:color="auto" w:sz="4" w:space="0"/>
              <w:bottom w:val="single" w:color="auto" w:sz="4" w:space="0"/>
              <w:right w:val="single" w:color="auto" w:sz="4" w:space="0"/>
            </w:tcBorders>
            <w:vAlign w:val="center"/>
          </w:tcPr>
          <w:p w14:paraId="4410C234">
            <w:pPr>
              <w:widowControl/>
              <w:jc w:val="center"/>
              <w:rPr>
                <w:kern w:val="0"/>
                <w:sz w:val="22"/>
                <w:szCs w:val="22"/>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14:paraId="5C767F21">
            <w:pPr>
              <w:widowControl/>
              <w:jc w:val="center"/>
              <w:rPr>
                <w:kern w:val="0"/>
                <w:sz w:val="22"/>
                <w:szCs w:val="22"/>
                <w:highlight w:val="none"/>
              </w:rPr>
            </w:pPr>
          </w:p>
        </w:tc>
        <w:tc>
          <w:tcPr>
            <w:tcW w:w="1240" w:type="dxa"/>
            <w:tcBorders>
              <w:top w:val="single" w:color="auto" w:sz="4" w:space="0"/>
              <w:left w:val="single" w:color="auto" w:sz="4" w:space="0"/>
              <w:bottom w:val="single" w:color="auto" w:sz="4" w:space="0"/>
              <w:right w:val="single" w:color="auto" w:sz="4" w:space="0"/>
            </w:tcBorders>
            <w:vAlign w:val="center"/>
          </w:tcPr>
          <w:p w14:paraId="03BC7EB1">
            <w:pPr>
              <w:widowControl/>
              <w:jc w:val="center"/>
              <w:rPr>
                <w:kern w:val="0"/>
                <w:sz w:val="22"/>
                <w:szCs w:val="22"/>
                <w:highlight w:val="none"/>
              </w:rPr>
            </w:pPr>
          </w:p>
        </w:tc>
        <w:tc>
          <w:tcPr>
            <w:tcW w:w="1043" w:type="dxa"/>
            <w:tcBorders>
              <w:top w:val="single" w:color="auto" w:sz="4" w:space="0"/>
              <w:left w:val="single" w:color="auto" w:sz="4" w:space="0"/>
              <w:bottom w:val="single" w:color="auto" w:sz="4" w:space="0"/>
              <w:right w:val="single" w:color="auto" w:sz="4" w:space="0"/>
            </w:tcBorders>
            <w:vAlign w:val="center"/>
          </w:tcPr>
          <w:p w14:paraId="2294AFC4">
            <w:pPr>
              <w:widowControl/>
              <w:jc w:val="center"/>
              <w:rPr>
                <w:kern w:val="0"/>
                <w:sz w:val="22"/>
                <w:szCs w:val="22"/>
                <w:highlight w:val="none"/>
              </w:rPr>
            </w:pPr>
          </w:p>
        </w:tc>
        <w:tc>
          <w:tcPr>
            <w:tcW w:w="1437" w:type="dxa"/>
            <w:tcBorders>
              <w:top w:val="single" w:color="auto" w:sz="4" w:space="0"/>
              <w:left w:val="single" w:color="auto" w:sz="4" w:space="0"/>
              <w:bottom w:val="single" w:color="auto" w:sz="4" w:space="0"/>
              <w:right w:val="single" w:color="auto" w:sz="4" w:space="0"/>
            </w:tcBorders>
          </w:tcPr>
          <w:p w14:paraId="04CE5C56">
            <w:pPr>
              <w:widowControl/>
              <w:jc w:val="center"/>
              <w:rPr>
                <w:kern w:val="0"/>
                <w:sz w:val="22"/>
                <w:szCs w:val="22"/>
                <w:highlight w:val="none"/>
              </w:rPr>
            </w:pPr>
          </w:p>
        </w:tc>
      </w:tr>
      <w:tr w14:paraId="096D34A9">
        <w:tblPrEx>
          <w:tblCellMar>
            <w:top w:w="0" w:type="dxa"/>
            <w:left w:w="108" w:type="dxa"/>
            <w:bottom w:w="0" w:type="dxa"/>
            <w:right w:w="108" w:type="dxa"/>
          </w:tblCellMar>
        </w:tblPrEx>
        <w:trPr>
          <w:trHeight w:val="418" w:hRule="atLeast"/>
          <w:jc w:val="center"/>
        </w:trPr>
        <w:tc>
          <w:tcPr>
            <w:tcW w:w="7999" w:type="dxa"/>
            <w:gridSpan w:val="9"/>
            <w:tcBorders>
              <w:top w:val="single" w:color="auto" w:sz="4" w:space="0"/>
              <w:left w:val="single" w:color="auto" w:sz="4" w:space="0"/>
              <w:bottom w:val="single" w:color="auto" w:sz="4" w:space="0"/>
              <w:right w:val="single" w:color="auto" w:sz="4" w:space="0"/>
            </w:tcBorders>
            <w:vAlign w:val="center"/>
          </w:tcPr>
          <w:p w14:paraId="0237E76E">
            <w:pPr>
              <w:widowControl/>
              <w:jc w:val="center"/>
              <w:rPr>
                <w:rFonts w:hint="default" w:eastAsia="宋体"/>
                <w:kern w:val="0"/>
                <w:sz w:val="22"/>
                <w:szCs w:val="22"/>
                <w:highlight w:val="none"/>
                <w:lang w:val="en-US" w:eastAsia="zh-CN"/>
              </w:rPr>
            </w:pPr>
            <w:r>
              <w:rPr>
                <w:rFonts w:hint="eastAsia"/>
                <w:kern w:val="0"/>
                <w:sz w:val="22"/>
                <w:szCs w:val="22"/>
                <w:highlight w:val="none"/>
                <w:lang w:val="en-US" w:eastAsia="zh-CN"/>
              </w:rPr>
              <w:t>本页小计</w:t>
            </w:r>
          </w:p>
        </w:tc>
        <w:tc>
          <w:tcPr>
            <w:tcW w:w="1437" w:type="dxa"/>
            <w:tcBorders>
              <w:top w:val="single" w:color="auto" w:sz="4" w:space="0"/>
              <w:left w:val="single" w:color="auto" w:sz="4" w:space="0"/>
              <w:bottom w:val="single" w:color="auto" w:sz="4" w:space="0"/>
              <w:right w:val="single" w:color="auto" w:sz="4" w:space="0"/>
            </w:tcBorders>
          </w:tcPr>
          <w:p w14:paraId="205F2347">
            <w:pPr>
              <w:widowControl/>
              <w:jc w:val="center"/>
              <w:rPr>
                <w:kern w:val="0"/>
                <w:sz w:val="22"/>
                <w:szCs w:val="22"/>
                <w:highlight w:val="none"/>
              </w:rPr>
            </w:pPr>
          </w:p>
        </w:tc>
      </w:tr>
      <w:tr w14:paraId="14B8BEFF">
        <w:tblPrEx>
          <w:tblCellMar>
            <w:top w:w="0" w:type="dxa"/>
            <w:left w:w="108" w:type="dxa"/>
            <w:bottom w:w="0" w:type="dxa"/>
            <w:right w:w="108" w:type="dxa"/>
          </w:tblCellMar>
        </w:tblPrEx>
        <w:trPr>
          <w:trHeight w:val="418" w:hRule="atLeast"/>
          <w:jc w:val="center"/>
        </w:trPr>
        <w:tc>
          <w:tcPr>
            <w:tcW w:w="7999" w:type="dxa"/>
            <w:gridSpan w:val="9"/>
            <w:tcBorders>
              <w:top w:val="single" w:color="auto" w:sz="4" w:space="0"/>
              <w:left w:val="single" w:color="auto" w:sz="4" w:space="0"/>
              <w:bottom w:val="single" w:color="auto" w:sz="4" w:space="0"/>
              <w:right w:val="single" w:color="auto" w:sz="4" w:space="0"/>
            </w:tcBorders>
            <w:vAlign w:val="center"/>
          </w:tcPr>
          <w:p w14:paraId="021F2B69">
            <w:pPr>
              <w:widowControl/>
              <w:jc w:val="center"/>
              <w:rPr>
                <w:rFonts w:hint="eastAsia" w:eastAsia="宋体"/>
                <w:kern w:val="0"/>
                <w:sz w:val="22"/>
                <w:szCs w:val="22"/>
                <w:highlight w:val="none"/>
                <w:lang w:val="en-US" w:eastAsia="zh-CN"/>
              </w:rPr>
            </w:pPr>
            <w:r>
              <w:rPr>
                <w:rFonts w:hint="eastAsia"/>
                <w:kern w:val="0"/>
                <w:sz w:val="22"/>
                <w:szCs w:val="22"/>
                <w:highlight w:val="none"/>
                <w:lang w:val="en-US" w:eastAsia="zh-CN"/>
              </w:rPr>
              <w:t>合计</w:t>
            </w:r>
          </w:p>
        </w:tc>
        <w:tc>
          <w:tcPr>
            <w:tcW w:w="1437" w:type="dxa"/>
            <w:tcBorders>
              <w:top w:val="single" w:color="auto" w:sz="4" w:space="0"/>
              <w:left w:val="single" w:color="auto" w:sz="4" w:space="0"/>
              <w:bottom w:val="single" w:color="auto" w:sz="4" w:space="0"/>
              <w:right w:val="single" w:color="auto" w:sz="4" w:space="0"/>
            </w:tcBorders>
          </w:tcPr>
          <w:p w14:paraId="6978BE57">
            <w:pPr>
              <w:widowControl/>
              <w:jc w:val="center"/>
              <w:rPr>
                <w:kern w:val="0"/>
                <w:sz w:val="22"/>
                <w:szCs w:val="22"/>
                <w:highlight w:val="none"/>
              </w:rPr>
            </w:pPr>
          </w:p>
        </w:tc>
      </w:tr>
    </w:tbl>
    <w:p w14:paraId="12FDB6FF">
      <w:pPr>
        <w:rPr>
          <w:szCs w:val="21"/>
          <w:highlight w:val="none"/>
        </w:rPr>
      </w:pPr>
      <w:r>
        <w:rPr>
          <w:szCs w:val="21"/>
          <w:highlight w:val="none"/>
        </w:rPr>
        <w:br w:type="page"/>
      </w:r>
    </w:p>
    <w:p w14:paraId="0BF97B91">
      <w:pPr>
        <w:jc w:val="center"/>
        <w:outlineLvl w:val="2"/>
        <w:rPr>
          <w:szCs w:val="21"/>
          <w:highlight w:val="none"/>
        </w:rPr>
      </w:pPr>
      <w:r>
        <w:rPr>
          <w:rFonts w:ascii="Times New Roman" w:hAnsi="Times New Roman" w:eastAsia="Times New Roman" w:cs="Times New Roman"/>
          <w:b w:val="0"/>
          <w:bCs w:val="0"/>
          <w:spacing w:val="9"/>
          <w:sz w:val="28"/>
          <w:szCs w:val="28"/>
          <w:highlight w:val="none"/>
        </w:rPr>
        <w:t>承包人提供</w:t>
      </w:r>
      <w:r>
        <w:rPr>
          <w:rFonts w:hint="eastAsia" w:ascii="Times New Roman" w:hAnsi="Times New Roman" w:eastAsia="Times New Roman" w:cs="Times New Roman"/>
          <w:b w:val="0"/>
          <w:bCs w:val="0"/>
          <w:spacing w:val="9"/>
          <w:sz w:val="28"/>
          <w:szCs w:val="28"/>
          <w:highlight w:val="none"/>
          <w:lang w:val="en-US" w:eastAsia="zh-CN"/>
        </w:rPr>
        <w:t>可调差</w:t>
      </w:r>
      <w:r>
        <w:rPr>
          <w:rFonts w:ascii="Times New Roman" w:hAnsi="Times New Roman" w:eastAsia="Times New Roman" w:cs="Times New Roman"/>
          <w:b w:val="0"/>
          <w:bCs w:val="0"/>
          <w:spacing w:val="9"/>
          <w:sz w:val="28"/>
          <w:szCs w:val="28"/>
          <w:highlight w:val="none"/>
        </w:rPr>
        <w:t>人工、主要材料</w:t>
      </w:r>
      <w:r>
        <w:rPr>
          <w:rFonts w:hint="eastAsia" w:ascii="Times New Roman" w:hAnsi="Times New Roman" w:eastAsia="Times New Roman" w:cs="Times New Roman"/>
          <w:b w:val="0"/>
          <w:bCs w:val="0"/>
          <w:spacing w:val="9"/>
          <w:sz w:val="28"/>
          <w:szCs w:val="28"/>
          <w:highlight w:val="none"/>
          <w:lang w:val="en-US" w:eastAsia="zh-CN"/>
        </w:rPr>
        <w:t>表</w:t>
      </w:r>
      <w:r>
        <w:rPr>
          <w:rFonts w:hint="eastAsia" w:eastAsia="Times New Roman" w:cs="Times New Roman"/>
          <w:b w:val="0"/>
          <w:bCs w:val="0"/>
          <w:spacing w:val="9"/>
          <w:sz w:val="28"/>
          <w:szCs w:val="28"/>
          <w:highlight w:val="none"/>
          <w:lang w:val="en-US" w:eastAsia="zh-CN"/>
        </w:rPr>
        <w:t>二</w:t>
      </w:r>
    </w:p>
    <w:tbl>
      <w:tblPr>
        <w:tblStyle w:val="41"/>
        <w:tblW w:w="9436" w:type="dxa"/>
        <w:jc w:val="center"/>
        <w:tblLayout w:type="fixed"/>
        <w:tblCellMar>
          <w:top w:w="0" w:type="dxa"/>
          <w:left w:w="108" w:type="dxa"/>
          <w:bottom w:w="0" w:type="dxa"/>
          <w:right w:w="108" w:type="dxa"/>
        </w:tblCellMar>
      </w:tblPr>
      <w:tblGrid>
        <w:gridCol w:w="574"/>
        <w:gridCol w:w="1808"/>
        <w:gridCol w:w="1032"/>
        <w:gridCol w:w="1142"/>
        <w:gridCol w:w="1367"/>
        <w:gridCol w:w="1562"/>
        <w:gridCol w:w="1951"/>
      </w:tblGrid>
      <w:tr w14:paraId="06DFB868">
        <w:tblPrEx>
          <w:tblCellMar>
            <w:top w:w="0" w:type="dxa"/>
            <w:left w:w="108" w:type="dxa"/>
            <w:bottom w:w="0" w:type="dxa"/>
            <w:right w:w="108" w:type="dxa"/>
          </w:tblCellMar>
        </w:tblPrEx>
        <w:trPr>
          <w:trHeight w:val="493" w:hRule="atLeast"/>
          <w:jc w:val="center"/>
        </w:trPr>
        <w:tc>
          <w:tcPr>
            <w:tcW w:w="9436" w:type="dxa"/>
            <w:gridSpan w:val="7"/>
            <w:tcBorders>
              <w:top w:val="nil"/>
              <w:left w:val="nil"/>
              <w:bottom w:val="nil"/>
              <w:right w:val="nil"/>
            </w:tcBorders>
            <w:vAlign w:val="bottom"/>
          </w:tcPr>
          <w:p w14:paraId="15815ED4">
            <w:pPr>
              <w:widowControl/>
              <w:jc w:val="center"/>
              <w:rPr>
                <w:rFonts w:hint="default"/>
                <w:b/>
                <w:bCs/>
                <w:kern w:val="0"/>
                <w:sz w:val="24"/>
                <w:szCs w:val="24"/>
                <w:highlight w:val="none"/>
                <w:lang w:val="en-US"/>
              </w:rPr>
            </w:pPr>
          </w:p>
        </w:tc>
      </w:tr>
      <w:tr w14:paraId="58867BAC">
        <w:tblPrEx>
          <w:tblCellMar>
            <w:top w:w="0" w:type="dxa"/>
            <w:left w:w="108" w:type="dxa"/>
            <w:bottom w:w="0" w:type="dxa"/>
            <w:right w:w="108" w:type="dxa"/>
          </w:tblCellMar>
        </w:tblPrEx>
        <w:trPr>
          <w:trHeight w:val="496" w:hRule="atLeast"/>
          <w:jc w:val="center"/>
        </w:trPr>
        <w:tc>
          <w:tcPr>
            <w:tcW w:w="5923" w:type="dxa"/>
            <w:gridSpan w:val="5"/>
            <w:tcBorders>
              <w:top w:val="nil"/>
              <w:left w:val="nil"/>
              <w:bottom w:val="single" w:color="auto" w:sz="4" w:space="0"/>
              <w:right w:val="nil"/>
            </w:tcBorders>
            <w:vAlign w:val="center"/>
          </w:tcPr>
          <w:p w14:paraId="26F0AEBB">
            <w:pPr>
              <w:widowControl/>
              <w:jc w:val="left"/>
              <w:rPr>
                <w:kern w:val="0"/>
                <w:sz w:val="21"/>
                <w:szCs w:val="21"/>
                <w:highlight w:val="none"/>
              </w:rPr>
            </w:pPr>
            <w:r>
              <w:rPr>
                <w:kern w:val="0"/>
                <w:sz w:val="21"/>
                <w:szCs w:val="21"/>
                <w:highlight w:val="none"/>
              </w:rPr>
              <w:t>工程名称：                标段：</w:t>
            </w:r>
          </w:p>
        </w:tc>
        <w:tc>
          <w:tcPr>
            <w:tcW w:w="3513" w:type="dxa"/>
            <w:gridSpan w:val="2"/>
            <w:tcBorders>
              <w:top w:val="nil"/>
              <w:left w:val="nil"/>
              <w:bottom w:val="single" w:color="auto" w:sz="4" w:space="0"/>
              <w:right w:val="nil"/>
            </w:tcBorders>
            <w:vAlign w:val="center"/>
          </w:tcPr>
          <w:p w14:paraId="61EBEB55">
            <w:pPr>
              <w:widowControl/>
              <w:jc w:val="right"/>
              <w:rPr>
                <w:kern w:val="0"/>
                <w:sz w:val="21"/>
                <w:szCs w:val="21"/>
                <w:highlight w:val="none"/>
              </w:rPr>
            </w:pPr>
            <w:r>
              <w:rPr>
                <w:kern w:val="0"/>
                <w:sz w:val="21"/>
                <w:szCs w:val="21"/>
                <w:highlight w:val="none"/>
              </w:rPr>
              <w:t>第   页   共    页</w:t>
            </w:r>
          </w:p>
        </w:tc>
      </w:tr>
      <w:tr w14:paraId="7A3A49A7">
        <w:tblPrEx>
          <w:tblCellMar>
            <w:top w:w="0" w:type="dxa"/>
            <w:left w:w="108" w:type="dxa"/>
            <w:bottom w:w="0" w:type="dxa"/>
            <w:right w:w="108" w:type="dxa"/>
          </w:tblCellMar>
        </w:tblPrEx>
        <w:trPr>
          <w:trHeight w:val="878"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14:paraId="7C415DC6">
            <w:pPr>
              <w:widowControl/>
              <w:jc w:val="center"/>
              <w:rPr>
                <w:kern w:val="0"/>
                <w:sz w:val="21"/>
                <w:szCs w:val="21"/>
                <w:highlight w:val="none"/>
              </w:rPr>
            </w:pPr>
            <w:r>
              <w:rPr>
                <w:kern w:val="0"/>
                <w:sz w:val="21"/>
                <w:szCs w:val="21"/>
                <w:highlight w:val="none"/>
              </w:rPr>
              <w:t>序号</w:t>
            </w:r>
          </w:p>
        </w:tc>
        <w:tc>
          <w:tcPr>
            <w:tcW w:w="1808" w:type="dxa"/>
            <w:tcBorders>
              <w:top w:val="single" w:color="auto" w:sz="4" w:space="0"/>
              <w:left w:val="single" w:color="auto" w:sz="4" w:space="0"/>
              <w:bottom w:val="single" w:color="auto" w:sz="4" w:space="0"/>
              <w:right w:val="single" w:color="auto" w:sz="4" w:space="0"/>
            </w:tcBorders>
            <w:vAlign w:val="center"/>
          </w:tcPr>
          <w:p w14:paraId="61FA20D4">
            <w:pPr>
              <w:widowControl/>
              <w:jc w:val="center"/>
              <w:rPr>
                <w:kern w:val="0"/>
                <w:sz w:val="21"/>
                <w:szCs w:val="21"/>
                <w:highlight w:val="none"/>
              </w:rPr>
            </w:pPr>
            <w:r>
              <w:rPr>
                <w:kern w:val="0"/>
                <w:sz w:val="21"/>
                <w:szCs w:val="21"/>
                <w:highlight w:val="none"/>
              </w:rPr>
              <w:t>名称、规格、型号</w:t>
            </w:r>
          </w:p>
        </w:tc>
        <w:tc>
          <w:tcPr>
            <w:tcW w:w="1032" w:type="dxa"/>
            <w:tcBorders>
              <w:top w:val="single" w:color="auto" w:sz="4" w:space="0"/>
              <w:left w:val="single" w:color="auto" w:sz="4" w:space="0"/>
              <w:bottom w:val="single" w:color="auto" w:sz="4" w:space="0"/>
              <w:right w:val="single" w:color="auto" w:sz="4" w:space="0"/>
            </w:tcBorders>
            <w:vAlign w:val="center"/>
          </w:tcPr>
          <w:p w14:paraId="39304327">
            <w:pPr>
              <w:widowControl/>
              <w:jc w:val="center"/>
              <w:rPr>
                <w:rFonts w:hint="default" w:eastAsia="宋体"/>
                <w:kern w:val="0"/>
                <w:sz w:val="21"/>
                <w:szCs w:val="21"/>
                <w:highlight w:val="none"/>
                <w:lang w:val="en-US" w:eastAsia="zh-CN"/>
              </w:rPr>
            </w:pPr>
            <w:r>
              <w:rPr>
                <w:rFonts w:hint="eastAsia"/>
                <w:kern w:val="0"/>
                <w:sz w:val="21"/>
                <w:szCs w:val="21"/>
                <w:highlight w:val="none"/>
                <w:lang w:val="en-US" w:eastAsia="zh-CN"/>
              </w:rPr>
              <w:t>变值权重</w:t>
            </w:r>
          </w:p>
        </w:tc>
        <w:tc>
          <w:tcPr>
            <w:tcW w:w="1142" w:type="dxa"/>
            <w:tcBorders>
              <w:top w:val="single" w:color="auto" w:sz="4" w:space="0"/>
              <w:left w:val="single" w:color="auto" w:sz="4" w:space="0"/>
              <w:bottom w:val="single" w:color="auto" w:sz="4" w:space="0"/>
              <w:right w:val="single" w:color="auto" w:sz="4" w:space="0"/>
            </w:tcBorders>
            <w:vAlign w:val="center"/>
          </w:tcPr>
          <w:p w14:paraId="21D526DE">
            <w:pPr>
              <w:widowControl/>
              <w:jc w:val="center"/>
              <w:rPr>
                <w:rFonts w:hint="default" w:eastAsia="宋体"/>
                <w:kern w:val="0"/>
                <w:sz w:val="21"/>
                <w:szCs w:val="21"/>
                <w:highlight w:val="none"/>
                <w:lang w:val="en-US" w:eastAsia="zh-CN"/>
              </w:rPr>
            </w:pPr>
            <w:r>
              <w:rPr>
                <w:rFonts w:hint="eastAsia"/>
                <w:kern w:val="0"/>
                <w:sz w:val="21"/>
                <w:szCs w:val="21"/>
                <w:highlight w:val="none"/>
                <w:lang w:val="en-US" w:eastAsia="zh-CN"/>
              </w:rPr>
              <w:t>基本价格指数</w:t>
            </w: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14:paraId="7430AC95">
            <w:pPr>
              <w:widowControl/>
              <w:jc w:val="center"/>
              <w:rPr>
                <w:rFonts w:hint="default" w:ascii="Times New Roman" w:hAnsi="Times New Roman" w:eastAsia="宋体" w:cs="Times New Roman"/>
                <w:kern w:val="0"/>
                <w:sz w:val="21"/>
                <w:szCs w:val="21"/>
                <w:highlight w:val="none"/>
                <w:lang w:val="en-US" w:eastAsia="zh-CN" w:bidi="ar-SA"/>
              </w:rPr>
            </w:pPr>
            <w:r>
              <w:rPr>
                <w:rFonts w:hint="eastAsia" w:cs="Times New Roman"/>
                <w:kern w:val="0"/>
                <w:sz w:val="21"/>
                <w:szCs w:val="21"/>
                <w:highlight w:val="none"/>
                <w:lang w:val="en-US" w:eastAsia="zh-CN" w:bidi="ar-SA"/>
              </w:rPr>
              <w:t>现行价格指数</w:t>
            </w:r>
          </w:p>
        </w:tc>
        <w:tc>
          <w:tcPr>
            <w:tcW w:w="1562" w:type="dxa"/>
            <w:tcBorders>
              <w:top w:val="single" w:color="auto" w:sz="4" w:space="0"/>
              <w:left w:val="single" w:color="auto" w:sz="4" w:space="0"/>
              <w:bottom w:val="single" w:color="auto" w:sz="4" w:space="0"/>
              <w:right w:val="single" w:color="auto" w:sz="4" w:space="0"/>
            </w:tcBorders>
            <w:vAlign w:val="center"/>
          </w:tcPr>
          <w:p w14:paraId="3AD06883">
            <w:pPr>
              <w:widowControl/>
              <w:jc w:val="center"/>
              <w:rPr>
                <w:kern w:val="0"/>
                <w:sz w:val="21"/>
                <w:szCs w:val="21"/>
                <w:highlight w:val="none"/>
              </w:rPr>
            </w:pPr>
            <w:r>
              <w:rPr>
                <w:rFonts w:hint="eastAsia"/>
                <w:kern w:val="0"/>
                <w:sz w:val="21"/>
                <w:szCs w:val="21"/>
                <w:highlight w:val="none"/>
                <w:lang w:val="en-US" w:eastAsia="zh-CN"/>
              </w:rPr>
              <w:t>风险幅度系数（%）</w:t>
            </w:r>
          </w:p>
        </w:tc>
        <w:tc>
          <w:tcPr>
            <w:tcW w:w="1951" w:type="dxa"/>
            <w:tcBorders>
              <w:top w:val="single" w:color="auto" w:sz="4" w:space="0"/>
              <w:left w:val="single" w:color="auto" w:sz="4" w:space="0"/>
              <w:bottom w:val="single" w:color="auto" w:sz="4" w:space="0"/>
              <w:right w:val="single" w:color="auto" w:sz="4" w:space="0"/>
            </w:tcBorders>
            <w:vAlign w:val="center"/>
          </w:tcPr>
          <w:p w14:paraId="3238C8DA">
            <w:pPr>
              <w:jc w:val="center"/>
              <w:rPr>
                <w:rFonts w:hint="eastAsia"/>
                <w:kern w:val="0"/>
                <w:sz w:val="21"/>
                <w:szCs w:val="21"/>
                <w:highlight w:val="none"/>
                <w:lang w:val="en-US" w:eastAsia="zh-CN"/>
              </w:rPr>
            </w:pPr>
            <w:r>
              <w:rPr>
                <w:rFonts w:hint="default"/>
                <w:kern w:val="0"/>
                <w:sz w:val="21"/>
                <w:szCs w:val="21"/>
                <w:highlight w:val="none"/>
                <w:lang w:val="en-US" w:eastAsia="zh-CN"/>
              </w:rPr>
              <w:t>价差</w:t>
            </w:r>
            <w:r>
              <w:rPr>
                <w:rFonts w:hint="eastAsia"/>
                <w:kern w:val="0"/>
                <w:sz w:val="21"/>
                <w:szCs w:val="21"/>
                <w:highlight w:val="none"/>
                <w:lang w:val="en-US" w:eastAsia="zh-CN"/>
              </w:rPr>
              <w:t>调整金额</w:t>
            </w:r>
          </w:p>
          <w:p w14:paraId="7A0A8ED4">
            <w:pPr>
              <w:jc w:val="center"/>
              <w:rPr>
                <w:rFonts w:hint="eastAsia" w:eastAsia="宋体"/>
                <w:kern w:val="0"/>
                <w:sz w:val="21"/>
                <w:szCs w:val="21"/>
                <w:highlight w:val="none"/>
                <w:lang w:eastAsia="zh-CN"/>
              </w:rPr>
            </w:pPr>
            <w:r>
              <w:rPr>
                <w:rFonts w:hint="default"/>
                <w:kern w:val="0"/>
                <w:sz w:val="21"/>
                <w:szCs w:val="21"/>
                <w:highlight w:val="none"/>
                <w:lang w:val="en-US" w:eastAsia="zh-CN"/>
              </w:rPr>
              <w:t>（元）</w:t>
            </w:r>
          </w:p>
        </w:tc>
      </w:tr>
      <w:tr w14:paraId="25BCBA88">
        <w:tblPrEx>
          <w:tblCellMar>
            <w:top w:w="0" w:type="dxa"/>
            <w:left w:w="108" w:type="dxa"/>
            <w:bottom w:w="0" w:type="dxa"/>
            <w:right w:w="108" w:type="dxa"/>
          </w:tblCellMar>
        </w:tblPrEx>
        <w:trPr>
          <w:trHeight w:val="397"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14:paraId="1D97048E">
            <w:pPr>
              <w:widowControl/>
              <w:jc w:val="center"/>
              <w:rPr>
                <w:kern w:val="0"/>
                <w:sz w:val="21"/>
                <w:szCs w:val="21"/>
                <w:highlight w:val="none"/>
              </w:rPr>
            </w:pPr>
          </w:p>
        </w:tc>
        <w:tc>
          <w:tcPr>
            <w:tcW w:w="1808" w:type="dxa"/>
            <w:tcBorders>
              <w:top w:val="single" w:color="auto" w:sz="4" w:space="0"/>
              <w:left w:val="single" w:color="auto" w:sz="4" w:space="0"/>
              <w:bottom w:val="single" w:color="auto" w:sz="4" w:space="0"/>
              <w:right w:val="single" w:color="auto" w:sz="4" w:space="0"/>
            </w:tcBorders>
            <w:vAlign w:val="center"/>
          </w:tcPr>
          <w:p w14:paraId="513F21CA">
            <w:pPr>
              <w:widowControl/>
              <w:jc w:val="center"/>
              <w:rPr>
                <w:kern w:val="0"/>
                <w:sz w:val="21"/>
                <w:szCs w:val="21"/>
                <w:highlight w:val="none"/>
              </w:rPr>
            </w:pPr>
          </w:p>
        </w:tc>
        <w:tc>
          <w:tcPr>
            <w:tcW w:w="1032" w:type="dxa"/>
            <w:tcBorders>
              <w:top w:val="single" w:color="auto" w:sz="4" w:space="0"/>
              <w:left w:val="single" w:color="auto" w:sz="4" w:space="0"/>
              <w:bottom w:val="single" w:color="auto" w:sz="4" w:space="0"/>
              <w:right w:val="single" w:color="auto" w:sz="4" w:space="0"/>
            </w:tcBorders>
            <w:vAlign w:val="center"/>
          </w:tcPr>
          <w:p w14:paraId="02E4B159">
            <w:pPr>
              <w:widowControl/>
              <w:jc w:val="center"/>
              <w:rPr>
                <w:rFonts w:hint="eastAsia"/>
                <w:kern w:val="0"/>
                <w:sz w:val="21"/>
                <w:szCs w:val="21"/>
                <w:highlight w:val="none"/>
                <w:lang w:val="en-US" w:eastAsia="zh-CN"/>
              </w:rPr>
            </w:pPr>
          </w:p>
        </w:tc>
        <w:tc>
          <w:tcPr>
            <w:tcW w:w="1142" w:type="dxa"/>
            <w:tcBorders>
              <w:top w:val="single" w:color="auto" w:sz="4" w:space="0"/>
              <w:left w:val="single" w:color="auto" w:sz="4" w:space="0"/>
              <w:bottom w:val="single" w:color="auto" w:sz="4" w:space="0"/>
              <w:right w:val="single" w:color="auto" w:sz="4" w:space="0"/>
            </w:tcBorders>
            <w:vAlign w:val="center"/>
          </w:tcPr>
          <w:p w14:paraId="7FB4E53C">
            <w:pPr>
              <w:widowControl/>
              <w:jc w:val="center"/>
              <w:rPr>
                <w:rFonts w:hint="eastAsia"/>
                <w:kern w:val="0"/>
                <w:sz w:val="21"/>
                <w:szCs w:val="21"/>
                <w:highlight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14:paraId="314A32D8">
            <w:pPr>
              <w:widowControl/>
              <w:jc w:val="center"/>
              <w:rPr>
                <w:rFonts w:hint="eastAsia" w:cs="Times New Roman"/>
                <w:kern w:val="0"/>
                <w:sz w:val="21"/>
                <w:szCs w:val="21"/>
                <w:highlight w:val="none"/>
                <w:lang w:val="en-US" w:eastAsia="zh-CN" w:bidi="ar-SA"/>
              </w:rPr>
            </w:pPr>
          </w:p>
        </w:tc>
        <w:tc>
          <w:tcPr>
            <w:tcW w:w="1562" w:type="dxa"/>
            <w:tcBorders>
              <w:top w:val="single" w:color="auto" w:sz="4" w:space="0"/>
              <w:left w:val="single" w:color="auto" w:sz="4" w:space="0"/>
              <w:bottom w:val="single" w:color="auto" w:sz="4" w:space="0"/>
              <w:right w:val="single" w:color="auto" w:sz="4" w:space="0"/>
            </w:tcBorders>
            <w:vAlign w:val="center"/>
          </w:tcPr>
          <w:p w14:paraId="7B08F8CF">
            <w:pPr>
              <w:widowControl/>
              <w:jc w:val="center"/>
              <w:rPr>
                <w:rFonts w:hint="eastAsia"/>
                <w:kern w:val="0"/>
                <w:sz w:val="21"/>
                <w:szCs w:val="21"/>
                <w:highlight w:val="none"/>
                <w:lang w:val="en-US" w:eastAsia="zh-CN"/>
              </w:rPr>
            </w:pPr>
          </w:p>
        </w:tc>
        <w:tc>
          <w:tcPr>
            <w:tcW w:w="1951" w:type="dxa"/>
            <w:tcBorders>
              <w:top w:val="single" w:color="auto" w:sz="4" w:space="0"/>
              <w:left w:val="single" w:color="auto" w:sz="4" w:space="0"/>
              <w:bottom w:val="single" w:color="auto" w:sz="4" w:space="0"/>
              <w:right w:val="single" w:color="auto" w:sz="4" w:space="0"/>
            </w:tcBorders>
            <w:vAlign w:val="center"/>
          </w:tcPr>
          <w:p w14:paraId="6FBEA6E7">
            <w:pPr>
              <w:jc w:val="center"/>
              <w:rPr>
                <w:rFonts w:hint="default"/>
                <w:kern w:val="0"/>
                <w:sz w:val="21"/>
                <w:szCs w:val="21"/>
                <w:highlight w:val="none"/>
                <w:lang w:val="en-US" w:eastAsia="zh-CN"/>
              </w:rPr>
            </w:pPr>
          </w:p>
        </w:tc>
      </w:tr>
      <w:tr w14:paraId="18BD6C46">
        <w:tblPrEx>
          <w:tblCellMar>
            <w:top w:w="0" w:type="dxa"/>
            <w:left w:w="108" w:type="dxa"/>
            <w:bottom w:w="0" w:type="dxa"/>
            <w:right w:w="108" w:type="dxa"/>
          </w:tblCellMar>
        </w:tblPrEx>
        <w:trPr>
          <w:trHeight w:val="397"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14:paraId="738E8251">
            <w:pPr>
              <w:widowControl/>
              <w:jc w:val="center"/>
              <w:rPr>
                <w:kern w:val="0"/>
                <w:sz w:val="21"/>
                <w:szCs w:val="21"/>
                <w:highlight w:val="none"/>
              </w:rPr>
            </w:pPr>
          </w:p>
        </w:tc>
        <w:tc>
          <w:tcPr>
            <w:tcW w:w="1808" w:type="dxa"/>
            <w:tcBorders>
              <w:top w:val="single" w:color="auto" w:sz="4" w:space="0"/>
              <w:left w:val="single" w:color="auto" w:sz="4" w:space="0"/>
              <w:bottom w:val="single" w:color="auto" w:sz="4" w:space="0"/>
              <w:right w:val="single" w:color="auto" w:sz="4" w:space="0"/>
            </w:tcBorders>
            <w:vAlign w:val="center"/>
          </w:tcPr>
          <w:p w14:paraId="2E9871AC">
            <w:pPr>
              <w:widowControl/>
              <w:jc w:val="center"/>
              <w:rPr>
                <w:kern w:val="0"/>
                <w:sz w:val="21"/>
                <w:szCs w:val="21"/>
                <w:highlight w:val="none"/>
              </w:rPr>
            </w:pPr>
          </w:p>
        </w:tc>
        <w:tc>
          <w:tcPr>
            <w:tcW w:w="1032" w:type="dxa"/>
            <w:tcBorders>
              <w:top w:val="single" w:color="auto" w:sz="4" w:space="0"/>
              <w:left w:val="single" w:color="auto" w:sz="4" w:space="0"/>
              <w:bottom w:val="single" w:color="auto" w:sz="4" w:space="0"/>
              <w:right w:val="single" w:color="auto" w:sz="4" w:space="0"/>
            </w:tcBorders>
            <w:vAlign w:val="center"/>
          </w:tcPr>
          <w:p w14:paraId="52EA85C2">
            <w:pPr>
              <w:widowControl/>
              <w:jc w:val="center"/>
              <w:rPr>
                <w:rFonts w:hint="eastAsia"/>
                <w:kern w:val="0"/>
                <w:sz w:val="21"/>
                <w:szCs w:val="21"/>
                <w:highlight w:val="none"/>
                <w:lang w:val="en-US" w:eastAsia="zh-CN"/>
              </w:rPr>
            </w:pPr>
          </w:p>
        </w:tc>
        <w:tc>
          <w:tcPr>
            <w:tcW w:w="1142" w:type="dxa"/>
            <w:tcBorders>
              <w:top w:val="single" w:color="auto" w:sz="4" w:space="0"/>
              <w:left w:val="single" w:color="auto" w:sz="4" w:space="0"/>
              <w:bottom w:val="single" w:color="auto" w:sz="4" w:space="0"/>
              <w:right w:val="single" w:color="auto" w:sz="4" w:space="0"/>
            </w:tcBorders>
            <w:vAlign w:val="center"/>
          </w:tcPr>
          <w:p w14:paraId="19045E18">
            <w:pPr>
              <w:widowControl/>
              <w:jc w:val="center"/>
              <w:rPr>
                <w:rFonts w:hint="eastAsia"/>
                <w:kern w:val="0"/>
                <w:sz w:val="21"/>
                <w:szCs w:val="21"/>
                <w:highlight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14:paraId="6235BE8A">
            <w:pPr>
              <w:widowControl/>
              <w:jc w:val="center"/>
              <w:rPr>
                <w:rFonts w:hint="eastAsia" w:cs="Times New Roman"/>
                <w:kern w:val="0"/>
                <w:sz w:val="21"/>
                <w:szCs w:val="21"/>
                <w:highlight w:val="none"/>
                <w:lang w:val="en-US" w:eastAsia="zh-CN" w:bidi="ar-SA"/>
              </w:rPr>
            </w:pPr>
          </w:p>
        </w:tc>
        <w:tc>
          <w:tcPr>
            <w:tcW w:w="1562" w:type="dxa"/>
            <w:tcBorders>
              <w:top w:val="single" w:color="auto" w:sz="4" w:space="0"/>
              <w:left w:val="single" w:color="auto" w:sz="4" w:space="0"/>
              <w:bottom w:val="single" w:color="auto" w:sz="4" w:space="0"/>
              <w:right w:val="single" w:color="auto" w:sz="4" w:space="0"/>
            </w:tcBorders>
            <w:vAlign w:val="center"/>
          </w:tcPr>
          <w:p w14:paraId="5948344C">
            <w:pPr>
              <w:widowControl/>
              <w:jc w:val="center"/>
              <w:rPr>
                <w:rFonts w:hint="eastAsia"/>
                <w:kern w:val="0"/>
                <w:sz w:val="21"/>
                <w:szCs w:val="21"/>
                <w:highlight w:val="none"/>
                <w:lang w:val="en-US" w:eastAsia="zh-CN"/>
              </w:rPr>
            </w:pPr>
          </w:p>
        </w:tc>
        <w:tc>
          <w:tcPr>
            <w:tcW w:w="1951" w:type="dxa"/>
            <w:tcBorders>
              <w:top w:val="single" w:color="auto" w:sz="4" w:space="0"/>
              <w:left w:val="single" w:color="auto" w:sz="4" w:space="0"/>
              <w:bottom w:val="single" w:color="auto" w:sz="4" w:space="0"/>
              <w:right w:val="single" w:color="auto" w:sz="4" w:space="0"/>
            </w:tcBorders>
            <w:vAlign w:val="center"/>
          </w:tcPr>
          <w:p w14:paraId="68D845D6">
            <w:pPr>
              <w:jc w:val="center"/>
              <w:rPr>
                <w:rFonts w:hint="default"/>
                <w:kern w:val="0"/>
                <w:sz w:val="21"/>
                <w:szCs w:val="21"/>
                <w:highlight w:val="none"/>
                <w:lang w:val="en-US" w:eastAsia="zh-CN"/>
              </w:rPr>
            </w:pPr>
          </w:p>
        </w:tc>
      </w:tr>
      <w:tr w14:paraId="7F27E3B0">
        <w:tblPrEx>
          <w:tblCellMar>
            <w:top w:w="0" w:type="dxa"/>
            <w:left w:w="108" w:type="dxa"/>
            <w:bottom w:w="0" w:type="dxa"/>
            <w:right w:w="108" w:type="dxa"/>
          </w:tblCellMar>
        </w:tblPrEx>
        <w:trPr>
          <w:trHeight w:val="397"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14:paraId="60291562">
            <w:pPr>
              <w:widowControl/>
              <w:jc w:val="center"/>
              <w:rPr>
                <w:kern w:val="0"/>
                <w:sz w:val="21"/>
                <w:szCs w:val="21"/>
                <w:highlight w:val="none"/>
              </w:rPr>
            </w:pPr>
          </w:p>
        </w:tc>
        <w:tc>
          <w:tcPr>
            <w:tcW w:w="1808" w:type="dxa"/>
            <w:tcBorders>
              <w:top w:val="single" w:color="auto" w:sz="4" w:space="0"/>
              <w:left w:val="single" w:color="auto" w:sz="4" w:space="0"/>
              <w:bottom w:val="single" w:color="auto" w:sz="4" w:space="0"/>
              <w:right w:val="single" w:color="auto" w:sz="4" w:space="0"/>
            </w:tcBorders>
            <w:vAlign w:val="center"/>
          </w:tcPr>
          <w:p w14:paraId="20C028A4">
            <w:pPr>
              <w:widowControl/>
              <w:jc w:val="center"/>
              <w:rPr>
                <w:kern w:val="0"/>
                <w:sz w:val="21"/>
                <w:szCs w:val="21"/>
                <w:highlight w:val="none"/>
              </w:rPr>
            </w:pPr>
          </w:p>
        </w:tc>
        <w:tc>
          <w:tcPr>
            <w:tcW w:w="1032" w:type="dxa"/>
            <w:tcBorders>
              <w:top w:val="single" w:color="auto" w:sz="4" w:space="0"/>
              <w:left w:val="single" w:color="auto" w:sz="4" w:space="0"/>
              <w:bottom w:val="single" w:color="auto" w:sz="4" w:space="0"/>
              <w:right w:val="single" w:color="auto" w:sz="4" w:space="0"/>
            </w:tcBorders>
            <w:vAlign w:val="center"/>
          </w:tcPr>
          <w:p w14:paraId="449B960C">
            <w:pPr>
              <w:widowControl/>
              <w:jc w:val="center"/>
              <w:rPr>
                <w:rFonts w:hint="eastAsia"/>
                <w:kern w:val="0"/>
                <w:sz w:val="21"/>
                <w:szCs w:val="21"/>
                <w:highlight w:val="none"/>
                <w:lang w:val="en-US" w:eastAsia="zh-CN"/>
              </w:rPr>
            </w:pPr>
          </w:p>
        </w:tc>
        <w:tc>
          <w:tcPr>
            <w:tcW w:w="1142" w:type="dxa"/>
            <w:tcBorders>
              <w:top w:val="single" w:color="auto" w:sz="4" w:space="0"/>
              <w:left w:val="single" w:color="auto" w:sz="4" w:space="0"/>
              <w:bottom w:val="single" w:color="auto" w:sz="4" w:space="0"/>
              <w:right w:val="single" w:color="auto" w:sz="4" w:space="0"/>
            </w:tcBorders>
            <w:vAlign w:val="center"/>
          </w:tcPr>
          <w:p w14:paraId="6B985108">
            <w:pPr>
              <w:widowControl/>
              <w:jc w:val="center"/>
              <w:rPr>
                <w:rFonts w:hint="eastAsia"/>
                <w:kern w:val="0"/>
                <w:sz w:val="21"/>
                <w:szCs w:val="21"/>
                <w:highlight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14:paraId="6ADBA1BA">
            <w:pPr>
              <w:widowControl/>
              <w:jc w:val="center"/>
              <w:rPr>
                <w:rFonts w:hint="eastAsia" w:cs="Times New Roman"/>
                <w:kern w:val="0"/>
                <w:sz w:val="21"/>
                <w:szCs w:val="21"/>
                <w:highlight w:val="none"/>
                <w:lang w:val="en-US" w:eastAsia="zh-CN" w:bidi="ar-SA"/>
              </w:rPr>
            </w:pPr>
          </w:p>
        </w:tc>
        <w:tc>
          <w:tcPr>
            <w:tcW w:w="1562" w:type="dxa"/>
            <w:tcBorders>
              <w:top w:val="single" w:color="auto" w:sz="4" w:space="0"/>
              <w:left w:val="single" w:color="auto" w:sz="4" w:space="0"/>
              <w:bottom w:val="single" w:color="auto" w:sz="4" w:space="0"/>
              <w:right w:val="single" w:color="auto" w:sz="4" w:space="0"/>
            </w:tcBorders>
            <w:vAlign w:val="center"/>
          </w:tcPr>
          <w:p w14:paraId="13BD4325">
            <w:pPr>
              <w:widowControl/>
              <w:jc w:val="center"/>
              <w:rPr>
                <w:rFonts w:hint="eastAsia"/>
                <w:kern w:val="0"/>
                <w:sz w:val="21"/>
                <w:szCs w:val="21"/>
                <w:highlight w:val="none"/>
                <w:lang w:val="en-US" w:eastAsia="zh-CN"/>
              </w:rPr>
            </w:pPr>
          </w:p>
        </w:tc>
        <w:tc>
          <w:tcPr>
            <w:tcW w:w="1951" w:type="dxa"/>
            <w:tcBorders>
              <w:top w:val="single" w:color="auto" w:sz="4" w:space="0"/>
              <w:left w:val="single" w:color="auto" w:sz="4" w:space="0"/>
              <w:bottom w:val="single" w:color="auto" w:sz="4" w:space="0"/>
              <w:right w:val="single" w:color="auto" w:sz="4" w:space="0"/>
            </w:tcBorders>
            <w:vAlign w:val="center"/>
          </w:tcPr>
          <w:p w14:paraId="7995CB32">
            <w:pPr>
              <w:jc w:val="center"/>
              <w:rPr>
                <w:rFonts w:hint="default"/>
                <w:kern w:val="0"/>
                <w:sz w:val="21"/>
                <w:szCs w:val="21"/>
                <w:highlight w:val="none"/>
                <w:lang w:val="en-US" w:eastAsia="zh-CN"/>
              </w:rPr>
            </w:pPr>
          </w:p>
        </w:tc>
      </w:tr>
      <w:tr w14:paraId="77F582D6">
        <w:tblPrEx>
          <w:tblCellMar>
            <w:top w:w="0" w:type="dxa"/>
            <w:left w:w="108" w:type="dxa"/>
            <w:bottom w:w="0" w:type="dxa"/>
            <w:right w:w="108" w:type="dxa"/>
          </w:tblCellMar>
        </w:tblPrEx>
        <w:trPr>
          <w:trHeight w:val="397"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14:paraId="12B1A5AE">
            <w:pPr>
              <w:widowControl/>
              <w:jc w:val="center"/>
              <w:rPr>
                <w:kern w:val="0"/>
                <w:sz w:val="21"/>
                <w:szCs w:val="21"/>
                <w:highlight w:val="none"/>
              </w:rPr>
            </w:pPr>
          </w:p>
        </w:tc>
        <w:tc>
          <w:tcPr>
            <w:tcW w:w="1808" w:type="dxa"/>
            <w:tcBorders>
              <w:top w:val="single" w:color="auto" w:sz="4" w:space="0"/>
              <w:left w:val="single" w:color="auto" w:sz="4" w:space="0"/>
              <w:bottom w:val="single" w:color="auto" w:sz="4" w:space="0"/>
              <w:right w:val="single" w:color="auto" w:sz="4" w:space="0"/>
            </w:tcBorders>
            <w:vAlign w:val="center"/>
          </w:tcPr>
          <w:p w14:paraId="2AB7DD77">
            <w:pPr>
              <w:widowControl/>
              <w:jc w:val="center"/>
              <w:rPr>
                <w:kern w:val="0"/>
                <w:sz w:val="21"/>
                <w:szCs w:val="21"/>
                <w:highlight w:val="none"/>
              </w:rPr>
            </w:pPr>
          </w:p>
        </w:tc>
        <w:tc>
          <w:tcPr>
            <w:tcW w:w="1032" w:type="dxa"/>
            <w:tcBorders>
              <w:top w:val="single" w:color="auto" w:sz="4" w:space="0"/>
              <w:left w:val="single" w:color="auto" w:sz="4" w:space="0"/>
              <w:bottom w:val="single" w:color="auto" w:sz="4" w:space="0"/>
              <w:right w:val="single" w:color="auto" w:sz="4" w:space="0"/>
            </w:tcBorders>
            <w:vAlign w:val="center"/>
          </w:tcPr>
          <w:p w14:paraId="182F1D48">
            <w:pPr>
              <w:widowControl/>
              <w:jc w:val="center"/>
              <w:rPr>
                <w:rFonts w:hint="eastAsia"/>
                <w:kern w:val="0"/>
                <w:sz w:val="21"/>
                <w:szCs w:val="21"/>
                <w:highlight w:val="none"/>
                <w:lang w:val="en-US" w:eastAsia="zh-CN"/>
              </w:rPr>
            </w:pPr>
          </w:p>
        </w:tc>
        <w:tc>
          <w:tcPr>
            <w:tcW w:w="1142" w:type="dxa"/>
            <w:tcBorders>
              <w:top w:val="single" w:color="auto" w:sz="4" w:space="0"/>
              <w:left w:val="single" w:color="auto" w:sz="4" w:space="0"/>
              <w:bottom w:val="single" w:color="auto" w:sz="4" w:space="0"/>
              <w:right w:val="single" w:color="auto" w:sz="4" w:space="0"/>
            </w:tcBorders>
            <w:vAlign w:val="center"/>
          </w:tcPr>
          <w:p w14:paraId="78881FAA">
            <w:pPr>
              <w:widowControl/>
              <w:jc w:val="center"/>
              <w:rPr>
                <w:rFonts w:hint="eastAsia"/>
                <w:kern w:val="0"/>
                <w:sz w:val="21"/>
                <w:szCs w:val="21"/>
                <w:highlight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14:paraId="42945403">
            <w:pPr>
              <w:widowControl/>
              <w:jc w:val="center"/>
              <w:rPr>
                <w:rFonts w:hint="eastAsia" w:cs="Times New Roman"/>
                <w:kern w:val="0"/>
                <w:sz w:val="21"/>
                <w:szCs w:val="21"/>
                <w:highlight w:val="none"/>
                <w:lang w:val="en-US" w:eastAsia="zh-CN" w:bidi="ar-SA"/>
              </w:rPr>
            </w:pPr>
          </w:p>
        </w:tc>
        <w:tc>
          <w:tcPr>
            <w:tcW w:w="1562" w:type="dxa"/>
            <w:tcBorders>
              <w:top w:val="single" w:color="auto" w:sz="4" w:space="0"/>
              <w:left w:val="single" w:color="auto" w:sz="4" w:space="0"/>
              <w:bottom w:val="single" w:color="auto" w:sz="4" w:space="0"/>
              <w:right w:val="single" w:color="auto" w:sz="4" w:space="0"/>
            </w:tcBorders>
            <w:vAlign w:val="center"/>
          </w:tcPr>
          <w:p w14:paraId="1F17683C">
            <w:pPr>
              <w:widowControl/>
              <w:jc w:val="center"/>
              <w:rPr>
                <w:rFonts w:hint="eastAsia"/>
                <w:kern w:val="0"/>
                <w:sz w:val="21"/>
                <w:szCs w:val="21"/>
                <w:highlight w:val="none"/>
                <w:lang w:val="en-US" w:eastAsia="zh-CN"/>
              </w:rPr>
            </w:pPr>
          </w:p>
        </w:tc>
        <w:tc>
          <w:tcPr>
            <w:tcW w:w="1951" w:type="dxa"/>
            <w:tcBorders>
              <w:top w:val="single" w:color="auto" w:sz="4" w:space="0"/>
              <w:left w:val="single" w:color="auto" w:sz="4" w:space="0"/>
              <w:bottom w:val="single" w:color="auto" w:sz="4" w:space="0"/>
              <w:right w:val="single" w:color="auto" w:sz="4" w:space="0"/>
            </w:tcBorders>
            <w:vAlign w:val="center"/>
          </w:tcPr>
          <w:p w14:paraId="65B76607">
            <w:pPr>
              <w:jc w:val="center"/>
              <w:rPr>
                <w:rFonts w:hint="default"/>
                <w:kern w:val="0"/>
                <w:sz w:val="21"/>
                <w:szCs w:val="21"/>
                <w:highlight w:val="none"/>
                <w:lang w:val="en-US" w:eastAsia="zh-CN"/>
              </w:rPr>
            </w:pPr>
          </w:p>
        </w:tc>
      </w:tr>
      <w:tr w14:paraId="5463ACDF">
        <w:tblPrEx>
          <w:tblCellMar>
            <w:top w:w="0" w:type="dxa"/>
            <w:left w:w="108" w:type="dxa"/>
            <w:bottom w:w="0" w:type="dxa"/>
            <w:right w:w="108" w:type="dxa"/>
          </w:tblCellMar>
        </w:tblPrEx>
        <w:trPr>
          <w:trHeight w:val="397"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14:paraId="222BA068">
            <w:pPr>
              <w:widowControl/>
              <w:jc w:val="center"/>
              <w:rPr>
                <w:kern w:val="0"/>
                <w:sz w:val="21"/>
                <w:szCs w:val="21"/>
                <w:highlight w:val="none"/>
              </w:rPr>
            </w:pPr>
          </w:p>
        </w:tc>
        <w:tc>
          <w:tcPr>
            <w:tcW w:w="1808" w:type="dxa"/>
            <w:tcBorders>
              <w:top w:val="single" w:color="auto" w:sz="4" w:space="0"/>
              <w:left w:val="single" w:color="auto" w:sz="4" w:space="0"/>
              <w:bottom w:val="single" w:color="auto" w:sz="4" w:space="0"/>
              <w:right w:val="single" w:color="auto" w:sz="4" w:space="0"/>
            </w:tcBorders>
            <w:vAlign w:val="center"/>
          </w:tcPr>
          <w:p w14:paraId="0492128E">
            <w:pPr>
              <w:widowControl/>
              <w:jc w:val="center"/>
              <w:rPr>
                <w:kern w:val="0"/>
                <w:sz w:val="21"/>
                <w:szCs w:val="21"/>
                <w:highlight w:val="none"/>
              </w:rPr>
            </w:pPr>
          </w:p>
        </w:tc>
        <w:tc>
          <w:tcPr>
            <w:tcW w:w="1032" w:type="dxa"/>
            <w:tcBorders>
              <w:top w:val="single" w:color="auto" w:sz="4" w:space="0"/>
              <w:left w:val="single" w:color="auto" w:sz="4" w:space="0"/>
              <w:bottom w:val="single" w:color="auto" w:sz="4" w:space="0"/>
              <w:right w:val="single" w:color="auto" w:sz="4" w:space="0"/>
            </w:tcBorders>
            <w:vAlign w:val="center"/>
          </w:tcPr>
          <w:p w14:paraId="66EF9BBB">
            <w:pPr>
              <w:widowControl/>
              <w:jc w:val="center"/>
              <w:rPr>
                <w:rFonts w:hint="eastAsia"/>
                <w:kern w:val="0"/>
                <w:sz w:val="21"/>
                <w:szCs w:val="21"/>
                <w:highlight w:val="none"/>
                <w:lang w:val="en-US" w:eastAsia="zh-CN"/>
              </w:rPr>
            </w:pPr>
          </w:p>
        </w:tc>
        <w:tc>
          <w:tcPr>
            <w:tcW w:w="1142" w:type="dxa"/>
            <w:tcBorders>
              <w:top w:val="single" w:color="auto" w:sz="4" w:space="0"/>
              <w:left w:val="single" w:color="auto" w:sz="4" w:space="0"/>
              <w:bottom w:val="single" w:color="auto" w:sz="4" w:space="0"/>
              <w:right w:val="single" w:color="auto" w:sz="4" w:space="0"/>
            </w:tcBorders>
            <w:vAlign w:val="center"/>
          </w:tcPr>
          <w:p w14:paraId="335C70B2">
            <w:pPr>
              <w:widowControl/>
              <w:jc w:val="center"/>
              <w:rPr>
                <w:rFonts w:hint="eastAsia"/>
                <w:kern w:val="0"/>
                <w:sz w:val="21"/>
                <w:szCs w:val="21"/>
                <w:highlight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14:paraId="39481D4D">
            <w:pPr>
              <w:widowControl/>
              <w:jc w:val="center"/>
              <w:rPr>
                <w:rFonts w:hint="eastAsia" w:cs="Times New Roman"/>
                <w:kern w:val="0"/>
                <w:sz w:val="21"/>
                <w:szCs w:val="21"/>
                <w:highlight w:val="none"/>
                <w:lang w:val="en-US" w:eastAsia="zh-CN" w:bidi="ar-SA"/>
              </w:rPr>
            </w:pPr>
          </w:p>
        </w:tc>
        <w:tc>
          <w:tcPr>
            <w:tcW w:w="1562" w:type="dxa"/>
            <w:tcBorders>
              <w:top w:val="single" w:color="auto" w:sz="4" w:space="0"/>
              <w:left w:val="single" w:color="auto" w:sz="4" w:space="0"/>
              <w:bottom w:val="single" w:color="auto" w:sz="4" w:space="0"/>
              <w:right w:val="single" w:color="auto" w:sz="4" w:space="0"/>
            </w:tcBorders>
            <w:vAlign w:val="center"/>
          </w:tcPr>
          <w:p w14:paraId="0B79F473">
            <w:pPr>
              <w:widowControl/>
              <w:jc w:val="center"/>
              <w:rPr>
                <w:rFonts w:hint="eastAsia"/>
                <w:kern w:val="0"/>
                <w:sz w:val="21"/>
                <w:szCs w:val="21"/>
                <w:highlight w:val="none"/>
                <w:lang w:val="en-US" w:eastAsia="zh-CN"/>
              </w:rPr>
            </w:pPr>
          </w:p>
        </w:tc>
        <w:tc>
          <w:tcPr>
            <w:tcW w:w="1951" w:type="dxa"/>
            <w:tcBorders>
              <w:top w:val="single" w:color="auto" w:sz="4" w:space="0"/>
              <w:left w:val="single" w:color="auto" w:sz="4" w:space="0"/>
              <w:bottom w:val="single" w:color="auto" w:sz="4" w:space="0"/>
              <w:right w:val="single" w:color="auto" w:sz="4" w:space="0"/>
            </w:tcBorders>
            <w:vAlign w:val="center"/>
          </w:tcPr>
          <w:p w14:paraId="773F1307">
            <w:pPr>
              <w:jc w:val="center"/>
              <w:rPr>
                <w:rFonts w:hint="default"/>
                <w:kern w:val="0"/>
                <w:sz w:val="21"/>
                <w:szCs w:val="21"/>
                <w:highlight w:val="none"/>
                <w:lang w:val="en-US" w:eastAsia="zh-CN"/>
              </w:rPr>
            </w:pPr>
          </w:p>
        </w:tc>
      </w:tr>
      <w:tr w14:paraId="4482B66C">
        <w:tblPrEx>
          <w:tblCellMar>
            <w:top w:w="0" w:type="dxa"/>
            <w:left w:w="108" w:type="dxa"/>
            <w:bottom w:w="0" w:type="dxa"/>
            <w:right w:w="108" w:type="dxa"/>
          </w:tblCellMar>
        </w:tblPrEx>
        <w:trPr>
          <w:trHeight w:val="397"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14:paraId="5D853009">
            <w:pPr>
              <w:widowControl/>
              <w:jc w:val="center"/>
              <w:rPr>
                <w:kern w:val="0"/>
                <w:sz w:val="21"/>
                <w:szCs w:val="21"/>
                <w:highlight w:val="none"/>
              </w:rPr>
            </w:pPr>
          </w:p>
        </w:tc>
        <w:tc>
          <w:tcPr>
            <w:tcW w:w="1808" w:type="dxa"/>
            <w:tcBorders>
              <w:top w:val="single" w:color="auto" w:sz="4" w:space="0"/>
              <w:left w:val="single" w:color="auto" w:sz="4" w:space="0"/>
              <w:bottom w:val="single" w:color="auto" w:sz="4" w:space="0"/>
              <w:right w:val="single" w:color="auto" w:sz="4" w:space="0"/>
            </w:tcBorders>
            <w:vAlign w:val="center"/>
          </w:tcPr>
          <w:p w14:paraId="0A3D1E85">
            <w:pPr>
              <w:widowControl/>
              <w:jc w:val="center"/>
              <w:rPr>
                <w:kern w:val="0"/>
                <w:sz w:val="21"/>
                <w:szCs w:val="21"/>
                <w:highlight w:val="none"/>
              </w:rPr>
            </w:pPr>
          </w:p>
        </w:tc>
        <w:tc>
          <w:tcPr>
            <w:tcW w:w="1032" w:type="dxa"/>
            <w:tcBorders>
              <w:top w:val="single" w:color="auto" w:sz="4" w:space="0"/>
              <w:left w:val="single" w:color="auto" w:sz="4" w:space="0"/>
              <w:bottom w:val="single" w:color="auto" w:sz="4" w:space="0"/>
              <w:right w:val="single" w:color="auto" w:sz="4" w:space="0"/>
            </w:tcBorders>
            <w:vAlign w:val="center"/>
          </w:tcPr>
          <w:p w14:paraId="6225E30F">
            <w:pPr>
              <w:widowControl/>
              <w:jc w:val="center"/>
              <w:rPr>
                <w:rFonts w:hint="eastAsia"/>
                <w:kern w:val="0"/>
                <w:sz w:val="21"/>
                <w:szCs w:val="21"/>
                <w:highlight w:val="none"/>
                <w:lang w:val="en-US" w:eastAsia="zh-CN"/>
              </w:rPr>
            </w:pPr>
          </w:p>
        </w:tc>
        <w:tc>
          <w:tcPr>
            <w:tcW w:w="1142" w:type="dxa"/>
            <w:tcBorders>
              <w:top w:val="single" w:color="auto" w:sz="4" w:space="0"/>
              <w:left w:val="single" w:color="auto" w:sz="4" w:space="0"/>
              <w:bottom w:val="single" w:color="auto" w:sz="4" w:space="0"/>
              <w:right w:val="single" w:color="auto" w:sz="4" w:space="0"/>
            </w:tcBorders>
            <w:vAlign w:val="center"/>
          </w:tcPr>
          <w:p w14:paraId="0C55D832">
            <w:pPr>
              <w:widowControl/>
              <w:jc w:val="center"/>
              <w:rPr>
                <w:rFonts w:hint="eastAsia"/>
                <w:kern w:val="0"/>
                <w:sz w:val="21"/>
                <w:szCs w:val="21"/>
                <w:highlight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14:paraId="5C4BF27F">
            <w:pPr>
              <w:widowControl/>
              <w:jc w:val="center"/>
              <w:rPr>
                <w:rFonts w:hint="eastAsia" w:cs="Times New Roman"/>
                <w:kern w:val="0"/>
                <w:sz w:val="21"/>
                <w:szCs w:val="21"/>
                <w:highlight w:val="none"/>
                <w:lang w:val="en-US" w:eastAsia="zh-CN" w:bidi="ar-SA"/>
              </w:rPr>
            </w:pPr>
          </w:p>
        </w:tc>
        <w:tc>
          <w:tcPr>
            <w:tcW w:w="1562" w:type="dxa"/>
            <w:tcBorders>
              <w:top w:val="single" w:color="auto" w:sz="4" w:space="0"/>
              <w:left w:val="single" w:color="auto" w:sz="4" w:space="0"/>
              <w:bottom w:val="single" w:color="auto" w:sz="4" w:space="0"/>
              <w:right w:val="single" w:color="auto" w:sz="4" w:space="0"/>
            </w:tcBorders>
            <w:vAlign w:val="center"/>
          </w:tcPr>
          <w:p w14:paraId="2C908502">
            <w:pPr>
              <w:widowControl/>
              <w:jc w:val="center"/>
              <w:rPr>
                <w:rFonts w:hint="eastAsia"/>
                <w:kern w:val="0"/>
                <w:sz w:val="21"/>
                <w:szCs w:val="21"/>
                <w:highlight w:val="none"/>
                <w:lang w:val="en-US" w:eastAsia="zh-CN"/>
              </w:rPr>
            </w:pPr>
          </w:p>
        </w:tc>
        <w:tc>
          <w:tcPr>
            <w:tcW w:w="1951" w:type="dxa"/>
            <w:tcBorders>
              <w:top w:val="single" w:color="auto" w:sz="4" w:space="0"/>
              <w:left w:val="single" w:color="auto" w:sz="4" w:space="0"/>
              <w:bottom w:val="single" w:color="auto" w:sz="4" w:space="0"/>
              <w:right w:val="single" w:color="auto" w:sz="4" w:space="0"/>
            </w:tcBorders>
            <w:vAlign w:val="center"/>
          </w:tcPr>
          <w:p w14:paraId="4FC3047B">
            <w:pPr>
              <w:jc w:val="center"/>
              <w:rPr>
                <w:rFonts w:hint="default"/>
                <w:kern w:val="0"/>
                <w:sz w:val="21"/>
                <w:szCs w:val="21"/>
                <w:highlight w:val="none"/>
                <w:lang w:val="en-US" w:eastAsia="zh-CN"/>
              </w:rPr>
            </w:pPr>
          </w:p>
        </w:tc>
      </w:tr>
      <w:tr w14:paraId="0F97C63D">
        <w:tblPrEx>
          <w:tblCellMar>
            <w:top w:w="0" w:type="dxa"/>
            <w:left w:w="108" w:type="dxa"/>
            <w:bottom w:w="0" w:type="dxa"/>
            <w:right w:w="108" w:type="dxa"/>
          </w:tblCellMar>
        </w:tblPrEx>
        <w:trPr>
          <w:trHeight w:val="397"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14:paraId="12F0D655">
            <w:pPr>
              <w:widowControl/>
              <w:jc w:val="center"/>
              <w:rPr>
                <w:kern w:val="0"/>
                <w:sz w:val="21"/>
                <w:szCs w:val="21"/>
                <w:highlight w:val="none"/>
              </w:rPr>
            </w:pPr>
          </w:p>
        </w:tc>
        <w:tc>
          <w:tcPr>
            <w:tcW w:w="1808" w:type="dxa"/>
            <w:tcBorders>
              <w:top w:val="single" w:color="auto" w:sz="4" w:space="0"/>
              <w:left w:val="single" w:color="auto" w:sz="4" w:space="0"/>
              <w:bottom w:val="single" w:color="auto" w:sz="4" w:space="0"/>
              <w:right w:val="single" w:color="auto" w:sz="4" w:space="0"/>
            </w:tcBorders>
            <w:vAlign w:val="center"/>
          </w:tcPr>
          <w:p w14:paraId="15AE28FA">
            <w:pPr>
              <w:widowControl/>
              <w:jc w:val="center"/>
              <w:rPr>
                <w:kern w:val="0"/>
                <w:sz w:val="21"/>
                <w:szCs w:val="21"/>
                <w:highlight w:val="none"/>
              </w:rPr>
            </w:pPr>
          </w:p>
        </w:tc>
        <w:tc>
          <w:tcPr>
            <w:tcW w:w="1032" w:type="dxa"/>
            <w:tcBorders>
              <w:top w:val="single" w:color="auto" w:sz="4" w:space="0"/>
              <w:left w:val="single" w:color="auto" w:sz="4" w:space="0"/>
              <w:bottom w:val="single" w:color="auto" w:sz="4" w:space="0"/>
              <w:right w:val="single" w:color="auto" w:sz="4" w:space="0"/>
            </w:tcBorders>
            <w:vAlign w:val="center"/>
          </w:tcPr>
          <w:p w14:paraId="5526E32F">
            <w:pPr>
              <w:widowControl/>
              <w:jc w:val="center"/>
              <w:rPr>
                <w:rFonts w:hint="eastAsia"/>
                <w:kern w:val="0"/>
                <w:sz w:val="21"/>
                <w:szCs w:val="21"/>
                <w:highlight w:val="none"/>
                <w:lang w:val="en-US" w:eastAsia="zh-CN"/>
              </w:rPr>
            </w:pPr>
          </w:p>
        </w:tc>
        <w:tc>
          <w:tcPr>
            <w:tcW w:w="1142" w:type="dxa"/>
            <w:tcBorders>
              <w:top w:val="single" w:color="auto" w:sz="4" w:space="0"/>
              <w:left w:val="single" w:color="auto" w:sz="4" w:space="0"/>
              <w:bottom w:val="single" w:color="auto" w:sz="4" w:space="0"/>
              <w:right w:val="single" w:color="auto" w:sz="4" w:space="0"/>
            </w:tcBorders>
            <w:vAlign w:val="center"/>
          </w:tcPr>
          <w:p w14:paraId="0B5BE360">
            <w:pPr>
              <w:widowControl/>
              <w:jc w:val="center"/>
              <w:rPr>
                <w:rFonts w:hint="eastAsia"/>
                <w:kern w:val="0"/>
                <w:sz w:val="21"/>
                <w:szCs w:val="21"/>
                <w:highlight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14:paraId="5EA2C9CE">
            <w:pPr>
              <w:widowControl/>
              <w:jc w:val="center"/>
              <w:rPr>
                <w:rFonts w:hint="eastAsia" w:cs="Times New Roman"/>
                <w:kern w:val="0"/>
                <w:sz w:val="21"/>
                <w:szCs w:val="21"/>
                <w:highlight w:val="none"/>
                <w:lang w:val="en-US" w:eastAsia="zh-CN" w:bidi="ar-SA"/>
              </w:rPr>
            </w:pPr>
          </w:p>
        </w:tc>
        <w:tc>
          <w:tcPr>
            <w:tcW w:w="1562" w:type="dxa"/>
            <w:tcBorders>
              <w:top w:val="single" w:color="auto" w:sz="4" w:space="0"/>
              <w:left w:val="single" w:color="auto" w:sz="4" w:space="0"/>
              <w:bottom w:val="single" w:color="auto" w:sz="4" w:space="0"/>
              <w:right w:val="single" w:color="auto" w:sz="4" w:space="0"/>
            </w:tcBorders>
            <w:vAlign w:val="center"/>
          </w:tcPr>
          <w:p w14:paraId="08676F86">
            <w:pPr>
              <w:widowControl/>
              <w:jc w:val="center"/>
              <w:rPr>
                <w:rFonts w:hint="eastAsia"/>
                <w:kern w:val="0"/>
                <w:sz w:val="21"/>
                <w:szCs w:val="21"/>
                <w:highlight w:val="none"/>
                <w:lang w:val="en-US" w:eastAsia="zh-CN"/>
              </w:rPr>
            </w:pPr>
          </w:p>
        </w:tc>
        <w:tc>
          <w:tcPr>
            <w:tcW w:w="1951" w:type="dxa"/>
            <w:tcBorders>
              <w:top w:val="single" w:color="auto" w:sz="4" w:space="0"/>
              <w:left w:val="single" w:color="auto" w:sz="4" w:space="0"/>
              <w:bottom w:val="single" w:color="auto" w:sz="4" w:space="0"/>
              <w:right w:val="single" w:color="auto" w:sz="4" w:space="0"/>
            </w:tcBorders>
            <w:vAlign w:val="center"/>
          </w:tcPr>
          <w:p w14:paraId="08B29F26">
            <w:pPr>
              <w:jc w:val="center"/>
              <w:rPr>
                <w:rFonts w:hint="default"/>
                <w:kern w:val="0"/>
                <w:sz w:val="21"/>
                <w:szCs w:val="21"/>
                <w:highlight w:val="none"/>
                <w:lang w:val="en-US" w:eastAsia="zh-CN"/>
              </w:rPr>
            </w:pPr>
          </w:p>
        </w:tc>
      </w:tr>
      <w:tr w14:paraId="5273732C">
        <w:tblPrEx>
          <w:tblCellMar>
            <w:top w:w="0" w:type="dxa"/>
            <w:left w:w="108" w:type="dxa"/>
            <w:bottom w:w="0" w:type="dxa"/>
            <w:right w:w="108" w:type="dxa"/>
          </w:tblCellMar>
        </w:tblPrEx>
        <w:trPr>
          <w:trHeight w:val="397"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14:paraId="225C3536">
            <w:pPr>
              <w:widowControl/>
              <w:jc w:val="center"/>
              <w:rPr>
                <w:kern w:val="0"/>
                <w:sz w:val="21"/>
                <w:szCs w:val="21"/>
                <w:highlight w:val="none"/>
              </w:rPr>
            </w:pPr>
          </w:p>
        </w:tc>
        <w:tc>
          <w:tcPr>
            <w:tcW w:w="1808" w:type="dxa"/>
            <w:tcBorders>
              <w:top w:val="single" w:color="auto" w:sz="4" w:space="0"/>
              <w:left w:val="single" w:color="auto" w:sz="4" w:space="0"/>
              <w:bottom w:val="single" w:color="auto" w:sz="4" w:space="0"/>
              <w:right w:val="single" w:color="auto" w:sz="4" w:space="0"/>
            </w:tcBorders>
            <w:vAlign w:val="center"/>
          </w:tcPr>
          <w:p w14:paraId="5877F4E7">
            <w:pPr>
              <w:widowControl/>
              <w:jc w:val="center"/>
              <w:rPr>
                <w:kern w:val="0"/>
                <w:sz w:val="21"/>
                <w:szCs w:val="21"/>
                <w:highlight w:val="none"/>
              </w:rPr>
            </w:pPr>
          </w:p>
        </w:tc>
        <w:tc>
          <w:tcPr>
            <w:tcW w:w="1032" w:type="dxa"/>
            <w:tcBorders>
              <w:top w:val="single" w:color="auto" w:sz="4" w:space="0"/>
              <w:left w:val="single" w:color="auto" w:sz="4" w:space="0"/>
              <w:bottom w:val="single" w:color="auto" w:sz="4" w:space="0"/>
              <w:right w:val="single" w:color="auto" w:sz="4" w:space="0"/>
            </w:tcBorders>
            <w:vAlign w:val="center"/>
          </w:tcPr>
          <w:p w14:paraId="7CE87904">
            <w:pPr>
              <w:widowControl/>
              <w:jc w:val="center"/>
              <w:rPr>
                <w:rFonts w:hint="eastAsia"/>
                <w:kern w:val="0"/>
                <w:sz w:val="21"/>
                <w:szCs w:val="21"/>
                <w:highlight w:val="none"/>
                <w:lang w:val="en-US" w:eastAsia="zh-CN"/>
              </w:rPr>
            </w:pPr>
          </w:p>
        </w:tc>
        <w:tc>
          <w:tcPr>
            <w:tcW w:w="1142" w:type="dxa"/>
            <w:tcBorders>
              <w:top w:val="single" w:color="auto" w:sz="4" w:space="0"/>
              <w:left w:val="single" w:color="auto" w:sz="4" w:space="0"/>
              <w:bottom w:val="single" w:color="auto" w:sz="4" w:space="0"/>
              <w:right w:val="single" w:color="auto" w:sz="4" w:space="0"/>
            </w:tcBorders>
            <w:vAlign w:val="center"/>
          </w:tcPr>
          <w:p w14:paraId="797B04F6">
            <w:pPr>
              <w:widowControl/>
              <w:jc w:val="center"/>
              <w:rPr>
                <w:rFonts w:hint="eastAsia"/>
                <w:kern w:val="0"/>
                <w:sz w:val="21"/>
                <w:szCs w:val="21"/>
                <w:highlight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14:paraId="55B06D89">
            <w:pPr>
              <w:widowControl/>
              <w:jc w:val="center"/>
              <w:rPr>
                <w:rFonts w:hint="eastAsia" w:cs="Times New Roman"/>
                <w:kern w:val="0"/>
                <w:sz w:val="21"/>
                <w:szCs w:val="21"/>
                <w:highlight w:val="none"/>
                <w:lang w:val="en-US" w:eastAsia="zh-CN" w:bidi="ar-SA"/>
              </w:rPr>
            </w:pPr>
          </w:p>
        </w:tc>
        <w:tc>
          <w:tcPr>
            <w:tcW w:w="1562" w:type="dxa"/>
            <w:tcBorders>
              <w:top w:val="single" w:color="auto" w:sz="4" w:space="0"/>
              <w:left w:val="single" w:color="auto" w:sz="4" w:space="0"/>
              <w:bottom w:val="single" w:color="auto" w:sz="4" w:space="0"/>
              <w:right w:val="single" w:color="auto" w:sz="4" w:space="0"/>
            </w:tcBorders>
            <w:vAlign w:val="center"/>
          </w:tcPr>
          <w:p w14:paraId="3CD95E1C">
            <w:pPr>
              <w:widowControl/>
              <w:jc w:val="center"/>
              <w:rPr>
                <w:rFonts w:hint="eastAsia"/>
                <w:kern w:val="0"/>
                <w:sz w:val="21"/>
                <w:szCs w:val="21"/>
                <w:highlight w:val="none"/>
                <w:lang w:val="en-US" w:eastAsia="zh-CN"/>
              </w:rPr>
            </w:pPr>
          </w:p>
        </w:tc>
        <w:tc>
          <w:tcPr>
            <w:tcW w:w="1951" w:type="dxa"/>
            <w:tcBorders>
              <w:top w:val="single" w:color="auto" w:sz="4" w:space="0"/>
              <w:left w:val="single" w:color="auto" w:sz="4" w:space="0"/>
              <w:bottom w:val="single" w:color="auto" w:sz="4" w:space="0"/>
              <w:right w:val="single" w:color="auto" w:sz="4" w:space="0"/>
            </w:tcBorders>
            <w:vAlign w:val="center"/>
          </w:tcPr>
          <w:p w14:paraId="3DD8F313">
            <w:pPr>
              <w:jc w:val="center"/>
              <w:rPr>
                <w:rFonts w:hint="default"/>
                <w:kern w:val="0"/>
                <w:sz w:val="21"/>
                <w:szCs w:val="21"/>
                <w:highlight w:val="none"/>
                <w:lang w:val="en-US" w:eastAsia="zh-CN"/>
              </w:rPr>
            </w:pPr>
          </w:p>
        </w:tc>
      </w:tr>
      <w:tr w14:paraId="1AF72B44">
        <w:tblPrEx>
          <w:tblCellMar>
            <w:top w:w="0" w:type="dxa"/>
            <w:left w:w="108" w:type="dxa"/>
            <w:bottom w:w="0" w:type="dxa"/>
            <w:right w:w="108" w:type="dxa"/>
          </w:tblCellMar>
        </w:tblPrEx>
        <w:trPr>
          <w:trHeight w:val="397"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14:paraId="2450E87E">
            <w:pPr>
              <w:widowControl/>
              <w:jc w:val="center"/>
              <w:rPr>
                <w:kern w:val="0"/>
                <w:sz w:val="21"/>
                <w:szCs w:val="21"/>
                <w:highlight w:val="none"/>
              </w:rPr>
            </w:pPr>
          </w:p>
        </w:tc>
        <w:tc>
          <w:tcPr>
            <w:tcW w:w="1808" w:type="dxa"/>
            <w:tcBorders>
              <w:top w:val="single" w:color="auto" w:sz="4" w:space="0"/>
              <w:left w:val="single" w:color="auto" w:sz="4" w:space="0"/>
              <w:bottom w:val="single" w:color="auto" w:sz="4" w:space="0"/>
              <w:right w:val="single" w:color="auto" w:sz="4" w:space="0"/>
            </w:tcBorders>
            <w:vAlign w:val="center"/>
          </w:tcPr>
          <w:p w14:paraId="6F124C72">
            <w:pPr>
              <w:widowControl/>
              <w:jc w:val="center"/>
              <w:rPr>
                <w:kern w:val="0"/>
                <w:sz w:val="21"/>
                <w:szCs w:val="21"/>
                <w:highlight w:val="none"/>
              </w:rPr>
            </w:pPr>
          </w:p>
        </w:tc>
        <w:tc>
          <w:tcPr>
            <w:tcW w:w="1032" w:type="dxa"/>
            <w:tcBorders>
              <w:top w:val="single" w:color="auto" w:sz="4" w:space="0"/>
              <w:left w:val="single" w:color="auto" w:sz="4" w:space="0"/>
              <w:bottom w:val="single" w:color="auto" w:sz="4" w:space="0"/>
              <w:right w:val="single" w:color="auto" w:sz="4" w:space="0"/>
            </w:tcBorders>
            <w:vAlign w:val="center"/>
          </w:tcPr>
          <w:p w14:paraId="4F6675F5">
            <w:pPr>
              <w:widowControl/>
              <w:jc w:val="center"/>
              <w:rPr>
                <w:rFonts w:hint="eastAsia"/>
                <w:kern w:val="0"/>
                <w:sz w:val="21"/>
                <w:szCs w:val="21"/>
                <w:highlight w:val="none"/>
                <w:lang w:val="en-US" w:eastAsia="zh-CN"/>
              </w:rPr>
            </w:pPr>
          </w:p>
        </w:tc>
        <w:tc>
          <w:tcPr>
            <w:tcW w:w="1142" w:type="dxa"/>
            <w:tcBorders>
              <w:top w:val="single" w:color="auto" w:sz="4" w:space="0"/>
              <w:left w:val="single" w:color="auto" w:sz="4" w:space="0"/>
              <w:bottom w:val="single" w:color="auto" w:sz="4" w:space="0"/>
              <w:right w:val="single" w:color="auto" w:sz="4" w:space="0"/>
            </w:tcBorders>
            <w:vAlign w:val="center"/>
          </w:tcPr>
          <w:p w14:paraId="0BCEADAF">
            <w:pPr>
              <w:widowControl/>
              <w:jc w:val="center"/>
              <w:rPr>
                <w:rFonts w:hint="eastAsia"/>
                <w:kern w:val="0"/>
                <w:sz w:val="21"/>
                <w:szCs w:val="21"/>
                <w:highlight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14:paraId="12207EFF">
            <w:pPr>
              <w:widowControl/>
              <w:jc w:val="center"/>
              <w:rPr>
                <w:rFonts w:hint="eastAsia" w:cs="Times New Roman"/>
                <w:kern w:val="0"/>
                <w:sz w:val="21"/>
                <w:szCs w:val="21"/>
                <w:highlight w:val="none"/>
                <w:lang w:val="en-US" w:eastAsia="zh-CN" w:bidi="ar-SA"/>
              </w:rPr>
            </w:pPr>
          </w:p>
        </w:tc>
        <w:tc>
          <w:tcPr>
            <w:tcW w:w="1562" w:type="dxa"/>
            <w:tcBorders>
              <w:top w:val="single" w:color="auto" w:sz="4" w:space="0"/>
              <w:left w:val="single" w:color="auto" w:sz="4" w:space="0"/>
              <w:bottom w:val="single" w:color="auto" w:sz="4" w:space="0"/>
              <w:right w:val="single" w:color="auto" w:sz="4" w:space="0"/>
            </w:tcBorders>
            <w:vAlign w:val="center"/>
          </w:tcPr>
          <w:p w14:paraId="56D87042">
            <w:pPr>
              <w:widowControl/>
              <w:jc w:val="center"/>
              <w:rPr>
                <w:rFonts w:hint="eastAsia"/>
                <w:kern w:val="0"/>
                <w:sz w:val="21"/>
                <w:szCs w:val="21"/>
                <w:highlight w:val="none"/>
                <w:lang w:val="en-US" w:eastAsia="zh-CN"/>
              </w:rPr>
            </w:pPr>
          </w:p>
        </w:tc>
        <w:tc>
          <w:tcPr>
            <w:tcW w:w="1951" w:type="dxa"/>
            <w:tcBorders>
              <w:top w:val="single" w:color="auto" w:sz="4" w:space="0"/>
              <w:left w:val="single" w:color="auto" w:sz="4" w:space="0"/>
              <w:bottom w:val="single" w:color="auto" w:sz="4" w:space="0"/>
              <w:right w:val="single" w:color="auto" w:sz="4" w:space="0"/>
            </w:tcBorders>
            <w:vAlign w:val="center"/>
          </w:tcPr>
          <w:p w14:paraId="3A0F6487">
            <w:pPr>
              <w:jc w:val="center"/>
              <w:rPr>
                <w:rFonts w:hint="default"/>
                <w:kern w:val="0"/>
                <w:sz w:val="21"/>
                <w:szCs w:val="21"/>
                <w:highlight w:val="none"/>
                <w:lang w:val="en-US" w:eastAsia="zh-CN"/>
              </w:rPr>
            </w:pPr>
          </w:p>
        </w:tc>
      </w:tr>
      <w:tr w14:paraId="5406B84C">
        <w:tblPrEx>
          <w:tblCellMar>
            <w:top w:w="0" w:type="dxa"/>
            <w:left w:w="108" w:type="dxa"/>
            <w:bottom w:w="0" w:type="dxa"/>
            <w:right w:w="108" w:type="dxa"/>
          </w:tblCellMar>
        </w:tblPrEx>
        <w:trPr>
          <w:trHeight w:val="397"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14:paraId="79C45547">
            <w:pPr>
              <w:widowControl/>
              <w:jc w:val="center"/>
              <w:rPr>
                <w:kern w:val="0"/>
                <w:sz w:val="21"/>
                <w:szCs w:val="21"/>
                <w:highlight w:val="none"/>
              </w:rPr>
            </w:pPr>
          </w:p>
        </w:tc>
        <w:tc>
          <w:tcPr>
            <w:tcW w:w="1808" w:type="dxa"/>
            <w:tcBorders>
              <w:top w:val="single" w:color="auto" w:sz="4" w:space="0"/>
              <w:left w:val="single" w:color="auto" w:sz="4" w:space="0"/>
              <w:bottom w:val="single" w:color="auto" w:sz="4" w:space="0"/>
              <w:right w:val="single" w:color="auto" w:sz="4" w:space="0"/>
            </w:tcBorders>
            <w:vAlign w:val="center"/>
          </w:tcPr>
          <w:p w14:paraId="404F16FB">
            <w:pPr>
              <w:widowControl/>
              <w:jc w:val="center"/>
              <w:rPr>
                <w:kern w:val="0"/>
                <w:sz w:val="21"/>
                <w:szCs w:val="21"/>
                <w:highlight w:val="none"/>
              </w:rPr>
            </w:pPr>
          </w:p>
        </w:tc>
        <w:tc>
          <w:tcPr>
            <w:tcW w:w="1032" w:type="dxa"/>
            <w:tcBorders>
              <w:top w:val="single" w:color="auto" w:sz="4" w:space="0"/>
              <w:left w:val="single" w:color="auto" w:sz="4" w:space="0"/>
              <w:bottom w:val="single" w:color="auto" w:sz="4" w:space="0"/>
              <w:right w:val="single" w:color="auto" w:sz="4" w:space="0"/>
            </w:tcBorders>
            <w:vAlign w:val="center"/>
          </w:tcPr>
          <w:p w14:paraId="12CF5FF6">
            <w:pPr>
              <w:widowControl/>
              <w:jc w:val="center"/>
              <w:rPr>
                <w:rFonts w:hint="eastAsia"/>
                <w:kern w:val="0"/>
                <w:sz w:val="21"/>
                <w:szCs w:val="21"/>
                <w:highlight w:val="none"/>
                <w:lang w:val="en-US" w:eastAsia="zh-CN"/>
              </w:rPr>
            </w:pPr>
          </w:p>
        </w:tc>
        <w:tc>
          <w:tcPr>
            <w:tcW w:w="1142" w:type="dxa"/>
            <w:tcBorders>
              <w:top w:val="single" w:color="auto" w:sz="4" w:space="0"/>
              <w:left w:val="single" w:color="auto" w:sz="4" w:space="0"/>
              <w:bottom w:val="single" w:color="auto" w:sz="4" w:space="0"/>
              <w:right w:val="single" w:color="auto" w:sz="4" w:space="0"/>
            </w:tcBorders>
            <w:vAlign w:val="center"/>
          </w:tcPr>
          <w:p w14:paraId="37630644">
            <w:pPr>
              <w:widowControl/>
              <w:jc w:val="center"/>
              <w:rPr>
                <w:rFonts w:hint="eastAsia"/>
                <w:kern w:val="0"/>
                <w:sz w:val="21"/>
                <w:szCs w:val="21"/>
                <w:highlight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14:paraId="0EBB70EB">
            <w:pPr>
              <w:widowControl/>
              <w:jc w:val="center"/>
              <w:rPr>
                <w:rFonts w:hint="eastAsia" w:cs="Times New Roman"/>
                <w:kern w:val="0"/>
                <w:sz w:val="21"/>
                <w:szCs w:val="21"/>
                <w:highlight w:val="none"/>
                <w:lang w:val="en-US" w:eastAsia="zh-CN" w:bidi="ar-SA"/>
              </w:rPr>
            </w:pPr>
          </w:p>
        </w:tc>
        <w:tc>
          <w:tcPr>
            <w:tcW w:w="1562" w:type="dxa"/>
            <w:tcBorders>
              <w:top w:val="single" w:color="auto" w:sz="4" w:space="0"/>
              <w:left w:val="single" w:color="auto" w:sz="4" w:space="0"/>
              <w:bottom w:val="single" w:color="auto" w:sz="4" w:space="0"/>
              <w:right w:val="single" w:color="auto" w:sz="4" w:space="0"/>
            </w:tcBorders>
            <w:vAlign w:val="center"/>
          </w:tcPr>
          <w:p w14:paraId="1E5D83FF">
            <w:pPr>
              <w:widowControl/>
              <w:jc w:val="center"/>
              <w:rPr>
                <w:rFonts w:hint="eastAsia"/>
                <w:kern w:val="0"/>
                <w:sz w:val="21"/>
                <w:szCs w:val="21"/>
                <w:highlight w:val="none"/>
                <w:lang w:val="en-US" w:eastAsia="zh-CN"/>
              </w:rPr>
            </w:pPr>
          </w:p>
        </w:tc>
        <w:tc>
          <w:tcPr>
            <w:tcW w:w="1951" w:type="dxa"/>
            <w:tcBorders>
              <w:top w:val="single" w:color="auto" w:sz="4" w:space="0"/>
              <w:left w:val="single" w:color="auto" w:sz="4" w:space="0"/>
              <w:bottom w:val="single" w:color="auto" w:sz="4" w:space="0"/>
              <w:right w:val="single" w:color="auto" w:sz="4" w:space="0"/>
            </w:tcBorders>
            <w:vAlign w:val="center"/>
          </w:tcPr>
          <w:p w14:paraId="5880182A">
            <w:pPr>
              <w:jc w:val="center"/>
              <w:rPr>
                <w:rFonts w:hint="default"/>
                <w:kern w:val="0"/>
                <w:sz w:val="21"/>
                <w:szCs w:val="21"/>
                <w:highlight w:val="none"/>
                <w:lang w:val="en-US" w:eastAsia="zh-CN"/>
              </w:rPr>
            </w:pPr>
          </w:p>
        </w:tc>
      </w:tr>
      <w:tr w14:paraId="53955ADF">
        <w:tblPrEx>
          <w:tblCellMar>
            <w:top w:w="0" w:type="dxa"/>
            <w:left w:w="108" w:type="dxa"/>
            <w:bottom w:w="0" w:type="dxa"/>
            <w:right w:w="108" w:type="dxa"/>
          </w:tblCellMar>
        </w:tblPrEx>
        <w:trPr>
          <w:trHeight w:val="397"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14:paraId="502142E8">
            <w:pPr>
              <w:widowControl/>
              <w:jc w:val="center"/>
              <w:rPr>
                <w:kern w:val="0"/>
                <w:sz w:val="21"/>
                <w:szCs w:val="21"/>
                <w:highlight w:val="none"/>
              </w:rPr>
            </w:pPr>
          </w:p>
        </w:tc>
        <w:tc>
          <w:tcPr>
            <w:tcW w:w="1808" w:type="dxa"/>
            <w:tcBorders>
              <w:top w:val="single" w:color="auto" w:sz="4" w:space="0"/>
              <w:left w:val="single" w:color="auto" w:sz="4" w:space="0"/>
              <w:bottom w:val="single" w:color="auto" w:sz="4" w:space="0"/>
              <w:right w:val="single" w:color="auto" w:sz="4" w:space="0"/>
            </w:tcBorders>
            <w:vAlign w:val="center"/>
          </w:tcPr>
          <w:p w14:paraId="1D1D3DB4">
            <w:pPr>
              <w:widowControl/>
              <w:jc w:val="center"/>
              <w:rPr>
                <w:kern w:val="0"/>
                <w:sz w:val="21"/>
                <w:szCs w:val="21"/>
                <w:highlight w:val="none"/>
              </w:rPr>
            </w:pPr>
          </w:p>
        </w:tc>
        <w:tc>
          <w:tcPr>
            <w:tcW w:w="1032" w:type="dxa"/>
            <w:tcBorders>
              <w:top w:val="single" w:color="auto" w:sz="4" w:space="0"/>
              <w:left w:val="single" w:color="auto" w:sz="4" w:space="0"/>
              <w:bottom w:val="single" w:color="auto" w:sz="4" w:space="0"/>
              <w:right w:val="single" w:color="auto" w:sz="4" w:space="0"/>
            </w:tcBorders>
            <w:vAlign w:val="center"/>
          </w:tcPr>
          <w:p w14:paraId="467FDEAF">
            <w:pPr>
              <w:widowControl/>
              <w:jc w:val="center"/>
              <w:rPr>
                <w:rFonts w:hint="eastAsia"/>
                <w:kern w:val="0"/>
                <w:sz w:val="21"/>
                <w:szCs w:val="21"/>
                <w:highlight w:val="none"/>
                <w:lang w:val="en-US" w:eastAsia="zh-CN"/>
              </w:rPr>
            </w:pPr>
          </w:p>
        </w:tc>
        <w:tc>
          <w:tcPr>
            <w:tcW w:w="1142" w:type="dxa"/>
            <w:tcBorders>
              <w:top w:val="single" w:color="auto" w:sz="4" w:space="0"/>
              <w:left w:val="single" w:color="auto" w:sz="4" w:space="0"/>
              <w:bottom w:val="single" w:color="auto" w:sz="4" w:space="0"/>
              <w:right w:val="single" w:color="auto" w:sz="4" w:space="0"/>
            </w:tcBorders>
            <w:vAlign w:val="center"/>
          </w:tcPr>
          <w:p w14:paraId="43B513DD">
            <w:pPr>
              <w:widowControl/>
              <w:jc w:val="center"/>
              <w:rPr>
                <w:rFonts w:hint="eastAsia"/>
                <w:kern w:val="0"/>
                <w:sz w:val="21"/>
                <w:szCs w:val="21"/>
                <w:highlight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14:paraId="28729AD6">
            <w:pPr>
              <w:widowControl/>
              <w:jc w:val="center"/>
              <w:rPr>
                <w:rFonts w:hint="eastAsia" w:cs="Times New Roman"/>
                <w:kern w:val="0"/>
                <w:sz w:val="21"/>
                <w:szCs w:val="21"/>
                <w:highlight w:val="none"/>
                <w:lang w:val="en-US" w:eastAsia="zh-CN" w:bidi="ar-SA"/>
              </w:rPr>
            </w:pPr>
          </w:p>
        </w:tc>
        <w:tc>
          <w:tcPr>
            <w:tcW w:w="1562" w:type="dxa"/>
            <w:tcBorders>
              <w:top w:val="single" w:color="auto" w:sz="4" w:space="0"/>
              <w:left w:val="single" w:color="auto" w:sz="4" w:space="0"/>
              <w:bottom w:val="single" w:color="auto" w:sz="4" w:space="0"/>
              <w:right w:val="single" w:color="auto" w:sz="4" w:space="0"/>
            </w:tcBorders>
            <w:vAlign w:val="center"/>
          </w:tcPr>
          <w:p w14:paraId="0332D8BB">
            <w:pPr>
              <w:widowControl/>
              <w:jc w:val="center"/>
              <w:rPr>
                <w:rFonts w:hint="eastAsia"/>
                <w:kern w:val="0"/>
                <w:sz w:val="21"/>
                <w:szCs w:val="21"/>
                <w:highlight w:val="none"/>
                <w:lang w:val="en-US" w:eastAsia="zh-CN"/>
              </w:rPr>
            </w:pPr>
          </w:p>
        </w:tc>
        <w:tc>
          <w:tcPr>
            <w:tcW w:w="1951" w:type="dxa"/>
            <w:tcBorders>
              <w:top w:val="single" w:color="auto" w:sz="4" w:space="0"/>
              <w:left w:val="single" w:color="auto" w:sz="4" w:space="0"/>
              <w:bottom w:val="single" w:color="auto" w:sz="4" w:space="0"/>
              <w:right w:val="single" w:color="auto" w:sz="4" w:space="0"/>
            </w:tcBorders>
            <w:vAlign w:val="center"/>
          </w:tcPr>
          <w:p w14:paraId="5480C498">
            <w:pPr>
              <w:jc w:val="center"/>
              <w:rPr>
                <w:rFonts w:hint="default"/>
                <w:kern w:val="0"/>
                <w:sz w:val="21"/>
                <w:szCs w:val="21"/>
                <w:highlight w:val="none"/>
                <w:lang w:val="en-US" w:eastAsia="zh-CN"/>
              </w:rPr>
            </w:pPr>
          </w:p>
        </w:tc>
      </w:tr>
      <w:tr w14:paraId="4D6D1636">
        <w:tblPrEx>
          <w:tblCellMar>
            <w:top w:w="0" w:type="dxa"/>
            <w:left w:w="108" w:type="dxa"/>
            <w:bottom w:w="0" w:type="dxa"/>
            <w:right w:w="108" w:type="dxa"/>
          </w:tblCellMar>
        </w:tblPrEx>
        <w:trPr>
          <w:trHeight w:val="397"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14:paraId="6D48CDEE">
            <w:pPr>
              <w:widowControl/>
              <w:jc w:val="center"/>
              <w:rPr>
                <w:kern w:val="0"/>
                <w:sz w:val="21"/>
                <w:szCs w:val="21"/>
                <w:highlight w:val="none"/>
              </w:rPr>
            </w:pPr>
          </w:p>
        </w:tc>
        <w:tc>
          <w:tcPr>
            <w:tcW w:w="1808" w:type="dxa"/>
            <w:tcBorders>
              <w:top w:val="single" w:color="auto" w:sz="4" w:space="0"/>
              <w:left w:val="single" w:color="auto" w:sz="4" w:space="0"/>
              <w:bottom w:val="single" w:color="auto" w:sz="4" w:space="0"/>
              <w:right w:val="single" w:color="auto" w:sz="4" w:space="0"/>
            </w:tcBorders>
            <w:vAlign w:val="center"/>
          </w:tcPr>
          <w:p w14:paraId="27081A0B">
            <w:pPr>
              <w:widowControl/>
              <w:jc w:val="center"/>
              <w:rPr>
                <w:kern w:val="0"/>
                <w:sz w:val="21"/>
                <w:szCs w:val="21"/>
                <w:highlight w:val="none"/>
              </w:rPr>
            </w:pPr>
          </w:p>
        </w:tc>
        <w:tc>
          <w:tcPr>
            <w:tcW w:w="1032" w:type="dxa"/>
            <w:tcBorders>
              <w:top w:val="single" w:color="auto" w:sz="4" w:space="0"/>
              <w:left w:val="single" w:color="auto" w:sz="4" w:space="0"/>
              <w:bottom w:val="single" w:color="auto" w:sz="4" w:space="0"/>
              <w:right w:val="single" w:color="auto" w:sz="4" w:space="0"/>
            </w:tcBorders>
            <w:vAlign w:val="center"/>
          </w:tcPr>
          <w:p w14:paraId="15C1C609">
            <w:pPr>
              <w:widowControl/>
              <w:jc w:val="center"/>
              <w:rPr>
                <w:rFonts w:hint="eastAsia"/>
                <w:kern w:val="0"/>
                <w:sz w:val="21"/>
                <w:szCs w:val="21"/>
                <w:highlight w:val="none"/>
                <w:lang w:val="en-US" w:eastAsia="zh-CN"/>
              </w:rPr>
            </w:pPr>
          </w:p>
        </w:tc>
        <w:tc>
          <w:tcPr>
            <w:tcW w:w="1142" w:type="dxa"/>
            <w:tcBorders>
              <w:top w:val="single" w:color="auto" w:sz="4" w:space="0"/>
              <w:left w:val="single" w:color="auto" w:sz="4" w:space="0"/>
              <w:bottom w:val="single" w:color="auto" w:sz="4" w:space="0"/>
              <w:right w:val="single" w:color="auto" w:sz="4" w:space="0"/>
            </w:tcBorders>
            <w:vAlign w:val="center"/>
          </w:tcPr>
          <w:p w14:paraId="4383AE47">
            <w:pPr>
              <w:widowControl/>
              <w:jc w:val="center"/>
              <w:rPr>
                <w:rFonts w:hint="eastAsia"/>
                <w:kern w:val="0"/>
                <w:sz w:val="21"/>
                <w:szCs w:val="21"/>
                <w:highlight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14:paraId="5EFF0ACF">
            <w:pPr>
              <w:widowControl/>
              <w:jc w:val="center"/>
              <w:rPr>
                <w:rFonts w:hint="eastAsia" w:cs="Times New Roman"/>
                <w:kern w:val="0"/>
                <w:sz w:val="21"/>
                <w:szCs w:val="21"/>
                <w:highlight w:val="none"/>
                <w:lang w:val="en-US" w:eastAsia="zh-CN" w:bidi="ar-SA"/>
              </w:rPr>
            </w:pPr>
          </w:p>
        </w:tc>
        <w:tc>
          <w:tcPr>
            <w:tcW w:w="1562" w:type="dxa"/>
            <w:tcBorders>
              <w:top w:val="single" w:color="auto" w:sz="4" w:space="0"/>
              <w:left w:val="single" w:color="auto" w:sz="4" w:space="0"/>
              <w:bottom w:val="single" w:color="auto" w:sz="4" w:space="0"/>
              <w:right w:val="single" w:color="auto" w:sz="4" w:space="0"/>
            </w:tcBorders>
            <w:vAlign w:val="center"/>
          </w:tcPr>
          <w:p w14:paraId="48020896">
            <w:pPr>
              <w:widowControl/>
              <w:jc w:val="center"/>
              <w:rPr>
                <w:rFonts w:hint="eastAsia"/>
                <w:kern w:val="0"/>
                <w:sz w:val="21"/>
                <w:szCs w:val="21"/>
                <w:highlight w:val="none"/>
                <w:lang w:val="en-US" w:eastAsia="zh-CN"/>
              </w:rPr>
            </w:pPr>
          </w:p>
        </w:tc>
        <w:tc>
          <w:tcPr>
            <w:tcW w:w="1951" w:type="dxa"/>
            <w:tcBorders>
              <w:top w:val="single" w:color="auto" w:sz="4" w:space="0"/>
              <w:left w:val="single" w:color="auto" w:sz="4" w:space="0"/>
              <w:bottom w:val="single" w:color="auto" w:sz="4" w:space="0"/>
              <w:right w:val="single" w:color="auto" w:sz="4" w:space="0"/>
            </w:tcBorders>
            <w:vAlign w:val="center"/>
          </w:tcPr>
          <w:p w14:paraId="5CB7DDF2">
            <w:pPr>
              <w:jc w:val="center"/>
              <w:rPr>
                <w:rFonts w:hint="default"/>
                <w:kern w:val="0"/>
                <w:sz w:val="21"/>
                <w:szCs w:val="21"/>
                <w:highlight w:val="none"/>
                <w:lang w:val="en-US" w:eastAsia="zh-CN"/>
              </w:rPr>
            </w:pPr>
          </w:p>
        </w:tc>
      </w:tr>
      <w:tr w14:paraId="263E44C0">
        <w:tblPrEx>
          <w:tblCellMar>
            <w:top w:w="0" w:type="dxa"/>
            <w:left w:w="108" w:type="dxa"/>
            <w:bottom w:w="0" w:type="dxa"/>
            <w:right w:w="108" w:type="dxa"/>
          </w:tblCellMar>
        </w:tblPrEx>
        <w:trPr>
          <w:trHeight w:val="397"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14:paraId="2E832B74">
            <w:pPr>
              <w:widowControl/>
              <w:jc w:val="center"/>
              <w:rPr>
                <w:kern w:val="0"/>
                <w:sz w:val="21"/>
                <w:szCs w:val="21"/>
                <w:highlight w:val="none"/>
              </w:rPr>
            </w:pPr>
          </w:p>
        </w:tc>
        <w:tc>
          <w:tcPr>
            <w:tcW w:w="1808" w:type="dxa"/>
            <w:tcBorders>
              <w:top w:val="single" w:color="auto" w:sz="4" w:space="0"/>
              <w:left w:val="single" w:color="auto" w:sz="4" w:space="0"/>
              <w:bottom w:val="single" w:color="auto" w:sz="4" w:space="0"/>
              <w:right w:val="single" w:color="auto" w:sz="4" w:space="0"/>
            </w:tcBorders>
            <w:vAlign w:val="center"/>
          </w:tcPr>
          <w:p w14:paraId="7964BBBE">
            <w:pPr>
              <w:widowControl/>
              <w:jc w:val="center"/>
              <w:rPr>
                <w:kern w:val="0"/>
                <w:sz w:val="21"/>
                <w:szCs w:val="21"/>
                <w:highlight w:val="none"/>
              </w:rPr>
            </w:pPr>
          </w:p>
        </w:tc>
        <w:tc>
          <w:tcPr>
            <w:tcW w:w="1032" w:type="dxa"/>
            <w:tcBorders>
              <w:top w:val="single" w:color="auto" w:sz="4" w:space="0"/>
              <w:left w:val="single" w:color="auto" w:sz="4" w:space="0"/>
              <w:bottom w:val="single" w:color="auto" w:sz="4" w:space="0"/>
              <w:right w:val="single" w:color="auto" w:sz="4" w:space="0"/>
            </w:tcBorders>
            <w:vAlign w:val="center"/>
          </w:tcPr>
          <w:p w14:paraId="6C82FEB5">
            <w:pPr>
              <w:widowControl/>
              <w:jc w:val="center"/>
              <w:rPr>
                <w:rFonts w:hint="eastAsia"/>
                <w:kern w:val="0"/>
                <w:sz w:val="21"/>
                <w:szCs w:val="21"/>
                <w:highlight w:val="none"/>
                <w:lang w:val="en-US" w:eastAsia="zh-CN"/>
              </w:rPr>
            </w:pPr>
          </w:p>
        </w:tc>
        <w:tc>
          <w:tcPr>
            <w:tcW w:w="1142" w:type="dxa"/>
            <w:tcBorders>
              <w:top w:val="single" w:color="auto" w:sz="4" w:space="0"/>
              <w:left w:val="single" w:color="auto" w:sz="4" w:space="0"/>
              <w:bottom w:val="single" w:color="auto" w:sz="4" w:space="0"/>
              <w:right w:val="single" w:color="auto" w:sz="4" w:space="0"/>
            </w:tcBorders>
            <w:vAlign w:val="center"/>
          </w:tcPr>
          <w:p w14:paraId="47C73560">
            <w:pPr>
              <w:widowControl/>
              <w:jc w:val="center"/>
              <w:rPr>
                <w:rFonts w:hint="eastAsia"/>
                <w:kern w:val="0"/>
                <w:sz w:val="21"/>
                <w:szCs w:val="21"/>
                <w:highlight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14:paraId="4E93625F">
            <w:pPr>
              <w:widowControl/>
              <w:jc w:val="center"/>
              <w:rPr>
                <w:rFonts w:hint="eastAsia" w:cs="Times New Roman"/>
                <w:kern w:val="0"/>
                <w:sz w:val="21"/>
                <w:szCs w:val="21"/>
                <w:highlight w:val="none"/>
                <w:lang w:val="en-US" w:eastAsia="zh-CN" w:bidi="ar-SA"/>
              </w:rPr>
            </w:pPr>
          </w:p>
        </w:tc>
        <w:tc>
          <w:tcPr>
            <w:tcW w:w="1562" w:type="dxa"/>
            <w:tcBorders>
              <w:top w:val="single" w:color="auto" w:sz="4" w:space="0"/>
              <w:left w:val="single" w:color="auto" w:sz="4" w:space="0"/>
              <w:bottom w:val="single" w:color="auto" w:sz="4" w:space="0"/>
              <w:right w:val="single" w:color="auto" w:sz="4" w:space="0"/>
            </w:tcBorders>
            <w:vAlign w:val="center"/>
          </w:tcPr>
          <w:p w14:paraId="39C071F8">
            <w:pPr>
              <w:widowControl/>
              <w:jc w:val="center"/>
              <w:rPr>
                <w:rFonts w:hint="eastAsia"/>
                <w:kern w:val="0"/>
                <w:sz w:val="21"/>
                <w:szCs w:val="21"/>
                <w:highlight w:val="none"/>
                <w:lang w:val="en-US" w:eastAsia="zh-CN"/>
              </w:rPr>
            </w:pPr>
          </w:p>
        </w:tc>
        <w:tc>
          <w:tcPr>
            <w:tcW w:w="1951" w:type="dxa"/>
            <w:tcBorders>
              <w:top w:val="single" w:color="auto" w:sz="4" w:space="0"/>
              <w:left w:val="single" w:color="auto" w:sz="4" w:space="0"/>
              <w:bottom w:val="single" w:color="auto" w:sz="4" w:space="0"/>
              <w:right w:val="single" w:color="auto" w:sz="4" w:space="0"/>
            </w:tcBorders>
            <w:vAlign w:val="center"/>
          </w:tcPr>
          <w:p w14:paraId="1F523A9A">
            <w:pPr>
              <w:jc w:val="center"/>
              <w:rPr>
                <w:rFonts w:hint="default"/>
                <w:kern w:val="0"/>
                <w:sz w:val="21"/>
                <w:szCs w:val="21"/>
                <w:highlight w:val="none"/>
                <w:lang w:val="en-US" w:eastAsia="zh-CN"/>
              </w:rPr>
            </w:pPr>
          </w:p>
        </w:tc>
      </w:tr>
      <w:tr w14:paraId="4F9704C0">
        <w:tblPrEx>
          <w:tblCellMar>
            <w:top w:w="0" w:type="dxa"/>
            <w:left w:w="108" w:type="dxa"/>
            <w:bottom w:w="0" w:type="dxa"/>
            <w:right w:w="108" w:type="dxa"/>
          </w:tblCellMar>
        </w:tblPrEx>
        <w:trPr>
          <w:trHeight w:val="397"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14:paraId="37FD4498">
            <w:pPr>
              <w:widowControl/>
              <w:jc w:val="center"/>
              <w:rPr>
                <w:kern w:val="0"/>
                <w:sz w:val="21"/>
                <w:szCs w:val="21"/>
                <w:highlight w:val="none"/>
              </w:rPr>
            </w:pPr>
          </w:p>
        </w:tc>
        <w:tc>
          <w:tcPr>
            <w:tcW w:w="1808" w:type="dxa"/>
            <w:tcBorders>
              <w:top w:val="single" w:color="auto" w:sz="4" w:space="0"/>
              <w:left w:val="single" w:color="auto" w:sz="4" w:space="0"/>
              <w:bottom w:val="single" w:color="auto" w:sz="4" w:space="0"/>
              <w:right w:val="single" w:color="auto" w:sz="4" w:space="0"/>
            </w:tcBorders>
            <w:vAlign w:val="center"/>
          </w:tcPr>
          <w:p w14:paraId="7C34EDFB">
            <w:pPr>
              <w:widowControl/>
              <w:jc w:val="center"/>
              <w:rPr>
                <w:kern w:val="0"/>
                <w:sz w:val="21"/>
                <w:szCs w:val="21"/>
                <w:highlight w:val="none"/>
              </w:rPr>
            </w:pPr>
          </w:p>
        </w:tc>
        <w:tc>
          <w:tcPr>
            <w:tcW w:w="1032" w:type="dxa"/>
            <w:tcBorders>
              <w:top w:val="single" w:color="auto" w:sz="4" w:space="0"/>
              <w:left w:val="single" w:color="auto" w:sz="4" w:space="0"/>
              <w:bottom w:val="single" w:color="auto" w:sz="4" w:space="0"/>
              <w:right w:val="single" w:color="auto" w:sz="4" w:space="0"/>
            </w:tcBorders>
            <w:vAlign w:val="center"/>
          </w:tcPr>
          <w:p w14:paraId="692D39C5">
            <w:pPr>
              <w:widowControl/>
              <w:jc w:val="center"/>
              <w:rPr>
                <w:rFonts w:hint="eastAsia"/>
                <w:kern w:val="0"/>
                <w:sz w:val="21"/>
                <w:szCs w:val="21"/>
                <w:highlight w:val="none"/>
                <w:lang w:val="en-US" w:eastAsia="zh-CN"/>
              </w:rPr>
            </w:pPr>
          </w:p>
        </w:tc>
        <w:tc>
          <w:tcPr>
            <w:tcW w:w="1142" w:type="dxa"/>
            <w:tcBorders>
              <w:top w:val="single" w:color="auto" w:sz="4" w:space="0"/>
              <w:left w:val="single" w:color="auto" w:sz="4" w:space="0"/>
              <w:bottom w:val="single" w:color="auto" w:sz="4" w:space="0"/>
              <w:right w:val="single" w:color="auto" w:sz="4" w:space="0"/>
            </w:tcBorders>
            <w:vAlign w:val="center"/>
          </w:tcPr>
          <w:p w14:paraId="53B8B206">
            <w:pPr>
              <w:widowControl/>
              <w:jc w:val="center"/>
              <w:rPr>
                <w:rFonts w:hint="eastAsia"/>
                <w:kern w:val="0"/>
                <w:sz w:val="21"/>
                <w:szCs w:val="21"/>
                <w:highlight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14:paraId="75E45890">
            <w:pPr>
              <w:widowControl/>
              <w:jc w:val="center"/>
              <w:rPr>
                <w:rFonts w:hint="eastAsia" w:cs="Times New Roman"/>
                <w:kern w:val="0"/>
                <w:sz w:val="21"/>
                <w:szCs w:val="21"/>
                <w:highlight w:val="none"/>
                <w:lang w:val="en-US" w:eastAsia="zh-CN" w:bidi="ar-SA"/>
              </w:rPr>
            </w:pPr>
          </w:p>
        </w:tc>
        <w:tc>
          <w:tcPr>
            <w:tcW w:w="1562" w:type="dxa"/>
            <w:tcBorders>
              <w:top w:val="single" w:color="auto" w:sz="4" w:space="0"/>
              <w:left w:val="single" w:color="auto" w:sz="4" w:space="0"/>
              <w:bottom w:val="single" w:color="auto" w:sz="4" w:space="0"/>
              <w:right w:val="single" w:color="auto" w:sz="4" w:space="0"/>
            </w:tcBorders>
            <w:vAlign w:val="center"/>
          </w:tcPr>
          <w:p w14:paraId="06DDF123">
            <w:pPr>
              <w:widowControl/>
              <w:jc w:val="center"/>
              <w:rPr>
                <w:rFonts w:hint="eastAsia"/>
                <w:kern w:val="0"/>
                <w:sz w:val="21"/>
                <w:szCs w:val="21"/>
                <w:highlight w:val="none"/>
                <w:lang w:val="en-US" w:eastAsia="zh-CN"/>
              </w:rPr>
            </w:pPr>
          </w:p>
        </w:tc>
        <w:tc>
          <w:tcPr>
            <w:tcW w:w="1951" w:type="dxa"/>
            <w:tcBorders>
              <w:top w:val="single" w:color="auto" w:sz="4" w:space="0"/>
              <w:left w:val="single" w:color="auto" w:sz="4" w:space="0"/>
              <w:bottom w:val="single" w:color="auto" w:sz="4" w:space="0"/>
              <w:right w:val="single" w:color="auto" w:sz="4" w:space="0"/>
            </w:tcBorders>
            <w:vAlign w:val="center"/>
          </w:tcPr>
          <w:p w14:paraId="5D6FA963">
            <w:pPr>
              <w:jc w:val="center"/>
              <w:rPr>
                <w:rFonts w:hint="default"/>
                <w:kern w:val="0"/>
                <w:sz w:val="21"/>
                <w:szCs w:val="21"/>
                <w:highlight w:val="none"/>
                <w:lang w:val="en-US" w:eastAsia="zh-CN"/>
              </w:rPr>
            </w:pPr>
          </w:p>
        </w:tc>
      </w:tr>
      <w:tr w14:paraId="6A0BAF95">
        <w:tblPrEx>
          <w:tblCellMar>
            <w:top w:w="0" w:type="dxa"/>
            <w:left w:w="108" w:type="dxa"/>
            <w:bottom w:w="0" w:type="dxa"/>
            <w:right w:w="108" w:type="dxa"/>
          </w:tblCellMar>
        </w:tblPrEx>
        <w:trPr>
          <w:trHeight w:val="397" w:hRule="atLeast"/>
          <w:jc w:val="center"/>
        </w:trPr>
        <w:tc>
          <w:tcPr>
            <w:tcW w:w="574" w:type="dxa"/>
            <w:tcBorders>
              <w:top w:val="single" w:color="auto" w:sz="4" w:space="0"/>
              <w:left w:val="single" w:color="auto" w:sz="4" w:space="0"/>
              <w:bottom w:val="single" w:color="auto" w:sz="4" w:space="0"/>
              <w:right w:val="single" w:color="auto" w:sz="4" w:space="0"/>
            </w:tcBorders>
            <w:vAlign w:val="center"/>
          </w:tcPr>
          <w:p w14:paraId="0CB6A0E0">
            <w:pPr>
              <w:widowControl/>
              <w:jc w:val="center"/>
              <w:rPr>
                <w:kern w:val="0"/>
                <w:sz w:val="21"/>
                <w:szCs w:val="21"/>
                <w:highlight w:val="none"/>
              </w:rPr>
            </w:pPr>
          </w:p>
        </w:tc>
        <w:tc>
          <w:tcPr>
            <w:tcW w:w="1808" w:type="dxa"/>
            <w:tcBorders>
              <w:top w:val="single" w:color="auto" w:sz="4" w:space="0"/>
              <w:left w:val="single" w:color="auto" w:sz="4" w:space="0"/>
              <w:bottom w:val="single" w:color="auto" w:sz="4" w:space="0"/>
              <w:right w:val="single" w:color="auto" w:sz="4" w:space="0"/>
            </w:tcBorders>
            <w:vAlign w:val="center"/>
          </w:tcPr>
          <w:p w14:paraId="7D1EFFF5">
            <w:pPr>
              <w:widowControl/>
              <w:jc w:val="center"/>
              <w:rPr>
                <w:rFonts w:hint="default" w:eastAsia="宋体"/>
                <w:kern w:val="0"/>
                <w:sz w:val="21"/>
                <w:szCs w:val="21"/>
                <w:highlight w:val="none"/>
                <w:lang w:val="en-US" w:eastAsia="zh-CN"/>
              </w:rPr>
            </w:pPr>
            <w:r>
              <w:rPr>
                <w:rFonts w:hint="eastAsia"/>
                <w:kern w:val="0"/>
                <w:sz w:val="21"/>
                <w:szCs w:val="21"/>
                <w:highlight w:val="none"/>
                <w:lang w:val="en-US" w:eastAsia="zh-CN"/>
              </w:rPr>
              <w:t>定值权重A</w:t>
            </w:r>
          </w:p>
        </w:tc>
        <w:tc>
          <w:tcPr>
            <w:tcW w:w="1032" w:type="dxa"/>
            <w:tcBorders>
              <w:top w:val="single" w:color="auto" w:sz="4" w:space="0"/>
              <w:left w:val="single" w:color="auto" w:sz="4" w:space="0"/>
              <w:bottom w:val="single" w:color="auto" w:sz="4" w:space="0"/>
              <w:right w:val="single" w:color="auto" w:sz="4" w:space="0"/>
            </w:tcBorders>
            <w:vAlign w:val="center"/>
          </w:tcPr>
          <w:p w14:paraId="227805C6">
            <w:pPr>
              <w:widowControl/>
              <w:jc w:val="center"/>
              <w:rPr>
                <w:rFonts w:hint="eastAsia"/>
                <w:kern w:val="0"/>
                <w:sz w:val="21"/>
                <w:szCs w:val="21"/>
                <w:highlight w:val="none"/>
                <w:lang w:val="en-US" w:eastAsia="zh-CN"/>
              </w:rPr>
            </w:pPr>
          </w:p>
        </w:tc>
        <w:tc>
          <w:tcPr>
            <w:tcW w:w="1142" w:type="dxa"/>
            <w:tcBorders>
              <w:top w:val="single" w:color="auto" w:sz="4" w:space="0"/>
              <w:left w:val="single" w:color="auto" w:sz="4" w:space="0"/>
              <w:bottom w:val="single" w:color="auto" w:sz="4" w:space="0"/>
              <w:right w:val="single" w:color="auto" w:sz="4" w:space="0"/>
            </w:tcBorders>
            <w:vAlign w:val="center"/>
          </w:tcPr>
          <w:p w14:paraId="7274D0E2">
            <w:pPr>
              <w:widowControl/>
              <w:jc w:val="center"/>
              <w:rPr>
                <w:rFonts w:hint="eastAsia"/>
                <w:kern w:val="0"/>
                <w:sz w:val="21"/>
                <w:szCs w:val="21"/>
                <w:highlight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14:paraId="38558E81">
            <w:pPr>
              <w:widowControl/>
              <w:jc w:val="center"/>
              <w:rPr>
                <w:rFonts w:hint="eastAsia" w:cs="Times New Roman"/>
                <w:kern w:val="0"/>
                <w:sz w:val="21"/>
                <w:szCs w:val="21"/>
                <w:highlight w:val="none"/>
                <w:lang w:val="en-US" w:eastAsia="zh-CN" w:bidi="ar-SA"/>
              </w:rPr>
            </w:pPr>
          </w:p>
        </w:tc>
        <w:tc>
          <w:tcPr>
            <w:tcW w:w="1562" w:type="dxa"/>
            <w:tcBorders>
              <w:top w:val="single" w:color="auto" w:sz="4" w:space="0"/>
              <w:left w:val="single" w:color="auto" w:sz="4" w:space="0"/>
              <w:bottom w:val="single" w:color="auto" w:sz="4" w:space="0"/>
              <w:right w:val="single" w:color="auto" w:sz="4" w:space="0"/>
            </w:tcBorders>
            <w:vAlign w:val="center"/>
          </w:tcPr>
          <w:p w14:paraId="199E9411">
            <w:pPr>
              <w:widowControl/>
              <w:jc w:val="center"/>
              <w:rPr>
                <w:rFonts w:hint="eastAsia"/>
                <w:kern w:val="0"/>
                <w:sz w:val="21"/>
                <w:szCs w:val="21"/>
                <w:highlight w:val="none"/>
                <w:lang w:val="en-US" w:eastAsia="zh-CN"/>
              </w:rPr>
            </w:pPr>
          </w:p>
        </w:tc>
        <w:tc>
          <w:tcPr>
            <w:tcW w:w="1951" w:type="dxa"/>
            <w:tcBorders>
              <w:top w:val="single" w:color="auto" w:sz="4" w:space="0"/>
              <w:left w:val="single" w:color="auto" w:sz="4" w:space="0"/>
              <w:bottom w:val="single" w:color="auto" w:sz="4" w:space="0"/>
              <w:right w:val="single" w:color="auto" w:sz="4" w:space="0"/>
            </w:tcBorders>
            <w:vAlign w:val="center"/>
          </w:tcPr>
          <w:p w14:paraId="64E25C8B">
            <w:pPr>
              <w:jc w:val="center"/>
              <w:rPr>
                <w:rFonts w:hint="default"/>
                <w:kern w:val="0"/>
                <w:sz w:val="21"/>
                <w:szCs w:val="21"/>
                <w:highlight w:val="none"/>
                <w:lang w:val="en-US" w:eastAsia="zh-CN"/>
              </w:rPr>
            </w:pPr>
          </w:p>
        </w:tc>
      </w:tr>
      <w:tr w14:paraId="705C223F">
        <w:tblPrEx>
          <w:tblCellMar>
            <w:top w:w="0" w:type="dxa"/>
            <w:left w:w="108" w:type="dxa"/>
            <w:bottom w:w="0" w:type="dxa"/>
            <w:right w:w="108" w:type="dxa"/>
          </w:tblCellMar>
        </w:tblPrEx>
        <w:trPr>
          <w:trHeight w:val="397" w:hRule="atLeast"/>
          <w:jc w:val="center"/>
        </w:trPr>
        <w:tc>
          <w:tcPr>
            <w:tcW w:w="2382" w:type="dxa"/>
            <w:gridSpan w:val="2"/>
            <w:tcBorders>
              <w:top w:val="single" w:color="auto" w:sz="4" w:space="0"/>
              <w:left w:val="single" w:color="auto" w:sz="4" w:space="0"/>
              <w:bottom w:val="single" w:color="auto" w:sz="4" w:space="0"/>
              <w:right w:val="single" w:color="auto" w:sz="4" w:space="0"/>
            </w:tcBorders>
            <w:vAlign w:val="center"/>
          </w:tcPr>
          <w:p w14:paraId="7B2E6FBB">
            <w:pPr>
              <w:widowControl/>
              <w:jc w:val="center"/>
              <w:rPr>
                <w:rFonts w:hint="eastAsia" w:eastAsia="宋体"/>
                <w:kern w:val="0"/>
                <w:sz w:val="21"/>
                <w:szCs w:val="21"/>
                <w:highlight w:val="none"/>
                <w:lang w:val="en-US" w:eastAsia="zh-CN"/>
              </w:rPr>
            </w:pPr>
            <w:r>
              <w:rPr>
                <w:rFonts w:hint="eastAsia"/>
                <w:kern w:val="0"/>
                <w:sz w:val="21"/>
                <w:szCs w:val="21"/>
                <w:highlight w:val="none"/>
                <w:lang w:val="en-US" w:eastAsia="zh-CN"/>
              </w:rPr>
              <w:t>合  计</w:t>
            </w:r>
          </w:p>
        </w:tc>
        <w:tc>
          <w:tcPr>
            <w:tcW w:w="1032" w:type="dxa"/>
            <w:tcBorders>
              <w:top w:val="single" w:color="auto" w:sz="4" w:space="0"/>
              <w:left w:val="single" w:color="auto" w:sz="4" w:space="0"/>
              <w:bottom w:val="single" w:color="auto" w:sz="4" w:space="0"/>
              <w:right w:val="single" w:color="auto" w:sz="4" w:space="0"/>
            </w:tcBorders>
            <w:vAlign w:val="center"/>
          </w:tcPr>
          <w:p w14:paraId="51646270">
            <w:pPr>
              <w:widowControl/>
              <w:jc w:val="center"/>
              <w:rPr>
                <w:rFonts w:hint="default"/>
                <w:kern w:val="0"/>
                <w:sz w:val="21"/>
                <w:szCs w:val="21"/>
                <w:highlight w:val="none"/>
                <w:lang w:val="en-US" w:eastAsia="zh-CN"/>
              </w:rPr>
            </w:pPr>
            <w:r>
              <w:rPr>
                <w:rFonts w:hint="eastAsia"/>
                <w:kern w:val="0"/>
                <w:sz w:val="21"/>
                <w:szCs w:val="21"/>
                <w:highlight w:val="none"/>
                <w:lang w:val="en-US" w:eastAsia="zh-CN"/>
              </w:rPr>
              <w:t>1</w:t>
            </w:r>
          </w:p>
        </w:tc>
        <w:tc>
          <w:tcPr>
            <w:tcW w:w="1142" w:type="dxa"/>
            <w:tcBorders>
              <w:top w:val="single" w:color="auto" w:sz="4" w:space="0"/>
              <w:left w:val="single" w:color="auto" w:sz="4" w:space="0"/>
              <w:bottom w:val="single" w:color="auto" w:sz="4" w:space="0"/>
              <w:right w:val="single" w:color="auto" w:sz="4" w:space="0"/>
            </w:tcBorders>
            <w:vAlign w:val="center"/>
          </w:tcPr>
          <w:p w14:paraId="11FCE881">
            <w:pPr>
              <w:widowControl/>
              <w:jc w:val="center"/>
              <w:rPr>
                <w:rFonts w:hint="eastAsia"/>
                <w:kern w:val="0"/>
                <w:sz w:val="21"/>
                <w:szCs w:val="21"/>
                <w:highlight w:val="none"/>
                <w:lang w:val="en-US" w:eastAsia="zh-CN"/>
              </w:rPr>
            </w:pPr>
          </w:p>
        </w:tc>
        <w:tc>
          <w:tcPr>
            <w:tcW w:w="1367" w:type="dxa"/>
            <w:tcBorders>
              <w:top w:val="single" w:color="auto" w:sz="4" w:space="0"/>
              <w:left w:val="single" w:color="auto" w:sz="4" w:space="0"/>
              <w:bottom w:val="single" w:color="auto" w:sz="4" w:space="0"/>
              <w:right w:val="single" w:color="auto" w:sz="4" w:space="0"/>
            </w:tcBorders>
            <w:shd w:val="clear" w:color="auto" w:fill="auto"/>
            <w:vAlign w:val="center"/>
          </w:tcPr>
          <w:p w14:paraId="5EC7907D">
            <w:pPr>
              <w:widowControl/>
              <w:jc w:val="center"/>
              <w:rPr>
                <w:rFonts w:hint="eastAsia" w:cs="Times New Roman"/>
                <w:kern w:val="0"/>
                <w:sz w:val="21"/>
                <w:szCs w:val="21"/>
                <w:highlight w:val="none"/>
                <w:lang w:val="en-US" w:eastAsia="zh-CN" w:bidi="ar-SA"/>
              </w:rPr>
            </w:pPr>
          </w:p>
        </w:tc>
        <w:tc>
          <w:tcPr>
            <w:tcW w:w="1562" w:type="dxa"/>
            <w:tcBorders>
              <w:top w:val="single" w:color="auto" w:sz="4" w:space="0"/>
              <w:left w:val="single" w:color="auto" w:sz="4" w:space="0"/>
              <w:bottom w:val="single" w:color="auto" w:sz="4" w:space="0"/>
              <w:right w:val="single" w:color="auto" w:sz="4" w:space="0"/>
            </w:tcBorders>
            <w:vAlign w:val="center"/>
          </w:tcPr>
          <w:p w14:paraId="3E8E3679">
            <w:pPr>
              <w:widowControl/>
              <w:jc w:val="center"/>
              <w:rPr>
                <w:rFonts w:hint="eastAsia"/>
                <w:kern w:val="0"/>
                <w:sz w:val="21"/>
                <w:szCs w:val="21"/>
                <w:highlight w:val="none"/>
                <w:lang w:val="en-US" w:eastAsia="zh-CN"/>
              </w:rPr>
            </w:pPr>
          </w:p>
        </w:tc>
        <w:tc>
          <w:tcPr>
            <w:tcW w:w="1951" w:type="dxa"/>
            <w:tcBorders>
              <w:top w:val="single" w:color="auto" w:sz="4" w:space="0"/>
              <w:left w:val="single" w:color="auto" w:sz="4" w:space="0"/>
              <w:bottom w:val="single" w:color="auto" w:sz="4" w:space="0"/>
              <w:right w:val="single" w:color="auto" w:sz="4" w:space="0"/>
            </w:tcBorders>
            <w:vAlign w:val="center"/>
          </w:tcPr>
          <w:p w14:paraId="40795AAC">
            <w:pPr>
              <w:jc w:val="center"/>
              <w:rPr>
                <w:rFonts w:hint="default"/>
                <w:kern w:val="0"/>
                <w:sz w:val="21"/>
                <w:szCs w:val="21"/>
                <w:highlight w:val="none"/>
                <w:lang w:val="en-US" w:eastAsia="zh-CN"/>
              </w:rPr>
            </w:pPr>
          </w:p>
        </w:tc>
      </w:tr>
    </w:tbl>
    <w:p w14:paraId="5BBF6D36">
      <w:pPr>
        <w:spacing w:line="20" w:lineRule="exact"/>
        <w:rPr>
          <w:color w:val="auto"/>
          <w:highlight w:val="none"/>
        </w:rPr>
      </w:pPr>
      <w:r>
        <w:rPr>
          <w:color w:val="auto"/>
          <w:highlight w:val="none"/>
        </w:rPr>
        <w:br w:type="page"/>
      </w:r>
    </w:p>
    <w:p w14:paraId="1EB79BBD">
      <w:pPr>
        <w:jc w:val="center"/>
        <w:rPr>
          <w:rFonts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工程建设其他费表</w:t>
      </w:r>
    </w:p>
    <w:p w14:paraId="6CA04D17">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2"/>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746"/>
        <w:gridCol w:w="2657"/>
        <w:gridCol w:w="907"/>
        <w:gridCol w:w="1182"/>
        <w:gridCol w:w="2131"/>
      </w:tblGrid>
      <w:tr w14:paraId="53BC5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45E0F3DB">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1746" w:type="dxa"/>
            <w:shd w:val="clear" w:color="auto" w:fill="auto"/>
            <w:vAlign w:val="center"/>
          </w:tcPr>
          <w:p w14:paraId="523EF85A">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项目名称</w:t>
            </w:r>
          </w:p>
        </w:tc>
        <w:tc>
          <w:tcPr>
            <w:tcW w:w="2657" w:type="dxa"/>
            <w:shd w:val="clear" w:color="auto" w:fill="auto"/>
            <w:vAlign w:val="center"/>
          </w:tcPr>
          <w:p w14:paraId="6A244E94">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工作内容</w:t>
            </w:r>
          </w:p>
        </w:tc>
        <w:tc>
          <w:tcPr>
            <w:tcW w:w="907" w:type="dxa"/>
            <w:shd w:val="clear" w:color="auto" w:fill="auto"/>
            <w:vAlign w:val="center"/>
          </w:tcPr>
          <w:p w14:paraId="7CF6FF8E">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计量</w:t>
            </w:r>
          </w:p>
          <w:p w14:paraId="4B8C38D2">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单位</w:t>
            </w:r>
          </w:p>
        </w:tc>
        <w:tc>
          <w:tcPr>
            <w:tcW w:w="1182" w:type="dxa"/>
            <w:shd w:val="clear" w:color="auto" w:fill="auto"/>
            <w:vAlign w:val="center"/>
          </w:tcPr>
          <w:p w14:paraId="4EA23622">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工程量</w:t>
            </w:r>
          </w:p>
        </w:tc>
        <w:tc>
          <w:tcPr>
            <w:tcW w:w="2131" w:type="dxa"/>
            <w:shd w:val="clear" w:color="auto" w:fill="auto"/>
            <w:vAlign w:val="center"/>
          </w:tcPr>
          <w:p w14:paraId="21450A18">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14:paraId="1D1A5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4B39A57C">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462935E6">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03583DFB">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33FB5648">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66FE8D92">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1504EAE3">
            <w:pPr>
              <w:adjustRightInd w:val="0"/>
              <w:snapToGrid w:val="0"/>
              <w:jc w:val="center"/>
              <w:rPr>
                <w:rFonts w:ascii="Times New Roman" w:hAnsi="Times New Roman" w:eastAsia="宋体" w:cs="Times New Roman"/>
                <w:color w:val="auto"/>
                <w:kern w:val="0"/>
                <w:sz w:val="20"/>
                <w:szCs w:val="20"/>
                <w:highlight w:val="none"/>
              </w:rPr>
            </w:pPr>
          </w:p>
        </w:tc>
      </w:tr>
      <w:tr w14:paraId="159B0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07B58853">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0213923D">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38F50F9D">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51DF4D0C">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1F77A011">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2598D132">
            <w:pPr>
              <w:adjustRightInd w:val="0"/>
              <w:snapToGrid w:val="0"/>
              <w:jc w:val="center"/>
              <w:rPr>
                <w:rFonts w:ascii="Times New Roman" w:hAnsi="Times New Roman" w:eastAsia="宋体" w:cs="Times New Roman"/>
                <w:color w:val="auto"/>
                <w:kern w:val="0"/>
                <w:sz w:val="20"/>
                <w:szCs w:val="20"/>
                <w:highlight w:val="none"/>
              </w:rPr>
            </w:pPr>
          </w:p>
        </w:tc>
      </w:tr>
      <w:tr w14:paraId="70120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0FBC971D">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46138297">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06EEE96B">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0A60E439">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0F5202C9">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4B96A93E">
            <w:pPr>
              <w:adjustRightInd w:val="0"/>
              <w:snapToGrid w:val="0"/>
              <w:jc w:val="center"/>
              <w:rPr>
                <w:rFonts w:ascii="Times New Roman" w:hAnsi="Times New Roman" w:eastAsia="宋体" w:cs="Times New Roman"/>
                <w:color w:val="auto"/>
                <w:kern w:val="0"/>
                <w:sz w:val="20"/>
                <w:szCs w:val="20"/>
                <w:highlight w:val="none"/>
              </w:rPr>
            </w:pPr>
          </w:p>
        </w:tc>
      </w:tr>
      <w:tr w14:paraId="00BE3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08A824C3">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5BA84B37">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59EF0D92">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29639889">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0FF25BE4">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7C4BB51B">
            <w:pPr>
              <w:adjustRightInd w:val="0"/>
              <w:snapToGrid w:val="0"/>
              <w:jc w:val="center"/>
              <w:rPr>
                <w:rFonts w:ascii="Times New Roman" w:hAnsi="Times New Roman" w:eastAsia="宋体" w:cs="Times New Roman"/>
                <w:color w:val="auto"/>
                <w:kern w:val="0"/>
                <w:sz w:val="20"/>
                <w:szCs w:val="20"/>
                <w:highlight w:val="none"/>
              </w:rPr>
            </w:pPr>
          </w:p>
        </w:tc>
      </w:tr>
      <w:tr w14:paraId="257FF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19F47C7E">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13DE6A05">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49630AE0">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5E3D363A">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510B9ABF">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41935058">
            <w:pPr>
              <w:adjustRightInd w:val="0"/>
              <w:snapToGrid w:val="0"/>
              <w:jc w:val="center"/>
              <w:rPr>
                <w:rFonts w:ascii="Times New Roman" w:hAnsi="Times New Roman" w:eastAsia="宋体" w:cs="Times New Roman"/>
                <w:color w:val="auto"/>
                <w:kern w:val="0"/>
                <w:sz w:val="20"/>
                <w:szCs w:val="20"/>
                <w:highlight w:val="none"/>
              </w:rPr>
            </w:pPr>
          </w:p>
        </w:tc>
      </w:tr>
      <w:tr w14:paraId="3A1BB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3C583AF1">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472728BB">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52B2CBD7">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4E4BF701">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4B1E47F5">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6A1125A9">
            <w:pPr>
              <w:adjustRightInd w:val="0"/>
              <w:snapToGrid w:val="0"/>
              <w:jc w:val="center"/>
              <w:rPr>
                <w:rFonts w:ascii="Times New Roman" w:hAnsi="Times New Roman" w:eastAsia="宋体" w:cs="Times New Roman"/>
                <w:color w:val="auto"/>
                <w:kern w:val="0"/>
                <w:sz w:val="20"/>
                <w:szCs w:val="20"/>
                <w:highlight w:val="none"/>
              </w:rPr>
            </w:pPr>
          </w:p>
        </w:tc>
      </w:tr>
      <w:tr w14:paraId="5D27F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3E47347C">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7FC11054">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5894D925">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586D868D">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24E06EB9">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14AD9C08">
            <w:pPr>
              <w:adjustRightInd w:val="0"/>
              <w:snapToGrid w:val="0"/>
              <w:jc w:val="center"/>
              <w:rPr>
                <w:rFonts w:ascii="Times New Roman" w:hAnsi="Times New Roman" w:eastAsia="宋体" w:cs="Times New Roman"/>
                <w:color w:val="auto"/>
                <w:kern w:val="0"/>
                <w:sz w:val="20"/>
                <w:szCs w:val="20"/>
                <w:highlight w:val="none"/>
              </w:rPr>
            </w:pPr>
          </w:p>
        </w:tc>
      </w:tr>
      <w:tr w14:paraId="5A636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50EC028B">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43146F1B">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3D74CBCD">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3E20C3C2">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13E9C234">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485B6049">
            <w:pPr>
              <w:adjustRightInd w:val="0"/>
              <w:snapToGrid w:val="0"/>
              <w:jc w:val="center"/>
              <w:rPr>
                <w:rFonts w:ascii="Times New Roman" w:hAnsi="Times New Roman" w:eastAsia="宋体" w:cs="Times New Roman"/>
                <w:color w:val="auto"/>
                <w:kern w:val="0"/>
                <w:sz w:val="20"/>
                <w:szCs w:val="20"/>
                <w:highlight w:val="none"/>
              </w:rPr>
            </w:pPr>
          </w:p>
        </w:tc>
      </w:tr>
      <w:tr w14:paraId="57EB4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0EC4AEA3">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2101CC59">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10FEC1E3">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5CCE156E">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2000E6AC">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44A060B4">
            <w:pPr>
              <w:adjustRightInd w:val="0"/>
              <w:snapToGrid w:val="0"/>
              <w:jc w:val="center"/>
              <w:rPr>
                <w:rFonts w:ascii="Times New Roman" w:hAnsi="Times New Roman" w:eastAsia="宋体" w:cs="Times New Roman"/>
                <w:color w:val="auto"/>
                <w:kern w:val="0"/>
                <w:sz w:val="20"/>
                <w:szCs w:val="20"/>
                <w:highlight w:val="none"/>
              </w:rPr>
            </w:pPr>
          </w:p>
        </w:tc>
      </w:tr>
      <w:tr w14:paraId="1C728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0A9AA1B7">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6CCAB7E9">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0EE3D598">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2DE6A15C">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08F1307C">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0D9A9A38">
            <w:pPr>
              <w:adjustRightInd w:val="0"/>
              <w:snapToGrid w:val="0"/>
              <w:jc w:val="center"/>
              <w:rPr>
                <w:rFonts w:ascii="Times New Roman" w:hAnsi="Times New Roman" w:eastAsia="宋体" w:cs="Times New Roman"/>
                <w:color w:val="auto"/>
                <w:kern w:val="0"/>
                <w:sz w:val="20"/>
                <w:szCs w:val="20"/>
                <w:highlight w:val="none"/>
              </w:rPr>
            </w:pPr>
          </w:p>
        </w:tc>
      </w:tr>
      <w:tr w14:paraId="26E55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157C1D95">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72ABB12F">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7B81A555">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06E0EA3B">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01018820">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3A3D3733">
            <w:pPr>
              <w:adjustRightInd w:val="0"/>
              <w:snapToGrid w:val="0"/>
              <w:jc w:val="center"/>
              <w:rPr>
                <w:rFonts w:ascii="Times New Roman" w:hAnsi="Times New Roman" w:eastAsia="宋体" w:cs="Times New Roman"/>
                <w:color w:val="auto"/>
                <w:kern w:val="0"/>
                <w:sz w:val="20"/>
                <w:szCs w:val="20"/>
                <w:highlight w:val="none"/>
              </w:rPr>
            </w:pPr>
          </w:p>
        </w:tc>
      </w:tr>
      <w:tr w14:paraId="230C5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77B9AE17">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1EF5463E">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4F02F148">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092A0158">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3F116E41">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00276970">
            <w:pPr>
              <w:adjustRightInd w:val="0"/>
              <w:snapToGrid w:val="0"/>
              <w:jc w:val="center"/>
              <w:rPr>
                <w:rFonts w:ascii="Times New Roman" w:hAnsi="Times New Roman" w:eastAsia="宋体" w:cs="Times New Roman"/>
                <w:color w:val="auto"/>
                <w:kern w:val="0"/>
                <w:sz w:val="20"/>
                <w:szCs w:val="20"/>
                <w:highlight w:val="none"/>
              </w:rPr>
            </w:pPr>
          </w:p>
        </w:tc>
      </w:tr>
      <w:tr w14:paraId="44589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671FA734">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66A4A9EA">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59BE18DE">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69A4001C">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60020557">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61869F87">
            <w:pPr>
              <w:adjustRightInd w:val="0"/>
              <w:snapToGrid w:val="0"/>
              <w:jc w:val="center"/>
              <w:rPr>
                <w:rFonts w:ascii="Times New Roman" w:hAnsi="Times New Roman" w:eastAsia="宋体" w:cs="Times New Roman"/>
                <w:color w:val="auto"/>
                <w:kern w:val="0"/>
                <w:sz w:val="20"/>
                <w:szCs w:val="20"/>
                <w:highlight w:val="none"/>
              </w:rPr>
            </w:pPr>
          </w:p>
        </w:tc>
      </w:tr>
      <w:tr w14:paraId="525F2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198FAA28">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5C4C16DE">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1826B033">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2DEAFD9A">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7EBD933C">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107A746E">
            <w:pPr>
              <w:adjustRightInd w:val="0"/>
              <w:snapToGrid w:val="0"/>
              <w:jc w:val="center"/>
              <w:rPr>
                <w:rFonts w:ascii="Times New Roman" w:hAnsi="Times New Roman" w:eastAsia="宋体" w:cs="Times New Roman"/>
                <w:color w:val="auto"/>
                <w:kern w:val="0"/>
                <w:sz w:val="20"/>
                <w:szCs w:val="20"/>
                <w:highlight w:val="none"/>
              </w:rPr>
            </w:pPr>
          </w:p>
        </w:tc>
      </w:tr>
      <w:tr w14:paraId="084CB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432EE18D">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4410EAAA">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3CDDF19F">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1C25A3FE">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1C260B16">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700003AA">
            <w:pPr>
              <w:adjustRightInd w:val="0"/>
              <w:snapToGrid w:val="0"/>
              <w:jc w:val="center"/>
              <w:rPr>
                <w:rFonts w:ascii="Times New Roman" w:hAnsi="Times New Roman" w:eastAsia="宋体" w:cs="Times New Roman"/>
                <w:color w:val="auto"/>
                <w:kern w:val="0"/>
                <w:sz w:val="20"/>
                <w:szCs w:val="20"/>
                <w:highlight w:val="none"/>
              </w:rPr>
            </w:pPr>
          </w:p>
        </w:tc>
      </w:tr>
      <w:tr w14:paraId="4410E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39B09713">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56B71289">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77664C30">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31C61637">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0AB8DB43">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678F9718">
            <w:pPr>
              <w:adjustRightInd w:val="0"/>
              <w:snapToGrid w:val="0"/>
              <w:jc w:val="center"/>
              <w:rPr>
                <w:rFonts w:ascii="Times New Roman" w:hAnsi="Times New Roman" w:eastAsia="宋体" w:cs="Times New Roman"/>
                <w:color w:val="auto"/>
                <w:kern w:val="0"/>
                <w:sz w:val="20"/>
                <w:szCs w:val="20"/>
                <w:highlight w:val="none"/>
              </w:rPr>
            </w:pPr>
          </w:p>
        </w:tc>
      </w:tr>
      <w:tr w14:paraId="37D43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1C1277B3">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00A3462C">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60A94084">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19FC6F2B">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26E5C2D1">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08A28AAC">
            <w:pPr>
              <w:adjustRightInd w:val="0"/>
              <w:snapToGrid w:val="0"/>
              <w:jc w:val="center"/>
              <w:rPr>
                <w:rFonts w:ascii="Times New Roman" w:hAnsi="Times New Roman" w:eastAsia="宋体" w:cs="Times New Roman"/>
                <w:color w:val="auto"/>
                <w:kern w:val="0"/>
                <w:sz w:val="20"/>
                <w:szCs w:val="20"/>
                <w:highlight w:val="none"/>
              </w:rPr>
            </w:pPr>
          </w:p>
        </w:tc>
      </w:tr>
      <w:tr w14:paraId="7975C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6" w:type="dxa"/>
            <w:shd w:val="clear" w:color="auto" w:fill="auto"/>
            <w:vAlign w:val="center"/>
          </w:tcPr>
          <w:p w14:paraId="4DC13959">
            <w:pPr>
              <w:adjustRightInd w:val="0"/>
              <w:snapToGrid w:val="0"/>
              <w:jc w:val="center"/>
              <w:rPr>
                <w:rFonts w:ascii="Times New Roman" w:hAnsi="Times New Roman" w:eastAsia="宋体" w:cs="Times New Roman"/>
                <w:color w:val="auto"/>
                <w:kern w:val="0"/>
                <w:sz w:val="20"/>
                <w:szCs w:val="20"/>
                <w:highlight w:val="none"/>
              </w:rPr>
            </w:pPr>
          </w:p>
        </w:tc>
        <w:tc>
          <w:tcPr>
            <w:tcW w:w="1746" w:type="dxa"/>
            <w:shd w:val="clear" w:color="auto" w:fill="auto"/>
            <w:vAlign w:val="center"/>
          </w:tcPr>
          <w:p w14:paraId="07526D3A">
            <w:pPr>
              <w:adjustRightInd w:val="0"/>
              <w:snapToGrid w:val="0"/>
              <w:jc w:val="center"/>
              <w:rPr>
                <w:rFonts w:ascii="Times New Roman" w:hAnsi="Times New Roman" w:eastAsia="宋体" w:cs="Times New Roman"/>
                <w:color w:val="auto"/>
                <w:kern w:val="0"/>
                <w:sz w:val="20"/>
                <w:szCs w:val="20"/>
                <w:highlight w:val="none"/>
              </w:rPr>
            </w:pPr>
          </w:p>
        </w:tc>
        <w:tc>
          <w:tcPr>
            <w:tcW w:w="2657" w:type="dxa"/>
            <w:shd w:val="clear" w:color="auto" w:fill="auto"/>
            <w:vAlign w:val="center"/>
          </w:tcPr>
          <w:p w14:paraId="7775A060">
            <w:pPr>
              <w:adjustRightInd w:val="0"/>
              <w:snapToGrid w:val="0"/>
              <w:jc w:val="center"/>
              <w:rPr>
                <w:rFonts w:ascii="Times New Roman" w:hAnsi="Times New Roman" w:eastAsia="宋体" w:cs="Times New Roman"/>
                <w:color w:val="auto"/>
                <w:kern w:val="0"/>
                <w:sz w:val="20"/>
                <w:szCs w:val="20"/>
                <w:highlight w:val="none"/>
              </w:rPr>
            </w:pPr>
          </w:p>
        </w:tc>
        <w:tc>
          <w:tcPr>
            <w:tcW w:w="907" w:type="dxa"/>
            <w:shd w:val="clear" w:color="auto" w:fill="auto"/>
            <w:vAlign w:val="center"/>
          </w:tcPr>
          <w:p w14:paraId="6E4C67BC">
            <w:pPr>
              <w:adjustRightInd w:val="0"/>
              <w:snapToGrid w:val="0"/>
              <w:jc w:val="center"/>
              <w:rPr>
                <w:rFonts w:ascii="Times New Roman" w:hAnsi="Times New Roman" w:eastAsia="宋体" w:cs="Times New Roman"/>
                <w:color w:val="auto"/>
                <w:kern w:val="0"/>
                <w:sz w:val="20"/>
                <w:szCs w:val="20"/>
                <w:highlight w:val="none"/>
              </w:rPr>
            </w:pPr>
          </w:p>
        </w:tc>
        <w:tc>
          <w:tcPr>
            <w:tcW w:w="1182" w:type="dxa"/>
            <w:shd w:val="clear" w:color="auto" w:fill="auto"/>
            <w:vAlign w:val="center"/>
          </w:tcPr>
          <w:p w14:paraId="4EB04CF2">
            <w:pPr>
              <w:adjustRightInd w:val="0"/>
              <w:snapToGrid w:val="0"/>
              <w:jc w:val="center"/>
              <w:rPr>
                <w:rFonts w:ascii="Times New Roman" w:hAnsi="Times New Roman" w:eastAsia="宋体" w:cs="Times New Roman"/>
                <w:color w:val="auto"/>
                <w:kern w:val="0"/>
                <w:sz w:val="20"/>
                <w:szCs w:val="20"/>
                <w:highlight w:val="none"/>
              </w:rPr>
            </w:pPr>
          </w:p>
        </w:tc>
        <w:tc>
          <w:tcPr>
            <w:tcW w:w="2131" w:type="dxa"/>
            <w:shd w:val="clear" w:color="auto" w:fill="auto"/>
            <w:vAlign w:val="center"/>
          </w:tcPr>
          <w:p w14:paraId="1D1841B7">
            <w:pPr>
              <w:adjustRightInd w:val="0"/>
              <w:snapToGrid w:val="0"/>
              <w:jc w:val="center"/>
              <w:rPr>
                <w:rFonts w:ascii="Times New Roman" w:hAnsi="Times New Roman" w:eastAsia="宋体" w:cs="Times New Roman"/>
                <w:color w:val="auto"/>
                <w:kern w:val="0"/>
                <w:sz w:val="20"/>
                <w:szCs w:val="20"/>
                <w:highlight w:val="none"/>
              </w:rPr>
            </w:pPr>
          </w:p>
        </w:tc>
      </w:tr>
    </w:tbl>
    <w:p w14:paraId="6371D46B">
      <w:pPr>
        <w:spacing w:line="20" w:lineRule="exact"/>
        <w:rPr>
          <w:color w:val="auto"/>
          <w:highlight w:val="none"/>
        </w:rPr>
      </w:pPr>
      <w:r>
        <w:rPr>
          <w:color w:val="auto"/>
          <w:highlight w:val="none"/>
        </w:rPr>
        <w:br w:type="page"/>
      </w:r>
    </w:p>
    <w:p w14:paraId="7710B87D">
      <w:pPr>
        <w:jc w:val="center"/>
        <w:rPr>
          <w:rFonts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设备及工器具购置费表</w:t>
      </w:r>
    </w:p>
    <w:p w14:paraId="0F7C770B">
      <w:pPr>
        <w:rPr>
          <w:color w:val="auto"/>
          <w:highlight w:val="none"/>
        </w:rPr>
      </w:pPr>
    </w:p>
    <w:p w14:paraId="1A6F3F09">
      <w:pPr>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工程名称：                                标段：               第  页 共  页</w:t>
      </w:r>
    </w:p>
    <w:tbl>
      <w:tblPr>
        <w:tblStyle w:val="42"/>
        <w:tblW w:w="92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2493"/>
        <w:gridCol w:w="2228"/>
        <w:gridCol w:w="817"/>
        <w:gridCol w:w="968"/>
        <w:gridCol w:w="1986"/>
      </w:tblGrid>
      <w:tr w14:paraId="46C6F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25D673B5">
            <w:pPr>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序号</w:t>
            </w:r>
          </w:p>
        </w:tc>
        <w:tc>
          <w:tcPr>
            <w:tcW w:w="2493" w:type="dxa"/>
            <w:vAlign w:val="center"/>
          </w:tcPr>
          <w:p w14:paraId="06AF5122">
            <w:pPr>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设备名称</w:t>
            </w:r>
          </w:p>
        </w:tc>
        <w:tc>
          <w:tcPr>
            <w:tcW w:w="2228" w:type="dxa"/>
            <w:vAlign w:val="center"/>
          </w:tcPr>
          <w:p w14:paraId="76AE3328">
            <w:pPr>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型号规格</w:t>
            </w:r>
          </w:p>
        </w:tc>
        <w:tc>
          <w:tcPr>
            <w:tcW w:w="817" w:type="dxa"/>
            <w:vAlign w:val="center"/>
          </w:tcPr>
          <w:p w14:paraId="6317415E">
            <w:pPr>
              <w:adjustRightInd w:val="0"/>
              <w:snapToGrid w:val="0"/>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计量</w:t>
            </w:r>
          </w:p>
          <w:p w14:paraId="007B8329">
            <w:pPr>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单位</w:t>
            </w:r>
          </w:p>
        </w:tc>
        <w:tc>
          <w:tcPr>
            <w:tcW w:w="968" w:type="dxa"/>
            <w:vAlign w:val="center"/>
          </w:tcPr>
          <w:p w14:paraId="2694C69A">
            <w:pPr>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数量</w:t>
            </w:r>
          </w:p>
        </w:tc>
        <w:tc>
          <w:tcPr>
            <w:tcW w:w="1986" w:type="dxa"/>
            <w:vAlign w:val="center"/>
          </w:tcPr>
          <w:p w14:paraId="10619987">
            <w:pPr>
              <w:jc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备注</w:t>
            </w:r>
          </w:p>
        </w:tc>
      </w:tr>
      <w:tr w14:paraId="286C9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68D254F6">
            <w:pPr>
              <w:jc w:val="center"/>
              <w:rPr>
                <w:rFonts w:ascii="Times New Roman" w:hAnsi="Times New Roman" w:eastAsia="宋体" w:cs="Times New Roman"/>
                <w:color w:val="auto"/>
                <w:kern w:val="0"/>
                <w:szCs w:val="21"/>
                <w:highlight w:val="none"/>
              </w:rPr>
            </w:pPr>
          </w:p>
        </w:tc>
        <w:tc>
          <w:tcPr>
            <w:tcW w:w="2493" w:type="dxa"/>
            <w:vAlign w:val="center"/>
          </w:tcPr>
          <w:p w14:paraId="0531F5B9">
            <w:pPr>
              <w:jc w:val="center"/>
              <w:rPr>
                <w:rFonts w:ascii="Times New Roman" w:hAnsi="Times New Roman" w:eastAsia="宋体" w:cs="Times New Roman"/>
                <w:color w:val="auto"/>
                <w:kern w:val="0"/>
                <w:szCs w:val="21"/>
                <w:highlight w:val="none"/>
              </w:rPr>
            </w:pPr>
          </w:p>
        </w:tc>
        <w:tc>
          <w:tcPr>
            <w:tcW w:w="2228" w:type="dxa"/>
            <w:vAlign w:val="center"/>
          </w:tcPr>
          <w:p w14:paraId="43C6017C">
            <w:pPr>
              <w:jc w:val="center"/>
              <w:rPr>
                <w:rFonts w:ascii="Times New Roman" w:hAnsi="Times New Roman" w:eastAsia="宋体" w:cs="Times New Roman"/>
                <w:color w:val="auto"/>
                <w:kern w:val="0"/>
                <w:szCs w:val="21"/>
                <w:highlight w:val="none"/>
              </w:rPr>
            </w:pPr>
          </w:p>
        </w:tc>
        <w:tc>
          <w:tcPr>
            <w:tcW w:w="817" w:type="dxa"/>
            <w:vAlign w:val="center"/>
          </w:tcPr>
          <w:p w14:paraId="560300E4">
            <w:pPr>
              <w:jc w:val="center"/>
              <w:rPr>
                <w:rFonts w:ascii="Times New Roman" w:hAnsi="Times New Roman" w:eastAsia="宋体" w:cs="Times New Roman"/>
                <w:color w:val="auto"/>
                <w:kern w:val="0"/>
                <w:szCs w:val="21"/>
                <w:highlight w:val="none"/>
              </w:rPr>
            </w:pPr>
          </w:p>
        </w:tc>
        <w:tc>
          <w:tcPr>
            <w:tcW w:w="968" w:type="dxa"/>
            <w:vAlign w:val="center"/>
          </w:tcPr>
          <w:p w14:paraId="60BE4D48">
            <w:pPr>
              <w:jc w:val="center"/>
              <w:rPr>
                <w:rFonts w:ascii="Times New Roman" w:hAnsi="Times New Roman" w:eastAsia="宋体" w:cs="Times New Roman"/>
                <w:color w:val="auto"/>
                <w:kern w:val="0"/>
                <w:szCs w:val="21"/>
                <w:highlight w:val="none"/>
              </w:rPr>
            </w:pPr>
          </w:p>
        </w:tc>
        <w:tc>
          <w:tcPr>
            <w:tcW w:w="1986" w:type="dxa"/>
            <w:vAlign w:val="center"/>
          </w:tcPr>
          <w:p w14:paraId="09914568">
            <w:pPr>
              <w:jc w:val="center"/>
              <w:rPr>
                <w:rFonts w:ascii="Times New Roman" w:hAnsi="Times New Roman" w:eastAsia="宋体" w:cs="Times New Roman"/>
                <w:color w:val="auto"/>
                <w:kern w:val="0"/>
                <w:szCs w:val="21"/>
                <w:highlight w:val="none"/>
              </w:rPr>
            </w:pPr>
          </w:p>
        </w:tc>
      </w:tr>
      <w:tr w14:paraId="697E5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0A09216E">
            <w:pPr>
              <w:jc w:val="center"/>
              <w:rPr>
                <w:rFonts w:ascii="Times New Roman" w:hAnsi="Times New Roman" w:eastAsia="宋体" w:cs="Times New Roman"/>
                <w:color w:val="auto"/>
                <w:kern w:val="0"/>
                <w:sz w:val="20"/>
                <w:szCs w:val="20"/>
                <w:highlight w:val="none"/>
              </w:rPr>
            </w:pPr>
          </w:p>
        </w:tc>
        <w:tc>
          <w:tcPr>
            <w:tcW w:w="2493" w:type="dxa"/>
            <w:vAlign w:val="center"/>
          </w:tcPr>
          <w:p w14:paraId="5A31DD96">
            <w:pPr>
              <w:jc w:val="center"/>
              <w:rPr>
                <w:rFonts w:ascii="Times New Roman" w:hAnsi="Times New Roman" w:eastAsia="宋体" w:cs="Times New Roman"/>
                <w:color w:val="auto"/>
                <w:kern w:val="0"/>
                <w:sz w:val="20"/>
                <w:szCs w:val="20"/>
                <w:highlight w:val="none"/>
              </w:rPr>
            </w:pPr>
          </w:p>
        </w:tc>
        <w:tc>
          <w:tcPr>
            <w:tcW w:w="2228" w:type="dxa"/>
            <w:vAlign w:val="center"/>
          </w:tcPr>
          <w:p w14:paraId="335F7446">
            <w:pPr>
              <w:jc w:val="center"/>
              <w:rPr>
                <w:rFonts w:ascii="Times New Roman" w:hAnsi="Times New Roman" w:eastAsia="宋体" w:cs="Times New Roman"/>
                <w:color w:val="auto"/>
                <w:kern w:val="0"/>
                <w:sz w:val="20"/>
                <w:szCs w:val="20"/>
                <w:highlight w:val="none"/>
              </w:rPr>
            </w:pPr>
          </w:p>
        </w:tc>
        <w:tc>
          <w:tcPr>
            <w:tcW w:w="817" w:type="dxa"/>
            <w:vAlign w:val="center"/>
          </w:tcPr>
          <w:p w14:paraId="6BD84C51">
            <w:pPr>
              <w:jc w:val="center"/>
              <w:rPr>
                <w:rFonts w:ascii="Times New Roman" w:hAnsi="Times New Roman" w:eastAsia="宋体" w:cs="Times New Roman"/>
                <w:color w:val="auto"/>
                <w:kern w:val="0"/>
                <w:sz w:val="20"/>
                <w:szCs w:val="20"/>
                <w:highlight w:val="none"/>
              </w:rPr>
            </w:pPr>
          </w:p>
        </w:tc>
        <w:tc>
          <w:tcPr>
            <w:tcW w:w="968" w:type="dxa"/>
            <w:vAlign w:val="center"/>
          </w:tcPr>
          <w:p w14:paraId="39C9E874">
            <w:pPr>
              <w:jc w:val="center"/>
              <w:rPr>
                <w:rFonts w:ascii="Times New Roman" w:hAnsi="Times New Roman" w:eastAsia="宋体" w:cs="Times New Roman"/>
                <w:color w:val="auto"/>
                <w:kern w:val="0"/>
                <w:sz w:val="20"/>
                <w:szCs w:val="20"/>
                <w:highlight w:val="none"/>
              </w:rPr>
            </w:pPr>
          </w:p>
        </w:tc>
        <w:tc>
          <w:tcPr>
            <w:tcW w:w="1986" w:type="dxa"/>
            <w:vAlign w:val="center"/>
          </w:tcPr>
          <w:p w14:paraId="079155FB">
            <w:pPr>
              <w:jc w:val="center"/>
              <w:rPr>
                <w:rFonts w:ascii="Times New Roman" w:hAnsi="Times New Roman" w:eastAsia="宋体" w:cs="Times New Roman"/>
                <w:color w:val="auto"/>
                <w:kern w:val="0"/>
                <w:sz w:val="20"/>
                <w:szCs w:val="20"/>
                <w:highlight w:val="none"/>
              </w:rPr>
            </w:pPr>
          </w:p>
        </w:tc>
      </w:tr>
      <w:tr w14:paraId="0DF05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45ADFD3D">
            <w:pPr>
              <w:jc w:val="center"/>
              <w:rPr>
                <w:rFonts w:ascii="Times New Roman" w:hAnsi="Times New Roman" w:eastAsia="宋体" w:cs="Times New Roman"/>
                <w:color w:val="auto"/>
                <w:kern w:val="0"/>
                <w:sz w:val="20"/>
                <w:szCs w:val="20"/>
                <w:highlight w:val="none"/>
              </w:rPr>
            </w:pPr>
          </w:p>
        </w:tc>
        <w:tc>
          <w:tcPr>
            <w:tcW w:w="2493" w:type="dxa"/>
            <w:vAlign w:val="center"/>
          </w:tcPr>
          <w:p w14:paraId="6D7887E4">
            <w:pPr>
              <w:jc w:val="center"/>
              <w:rPr>
                <w:rFonts w:ascii="Times New Roman" w:hAnsi="Times New Roman" w:eastAsia="宋体" w:cs="Times New Roman"/>
                <w:color w:val="auto"/>
                <w:kern w:val="0"/>
                <w:sz w:val="20"/>
                <w:szCs w:val="20"/>
                <w:highlight w:val="none"/>
              </w:rPr>
            </w:pPr>
          </w:p>
        </w:tc>
        <w:tc>
          <w:tcPr>
            <w:tcW w:w="2228" w:type="dxa"/>
            <w:vAlign w:val="center"/>
          </w:tcPr>
          <w:p w14:paraId="23181552">
            <w:pPr>
              <w:jc w:val="center"/>
              <w:rPr>
                <w:rFonts w:ascii="Times New Roman" w:hAnsi="Times New Roman" w:eastAsia="宋体" w:cs="Times New Roman"/>
                <w:color w:val="auto"/>
                <w:kern w:val="0"/>
                <w:sz w:val="20"/>
                <w:szCs w:val="20"/>
                <w:highlight w:val="none"/>
              </w:rPr>
            </w:pPr>
          </w:p>
        </w:tc>
        <w:tc>
          <w:tcPr>
            <w:tcW w:w="817" w:type="dxa"/>
            <w:vAlign w:val="center"/>
          </w:tcPr>
          <w:p w14:paraId="789416BB">
            <w:pPr>
              <w:jc w:val="center"/>
              <w:rPr>
                <w:rFonts w:ascii="Times New Roman" w:hAnsi="Times New Roman" w:eastAsia="宋体" w:cs="Times New Roman"/>
                <w:color w:val="auto"/>
                <w:kern w:val="0"/>
                <w:sz w:val="20"/>
                <w:szCs w:val="20"/>
                <w:highlight w:val="none"/>
              </w:rPr>
            </w:pPr>
          </w:p>
        </w:tc>
        <w:tc>
          <w:tcPr>
            <w:tcW w:w="968" w:type="dxa"/>
            <w:vAlign w:val="center"/>
          </w:tcPr>
          <w:p w14:paraId="5C85497A">
            <w:pPr>
              <w:jc w:val="center"/>
              <w:rPr>
                <w:rFonts w:ascii="Times New Roman" w:hAnsi="Times New Roman" w:eastAsia="宋体" w:cs="Times New Roman"/>
                <w:color w:val="auto"/>
                <w:kern w:val="0"/>
                <w:sz w:val="20"/>
                <w:szCs w:val="20"/>
                <w:highlight w:val="none"/>
              </w:rPr>
            </w:pPr>
          </w:p>
        </w:tc>
        <w:tc>
          <w:tcPr>
            <w:tcW w:w="1986" w:type="dxa"/>
            <w:vAlign w:val="center"/>
          </w:tcPr>
          <w:p w14:paraId="6A132610">
            <w:pPr>
              <w:jc w:val="center"/>
              <w:rPr>
                <w:rFonts w:ascii="Times New Roman" w:hAnsi="Times New Roman" w:eastAsia="宋体" w:cs="Times New Roman"/>
                <w:color w:val="auto"/>
                <w:kern w:val="0"/>
                <w:sz w:val="20"/>
                <w:szCs w:val="20"/>
                <w:highlight w:val="none"/>
              </w:rPr>
            </w:pPr>
          </w:p>
        </w:tc>
      </w:tr>
      <w:tr w14:paraId="273E2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7236794A">
            <w:pPr>
              <w:jc w:val="center"/>
              <w:rPr>
                <w:rFonts w:ascii="Times New Roman" w:hAnsi="Times New Roman" w:eastAsia="宋体" w:cs="Times New Roman"/>
                <w:color w:val="auto"/>
                <w:kern w:val="0"/>
                <w:sz w:val="20"/>
                <w:szCs w:val="20"/>
                <w:highlight w:val="none"/>
              </w:rPr>
            </w:pPr>
          </w:p>
        </w:tc>
        <w:tc>
          <w:tcPr>
            <w:tcW w:w="2493" w:type="dxa"/>
            <w:vAlign w:val="center"/>
          </w:tcPr>
          <w:p w14:paraId="4A59CA9C">
            <w:pPr>
              <w:jc w:val="center"/>
              <w:rPr>
                <w:rFonts w:ascii="Times New Roman" w:hAnsi="Times New Roman" w:eastAsia="宋体" w:cs="Times New Roman"/>
                <w:color w:val="auto"/>
                <w:kern w:val="0"/>
                <w:sz w:val="20"/>
                <w:szCs w:val="20"/>
                <w:highlight w:val="none"/>
              </w:rPr>
            </w:pPr>
          </w:p>
        </w:tc>
        <w:tc>
          <w:tcPr>
            <w:tcW w:w="2228" w:type="dxa"/>
            <w:vAlign w:val="center"/>
          </w:tcPr>
          <w:p w14:paraId="203C7192">
            <w:pPr>
              <w:jc w:val="center"/>
              <w:rPr>
                <w:rFonts w:ascii="Times New Roman" w:hAnsi="Times New Roman" w:eastAsia="宋体" w:cs="Times New Roman"/>
                <w:color w:val="auto"/>
                <w:kern w:val="0"/>
                <w:sz w:val="20"/>
                <w:szCs w:val="20"/>
                <w:highlight w:val="none"/>
              </w:rPr>
            </w:pPr>
          </w:p>
        </w:tc>
        <w:tc>
          <w:tcPr>
            <w:tcW w:w="817" w:type="dxa"/>
            <w:vAlign w:val="center"/>
          </w:tcPr>
          <w:p w14:paraId="4FB1D24B">
            <w:pPr>
              <w:jc w:val="center"/>
              <w:rPr>
                <w:rFonts w:ascii="Times New Roman" w:hAnsi="Times New Roman" w:eastAsia="宋体" w:cs="Times New Roman"/>
                <w:color w:val="auto"/>
                <w:kern w:val="0"/>
                <w:sz w:val="20"/>
                <w:szCs w:val="20"/>
                <w:highlight w:val="none"/>
              </w:rPr>
            </w:pPr>
          </w:p>
        </w:tc>
        <w:tc>
          <w:tcPr>
            <w:tcW w:w="968" w:type="dxa"/>
            <w:vAlign w:val="center"/>
          </w:tcPr>
          <w:p w14:paraId="05228DBC">
            <w:pPr>
              <w:jc w:val="center"/>
              <w:rPr>
                <w:rFonts w:ascii="Times New Roman" w:hAnsi="Times New Roman" w:eastAsia="宋体" w:cs="Times New Roman"/>
                <w:color w:val="auto"/>
                <w:kern w:val="0"/>
                <w:sz w:val="20"/>
                <w:szCs w:val="20"/>
                <w:highlight w:val="none"/>
              </w:rPr>
            </w:pPr>
          </w:p>
        </w:tc>
        <w:tc>
          <w:tcPr>
            <w:tcW w:w="1986" w:type="dxa"/>
            <w:vAlign w:val="center"/>
          </w:tcPr>
          <w:p w14:paraId="0766671A">
            <w:pPr>
              <w:jc w:val="center"/>
              <w:rPr>
                <w:rFonts w:ascii="Times New Roman" w:hAnsi="Times New Roman" w:eastAsia="宋体" w:cs="Times New Roman"/>
                <w:color w:val="auto"/>
                <w:kern w:val="0"/>
                <w:sz w:val="20"/>
                <w:szCs w:val="20"/>
                <w:highlight w:val="none"/>
              </w:rPr>
            </w:pPr>
          </w:p>
        </w:tc>
      </w:tr>
      <w:tr w14:paraId="78771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2815314E">
            <w:pPr>
              <w:jc w:val="center"/>
              <w:rPr>
                <w:rFonts w:ascii="Times New Roman" w:hAnsi="Times New Roman" w:eastAsia="宋体" w:cs="Times New Roman"/>
                <w:color w:val="auto"/>
                <w:kern w:val="0"/>
                <w:sz w:val="20"/>
                <w:szCs w:val="20"/>
                <w:highlight w:val="none"/>
              </w:rPr>
            </w:pPr>
          </w:p>
        </w:tc>
        <w:tc>
          <w:tcPr>
            <w:tcW w:w="2493" w:type="dxa"/>
            <w:vAlign w:val="center"/>
          </w:tcPr>
          <w:p w14:paraId="61A9AA43">
            <w:pPr>
              <w:jc w:val="center"/>
              <w:rPr>
                <w:rFonts w:ascii="Times New Roman" w:hAnsi="Times New Roman" w:eastAsia="宋体" w:cs="Times New Roman"/>
                <w:color w:val="auto"/>
                <w:kern w:val="0"/>
                <w:sz w:val="20"/>
                <w:szCs w:val="20"/>
                <w:highlight w:val="none"/>
              </w:rPr>
            </w:pPr>
          </w:p>
        </w:tc>
        <w:tc>
          <w:tcPr>
            <w:tcW w:w="2228" w:type="dxa"/>
            <w:vAlign w:val="center"/>
          </w:tcPr>
          <w:p w14:paraId="579B2FFA">
            <w:pPr>
              <w:jc w:val="center"/>
              <w:rPr>
                <w:rFonts w:ascii="Times New Roman" w:hAnsi="Times New Roman" w:eastAsia="宋体" w:cs="Times New Roman"/>
                <w:color w:val="auto"/>
                <w:kern w:val="0"/>
                <w:sz w:val="20"/>
                <w:szCs w:val="20"/>
                <w:highlight w:val="none"/>
              </w:rPr>
            </w:pPr>
          </w:p>
        </w:tc>
        <w:tc>
          <w:tcPr>
            <w:tcW w:w="817" w:type="dxa"/>
            <w:vAlign w:val="center"/>
          </w:tcPr>
          <w:p w14:paraId="7327EB0F">
            <w:pPr>
              <w:jc w:val="center"/>
              <w:rPr>
                <w:rFonts w:ascii="Times New Roman" w:hAnsi="Times New Roman" w:eastAsia="宋体" w:cs="Times New Roman"/>
                <w:color w:val="auto"/>
                <w:kern w:val="0"/>
                <w:sz w:val="20"/>
                <w:szCs w:val="20"/>
                <w:highlight w:val="none"/>
              </w:rPr>
            </w:pPr>
          </w:p>
        </w:tc>
        <w:tc>
          <w:tcPr>
            <w:tcW w:w="968" w:type="dxa"/>
            <w:vAlign w:val="center"/>
          </w:tcPr>
          <w:p w14:paraId="4C9AA3D3">
            <w:pPr>
              <w:jc w:val="center"/>
              <w:rPr>
                <w:rFonts w:ascii="Times New Roman" w:hAnsi="Times New Roman" w:eastAsia="宋体" w:cs="Times New Roman"/>
                <w:color w:val="auto"/>
                <w:kern w:val="0"/>
                <w:sz w:val="20"/>
                <w:szCs w:val="20"/>
                <w:highlight w:val="none"/>
              </w:rPr>
            </w:pPr>
          </w:p>
        </w:tc>
        <w:tc>
          <w:tcPr>
            <w:tcW w:w="1986" w:type="dxa"/>
            <w:vAlign w:val="center"/>
          </w:tcPr>
          <w:p w14:paraId="6954E74B">
            <w:pPr>
              <w:jc w:val="center"/>
              <w:rPr>
                <w:rFonts w:ascii="Times New Roman" w:hAnsi="Times New Roman" w:eastAsia="宋体" w:cs="Times New Roman"/>
                <w:color w:val="auto"/>
                <w:kern w:val="0"/>
                <w:sz w:val="20"/>
                <w:szCs w:val="20"/>
                <w:highlight w:val="none"/>
              </w:rPr>
            </w:pPr>
          </w:p>
        </w:tc>
      </w:tr>
      <w:tr w14:paraId="19D82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1C3D8D98">
            <w:pPr>
              <w:jc w:val="center"/>
              <w:rPr>
                <w:rFonts w:ascii="Times New Roman" w:hAnsi="Times New Roman" w:eastAsia="宋体" w:cs="Times New Roman"/>
                <w:color w:val="auto"/>
                <w:kern w:val="0"/>
                <w:sz w:val="20"/>
                <w:szCs w:val="20"/>
                <w:highlight w:val="none"/>
              </w:rPr>
            </w:pPr>
          </w:p>
        </w:tc>
        <w:tc>
          <w:tcPr>
            <w:tcW w:w="2493" w:type="dxa"/>
            <w:vAlign w:val="center"/>
          </w:tcPr>
          <w:p w14:paraId="63222A94">
            <w:pPr>
              <w:jc w:val="center"/>
              <w:rPr>
                <w:rFonts w:ascii="Times New Roman" w:hAnsi="Times New Roman" w:eastAsia="宋体" w:cs="Times New Roman"/>
                <w:color w:val="auto"/>
                <w:kern w:val="0"/>
                <w:sz w:val="20"/>
                <w:szCs w:val="20"/>
                <w:highlight w:val="none"/>
              </w:rPr>
            </w:pPr>
          </w:p>
        </w:tc>
        <w:tc>
          <w:tcPr>
            <w:tcW w:w="2228" w:type="dxa"/>
            <w:vAlign w:val="center"/>
          </w:tcPr>
          <w:p w14:paraId="17295E0A">
            <w:pPr>
              <w:jc w:val="center"/>
              <w:rPr>
                <w:rFonts w:ascii="Times New Roman" w:hAnsi="Times New Roman" w:eastAsia="宋体" w:cs="Times New Roman"/>
                <w:color w:val="auto"/>
                <w:kern w:val="0"/>
                <w:sz w:val="20"/>
                <w:szCs w:val="20"/>
                <w:highlight w:val="none"/>
              </w:rPr>
            </w:pPr>
          </w:p>
        </w:tc>
        <w:tc>
          <w:tcPr>
            <w:tcW w:w="817" w:type="dxa"/>
            <w:vAlign w:val="center"/>
          </w:tcPr>
          <w:p w14:paraId="673B113E">
            <w:pPr>
              <w:jc w:val="center"/>
              <w:rPr>
                <w:rFonts w:ascii="Times New Roman" w:hAnsi="Times New Roman" w:eastAsia="宋体" w:cs="Times New Roman"/>
                <w:color w:val="auto"/>
                <w:kern w:val="0"/>
                <w:sz w:val="20"/>
                <w:szCs w:val="20"/>
                <w:highlight w:val="none"/>
              </w:rPr>
            </w:pPr>
          </w:p>
        </w:tc>
        <w:tc>
          <w:tcPr>
            <w:tcW w:w="968" w:type="dxa"/>
            <w:vAlign w:val="center"/>
          </w:tcPr>
          <w:p w14:paraId="10DAF48A">
            <w:pPr>
              <w:jc w:val="center"/>
              <w:rPr>
                <w:rFonts w:ascii="Times New Roman" w:hAnsi="Times New Roman" w:eastAsia="宋体" w:cs="Times New Roman"/>
                <w:color w:val="auto"/>
                <w:kern w:val="0"/>
                <w:sz w:val="20"/>
                <w:szCs w:val="20"/>
                <w:highlight w:val="none"/>
              </w:rPr>
            </w:pPr>
          </w:p>
        </w:tc>
        <w:tc>
          <w:tcPr>
            <w:tcW w:w="1986" w:type="dxa"/>
            <w:vAlign w:val="center"/>
          </w:tcPr>
          <w:p w14:paraId="18C89568">
            <w:pPr>
              <w:jc w:val="center"/>
              <w:rPr>
                <w:rFonts w:ascii="Times New Roman" w:hAnsi="Times New Roman" w:eastAsia="宋体" w:cs="Times New Roman"/>
                <w:color w:val="auto"/>
                <w:kern w:val="0"/>
                <w:sz w:val="20"/>
                <w:szCs w:val="20"/>
                <w:highlight w:val="none"/>
              </w:rPr>
            </w:pPr>
          </w:p>
        </w:tc>
      </w:tr>
      <w:tr w14:paraId="320B9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6B8DCDBF">
            <w:pPr>
              <w:jc w:val="center"/>
              <w:rPr>
                <w:rFonts w:ascii="Times New Roman" w:hAnsi="Times New Roman" w:eastAsia="宋体" w:cs="Times New Roman"/>
                <w:color w:val="auto"/>
                <w:kern w:val="0"/>
                <w:sz w:val="20"/>
                <w:szCs w:val="20"/>
                <w:highlight w:val="none"/>
              </w:rPr>
            </w:pPr>
          </w:p>
        </w:tc>
        <w:tc>
          <w:tcPr>
            <w:tcW w:w="2493" w:type="dxa"/>
            <w:vAlign w:val="center"/>
          </w:tcPr>
          <w:p w14:paraId="3374063A">
            <w:pPr>
              <w:jc w:val="center"/>
              <w:rPr>
                <w:rFonts w:ascii="Times New Roman" w:hAnsi="Times New Roman" w:eastAsia="宋体" w:cs="Times New Roman"/>
                <w:color w:val="auto"/>
                <w:kern w:val="0"/>
                <w:sz w:val="20"/>
                <w:szCs w:val="20"/>
                <w:highlight w:val="none"/>
              </w:rPr>
            </w:pPr>
          </w:p>
        </w:tc>
        <w:tc>
          <w:tcPr>
            <w:tcW w:w="2228" w:type="dxa"/>
            <w:vAlign w:val="center"/>
          </w:tcPr>
          <w:p w14:paraId="35672D17">
            <w:pPr>
              <w:jc w:val="center"/>
              <w:rPr>
                <w:rFonts w:ascii="Times New Roman" w:hAnsi="Times New Roman" w:eastAsia="宋体" w:cs="Times New Roman"/>
                <w:color w:val="auto"/>
                <w:kern w:val="0"/>
                <w:sz w:val="20"/>
                <w:szCs w:val="20"/>
                <w:highlight w:val="none"/>
              </w:rPr>
            </w:pPr>
          </w:p>
        </w:tc>
        <w:tc>
          <w:tcPr>
            <w:tcW w:w="817" w:type="dxa"/>
            <w:vAlign w:val="center"/>
          </w:tcPr>
          <w:p w14:paraId="2CF26A76">
            <w:pPr>
              <w:jc w:val="center"/>
              <w:rPr>
                <w:rFonts w:ascii="Times New Roman" w:hAnsi="Times New Roman" w:eastAsia="宋体" w:cs="Times New Roman"/>
                <w:color w:val="auto"/>
                <w:kern w:val="0"/>
                <w:sz w:val="20"/>
                <w:szCs w:val="20"/>
                <w:highlight w:val="none"/>
              </w:rPr>
            </w:pPr>
          </w:p>
        </w:tc>
        <w:tc>
          <w:tcPr>
            <w:tcW w:w="968" w:type="dxa"/>
            <w:vAlign w:val="center"/>
          </w:tcPr>
          <w:p w14:paraId="06A82A62">
            <w:pPr>
              <w:jc w:val="center"/>
              <w:rPr>
                <w:rFonts w:ascii="Times New Roman" w:hAnsi="Times New Roman" w:eastAsia="宋体" w:cs="Times New Roman"/>
                <w:color w:val="auto"/>
                <w:kern w:val="0"/>
                <w:sz w:val="20"/>
                <w:szCs w:val="20"/>
                <w:highlight w:val="none"/>
              </w:rPr>
            </w:pPr>
          </w:p>
        </w:tc>
        <w:tc>
          <w:tcPr>
            <w:tcW w:w="1986" w:type="dxa"/>
            <w:vAlign w:val="center"/>
          </w:tcPr>
          <w:p w14:paraId="77946BD8">
            <w:pPr>
              <w:jc w:val="center"/>
              <w:rPr>
                <w:rFonts w:ascii="Times New Roman" w:hAnsi="Times New Roman" w:eastAsia="宋体" w:cs="Times New Roman"/>
                <w:color w:val="auto"/>
                <w:kern w:val="0"/>
                <w:sz w:val="20"/>
                <w:szCs w:val="20"/>
                <w:highlight w:val="none"/>
              </w:rPr>
            </w:pPr>
          </w:p>
        </w:tc>
      </w:tr>
      <w:tr w14:paraId="3183C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1CD3D632">
            <w:pPr>
              <w:jc w:val="center"/>
              <w:rPr>
                <w:rFonts w:ascii="Times New Roman" w:hAnsi="Times New Roman" w:eastAsia="宋体" w:cs="Times New Roman"/>
                <w:color w:val="auto"/>
                <w:kern w:val="0"/>
                <w:sz w:val="20"/>
                <w:szCs w:val="20"/>
                <w:highlight w:val="none"/>
              </w:rPr>
            </w:pPr>
          </w:p>
        </w:tc>
        <w:tc>
          <w:tcPr>
            <w:tcW w:w="2493" w:type="dxa"/>
            <w:vAlign w:val="center"/>
          </w:tcPr>
          <w:p w14:paraId="533389D2">
            <w:pPr>
              <w:jc w:val="center"/>
              <w:rPr>
                <w:rFonts w:ascii="Times New Roman" w:hAnsi="Times New Roman" w:eastAsia="宋体" w:cs="Times New Roman"/>
                <w:color w:val="auto"/>
                <w:kern w:val="0"/>
                <w:sz w:val="20"/>
                <w:szCs w:val="20"/>
                <w:highlight w:val="none"/>
              </w:rPr>
            </w:pPr>
          </w:p>
        </w:tc>
        <w:tc>
          <w:tcPr>
            <w:tcW w:w="2228" w:type="dxa"/>
            <w:vAlign w:val="center"/>
          </w:tcPr>
          <w:p w14:paraId="195DD749">
            <w:pPr>
              <w:jc w:val="center"/>
              <w:rPr>
                <w:rFonts w:ascii="Times New Roman" w:hAnsi="Times New Roman" w:eastAsia="宋体" w:cs="Times New Roman"/>
                <w:color w:val="auto"/>
                <w:kern w:val="0"/>
                <w:sz w:val="20"/>
                <w:szCs w:val="20"/>
                <w:highlight w:val="none"/>
              </w:rPr>
            </w:pPr>
          </w:p>
        </w:tc>
        <w:tc>
          <w:tcPr>
            <w:tcW w:w="817" w:type="dxa"/>
            <w:vAlign w:val="center"/>
          </w:tcPr>
          <w:p w14:paraId="638DE180">
            <w:pPr>
              <w:jc w:val="center"/>
              <w:rPr>
                <w:rFonts w:ascii="Times New Roman" w:hAnsi="Times New Roman" w:eastAsia="宋体" w:cs="Times New Roman"/>
                <w:color w:val="auto"/>
                <w:kern w:val="0"/>
                <w:sz w:val="20"/>
                <w:szCs w:val="20"/>
                <w:highlight w:val="none"/>
              </w:rPr>
            </w:pPr>
          </w:p>
        </w:tc>
        <w:tc>
          <w:tcPr>
            <w:tcW w:w="968" w:type="dxa"/>
            <w:vAlign w:val="center"/>
          </w:tcPr>
          <w:p w14:paraId="070A9924">
            <w:pPr>
              <w:jc w:val="center"/>
              <w:rPr>
                <w:rFonts w:ascii="Times New Roman" w:hAnsi="Times New Roman" w:eastAsia="宋体" w:cs="Times New Roman"/>
                <w:color w:val="auto"/>
                <w:kern w:val="0"/>
                <w:sz w:val="20"/>
                <w:szCs w:val="20"/>
                <w:highlight w:val="none"/>
              </w:rPr>
            </w:pPr>
          </w:p>
        </w:tc>
        <w:tc>
          <w:tcPr>
            <w:tcW w:w="1986" w:type="dxa"/>
            <w:vAlign w:val="center"/>
          </w:tcPr>
          <w:p w14:paraId="57F27084">
            <w:pPr>
              <w:jc w:val="center"/>
              <w:rPr>
                <w:rFonts w:ascii="Times New Roman" w:hAnsi="Times New Roman" w:eastAsia="宋体" w:cs="Times New Roman"/>
                <w:color w:val="auto"/>
                <w:kern w:val="0"/>
                <w:sz w:val="20"/>
                <w:szCs w:val="20"/>
                <w:highlight w:val="none"/>
              </w:rPr>
            </w:pPr>
          </w:p>
        </w:tc>
      </w:tr>
      <w:tr w14:paraId="1F67F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3C45819D">
            <w:pPr>
              <w:jc w:val="center"/>
              <w:rPr>
                <w:rFonts w:ascii="Times New Roman" w:hAnsi="Times New Roman" w:eastAsia="宋体" w:cs="Times New Roman"/>
                <w:color w:val="auto"/>
                <w:kern w:val="0"/>
                <w:sz w:val="20"/>
                <w:szCs w:val="20"/>
                <w:highlight w:val="none"/>
              </w:rPr>
            </w:pPr>
          </w:p>
        </w:tc>
        <w:tc>
          <w:tcPr>
            <w:tcW w:w="2493" w:type="dxa"/>
            <w:vAlign w:val="center"/>
          </w:tcPr>
          <w:p w14:paraId="6DC730ED">
            <w:pPr>
              <w:jc w:val="center"/>
              <w:rPr>
                <w:rFonts w:ascii="Times New Roman" w:hAnsi="Times New Roman" w:eastAsia="宋体" w:cs="Times New Roman"/>
                <w:color w:val="auto"/>
                <w:kern w:val="0"/>
                <w:sz w:val="20"/>
                <w:szCs w:val="20"/>
                <w:highlight w:val="none"/>
              </w:rPr>
            </w:pPr>
          </w:p>
        </w:tc>
        <w:tc>
          <w:tcPr>
            <w:tcW w:w="2228" w:type="dxa"/>
            <w:vAlign w:val="center"/>
          </w:tcPr>
          <w:p w14:paraId="54212FF4">
            <w:pPr>
              <w:jc w:val="center"/>
              <w:rPr>
                <w:rFonts w:ascii="Times New Roman" w:hAnsi="Times New Roman" w:eastAsia="宋体" w:cs="Times New Roman"/>
                <w:color w:val="auto"/>
                <w:kern w:val="0"/>
                <w:sz w:val="20"/>
                <w:szCs w:val="20"/>
                <w:highlight w:val="none"/>
              </w:rPr>
            </w:pPr>
          </w:p>
        </w:tc>
        <w:tc>
          <w:tcPr>
            <w:tcW w:w="817" w:type="dxa"/>
            <w:vAlign w:val="center"/>
          </w:tcPr>
          <w:p w14:paraId="3E437E7E">
            <w:pPr>
              <w:jc w:val="center"/>
              <w:rPr>
                <w:rFonts w:ascii="Times New Roman" w:hAnsi="Times New Roman" w:eastAsia="宋体" w:cs="Times New Roman"/>
                <w:color w:val="auto"/>
                <w:kern w:val="0"/>
                <w:sz w:val="20"/>
                <w:szCs w:val="20"/>
                <w:highlight w:val="none"/>
              </w:rPr>
            </w:pPr>
          </w:p>
        </w:tc>
        <w:tc>
          <w:tcPr>
            <w:tcW w:w="968" w:type="dxa"/>
            <w:vAlign w:val="center"/>
          </w:tcPr>
          <w:p w14:paraId="4DED89D7">
            <w:pPr>
              <w:jc w:val="center"/>
              <w:rPr>
                <w:rFonts w:ascii="Times New Roman" w:hAnsi="Times New Roman" w:eastAsia="宋体" w:cs="Times New Roman"/>
                <w:color w:val="auto"/>
                <w:kern w:val="0"/>
                <w:sz w:val="20"/>
                <w:szCs w:val="20"/>
                <w:highlight w:val="none"/>
              </w:rPr>
            </w:pPr>
          </w:p>
        </w:tc>
        <w:tc>
          <w:tcPr>
            <w:tcW w:w="1986" w:type="dxa"/>
            <w:vAlign w:val="center"/>
          </w:tcPr>
          <w:p w14:paraId="1B00FD8D">
            <w:pPr>
              <w:jc w:val="center"/>
              <w:rPr>
                <w:rFonts w:ascii="Times New Roman" w:hAnsi="Times New Roman" w:eastAsia="宋体" w:cs="Times New Roman"/>
                <w:color w:val="auto"/>
                <w:kern w:val="0"/>
                <w:sz w:val="20"/>
                <w:szCs w:val="20"/>
                <w:highlight w:val="none"/>
              </w:rPr>
            </w:pPr>
          </w:p>
        </w:tc>
      </w:tr>
      <w:tr w14:paraId="5F445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225D78A9">
            <w:pPr>
              <w:jc w:val="center"/>
              <w:rPr>
                <w:rFonts w:ascii="Times New Roman" w:hAnsi="Times New Roman" w:eastAsia="宋体" w:cs="Times New Roman"/>
                <w:color w:val="auto"/>
                <w:kern w:val="0"/>
                <w:sz w:val="20"/>
                <w:szCs w:val="20"/>
                <w:highlight w:val="none"/>
              </w:rPr>
            </w:pPr>
          </w:p>
        </w:tc>
        <w:tc>
          <w:tcPr>
            <w:tcW w:w="2493" w:type="dxa"/>
            <w:vAlign w:val="center"/>
          </w:tcPr>
          <w:p w14:paraId="4E6A73A5">
            <w:pPr>
              <w:jc w:val="center"/>
              <w:rPr>
                <w:rFonts w:ascii="Times New Roman" w:hAnsi="Times New Roman" w:eastAsia="宋体" w:cs="Times New Roman"/>
                <w:color w:val="auto"/>
                <w:kern w:val="0"/>
                <w:sz w:val="20"/>
                <w:szCs w:val="20"/>
                <w:highlight w:val="none"/>
              </w:rPr>
            </w:pPr>
          </w:p>
        </w:tc>
        <w:tc>
          <w:tcPr>
            <w:tcW w:w="2228" w:type="dxa"/>
            <w:vAlign w:val="center"/>
          </w:tcPr>
          <w:p w14:paraId="79ABDCC4">
            <w:pPr>
              <w:jc w:val="center"/>
              <w:rPr>
                <w:rFonts w:ascii="Times New Roman" w:hAnsi="Times New Roman" w:eastAsia="宋体" w:cs="Times New Roman"/>
                <w:color w:val="auto"/>
                <w:kern w:val="0"/>
                <w:sz w:val="20"/>
                <w:szCs w:val="20"/>
                <w:highlight w:val="none"/>
              </w:rPr>
            </w:pPr>
          </w:p>
        </w:tc>
        <w:tc>
          <w:tcPr>
            <w:tcW w:w="817" w:type="dxa"/>
            <w:vAlign w:val="center"/>
          </w:tcPr>
          <w:p w14:paraId="193B808B">
            <w:pPr>
              <w:jc w:val="center"/>
              <w:rPr>
                <w:rFonts w:ascii="Times New Roman" w:hAnsi="Times New Roman" w:eastAsia="宋体" w:cs="Times New Roman"/>
                <w:color w:val="auto"/>
                <w:kern w:val="0"/>
                <w:sz w:val="20"/>
                <w:szCs w:val="20"/>
                <w:highlight w:val="none"/>
              </w:rPr>
            </w:pPr>
          </w:p>
        </w:tc>
        <w:tc>
          <w:tcPr>
            <w:tcW w:w="968" w:type="dxa"/>
            <w:vAlign w:val="center"/>
          </w:tcPr>
          <w:p w14:paraId="48AA83FA">
            <w:pPr>
              <w:jc w:val="center"/>
              <w:rPr>
                <w:rFonts w:ascii="Times New Roman" w:hAnsi="Times New Roman" w:eastAsia="宋体" w:cs="Times New Roman"/>
                <w:color w:val="auto"/>
                <w:kern w:val="0"/>
                <w:sz w:val="20"/>
                <w:szCs w:val="20"/>
                <w:highlight w:val="none"/>
              </w:rPr>
            </w:pPr>
          </w:p>
        </w:tc>
        <w:tc>
          <w:tcPr>
            <w:tcW w:w="1986" w:type="dxa"/>
            <w:vAlign w:val="center"/>
          </w:tcPr>
          <w:p w14:paraId="30829872">
            <w:pPr>
              <w:jc w:val="center"/>
              <w:rPr>
                <w:rFonts w:ascii="Times New Roman" w:hAnsi="Times New Roman" w:eastAsia="宋体" w:cs="Times New Roman"/>
                <w:color w:val="auto"/>
                <w:kern w:val="0"/>
                <w:sz w:val="20"/>
                <w:szCs w:val="20"/>
                <w:highlight w:val="none"/>
              </w:rPr>
            </w:pPr>
          </w:p>
        </w:tc>
      </w:tr>
      <w:tr w14:paraId="4C69F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7D0CE0ED">
            <w:pPr>
              <w:jc w:val="center"/>
              <w:rPr>
                <w:rFonts w:ascii="Times New Roman" w:hAnsi="Times New Roman" w:eastAsia="宋体" w:cs="Times New Roman"/>
                <w:color w:val="auto"/>
                <w:kern w:val="0"/>
                <w:sz w:val="20"/>
                <w:szCs w:val="20"/>
                <w:highlight w:val="none"/>
              </w:rPr>
            </w:pPr>
          </w:p>
        </w:tc>
        <w:tc>
          <w:tcPr>
            <w:tcW w:w="2493" w:type="dxa"/>
            <w:vAlign w:val="center"/>
          </w:tcPr>
          <w:p w14:paraId="5B5D4FB4">
            <w:pPr>
              <w:jc w:val="center"/>
              <w:rPr>
                <w:rFonts w:ascii="Times New Roman" w:hAnsi="Times New Roman" w:eastAsia="宋体" w:cs="Times New Roman"/>
                <w:color w:val="auto"/>
                <w:kern w:val="0"/>
                <w:sz w:val="20"/>
                <w:szCs w:val="20"/>
                <w:highlight w:val="none"/>
              </w:rPr>
            </w:pPr>
          </w:p>
        </w:tc>
        <w:tc>
          <w:tcPr>
            <w:tcW w:w="2228" w:type="dxa"/>
            <w:vAlign w:val="center"/>
          </w:tcPr>
          <w:p w14:paraId="4EA94442">
            <w:pPr>
              <w:jc w:val="center"/>
              <w:rPr>
                <w:rFonts w:ascii="Times New Roman" w:hAnsi="Times New Roman" w:eastAsia="宋体" w:cs="Times New Roman"/>
                <w:color w:val="auto"/>
                <w:kern w:val="0"/>
                <w:sz w:val="20"/>
                <w:szCs w:val="20"/>
                <w:highlight w:val="none"/>
              </w:rPr>
            </w:pPr>
          </w:p>
        </w:tc>
        <w:tc>
          <w:tcPr>
            <w:tcW w:w="817" w:type="dxa"/>
            <w:vAlign w:val="center"/>
          </w:tcPr>
          <w:p w14:paraId="3EB00BD5">
            <w:pPr>
              <w:jc w:val="center"/>
              <w:rPr>
                <w:rFonts w:ascii="Times New Roman" w:hAnsi="Times New Roman" w:eastAsia="宋体" w:cs="Times New Roman"/>
                <w:color w:val="auto"/>
                <w:kern w:val="0"/>
                <w:sz w:val="20"/>
                <w:szCs w:val="20"/>
                <w:highlight w:val="none"/>
              </w:rPr>
            </w:pPr>
          </w:p>
        </w:tc>
        <w:tc>
          <w:tcPr>
            <w:tcW w:w="968" w:type="dxa"/>
            <w:vAlign w:val="center"/>
          </w:tcPr>
          <w:p w14:paraId="749EFCC0">
            <w:pPr>
              <w:jc w:val="center"/>
              <w:rPr>
                <w:rFonts w:ascii="Times New Roman" w:hAnsi="Times New Roman" w:eastAsia="宋体" w:cs="Times New Roman"/>
                <w:color w:val="auto"/>
                <w:kern w:val="0"/>
                <w:sz w:val="20"/>
                <w:szCs w:val="20"/>
                <w:highlight w:val="none"/>
              </w:rPr>
            </w:pPr>
          </w:p>
        </w:tc>
        <w:tc>
          <w:tcPr>
            <w:tcW w:w="1986" w:type="dxa"/>
            <w:vAlign w:val="center"/>
          </w:tcPr>
          <w:p w14:paraId="593CDC17">
            <w:pPr>
              <w:jc w:val="center"/>
              <w:rPr>
                <w:rFonts w:ascii="Times New Roman" w:hAnsi="Times New Roman" w:eastAsia="宋体" w:cs="Times New Roman"/>
                <w:color w:val="auto"/>
                <w:kern w:val="0"/>
                <w:sz w:val="20"/>
                <w:szCs w:val="20"/>
                <w:highlight w:val="none"/>
              </w:rPr>
            </w:pPr>
          </w:p>
        </w:tc>
      </w:tr>
      <w:tr w14:paraId="0B77E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326E37B0">
            <w:pPr>
              <w:jc w:val="center"/>
              <w:rPr>
                <w:rFonts w:ascii="Times New Roman" w:hAnsi="Times New Roman" w:eastAsia="宋体" w:cs="Times New Roman"/>
                <w:color w:val="auto"/>
                <w:kern w:val="0"/>
                <w:sz w:val="20"/>
                <w:szCs w:val="20"/>
                <w:highlight w:val="none"/>
              </w:rPr>
            </w:pPr>
          </w:p>
        </w:tc>
        <w:tc>
          <w:tcPr>
            <w:tcW w:w="2493" w:type="dxa"/>
            <w:vAlign w:val="center"/>
          </w:tcPr>
          <w:p w14:paraId="44272F4D">
            <w:pPr>
              <w:jc w:val="center"/>
              <w:rPr>
                <w:rFonts w:ascii="Times New Roman" w:hAnsi="Times New Roman" w:eastAsia="宋体" w:cs="Times New Roman"/>
                <w:color w:val="auto"/>
                <w:kern w:val="0"/>
                <w:sz w:val="20"/>
                <w:szCs w:val="20"/>
                <w:highlight w:val="none"/>
              </w:rPr>
            </w:pPr>
          </w:p>
        </w:tc>
        <w:tc>
          <w:tcPr>
            <w:tcW w:w="2228" w:type="dxa"/>
            <w:vAlign w:val="center"/>
          </w:tcPr>
          <w:p w14:paraId="719C3D1F">
            <w:pPr>
              <w:jc w:val="center"/>
              <w:rPr>
                <w:rFonts w:ascii="Times New Roman" w:hAnsi="Times New Roman" w:eastAsia="宋体" w:cs="Times New Roman"/>
                <w:color w:val="auto"/>
                <w:kern w:val="0"/>
                <w:sz w:val="20"/>
                <w:szCs w:val="20"/>
                <w:highlight w:val="none"/>
              </w:rPr>
            </w:pPr>
          </w:p>
        </w:tc>
        <w:tc>
          <w:tcPr>
            <w:tcW w:w="817" w:type="dxa"/>
            <w:vAlign w:val="center"/>
          </w:tcPr>
          <w:p w14:paraId="37E8F181">
            <w:pPr>
              <w:jc w:val="center"/>
              <w:rPr>
                <w:rFonts w:ascii="Times New Roman" w:hAnsi="Times New Roman" w:eastAsia="宋体" w:cs="Times New Roman"/>
                <w:color w:val="auto"/>
                <w:kern w:val="0"/>
                <w:sz w:val="20"/>
                <w:szCs w:val="20"/>
                <w:highlight w:val="none"/>
              </w:rPr>
            </w:pPr>
          </w:p>
        </w:tc>
        <w:tc>
          <w:tcPr>
            <w:tcW w:w="968" w:type="dxa"/>
            <w:vAlign w:val="center"/>
          </w:tcPr>
          <w:p w14:paraId="656D3CDB">
            <w:pPr>
              <w:jc w:val="center"/>
              <w:rPr>
                <w:rFonts w:ascii="Times New Roman" w:hAnsi="Times New Roman" w:eastAsia="宋体" w:cs="Times New Roman"/>
                <w:color w:val="auto"/>
                <w:kern w:val="0"/>
                <w:sz w:val="20"/>
                <w:szCs w:val="20"/>
                <w:highlight w:val="none"/>
              </w:rPr>
            </w:pPr>
          </w:p>
        </w:tc>
        <w:tc>
          <w:tcPr>
            <w:tcW w:w="1986" w:type="dxa"/>
            <w:vAlign w:val="center"/>
          </w:tcPr>
          <w:p w14:paraId="46D53927">
            <w:pPr>
              <w:jc w:val="center"/>
              <w:rPr>
                <w:rFonts w:ascii="Times New Roman" w:hAnsi="Times New Roman" w:eastAsia="宋体" w:cs="Times New Roman"/>
                <w:color w:val="auto"/>
                <w:kern w:val="0"/>
                <w:sz w:val="20"/>
                <w:szCs w:val="20"/>
                <w:highlight w:val="none"/>
              </w:rPr>
            </w:pPr>
          </w:p>
        </w:tc>
      </w:tr>
      <w:tr w14:paraId="26C34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43D010C1">
            <w:pPr>
              <w:jc w:val="center"/>
              <w:rPr>
                <w:rFonts w:ascii="Times New Roman" w:hAnsi="Times New Roman" w:eastAsia="宋体" w:cs="Times New Roman"/>
                <w:color w:val="auto"/>
                <w:kern w:val="0"/>
                <w:sz w:val="20"/>
                <w:szCs w:val="20"/>
                <w:highlight w:val="none"/>
              </w:rPr>
            </w:pPr>
          </w:p>
        </w:tc>
        <w:tc>
          <w:tcPr>
            <w:tcW w:w="2493" w:type="dxa"/>
            <w:vAlign w:val="center"/>
          </w:tcPr>
          <w:p w14:paraId="75D24819">
            <w:pPr>
              <w:jc w:val="center"/>
              <w:rPr>
                <w:rFonts w:ascii="Times New Roman" w:hAnsi="Times New Roman" w:eastAsia="宋体" w:cs="Times New Roman"/>
                <w:color w:val="auto"/>
                <w:kern w:val="0"/>
                <w:sz w:val="20"/>
                <w:szCs w:val="20"/>
                <w:highlight w:val="none"/>
              </w:rPr>
            </w:pPr>
          </w:p>
        </w:tc>
        <w:tc>
          <w:tcPr>
            <w:tcW w:w="2228" w:type="dxa"/>
            <w:vAlign w:val="center"/>
          </w:tcPr>
          <w:p w14:paraId="2B7C754A">
            <w:pPr>
              <w:jc w:val="center"/>
              <w:rPr>
                <w:rFonts w:ascii="Times New Roman" w:hAnsi="Times New Roman" w:eastAsia="宋体" w:cs="Times New Roman"/>
                <w:color w:val="auto"/>
                <w:kern w:val="0"/>
                <w:sz w:val="20"/>
                <w:szCs w:val="20"/>
                <w:highlight w:val="none"/>
              </w:rPr>
            </w:pPr>
          </w:p>
        </w:tc>
        <w:tc>
          <w:tcPr>
            <w:tcW w:w="817" w:type="dxa"/>
            <w:vAlign w:val="center"/>
          </w:tcPr>
          <w:p w14:paraId="6DEEC89F">
            <w:pPr>
              <w:jc w:val="center"/>
              <w:rPr>
                <w:rFonts w:ascii="Times New Roman" w:hAnsi="Times New Roman" w:eastAsia="宋体" w:cs="Times New Roman"/>
                <w:color w:val="auto"/>
                <w:kern w:val="0"/>
                <w:sz w:val="20"/>
                <w:szCs w:val="20"/>
                <w:highlight w:val="none"/>
              </w:rPr>
            </w:pPr>
          </w:p>
        </w:tc>
        <w:tc>
          <w:tcPr>
            <w:tcW w:w="968" w:type="dxa"/>
            <w:vAlign w:val="center"/>
          </w:tcPr>
          <w:p w14:paraId="17D5E100">
            <w:pPr>
              <w:jc w:val="center"/>
              <w:rPr>
                <w:rFonts w:ascii="Times New Roman" w:hAnsi="Times New Roman" w:eastAsia="宋体" w:cs="Times New Roman"/>
                <w:color w:val="auto"/>
                <w:kern w:val="0"/>
                <w:sz w:val="20"/>
                <w:szCs w:val="20"/>
                <w:highlight w:val="none"/>
              </w:rPr>
            </w:pPr>
          </w:p>
        </w:tc>
        <w:tc>
          <w:tcPr>
            <w:tcW w:w="1986" w:type="dxa"/>
            <w:vAlign w:val="center"/>
          </w:tcPr>
          <w:p w14:paraId="3EFD71AD">
            <w:pPr>
              <w:jc w:val="center"/>
              <w:rPr>
                <w:rFonts w:ascii="Times New Roman" w:hAnsi="Times New Roman" w:eastAsia="宋体" w:cs="Times New Roman"/>
                <w:color w:val="auto"/>
                <w:kern w:val="0"/>
                <w:sz w:val="20"/>
                <w:szCs w:val="20"/>
                <w:highlight w:val="none"/>
              </w:rPr>
            </w:pPr>
          </w:p>
        </w:tc>
      </w:tr>
      <w:tr w14:paraId="23246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2B65A695">
            <w:pPr>
              <w:jc w:val="center"/>
              <w:rPr>
                <w:rFonts w:ascii="Times New Roman" w:hAnsi="Times New Roman" w:eastAsia="宋体" w:cs="Times New Roman"/>
                <w:color w:val="auto"/>
                <w:kern w:val="0"/>
                <w:sz w:val="20"/>
                <w:szCs w:val="20"/>
                <w:highlight w:val="none"/>
              </w:rPr>
            </w:pPr>
          </w:p>
        </w:tc>
        <w:tc>
          <w:tcPr>
            <w:tcW w:w="2493" w:type="dxa"/>
            <w:vAlign w:val="center"/>
          </w:tcPr>
          <w:p w14:paraId="5C76D7A9">
            <w:pPr>
              <w:jc w:val="center"/>
              <w:rPr>
                <w:rFonts w:ascii="Times New Roman" w:hAnsi="Times New Roman" w:eastAsia="宋体" w:cs="Times New Roman"/>
                <w:color w:val="auto"/>
                <w:kern w:val="0"/>
                <w:sz w:val="20"/>
                <w:szCs w:val="20"/>
                <w:highlight w:val="none"/>
              </w:rPr>
            </w:pPr>
          </w:p>
        </w:tc>
        <w:tc>
          <w:tcPr>
            <w:tcW w:w="2228" w:type="dxa"/>
            <w:vAlign w:val="center"/>
          </w:tcPr>
          <w:p w14:paraId="6587154F">
            <w:pPr>
              <w:jc w:val="center"/>
              <w:rPr>
                <w:rFonts w:ascii="Times New Roman" w:hAnsi="Times New Roman" w:eastAsia="宋体" w:cs="Times New Roman"/>
                <w:color w:val="auto"/>
                <w:kern w:val="0"/>
                <w:sz w:val="20"/>
                <w:szCs w:val="20"/>
                <w:highlight w:val="none"/>
              </w:rPr>
            </w:pPr>
          </w:p>
        </w:tc>
        <w:tc>
          <w:tcPr>
            <w:tcW w:w="817" w:type="dxa"/>
            <w:vAlign w:val="center"/>
          </w:tcPr>
          <w:p w14:paraId="7C3F2B98">
            <w:pPr>
              <w:jc w:val="center"/>
              <w:rPr>
                <w:rFonts w:ascii="Times New Roman" w:hAnsi="Times New Roman" w:eastAsia="宋体" w:cs="Times New Roman"/>
                <w:color w:val="auto"/>
                <w:kern w:val="0"/>
                <w:sz w:val="20"/>
                <w:szCs w:val="20"/>
                <w:highlight w:val="none"/>
              </w:rPr>
            </w:pPr>
          </w:p>
        </w:tc>
        <w:tc>
          <w:tcPr>
            <w:tcW w:w="968" w:type="dxa"/>
            <w:vAlign w:val="center"/>
          </w:tcPr>
          <w:p w14:paraId="66CE6AC3">
            <w:pPr>
              <w:jc w:val="center"/>
              <w:rPr>
                <w:rFonts w:ascii="Times New Roman" w:hAnsi="Times New Roman" w:eastAsia="宋体" w:cs="Times New Roman"/>
                <w:color w:val="auto"/>
                <w:kern w:val="0"/>
                <w:sz w:val="20"/>
                <w:szCs w:val="20"/>
                <w:highlight w:val="none"/>
              </w:rPr>
            </w:pPr>
          </w:p>
        </w:tc>
        <w:tc>
          <w:tcPr>
            <w:tcW w:w="1986" w:type="dxa"/>
            <w:vAlign w:val="center"/>
          </w:tcPr>
          <w:p w14:paraId="2137119C">
            <w:pPr>
              <w:jc w:val="center"/>
              <w:rPr>
                <w:rFonts w:ascii="Times New Roman" w:hAnsi="Times New Roman" w:eastAsia="宋体" w:cs="Times New Roman"/>
                <w:color w:val="auto"/>
                <w:kern w:val="0"/>
                <w:sz w:val="20"/>
                <w:szCs w:val="20"/>
                <w:highlight w:val="none"/>
              </w:rPr>
            </w:pPr>
          </w:p>
        </w:tc>
      </w:tr>
      <w:tr w14:paraId="6501E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61FDFC1A">
            <w:pPr>
              <w:jc w:val="center"/>
              <w:rPr>
                <w:rFonts w:ascii="Times New Roman" w:hAnsi="Times New Roman" w:eastAsia="宋体" w:cs="Times New Roman"/>
                <w:color w:val="auto"/>
                <w:kern w:val="0"/>
                <w:sz w:val="20"/>
                <w:szCs w:val="20"/>
                <w:highlight w:val="none"/>
              </w:rPr>
            </w:pPr>
          </w:p>
        </w:tc>
        <w:tc>
          <w:tcPr>
            <w:tcW w:w="2493" w:type="dxa"/>
            <w:vAlign w:val="center"/>
          </w:tcPr>
          <w:p w14:paraId="63E23DB9">
            <w:pPr>
              <w:jc w:val="center"/>
              <w:rPr>
                <w:rFonts w:ascii="Times New Roman" w:hAnsi="Times New Roman" w:eastAsia="宋体" w:cs="Times New Roman"/>
                <w:color w:val="auto"/>
                <w:kern w:val="0"/>
                <w:sz w:val="20"/>
                <w:szCs w:val="20"/>
                <w:highlight w:val="none"/>
              </w:rPr>
            </w:pPr>
          </w:p>
        </w:tc>
        <w:tc>
          <w:tcPr>
            <w:tcW w:w="2228" w:type="dxa"/>
            <w:vAlign w:val="center"/>
          </w:tcPr>
          <w:p w14:paraId="3202A2B5">
            <w:pPr>
              <w:jc w:val="center"/>
              <w:rPr>
                <w:rFonts w:ascii="Times New Roman" w:hAnsi="Times New Roman" w:eastAsia="宋体" w:cs="Times New Roman"/>
                <w:color w:val="auto"/>
                <w:kern w:val="0"/>
                <w:sz w:val="20"/>
                <w:szCs w:val="20"/>
                <w:highlight w:val="none"/>
              </w:rPr>
            </w:pPr>
          </w:p>
        </w:tc>
        <w:tc>
          <w:tcPr>
            <w:tcW w:w="817" w:type="dxa"/>
            <w:vAlign w:val="center"/>
          </w:tcPr>
          <w:p w14:paraId="75A61E57">
            <w:pPr>
              <w:jc w:val="center"/>
              <w:rPr>
                <w:rFonts w:ascii="Times New Roman" w:hAnsi="Times New Roman" w:eastAsia="宋体" w:cs="Times New Roman"/>
                <w:color w:val="auto"/>
                <w:kern w:val="0"/>
                <w:sz w:val="20"/>
                <w:szCs w:val="20"/>
                <w:highlight w:val="none"/>
              </w:rPr>
            </w:pPr>
          </w:p>
        </w:tc>
        <w:tc>
          <w:tcPr>
            <w:tcW w:w="968" w:type="dxa"/>
            <w:vAlign w:val="center"/>
          </w:tcPr>
          <w:p w14:paraId="78E5D452">
            <w:pPr>
              <w:jc w:val="center"/>
              <w:rPr>
                <w:rFonts w:ascii="Times New Roman" w:hAnsi="Times New Roman" w:eastAsia="宋体" w:cs="Times New Roman"/>
                <w:color w:val="auto"/>
                <w:kern w:val="0"/>
                <w:sz w:val="20"/>
                <w:szCs w:val="20"/>
                <w:highlight w:val="none"/>
              </w:rPr>
            </w:pPr>
          </w:p>
        </w:tc>
        <w:tc>
          <w:tcPr>
            <w:tcW w:w="1986" w:type="dxa"/>
            <w:vAlign w:val="center"/>
          </w:tcPr>
          <w:p w14:paraId="660228CF">
            <w:pPr>
              <w:jc w:val="center"/>
              <w:rPr>
                <w:rFonts w:ascii="Times New Roman" w:hAnsi="Times New Roman" w:eastAsia="宋体" w:cs="Times New Roman"/>
                <w:color w:val="auto"/>
                <w:kern w:val="0"/>
                <w:sz w:val="20"/>
                <w:szCs w:val="20"/>
                <w:highlight w:val="none"/>
              </w:rPr>
            </w:pPr>
          </w:p>
        </w:tc>
      </w:tr>
      <w:tr w14:paraId="1D8F7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54DA6BB0">
            <w:pPr>
              <w:jc w:val="center"/>
              <w:rPr>
                <w:rFonts w:ascii="Times New Roman" w:hAnsi="Times New Roman" w:eastAsia="宋体" w:cs="Times New Roman"/>
                <w:color w:val="auto"/>
                <w:kern w:val="0"/>
                <w:sz w:val="20"/>
                <w:szCs w:val="20"/>
                <w:highlight w:val="none"/>
              </w:rPr>
            </w:pPr>
          </w:p>
        </w:tc>
        <w:tc>
          <w:tcPr>
            <w:tcW w:w="2493" w:type="dxa"/>
            <w:vAlign w:val="center"/>
          </w:tcPr>
          <w:p w14:paraId="730C60B6">
            <w:pPr>
              <w:jc w:val="center"/>
              <w:rPr>
                <w:rFonts w:ascii="Times New Roman" w:hAnsi="Times New Roman" w:eastAsia="宋体" w:cs="Times New Roman"/>
                <w:color w:val="auto"/>
                <w:kern w:val="0"/>
                <w:sz w:val="20"/>
                <w:szCs w:val="20"/>
                <w:highlight w:val="none"/>
              </w:rPr>
            </w:pPr>
          </w:p>
        </w:tc>
        <w:tc>
          <w:tcPr>
            <w:tcW w:w="2228" w:type="dxa"/>
            <w:vAlign w:val="center"/>
          </w:tcPr>
          <w:p w14:paraId="76A8FEC0">
            <w:pPr>
              <w:jc w:val="center"/>
              <w:rPr>
                <w:rFonts w:ascii="Times New Roman" w:hAnsi="Times New Roman" w:eastAsia="宋体" w:cs="Times New Roman"/>
                <w:color w:val="auto"/>
                <w:kern w:val="0"/>
                <w:sz w:val="20"/>
                <w:szCs w:val="20"/>
                <w:highlight w:val="none"/>
              </w:rPr>
            </w:pPr>
          </w:p>
        </w:tc>
        <w:tc>
          <w:tcPr>
            <w:tcW w:w="817" w:type="dxa"/>
            <w:vAlign w:val="center"/>
          </w:tcPr>
          <w:p w14:paraId="028A6C34">
            <w:pPr>
              <w:jc w:val="center"/>
              <w:rPr>
                <w:rFonts w:ascii="Times New Roman" w:hAnsi="Times New Roman" w:eastAsia="宋体" w:cs="Times New Roman"/>
                <w:color w:val="auto"/>
                <w:kern w:val="0"/>
                <w:sz w:val="20"/>
                <w:szCs w:val="20"/>
                <w:highlight w:val="none"/>
              </w:rPr>
            </w:pPr>
          </w:p>
        </w:tc>
        <w:tc>
          <w:tcPr>
            <w:tcW w:w="968" w:type="dxa"/>
            <w:vAlign w:val="center"/>
          </w:tcPr>
          <w:p w14:paraId="2EED6438">
            <w:pPr>
              <w:jc w:val="center"/>
              <w:rPr>
                <w:rFonts w:ascii="Times New Roman" w:hAnsi="Times New Roman" w:eastAsia="宋体" w:cs="Times New Roman"/>
                <w:color w:val="auto"/>
                <w:kern w:val="0"/>
                <w:sz w:val="20"/>
                <w:szCs w:val="20"/>
                <w:highlight w:val="none"/>
              </w:rPr>
            </w:pPr>
          </w:p>
        </w:tc>
        <w:tc>
          <w:tcPr>
            <w:tcW w:w="1986" w:type="dxa"/>
            <w:vAlign w:val="center"/>
          </w:tcPr>
          <w:p w14:paraId="79E1C5B2">
            <w:pPr>
              <w:jc w:val="center"/>
              <w:rPr>
                <w:rFonts w:ascii="Times New Roman" w:hAnsi="Times New Roman" w:eastAsia="宋体" w:cs="Times New Roman"/>
                <w:color w:val="auto"/>
                <w:kern w:val="0"/>
                <w:sz w:val="20"/>
                <w:szCs w:val="20"/>
                <w:highlight w:val="none"/>
              </w:rPr>
            </w:pPr>
          </w:p>
        </w:tc>
      </w:tr>
      <w:tr w14:paraId="73FE4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299E47D9">
            <w:pPr>
              <w:jc w:val="center"/>
              <w:rPr>
                <w:rFonts w:ascii="Times New Roman" w:hAnsi="Times New Roman" w:eastAsia="宋体" w:cs="Times New Roman"/>
                <w:color w:val="auto"/>
                <w:kern w:val="0"/>
                <w:sz w:val="20"/>
                <w:szCs w:val="20"/>
                <w:highlight w:val="none"/>
              </w:rPr>
            </w:pPr>
          </w:p>
        </w:tc>
        <w:tc>
          <w:tcPr>
            <w:tcW w:w="2493" w:type="dxa"/>
            <w:vAlign w:val="center"/>
          </w:tcPr>
          <w:p w14:paraId="3F5475C4">
            <w:pPr>
              <w:jc w:val="center"/>
              <w:rPr>
                <w:rFonts w:ascii="Times New Roman" w:hAnsi="Times New Roman" w:eastAsia="宋体" w:cs="Times New Roman"/>
                <w:color w:val="auto"/>
                <w:kern w:val="0"/>
                <w:sz w:val="20"/>
                <w:szCs w:val="20"/>
                <w:highlight w:val="none"/>
              </w:rPr>
            </w:pPr>
          </w:p>
        </w:tc>
        <w:tc>
          <w:tcPr>
            <w:tcW w:w="2228" w:type="dxa"/>
            <w:vAlign w:val="center"/>
          </w:tcPr>
          <w:p w14:paraId="5CF7FD02">
            <w:pPr>
              <w:jc w:val="center"/>
              <w:rPr>
                <w:rFonts w:ascii="Times New Roman" w:hAnsi="Times New Roman" w:eastAsia="宋体" w:cs="Times New Roman"/>
                <w:color w:val="auto"/>
                <w:kern w:val="0"/>
                <w:sz w:val="20"/>
                <w:szCs w:val="20"/>
                <w:highlight w:val="none"/>
              </w:rPr>
            </w:pPr>
          </w:p>
        </w:tc>
        <w:tc>
          <w:tcPr>
            <w:tcW w:w="817" w:type="dxa"/>
            <w:vAlign w:val="center"/>
          </w:tcPr>
          <w:p w14:paraId="390EF9F4">
            <w:pPr>
              <w:jc w:val="center"/>
              <w:rPr>
                <w:rFonts w:ascii="Times New Roman" w:hAnsi="Times New Roman" w:eastAsia="宋体" w:cs="Times New Roman"/>
                <w:color w:val="auto"/>
                <w:kern w:val="0"/>
                <w:sz w:val="20"/>
                <w:szCs w:val="20"/>
                <w:highlight w:val="none"/>
              </w:rPr>
            </w:pPr>
          </w:p>
        </w:tc>
        <w:tc>
          <w:tcPr>
            <w:tcW w:w="968" w:type="dxa"/>
            <w:vAlign w:val="center"/>
          </w:tcPr>
          <w:p w14:paraId="3B016875">
            <w:pPr>
              <w:jc w:val="center"/>
              <w:rPr>
                <w:rFonts w:ascii="Times New Roman" w:hAnsi="Times New Roman" w:eastAsia="宋体" w:cs="Times New Roman"/>
                <w:color w:val="auto"/>
                <w:kern w:val="0"/>
                <w:sz w:val="20"/>
                <w:szCs w:val="20"/>
                <w:highlight w:val="none"/>
              </w:rPr>
            </w:pPr>
          </w:p>
        </w:tc>
        <w:tc>
          <w:tcPr>
            <w:tcW w:w="1986" w:type="dxa"/>
            <w:vAlign w:val="center"/>
          </w:tcPr>
          <w:p w14:paraId="1E4DE8A3">
            <w:pPr>
              <w:jc w:val="center"/>
              <w:rPr>
                <w:rFonts w:ascii="Times New Roman" w:hAnsi="Times New Roman" w:eastAsia="宋体" w:cs="Times New Roman"/>
                <w:color w:val="auto"/>
                <w:kern w:val="0"/>
                <w:sz w:val="20"/>
                <w:szCs w:val="20"/>
                <w:highlight w:val="none"/>
              </w:rPr>
            </w:pPr>
          </w:p>
        </w:tc>
      </w:tr>
      <w:tr w14:paraId="5B4A3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151CF872">
            <w:pPr>
              <w:jc w:val="center"/>
              <w:rPr>
                <w:rFonts w:ascii="Times New Roman" w:hAnsi="Times New Roman" w:eastAsia="宋体" w:cs="Times New Roman"/>
                <w:color w:val="auto"/>
                <w:kern w:val="0"/>
                <w:sz w:val="20"/>
                <w:szCs w:val="20"/>
                <w:highlight w:val="none"/>
              </w:rPr>
            </w:pPr>
          </w:p>
        </w:tc>
        <w:tc>
          <w:tcPr>
            <w:tcW w:w="2493" w:type="dxa"/>
            <w:vAlign w:val="center"/>
          </w:tcPr>
          <w:p w14:paraId="27B18EDB">
            <w:pPr>
              <w:jc w:val="center"/>
              <w:rPr>
                <w:rFonts w:ascii="Times New Roman" w:hAnsi="Times New Roman" w:eastAsia="宋体" w:cs="Times New Roman"/>
                <w:color w:val="auto"/>
                <w:kern w:val="0"/>
                <w:sz w:val="20"/>
                <w:szCs w:val="20"/>
                <w:highlight w:val="none"/>
              </w:rPr>
            </w:pPr>
          </w:p>
        </w:tc>
        <w:tc>
          <w:tcPr>
            <w:tcW w:w="2228" w:type="dxa"/>
            <w:vAlign w:val="center"/>
          </w:tcPr>
          <w:p w14:paraId="6289E356">
            <w:pPr>
              <w:jc w:val="center"/>
              <w:rPr>
                <w:rFonts w:ascii="Times New Roman" w:hAnsi="Times New Roman" w:eastAsia="宋体" w:cs="Times New Roman"/>
                <w:color w:val="auto"/>
                <w:kern w:val="0"/>
                <w:sz w:val="20"/>
                <w:szCs w:val="20"/>
                <w:highlight w:val="none"/>
              </w:rPr>
            </w:pPr>
          </w:p>
        </w:tc>
        <w:tc>
          <w:tcPr>
            <w:tcW w:w="817" w:type="dxa"/>
            <w:vAlign w:val="center"/>
          </w:tcPr>
          <w:p w14:paraId="4F480BB1">
            <w:pPr>
              <w:jc w:val="center"/>
              <w:rPr>
                <w:rFonts w:ascii="Times New Roman" w:hAnsi="Times New Roman" w:eastAsia="宋体" w:cs="Times New Roman"/>
                <w:color w:val="auto"/>
                <w:kern w:val="0"/>
                <w:sz w:val="20"/>
                <w:szCs w:val="20"/>
                <w:highlight w:val="none"/>
              </w:rPr>
            </w:pPr>
          </w:p>
        </w:tc>
        <w:tc>
          <w:tcPr>
            <w:tcW w:w="968" w:type="dxa"/>
            <w:vAlign w:val="center"/>
          </w:tcPr>
          <w:p w14:paraId="685F5C46">
            <w:pPr>
              <w:jc w:val="center"/>
              <w:rPr>
                <w:rFonts w:ascii="Times New Roman" w:hAnsi="Times New Roman" w:eastAsia="宋体" w:cs="Times New Roman"/>
                <w:color w:val="auto"/>
                <w:kern w:val="0"/>
                <w:sz w:val="20"/>
                <w:szCs w:val="20"/>
                <w:highlight w:val="none"/>
              </w:rPr>
            </w:pPr>
          </w:p>
        </w:tc>
        <w:tc>
          <w:tcPr>
            <w:tcW w:w="1986" w:type="dxa"/>
            <w:vAlign w:val="center"/>
          </w:tcPr>
          <w:p w14:paraId="36DBD9B2">
            <w:pPr>
              <w:jc w:val="center"/>
              <w:rPr>
                <w:rFonts w:ascii="Times New Roman" w:hAnsi="Times New Roman" w:eastAsia="宋体" w:cs="Times New Roman"/>
                <w:color w:val="auto"/>
                <w:kern w:val="0"/>
                <w:sz w:val="20"/>
                <w:szCs w:val="20"/>
                <w:highlight w:val="none"/>
              </w:rPr>
            </w:pPr>
          </w:p>
        </w:tc>
      </w:tr>
      <w:tr w14:paraId="334E4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580898A5">
            <w:pPr>
              <w:jc w:val="center"/>
              <w:rPr>
                <w:rFonts w:ascii="Times New Roman" w:hAnsi="Times New Roman" w:eastAsia="宋体" w:cs="Times New Roman"/>
                <w:color w:val="auto"/>
                <w:kern w:val="0"/>
                <w:sz w:val="20"/>
                <w:szCs w:val="20"/>
                <w:highlight w:val="none"/>
              </w:rPr>
            </w:pPr>
          </w:p>
        </w:tc>
        <w:tc>
          <w:tcPr>
            <w:tcW w:w="2493" w:type="dxa"/>
            <w:vAlign w:val="center"/>
          </w:tcPr>
          <w:p w14:paraId="6E0B99F4">
            <w:pPr>
              <w:jc w:val="center"/>
              <w:rPr>
                <w:rFonts w:ascii="Times New Roman" w:hAnsi="Times New Roman" w:eastAsia="宋体" w:cs="Times New Roman"/>
                <w:color w:val="auto"/>
                <w:kern w:val="0"/>
                <w:sz w:val="20"/>
                <w:szCs w:val="20"/>
                <w:highlight w:val="none"/>
              </w:rPr>
            </w:pPr>
          </w:p>
        </w:tc>
        <w:tc>
          <w:tcPr>
            <w:tcW w:w="2228" w:type="dxa"/>
            <w:vAlign w:val="center"/>
          </w:tcPr>
          <w:p w14:paraId="75E62EF4">
            <w:pPr>
              <w:jc w:val="center"/>
              <w:rPr>
                <w:rFonts w:ascii="Times New Roman" w:hAnsi="Times New Roman" w:eastAsia="宋体" w:cs="Times New Roman"/>
                <w:color w:val="auto"/>
                <w:kern w:val="0"/>
                <w:sz w:val="20"/>
                <w:szCs w:val="20"/>
                <w:highlight w:val="none"/>
              </w:rPr>
            </w:pPr>
          </w:p>
        </w:tc>
        <w:tc>
          <w:tcPr>
            <w:tcW w:w="817" w:type="dxa"/>
            <w:vAlign w:val="center"/>
          </w:tcPr>
          <w:p w14:paraId="7F7BFE09">
            <w:pPr>
              <w:jc w:val="center"/>
              <w:rPr>
                <w:rFonts w:ascii="Times New Roman" w:hAnsi="Times New Roman" w:eastAsia="宋体" w:cs="Times New Roman"/>
                <w:color w:val="auto"/>
                <w:kern w:val="0"/>
                <w:sz w:val="20"/>
                <w:szCs w:val="20"/>
                <w:highlight w:val="none"/>
              </w:rPr>
            </w:pPr>
          </w:p>
        </w:tc>
        <w:tc>
          <w:tcPr>
            <w:tcW w:w="968" w:type="dxa"/>
            <w:vAlign w:val="center"/>
          </w:tcPr>
          <w:p w14:paraId="1F0F3EAC">
            <w:pPr>
              <w:jc w:val="center"/>
              <w:rPr>
                <w:rFonts w:ascii="Times New Roman" w:hAnsi="Times New Roman" w:eastAsia="宋体" w:cs="Times New Roman"/>
                <w:color w:val="auto"/>
                <w:kern w:val="0"/>
                <w:sz w:val="20"/>
                <w:szCs w:val="20"/>
                <w:highlight w:val="none"/>
              </w:rPr>
            </w:pPr>
          </w:p>
        </w:tc>
        <w:tc>
          <w:tcPr>
            <w:tcW w:w="1986" w:type="dxa"/>
            <w:vAlign w:val="center"/>
          </w:tcPr>
          <w:p w14:paraId="3B56B34E">
            <w:pPr>
              <w:jc w:val="center"/>
              <w:rPr>
                <w:rFonts w:ascii="Times New Roman" w:hAnsi="Times New Roman" w:eastAsia="宋体" w:cs="Times New Roman"/>
                <w:color w:val="auto"/>
                <w:kern w:val="0"/>
                <w:sz w:val="20"/>
                <w:szCs w:val="20"/>
                <w:highlight w:val="none"/>
              </w:rPr>
            </w:pPr>
          </w:p>
        </w:tc>
      </w:tr>
      <w:tr w14:paraId="2BBC3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7" w:type="dxa"/>
            <w:vAlign w:val="center"/>
          </w:tcPr>
          <w:p w14:paraId="14877D96">
            <w:pPr>
              <w:jc w:val="center"/>
              <w:rPr>
                <w:rFonts w:ascii="Times New Roman" w:hAnsi="Times New Roman" w:eastAsia="宋体" w:cs="Times New Roman"/>
                <w:color w:val="auto"/>
                <w:kern w:val="0"/>
                <w:sz w:val="20"/>
                <w:szCs w:val="20"/>
                <w:highlight w:val="none"/>
              </w:rPr>
            </w:pPr>
          </w:p>
        </w:tc>
        <w:tc>
          <w:tcPr>
            <w:tcW w:w="2493" w:type="dxa"/>
            <w:vAlign w:val="center"/>
          </w:tcPr>
          <w:p w14:paraId="5AACEF38">
            <w:pPr>
              <w:jc w:val="center"/>
              <w:rPr>
                <w:rFonts w:ascii="Times New Roman" w:hAnsi="Times New Roman" w:eastAsia="宋体" w:cs="Times New Roman"/>
                <w:color w:val="auto"/>
                <w:kern w:val="0"/>
                <w:sz w:val="20"/>
                <w:szCs w:val="20"/>
                <w:highlight w:val="none"/>
              </w:rPr>
            </w:pPr>
          </w:p>
        </w:tc>
        <w:tc>
          <w:tcPr>
            <w:tcW w:w="2228" w:type="dxa"/>
            <w:vAlign w:val="center"/>
          </w:tcPr>
          <w:p w14:paraId="23758EDD">
            <w:pPr>
              <w:jc w:val="center"/>
              <w:rPr>
                <w:rFonts w:ascii="Times New Roman" w:hAnsi="Times New Roman" w:eastAsia="宋体" w:cs="Times New Roman"/>
                <w:color w:val="auto"/>
                <w:kern w:val="0"/>
                <w:sz w:val="20"/>
                <w:szCs w:val="20"/>
                <w:highlight w:val="none"/>
              </w:rPr>
            </w:pPr>
          </w:p>
        </w:tc>
        <w:tc>
          <w:tcPr>
            <w:tcW w:w="817" w:type="dxa"/>
            <w:vAlign w:val="center"/>
          </w:tcPr>
          <w:p w14:paraId="3FF7CC90">
            <w:pPr>
              <w:jc w:val="center"/>
              <w:rPr>
                <w:rFonts w:ascii="Times New Roman" w:hAnsi="Times New Roman" w:eastAsia="宋体" w:cs="Times New Roman"/>
                <w:color w:val="auto"/>
                <w:kern w:val="0"/>
                <w:sz w:val="20"/>
                <w:szCs w:val="20"/>
                <w:highlight w:val="none"/>
              </w:rPr>
            </w:pPr>
          </w:p>
        </w:tc>
        <w:tc>
          <w:tcPr>
            <w:tcW w:w="968" w:type="dxa"/>
            <w:vAlign w:val="center"/>
          </w:tcPr>
          <w:p w14:paraId="354826EE">
            <w:pPr>
              <w:jc w:val="center"/>
              <w:rPr>
                <w:rFonts w:ascii="Times New Roman" w:hAnsi="Times New Roman" w:eastAsia="宋体" w:cs="Times New Roman"/>
                <w:color w:val="auto"/>
                <w:kern w:val="0"/>
                <w:sz w:val="20"/>
                <w:szCs w:val="20"/>
                <w:highlight w:val="none"/>
              </w:rPr>
            </w:pPr>
          </w:p>
        </w:tc>
        <w:tc>
          <w:tcPr>
            <w:tcW w:w="1986" w:type="dxa"/>
            <w:vAlign w:val="center"/>
          </w:tcPr>
          <w:p w14:paraId="3C0C651F">
            <w:pPr>
              <w:jc w:val="center"/>
              <w:rPr>
                <w:rFonts w:ascii="Times New Roman" w:hAnsi="Times New Roman" w:eastAsia="宋体" w:cs="Times New Roman"/>
                <w:color w:val="auto"/>
                <w:kern w:val="0"/>
                <w:sz w:val="20"/>
                <w:szCs w:val="20"/>
                <w:highlight w:val="none"/>
              </w:rPr>
            </w:pPr>
          </w:p>
        </w:tc>
      </w:tr>
    </w:tbl>
    <w:p w14:paraId="0B80CED6">
      <w:pPr>
        <w:spacing w:line="20" w:lineRule="exact"/>
        <w:rPr>
          <w:color w:val="auto"/>
          <w:highlight w:val="none"/>
        </w:rPr>
      </w:pPr>
      <w:r>
        <w:rPr>
          <w:color w:val="auto"/>
          <w:highlight w:val="none"/>
        </w:rPr>
        <w:br w:type="page"/>
      </w:r>
    </w:p>
    <w:p w14:paraId="65916EF8">
      <w:pPr>
        <w:adjustRightInd w:val="0"/>
        <w:snapToGrid w:val="0"/>
        <w:spacing w:line="360" w:lineRule="auto"/>
        <w:jc w:val="center"/>
        <w:outlineLvl w:val="0"/>
        <w:rPr>
          <w:rFonts w:ascii="黑体" w:hAnsi="黑体" w:eastAsia="黑体" w:cs="黑体"/>
          <w:bCs/>
          <w:color w:val="auto"/>
          <w:sz w:val="32"/>
          <w:szCs w:val="32"/>
          <w:highlight w:val="none"/>
        </w:rPr>
      </w:pPr>
      <w:bookmarkStart w:id="6462" w:name="_Toc26191"/>
      <w:bookmarkStart w:id="6463" w:name="_Toc2544"/>
      <w:bookmarkStart w:id="6464" w:name="_Toc7987"/>
      <w:bookmarkStart w:id="6465" w:name="_Toc15633"/>
      <w:bookmarkStart w:id="6466" w:name="_Toc22956"/>
      <w:bookmarkStart w:id="6467" w:name="_Toc12490"/>
      <w:r>
        <w:rPr>
          <w:rFonts w:hint="eastAsia" w:ascii="黑体" w:hAnsi="黑体" w:eastAsia="黑体" w:cs="黑体"/>
          <w:bCs/>
          <w:color w:val="auto"/>
          <w:sz w:val="32"/>
          <w:szCs w:val="32"/>
          <w:highlight w:val="none"/>
        </w:rPr>
        <w:t>第九章  投标文件格式</w:t>
      </w:r>
      <w:bookmarkEnd w:id="6462"/>
      <w:bookmarkEnd w:id="6463"/>
      <w:bookmarkEnd w:id="6464"/>
      <w:bookmarkEnd w:id="6465"/>
      <w:bookmarkEnd w:id="6466"/>
      <w:bookmarkEnd w:id="6467"/>
    </w:p>
    <w:p w14:paraId="6B11F595">
      <w:pPr>
        <w:rPr>
          <w:color w:val="auto"/>
          <w:highlight w:val="none"/>
        </w:rPr>
      </w:pPr>
      <w:r>
        <w:rPr>
          <w:color w:val="auto"/>
          <w:highlight w:val="none"/>
        </w:rPr>
        <w:br w:type="page"/>
      </w:r>
    </w:p>
    <w:p w14:paraId="527D1061">
      <w:pPr>
        <w:adjustRightInd w:val="0"/>
        <w:snapToGrid w:val="0"/>
        <w:spacing w:line="360" w:lineRule="auto"/>
        <w:ind w:firstLine="6425" w:firstLineChars="2000"/>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工程编号：</w:t>
      </w:r>
      <w:r>
        <w:rPr>
          <w:rFonts w:hint="eastAsia" w:ascii="宋体" w:hAnsi="宋体" w:eastAsia="宋体" w:cs="宋体"/>
          <w:b/>
          <w:color w:val="auto"/>
          <w:sz w:val="32"/>
          <w:szCs w:val="32"/>
          <w:highlight w:val="none"/>
          <w:u w:val="single"/>
        </w:rPr>
        <w:t>_______</w:t>
      </w:r>
    </w:p>
    <w:p w14:paraId="10DDBBED">
      <w:pPr>
        <w:adjustRightInd w:val="0"/>
        <w:snapToGrid w:val="0"/>
        <w:spacing w:line="360" w:lineRule="auto"/>
        <w:rPr>
          <w:rFonts w:ascii="宋体" w:hAnsi="宋体" w:eastAsia="宋体" w:cs="宋体"/>
          <w:b/>
          <w:color w:val="auto"/>
          <w:sz w:val="28"/>
          <w:highlight w:val="none"/>
        </w:rPr>
      </w:pPr>
    </w:p>
    <w:p w14:paraId="2B197502">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深圳市建设工程施工招标</w:t>
      </w:r>
    </w:p>
    <w:p w14:paraId="130EB415">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投 标 文 件</w:t>
      </w:r>
    </w:p>
    <w:p w14:paraId="355FEF62">
      <w:pPr>
        <w:adjustRightInd w:val="0"/>
        <w:snapToGrid w:val="0"/>
        <w:spacing w:line="360" w:lineRule="auto"/>
        <w:jc w:val="center"/>
        <w:rPr>
          <w:rFonts w:ascii="华文细黑"/>
          <w:b/>
          <w:color w:val="auto"/>
          <w:sz w:val="72"/>
          <w:highlight w:val="none"/>
        </w:rPr>
      </w:pPr>
    </w:p>
    <w:p w14:paraId="5346756F">
      <w:pPr>
        <w:adjustRightInd w:val="0"/>
        <w:snapToGrid w:val="0"/>
        <w:spacing w:line="360" w:lineRule="auto"/>
        <w:jc w:val="center"/>
        <w:rPr>
          <w:rFonts w:ascii="华文细黑"/>
          <w:b/>
          <w:color w:val="auto"/>
          <w:sz w:val="72"/>
          <w:highlight w:val="none"/>
        </w:rPr>
      </w:pPr>
    </w:p>
    <w:p w14:paraId="1916344D">
      <w:pPr>
        <w:adjustRightInd w:val="0"/>
        <w:snapToGrid w:val="0"/>
        <w:spacing w:line="360" w:lineRule="auto"/>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工程名称：</w:t>
      </w:r>
      <w:r>
        <w:rPr>
          <w:rFonts w:hint="eastAsia" w:ascii="宋体" w:hAnsi="宋体" w:eastAsia="宋体" w:cs="宋体"/>
          <w:b/>
          <w:bCs/>
          <w:color w:val="auto"/>
          <w:sz w:val="32"/>
          <w:szCs w:val="32"/>
          <w:highlight w:val="none"/>
          <w:u w:val="single"/>
        </w:rPr>
        <w:t>_________________________________________</w:t>
      </w:r>
    </w:p>
    <w:p w14:paraId="1241D159">
      <w:pPr>
        <w:adjustRightInd w:val="0"/>
        <w:snapToGrid w:val="0"/>
        <w:spacing w:line="360" w:lineRule="auto"/>
        <w:rPr>
          <w:rFonts w:ascii="宋体" w:hAnsi="宋体" w:eastAsia="宋体" w:cs="宋体"/>
          <w:b/>
          <w:color w:val="auto"/>
          <w:sz w:val="32"/>
          <w:highlight w:val="none"/>
        </w:rPr>
      </w:pPr>
    </w:p>
    <w:p w14:paraId="4C0D5938">
      <w:pPr>
        <w:adjustRightInd w:val="0"/>
        <w:snapToGrid w:val="0"/>
        <w:spacing w:line="360" w:lineRule="auto"/>
        <w:rPr>
          <w:rFonts w:ascii="宋体" w:hAnsi="宋体" w:eastAsia="宋体" w:cs="宋体"/>
          <w:b/>
          <w:bCs/>
          <w:color w:val="auto"/>
          <w:sz w:val="32"/>
          <w:szCs w:val="32"/>
          <w:highlight w:val="none"/>
        </w:rPr>
      </w:pPr>
      <w:bookmarkStart w:id="6468" w:name="_Toc29899"/>
      <w:bookmarkStart w:id="6469" w:name="_Toc16106"/>
      <w:bookmarkStart w:id="6470" w:name="_Toc12920"/>
      <w:bookmarkStart w:id="6471" w:name="_Toc13739"/>
      <w:r>
        <w:rPr>
          <w:rFonts w:hint="eastAsia" w:ascii="宋体" w:hAnsi="宋体" w:eastAsia="宋体" w:cs="宋体"/>
          <w:b/>
          <w:bCs/>
          <w:color w:val="auto"/>
          <w:sz w:val="32"/>
          <w:szCs w:val="32"/>
          <w:highlight w:val="none"/>
        </w:rPr>
        <w:t>投标文件内容：</w:t>
      </w:r>
      <w:r>
        <w:rPr>
          <w:rFonts w:hint="eastAsia" w:ascii="宋体" w:hAnsi="宋体" w:eastAsia="宋体" w:cs="宋体"/>
          <w:b/>
          <w:bCs/>
          <w:color w:val="auto"/>
          <w:sz w:val="32"/>
          <w:szCs w:val="32"/>
          <w:highlight w:val="none"/>
          <w:u w:val="single"/>
        </w:rPr>
        <w:t>______    资格审查文件    __________</w:t>
      </w:r>
    </w:p>
    <w:bookmarkEnd w:id="6468"/>
    <w:bookmarkEnd w:id="6469"/>
    <w:bookmarkEnd w:id="6470"/>
    <w:bookmarkEnd w:id="6471"/>
    <w:p w14:paraId="4DDBBFD5">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bCs/>
          <w:color w:val="auto"/>
          <w:sz w:val="32"/>
          <w:szCs w:val="32"/>
          <w:highlight w:val="none"/>
          <w:u w:val="none"/>
        </w:rPr>
        <w:t xml:space="preserve">  </w:t>
      </w:r>
    </w:p>
    <w:p w14:paraId="271706C2">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color w:val="auto"/>
          <w:sz w:val="32"/>
          <w:highlight w:val="none"/>
        </w:rPr>
        <w:t>投标人：</w:t>
      </w:r>
      <w:r>
        <w:rPr>
          <w:rFonts w:hint="eastAsia" w:ascii="宋体" w:hAnsi="宋体" w:eastAsia="宋体" w:cs="宋体"/>
          <w:b/>
          <w:color w:val="auto"/>
          <w:sz w:val="32"/>
          <w:highlight w:val="none"/>
          <w:u w:val="single"/>
        </w:rPr>
        <w:t>_____________________________________</w:t>
      </w:r>
    </w:p>
    <w:p w14:paraId="70A414C1">
      <w:pPr>
        <w:adjustRightInd w:val="0"/>
        <w:snapToGrid w:val="0"/>
        <w:spacing w:line="360" w:lineRule="auto"/>
        <w:rPr>
          <w:rFonts w:ascii="宋体" w:hAnsi="宋体" w:eastAsia="宋体" w:cs="宋体"/>
          <w:b/>
          <w:color w:val="auto"/>
          <w:sz w:val="32"/>
          <w:highlight w:val="none"/>
        </w:rPr>
      </w:pPr>
    </w:p>
    <w:p w14:paraId="248D9E8D">
      <w:pPr>
        <w:adjustRightInd w:val="0"/>
        <w:snapToGrid w:val="0"/>
        <w:spacing w:line="360" w:lineRule="auto"/>
        <w:rPr>
          <w:rFonts w:ascii="宋体" w:hAnsi="宋体" w:eastAsia="宋体" w:cs="宋体"/>
          <w:b/>
          <w:color w:val="auto"/>
          <w:sz w:val="32"/>
          <w:highlight w:val="none"/>
        </w:rPr>
      </w:pPr>
    </w:p>
    <w:p w14:paraId="53F2D1A6">
      <w:pPr>
        <w:adjustRightInd w:val="0"/>
        <w:snapToGrid w:val="0"/>
        <w:spacing w:line="360" w:lineRule="auto"/>
        <w:rPr>
          <w:color w:val="auto"/>
          <w:highlight w:val="none"/>
        </w:rPr>
      </w:pPr>
      <w:r>
        <w:rPr>
          <w:rFonts w:hint="eastAsia" w:ascii="宋体" w:hAnsi="宋体" w:eastAsia="宋体" w:cs="宋体"/>
          <w:b/>
          <w:color w:val="auto"/>
          <w:sz w:val="32"/>
          <w:highlight w:val="none"/>
        </w:rPr>
        <w:t>日期：</w:t>
      </w:r>
      <w:r>
        <w:rPr>
          <w:rFonts w:hint="eastAsia" w:ascii="宋体" w:hAnsi="宋体" w:eastAsia="宋体" w:cs="宋体"/>
          <w:b/>
          <w:color w:val="auto"/>
          <w:sz w:val="32"/>
          <w:highlight w:val="none"/>
          <w:u w:val="single"/>
        </w:rPr>
        <w:t>____________</w:t>
      </w:r>
      <w:r>
        <w:rPr>
          <w:rFonts w:hint="eastAsia" w:ascii="宋体" w:hAnsi="宋体" w:eastAsia="宋体" w:cs="宋体"/>
          <w:b/>
          <w:color w:val="auto"/>
          <w:sz w:val="32"/>
          <w:highlight w:val="none"/>
        </w:rPr>
        <w:t>年</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月</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日</w:t>
      </w:r>
      <w:r>
        <w:rPr>
          <w:color w:val="auto"/>
          <w:highlight w:val="none"/>
        </w:rPr>
        <w:br w:type="page"/>
      </w:r>
    </w:p>
    <w:p w14:paraId="0E28D4EE">
      <w:pPr>
        <w:adjustRightInd w:val="0"/>
        <w:snapToGrid w:val="0"/>
        <w:spacing w:after="156" w:afterLines="50" w:line="360" w:lineRule="auto"/>
        <w:jc w:val="center"/>
        <w:rPr>
          <w:b/>
          <w:color w:val="auto"/>
          <w:sz w:val="32"/>
          <w:highlight w:val="none"/>
        </w:rPr>
      </w:pPr>
    </w:p>
    <w:p w14:paraId="2FC1DF1B">
      <w:pPr>
        <w:adjustRightInd w:val="0"/>
        <w:snapToGrid w:val="0"/>
        <w:spacing w:line="360" w:lineRule="auto"/>
        <w:jc w:val="center"/>
        <w:rPr>
          <w:rFonts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资格审查文件目录</w:t>
      </w:r>
    </w:p>
    <w:p w14:paraId="49F939FD">
      <w:pPr>
        <w:adjustRightInd w:val="0"/>
        <w:snapToGrid w:val="0"/>
        <w:spacing w:line="360" w:lineRule="auto"/>
        <w:ind w:firstLine="420" w:firstLineChars="200"/>
        <w:rPr>
          <w:rFonts w:ascii="宋体" w:hAnsi="宋体" w:eastAsia="宋体" w:cs="宋体"/>
          <w:color w:val="auto"/>
          <w:highlight w:val="none"/>
        </w:rPr>
      </w:pPr>
    </w:p>
    <w:p w14:paraId="7A6E885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1、投标人营业执照（扫描件）；</w:t>
      </w:r>
    </w:p>
    <w:p w14:paraId="3C16600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2、投标人资质证书（扫描件）；</w:t>
      </w:r>
    </w:p>
    <w:p w14:paraId="7E9C1D9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3、投标人安全生产许可证证明以及拟派项目经理的安全生产考核合格证证明（扫描件）；</w:t>
      </w:r>
    </w:p>
    <w:p w14:paraId="387E411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4、投标人拟派出的项目经理的《注册建造师证》的扫描件；</w:t>
      </w:r>
    </w:p>
    <w:p w14:paraId="1996108E">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5、投标担保证明文件扫描件（如银行保函、保证金、投标保证保险合同或保险单</w:t>
      </w:r>
      <w:r>
        <w:rPr>
          <w:rFonts w:hint="eastAsia" w:ascii="宋体" w:hAnsi="宋体" w:eastAsia="宋体" w:cs="宋体"/>
          <w:color w:val="auto"/>
          <w:szCs w:val="21"/>
          <w:highlight w:val="none"/>
          <w:lang w:eastAsia="zh-CN"/>
        </w:rPr>
        <w:t>、投标保证金承诺函</w:t>
      </w:r>
      <w:r>
        <w:rPr>
          <w:rFonts w:hint="eastAsia" w:ascii="宋体" w:hAnsi="宋体" w:eastAsia="宋体" w:cs="宋体"/>
          <w:color w:val="auto"/>
          <w:szCs w:val="21"/>
          <w:highlight w:val="none"/>
        </w:rPr>
        <w:t>等）；</w:t>
      </w:r>
    </w:p>
    <w:p w14:paraId="15987F7B">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6、中小企业声明函；</w:t>
      </w:r>
    </w:p>
    <w:p w14:paraId="224D1DFB">
      <w:pPr>
        <w:adjustRightInd w:val="0"/>
        <w:snapToGrid w:val="0"/>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、招标人要求提供的与投标人条件审查有关的其他资格证明材料：（必须详细、明确、足以证明资格条件）。所有扫描件格式为jpg格式，且图片的分辨率小于100dpi</w:t>
      </w:r>
      <w:r>
        <w:rPr>
          <w:rFonts w:hint="eastAsia" w:ascii="宋体" w:hAnsi="宋体" w:eastAsia="宋体" w:cs="宋体"/>
          <w:color w:val="auto"/>
          <w:szCs w:val="21"/>
          <w:highlight w:val="none"/>
          <w:lang w:eastAsia="zh-CN"/>
        </w:rPr>
        <w:t>；</w:t>
      </w:r>
    </w:p>
    <w:p w14:paraId="5AFC4355">
      <w:pPr>
        <w:adjustRightInd w:val="0"/>
        <w:snapToGrid w:val="0"/>
        <w:spacing w:line="360" w:lineRule="auto"/>
        <w:ind w:firstLine="411" w:firstLineChars="196"/>
        <w:rPr>
          <w:rFonts w:ascii="宋体" w:hAnsi="宋体" w:eastAsia="宋体" w:cs="宋体"/>
          <w:color w:val="auto"/>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highlight w:val="none"/>
        </w:rPr>
        <w:br w:type="page"/>
      </w:r>
    </w:p>
    <w:p w14:paraId="0EDC3B09">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投标保函</w:t>
      </w:r>
    </w:p>
    <w:p w14:paraId="792335AF">
      <w:pPr>
        <w:adjustRightInd w:val="0"/>
        <w:snapToGrid w:val="0"/>
        <w:ind w:firstLine="5670" w:firstLineChars="2700"/>
        <w:rPr>
          <w:rFonts w:ascii="宋体" w:hAnsi="宋体" w:eastAsia="宋体" w:cs="宋体"/>
          <w:color w:val="auto"/>
          <w:szCs w:val="21"/>
          <w:highlight w:val="none"/>
        </w:rPr>
      </w:pPr>
      <w:r>
        <w:rPr>
          <w:rFonts w:hint="eastAsia" w:ascii="宋体" w:hAnsi="宋体" w:eastAsia="宋体" w:cs="宋体"/>
          <w:color w:val="auto"/>
          <w:szCs w:val="21"/>
          <w:highlight w:val="none"/>
        </w:rPr>
        <w:t>保函编号：</w:t>
      </w:r>
      <w:r>
        <w:rPr>
          <w:rFonts w:hint="eastAsia" w:ascii="宋体" w:hAnsi="宋体" w:eastAsia="宋体" w:cs="宋体"/>
          <w:color w:val="auto"/>
          <w:szCs w:val="21"/>
          <w:highlight w:val="none"/>
          <w:u w:val="single"/>
        </w:rPr>
        <w:t>__________</w:t>
      </w:r>
    </w:p>
    <w:p w14:paraId="31A8E7BD">
      <w:pPr>
        <w:adjustRightInd w:val="0"/>
        <w:snapToGrid w:val="0"/>
        <w:spacing w:line="360" w:lineRule="exact"/>
        <w:rPr>
          <w:rFonts w:ascii="宋体" w:hAnsi="宋体" w:eastAsia="宋体" w:cs="宋体"/>
          <w:color w:val="auto"/>
          <w:szCs w:val="21"/>
          <w:highlight w:val="none"/>
        </w:rPr>
      </w:pPr>
    </w:p>
    <w:p w14:paraId="4F5BECC6">
      <w:pPr>
        <w:adjustRightInd w:val="0"/>
        <w:snapToGrid w:val="0"/>
        <w:spacing w:line="360" w:lineRule="exact"/>
        <w:rPr>
          <w:rFonts w:ascii="宋体" w:hAnsi="宋体" w:eastAsia="宋体" w:cs="宋体"/>
          <w:color w:val="auto"/>
          <w:szCs w:val="21"/>
          <w:highlight w:val="none"/>
        </w:rPr>
      </w:pPr>
      <w:r>
        <w:rPr>
          <w:rFonts w:hint="eastAsia" w:ascii="宋体" w:hAnsi="宋体" w:eastAsia="宋体" w:cs="宋体"/>
          <w:color w:val="auto"/>
          <w:szCs w:val="21"/>
          <w:highlight w:val="none"/>
        </w:rPr>
        <w:t>致</w:t>
      </w:r>
      <w:r>
        <w:rPr>
          <w:rFonts w:hint="eastAsia" w:ascii="宋体" w:hAnsi="宋体" w:eastAsia="宋体" w:cs="宋体"/>
          <w:color w:val="auto"/>
          <w:szCs w:val="21"/>
          <w:highlight w:val="none"/>
          <w:u w:val="single"/>
        </w:rPr>
        <w:t>______________________________</w:t>
      </w:r>
      <w:r>
        <w:rPr>
          <w:rFonts w:hint="eastAsia" w:ascii="宋体" w:hAnsi="宋体" w:eastAsia="宋体" w:cs="宋体"/>
          <w:color w:val="auto"/>
          <w:szCs w:val="21"/>
          <w:highlight w:val="none"/>
        </w:rPr>
        <w:t>（下称受益人）：</w:t>
      </w:r>
    </w:p>
    <w:p w14:paraId="24E67DA1">
      <w:pPr>
        <w:adjustRightInd w:val="0"/>
        <w:snapToGrid w:val="0"/>
        <w:spacing w:line="36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鉴于</w:t>
      </w:r>
      <w:r>
        <w:rPr>
          <w:rFonts w:hint="eastAsia" w:ascii="宋体" w:hAnsi="宋体" w:eastAsia="宋体" w:cs="宋体"/>
          <w:color w:val="auto"/>
          <w:szCs w:val="21"/>
          <w:highlight w:val="none"/>
          <w:u w:val="single"/>
        </w:rPr>
        <w:t>_____________________________</w:t>
      </w:r>
      <w:r>
        <w:rPr>
          <w:rFonts w:hint="eastAsia" w:ascii="宋体" w:hAnsi="宋体" w:eastAsia="宋体" w:cs="宋体"/>
          <w:color w:val="auto"/>
          <w:szCs w:val="21"/>
          <w:highlight w:val="none"/>
        </w:rPr>
        <w:t>（下称被保证人）将参加贵方标段编号为</w:t>
      </w:r>
      <w:r>
        <w:rPr>
          <w:rFonts w:hint="eastAsia" w:ascii="宋体" w:hAnsi="宋体" w:eastAsia="宋体" w:cs="宋体"/>
          <w:color w:val="auto"/>
          <w:szCs w:val="21"/>
          <w:highlight w:val="none"/>
          <w:u w:val="single"/>
        </w:rPr>
        <w:t>______________</w:t>
      </w:r>
      <w:r>
        <w:rPr>
          <w:rFonts w:hint="eastAsia" w:ascii="宋体" w:hAnsi="宋体" w:eastAsia="宋体" w:cs="宋体"/>
          <w:color w:val="auto"/>
          <w:szCs w:val="21"/>
          <w:highlight w:val="none"/>
        </w:rPr>
        <w:t>的</w:t>
      </w:r>
      <w:r>
        <w:rPr>
          <w:rFonts w:hint="eastAsia" w:ascii="宋体" w:hAnsi="宋体" w:eastAsia="宋体" w:cs="宋体"/>
          <w:color w:val="auto"/>
          <w:szCs w:val="21"/>
          <w:highlight w:val="none"/>
          <w:u w:val="single"/>
        </w:rPr>
        <w:t>____________________________________</w:t>
      </w:r>
      <w:r>
        <w:rPr>
          <w:rFonts w:hint="eastAsia" w:ascii="宋体" w:hAnsi="宋体" w:eastAsia="宋体" w:cs="宋体"/>
          <w:color w:val="auto"/>
          <w:szCs w:val="21"/>
          <w:highlight w:val="none"/>
        </w:rPr>
        <w:t>工程的投标，我方接受被保证人的委托，在此向受益人提供不可撤销的投标保证：</w:t>
      </w:r>
    </w:p>
    <w:p w14:paraId="7E85240B">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一、本保证担保的担保金额为</w:t>
      </w:r>
      <w:r>
        <w:rPr>
          <w:rFonts w:hint="eastAsia" w:ascii="宋体" w:hAnsi="宋体" w:eastAsia="宋体" w:cs="宋体"/>
          <w:color w:val="auto"/>
          <w:szCs w:val="21"/>
          <w:highlight w:val="none"/>
          <w:u w:val="single"/>
        </w:rPr>
        <w:t>______</w:t>
      </w:r>
      <w:r>
        <w:rPr>
          <w:rFonts w:hint="eastAsia" w:ascii="宋体" w:hAnsi="宋体" w:eastAsia="宋体" w:cs="宋体"/>
          <w:color w:val="auto"/>
          <w:szCs w:val="21"/>
          <w:highlight w:val="none"/>
        </w:rPr>
        <w:t>（币种）</w:t>
      </w:r>
      <w:r>
        <w:rPr>
          <w:rFonts w:hint="eastAsia" w:ascii="宋体" w:hAnsi="宋体" w:eastAsia="宋体" w:cs="宋体"/>
          <w:color w:val="auto"/>
          <w:szCs w:val="21"/>
          <w:highlight w:val="none"/>
          <w:u w:val="single"/>
        </w:rPr>
        <w:t>______</w:t>
      </w:r>
      <w:r>
        <w:rPr>
          <w:rFonts w:hint="eastAsia" w:ascii="宋体" w:hAnsi="宋体" w:eastAsia="宋体" w:cs="宋体"/>
          <w:color w:val="auto"/>
          <w:szCs w:val="21"/>
          <w:highlight w:val="none"/>
        </w:rPr>
        <w:t>元（小写）</w:t>
      </w:r>
      <w:r>
        <w:rPr>
          <w:rFonts w:hint="eastAsia" w:ascii="宋体" w:hAnsi="宋体" w:eastAsia="宋体" w:cs="宋体"/>
          <w:color w:val="auto"/>
          <w:szCs w:val="21"/>
          <w:highlight w:val="none"/>
          <w:u w:val="single"/>
        </w:rPr>
        <w:t>_____________</w:t>
      </w:r>
      <w:r>
        <w:rPr>
          <w:rFonts w:hint="eastAsia" w:ascii="宋体" w:hAnsi="宋体" w:eastAsia="宋体" w:cs="宋体"/>
          <w:color w:val="auto"/>
          <w:szCs w:val="21"/>
          <w:highlight w:val="none"/>
        </w:rPr>
        <w:t>（大写）。</w:t>
      </w:r>
    </w:p>
    <w:p w14:paraId="199CDAC9">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二、本保证担保的保证期间为该工程的投标有效期（或延长的投标有效期）后28日（含28日），延长投标有效期无须通知我方。</w:t>
      </w:r>
    </w:p>
    <w:p w14:paraId="451D3E6B">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三、在本保证担保的保证期间内，如果被保证人出现下列情形之一，受益人可以向我方提起索赔：</w:t>
      </w:r>
    </w:p>
    <w:p w14:paraId="09EAD00F">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1.被保证人在招标文件规定的投标有效期内撤回其投标；</w:t>
      </w:r>
    </w:p>
    <w:p w14:paraId="308810FF">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2.被保证人在投标有效期内收到受益人发出的中标通知书后，不能或拒绝按招标文件的要求签署施工合同；</w:t>
      </w:r>
    </w:p>
    <w:p w14:paraId="5DAAEA42">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3.被保证人在投标有效期内收到受益人发出的中标通知书后，不能或拒绝按招标文件的规定提交履约担保。</w:t>
      </w:r>
    </w:p>
    <w:p w14:paraId="42E3457C">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14:paraId="4217B43D">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五、受益人的索赔通知应当说明索赔理由，并必须在本保证担保的保证期间内以专人送达或邮寄送达的方式送达我方。</w:t>
      </w:r>
    </w:p>
    <w:p w14:paraId="124BA8CF">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六、本保证担保项下的权利不得转让。</w:t>
      </w:r>
    </w:p>
    <w:p w14:paraId="08FFA1D4">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七、本保证担保的保证期间届满，或我方已向受益人支付本保证担保的担保金额，我方的保证责任免除。</w:t>
      </w:r>
    </w:p>
    <w:p w14:paraId="739F9A25">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八、本保证担保适用中华人民共和国法律。</w:t>
      </w:r>
    </w:p>
    <w:p w14:paraId="56BF19F4">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九、本保证担保以中文文本为准，涂改无效。</w:t>
      </w:r>
    </w:p>
    <w:p w14:paraId="6D66546A">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保证人（盖章）：</w:t>
      </w:r>
      <w:r>
        <w:rPr>
          <w:rFonts w:hint="eastAsia" w:ascii="宋体" w:hAnsi="宋体" w:eastAsia="宋体" w:cs="宋体"/>
          <w:color w:val="auto"/>
          <w:szCs w:val="21"/>
          <w:highlight w:val="none"/>
          <w:u w:val="single"/>
        </w:rPr>
        <w:t>___________________________________________________</w:t>
      </w:r>
    </w:p>
    <w:p w14:paraId="245C5673">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法定代表人或其授权委托代理人（签字或盖章）：</w:t>
      </w:r>
      <w:r>
        <w:rPr>
          <w:rFonts w:hint="eastAsia" w:ascii="宋体" w:hAnsi="宋体" w:eastAsia="宋体" w:cs="宋体"/>
          <w:color w:val="auto"/>
          <w:szCs w:val="21"/>
          <w:highlight w:val="none"/>
          <w:u w:val="single"/>
        </w:rPr>
        <w:t>_______________________</w:t>
      </w:r>
    </w:p>
    <w:p w14:paraId="20F3BFB4">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单位地址：</w:t>
      </w:r>
      <w:r>
        <w:rPr>
          <w:rFonts w:hint="eastAsia" w:ascii="宋体" w:hAnsi="宋体" w:eastAsia="宋体" w:cs="宋体"/>
          <w:color w:val="auto"/>
          <w:szCs w:val="21"/>
          <w:highlight w:val="none"/>
          <w:u w:val="single"/>
        </w:rPr>
        <w:t>________________________________________________________</w:t>
      </w:r>
    </w:p>
    <w:p w14:paraId="3DBE5557">
      <w:pPr>
        <w:adjustRightInd w:val="0"/>
        <w:snapToGrid w:val="0"/>
        <w:spacing w:line="360" w:lineRule="exact"/>
        <w:ind w:firstLine="480"/>
        <w:rPr>
          <w:rFonts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___________</w:t>
      </w:r>
      <w:r>
        <w:rPr>
          <w:rFonts w:hint="eastAsia" w:ascii="宋体" w:hAnsi="宋体" w:eastAsia="宋体" w:cs="宋体"/>
          <w:color w:val="auto"/>
          <w:szCs w:val="21"/>
          <w:highlight w:val="none"/>
        </w:rPr>
        <w:t>电话：</w:t>
      </w:r>
      <w:r>
        <w:rPr>
          <w:rFonts w:hint="eastAsia" w:ascii="宋体" w:hAnsi="宋体" w:eastAsia="宋体" w:cs="宋体"/>
          <w:color w:val="auto"/>
          <w:szCs w:val="21"/>
          <w:highlight w:val="none"/>
          <w:u w:val="single"/>
        </w:rPr>
        <w:t>_________________</w:t>
      </w:r>
      <w:r>
        <w:rPr>
          <w:rFonts w:hint="eastAsia" w:ascii="宋体" w:hAnsi="宋体" w:eastAsia="宋体" w:cs="宋体"/>
          <w:color w:val="auto"/>
          <w:szCs w:val="21"/>
          <w:highlight w:val="none"/>
        </w:rPr>
        <w:t>传真：</w:t>
      </w:r>
      <w:r>
        <w:rPr>
          <w:rFonts w:hint="eastAsia" w:ascii="宋体" w:hAnsi="宋体" w:eastAsia="宋体" w:cs="宋体"/>
          <w:color w:val="auto"/>
          <w:szCs w:val="21"/>
          <w:highlight w:val="none"/>
          <w:u w:val="single"/>
        </w:rPr>
        <w:t>________________</w:t>
      </w:r>
    </w:p>
    <w:p w14:paraId="0F4669F4">
      <w:pPr>
        <w:adjustRightInd w:val="0"/>
        <w:snapToGrid w:val="0"/>
        <w:spacing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u w:val="single"/>
        </w:rPr>
        <w:t>__________</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______</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______</w:t>
      </w:r>
      <w:r>
        <w:rPr>
          <w:rFonts w:hint="eastAsia" w:ascii="宋体" w:hAnsi="宋体" w:eastAsia="宋体" w:cs="宋体"/>
          <w:color w:val="auto"/>
          <w:szCs w:val="21"/>
          <w:highlight w:val="none"/>
        </w:rPr>
        <w:t>日</w:t>
      </w:r>
    </w:p>
    <w:p w14:paraId="113DD8A6">
      <w:pPr>
        <w:tabs>
          <w:tab w:val="right" w:pos="8730"/>
        </w:tabs>
        <w:adjustRightInd w:val="0"/>
        <w:snapToGrid w:val="0"/>
        <w:spacing w:line="360" w:lineRule="exact"/>
        <w:rPr>
          <w:rFonts w:ascii="宋体" w:hAnsi="宋体" w:eastAsia="宋体" w:cs="宋体"/>
          <w:color w:val="auto"/>
          <w:szCs w:val="21"/>
          <w:highlight w:val="none"/>
        </w:rPr>
      </w:pPr>
    </w:p>
    <w:p w14:paraId="651907A3">
      <w:pPr>
        <w:adjustRightInd w:val="0"/>
        <w:snapToGrid w:val="0"/>
        <w:spacing w:line="360" w:lineRule="exact"/>
        <w:rPr>
          <w:rFonts w:ascii="宋体" w:hAnsi="宋体" w:eastAsia="宋体" w:cs="宋体"/>
          <w:color w:val="auto"/>
          <w:szCs w:val="21"/>
          <w:highlight w:val="none"/>
        </w:rPr>
      </w:pPr>
      <w:r>
        <w:rPr>
          <w:rFonts w:hint="eastAsia" w:ascii="宋体" w:hAnsi="宋体" w:eastAsia="宋体" w:cs="宋体"/>
          <w:color w:val="auto"/>
          <w:szCs w:val="21"/>
          <w:highlight w:val="none"/>
        </w:rPr>
        <w:t>（本保函失效后，请将原件退回我方注销）</w:t>
      </w:r>
    </w:p>
    <w:p w14:paraId="658A70CF">
      <w:pPr>
        <w:adjustRightInd w:val="0"/>
        <w:snapToGrid w:val="0"/>
        <w:spacing w:line="360" w:lineRule="exact"/>
        <w:rPr>
          <w:rFonts w:ascii="宋体" w:hAnsi="宋体" w:eastAsia="宋体" w:cs="宋体"/>
          <w:color w:val="auto"/>
          <w:szCs w:val="21"/>
          <w:highlight w:val="none"/>
        </w:rPr>
      </w:pPr>
    </w:p>
    <w:p w14:paraId="622BFA1C">
      <w:pPr>
        <w:adjustRightInd w:val="0"/>
        <w:snapToGrid w:val="0"/>
        <w:spacing w:line="360" w:lineRule="exact"/>
        <w:jc w:val="center"/>
        <w:rPr>
          <w:rFonts w:ascii="宋体" w:hAnsi="宋体" w:eastAsia="宋体" w:cs="宋体"/>
          <w:color w:val="auto"/>
          <w:szCs w:val="21"/>
          <w:highlight w:val="none"/>
        </w:rPr>
      </w:pPr>
      <w:r>
        <w:rPr>
          <w:rFonts w:hint="eastAsia" w:ascii="宋体" w:hAnsi="宋体" w:eastAsia="宋体" w:cs="宋体"/>
          <w:color w:val="auto"/>
          <w:szCs w:val="21"/>
          <w:highlight w:val="none"/>
        </w:rPr>
        <w:t>注：如果投标人不采用以上投标保函格式，拟采用的投标保函格式须经招标人确认。</w:t>
      </w:r>
    </w:p>
    <w:p w14:paraId="7F89F38B">
      <w:pPr>
        <w:adjustRightInd w:val="0"/>
        <w:snapToGrid w:val="0"/>
        <w:spacing w:line="360" w:lineRule="exact"/>
        <w:jc w:val="center"/>
        <w:rPr>
          <w:rFonts w:ascii="宋体" w:hAnsi="宋体" w:eastAsia="宋体" w:cs="宋体"/>
          <w:color w:val="auto"/>
          <w:szCs w:val="21"/>
          <w:highlight w:val="none"/>
        </w:rPr>
      </w:pPr>
    </w:p>
    <w:p w14:paraId="7D7B0728">
      <w:pPr>
        <w:adjustRightInd w:val="0"/>
        <w:snapToGrid w:val="0"/>
        <w:spacing w:line="360" w:lineRule="exact"/>
        <w:jc w:val="center"/>
        <w:rPr>
          <w:rFonts w:ascii="宋体" w:hAnsi="宋体" w:eastAsia="宋体" w:cs="宋体"/>
          <w:color w:val="auto"/>
          <w:szCs w:val="21"/>
          <w:highlight w:val="none"/>
        </w:rPr>
      </w:pPr>
    </w:p>
    <w:p w14:paraId="0D40750E">
      <w:pPr>
        <w:adjustRightInd w:val="0"/>
        <w:snapToGrid w:val="0"/>
        <w:spacing w:line="360" w:lineRule="auto"/>
        <w:jc w:val="center"/>
        <w:rPr>
          <w:rFonts w:ascii="宋体" w:hAnsi="宋体" w:eastAsia="宋体" w:cs="宋体"/>
          <w:color w:val="auto"/>
          <w:sz w:val="44"/>
          <w:highlight w:val="none"/>
        </w:rPr>
      </w:pPr>
      <w:bookmarkStart w:id="6472" w:name="_Hlk86676344"/>
      <w:r>
        <w:rPr>
          <w:rFonts w:hint="eastAsia" w:ascii="宋体" w:hAnsi="宋体" w:eastAsia="宋体" w:cs="宋体"/>
          <w:color w:val="auto"/>
          <w:sz w:val="44"/>
          <w:highlight w:val="none"/>
        </w:rPr>
        <w:t>投标保证保险保险凭证</w:t>
      </w:r>
    </w:p>
    <w:p w14:paraId="1916D6C5">
      <w:pPr>
        <w:spacing w:line="360" w:lineRule="auto"/>
        <w:jc w:val="cente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 xml:space="preserve">                </w:t>
      </w:r>
      <w:r>
        <w:rPr>
          <w:rFonts w:hint="eastAsia" w:ascii="宋体" w:hAnsi="宋体" w:eastAsia="宋体" w:cs="宋体"/>
          <w:color w:val="auto"/>
          <w:szCs w:val="21"/>
          <w:highlight w:val="none"/>
        </w:rPr>
        <w:t>编号：</w:t>
      </w:r>
    </w:p>
    <w:p w14:paraId="1C110D7F">
      <w:pPr>
        <w:pStyle w:val="9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14:paraId="195D86E3">
      <w:pPr>
        <w:pStyle w:val="98"/>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14:paraId="17F79458">
      <w:pPr>
        <w:pStyle w:val="9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14:paraId="3E5BBA34">
      <w:pPr>
        <w:pStyle w:val="9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14:paraId="2CAD7E5E">
      <w:pPr>
        <w:pStyle w:val="9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14:paraId="01140336">
      <w:pPr>
        <w:pStyle w:val="9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2.投标人中标后因自身原因未在招标文件规定的时间内与贵方签订施工合同；</w:t>
      </w:r>
    </w:p>
    <w:p w14:paraId="580EC094">
      <w:pPr>
        <w:pStyle w:val="9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14:paraId="7A57584B">
      <w:pPr>
        <w:pStyle w:val="9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14:paraId="07780ADA">
      <w:pPr>
        <w:pStyle w:val="9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14:paraId="7E2937B8">
      <w:pPr>
        <w:pStyle w:val="9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14:paraId="39A48134">
      <w:pPr>
        <w:pStyle w:val="9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14:paraId="4187DB6B">
      <w:pPr>
        <w:pStyle w:val="9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14:paraId="7A773748">
      <w:pPr>
        <w:pStyle w:val="9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14:paraId="4A988C71">
      <w:pPr>
        <w:pStyle w:val="9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14:paraId="4215EF64">
      <w:pPr>
        <w:pStyle w:val="98"/>
        <w:spacing w:before="0" w:beforeAutospacing="0" w:after="0" w:afterAutospacing="0" w:line="360" w:lineRule="auto"/>
        <w:rPr>
          <w:color w:val="auto"/>
          <w:kern w:val="2"/>
          <w:sz w:val="21"/>
          <w:szCs w:val="21"/>
          <w:highlight w:val="none"/>
        </w:rPr>
      </w:pPr>
    </w:p>
    <w:p w14:paraId="09E1C5A7">
      <w:pPr>
        <w:pStyle w:val="9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14:paraId="4B2DC9E9">
      <w:pPr>
        <w:pStyle w:val="98"/>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14:paraId="780FB5BA">
      <w:pPr>
        <w:pStyle w:val="98"/>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14:paraId="59E46C75">
      <w:pPr>
        <w:pStyle w:val="98"/>
        <w:spacing w:before="0" w:beforeAutospacing="0" w:after="0" w:afterAutospacing="0" w:line="360" w:lineRule="auto"/>
        <w:rPr>
          <w:rFonts w:hint="eastAsia"/>
          <w:color w:val="auto"/>
          <w:kern w:val="2"/>
          <w:sz w:val="21"/>
          <w:szCs w:val="21"/>
          <w:highlight w:val="none"/>
        </w:rPr>
      </w:pPr>
      <w:r>
        <w:rPr>
          <w:rFonts w:hint="eastAsia"/>
          <w:color w:val="auto"/>
          <w:kern w:val="2"/>
          <w:sz w:val="21"/>
          <w:szCs w:val="21"/>
          <w:highlight w:val="none"/>
        </w:rPr>
        <w:t xml:space="preserve">                                                年   月   日</w:t>
      </w:r>
    </w:p>
    <w:p w14:paraId="4D5ACD60">
      <w:pPr>
        <w:pStyle w:val="98"/>
        <w:spacing w:before="0" w:beforeAutospacing="0" w:after="0" w:afterAutospacing="0" w:line="360" w:lineRule="auto"/>
        <w:rPr>
          <w:rFonts w:hint="eastAsia"/>
          <w:color w:val="auto"/>
          <w:kern w:val="2"/>
          <w:sz w:val="21"/>
          <w:szCs w:val="21"/>
          <w:highlight w:val="none"/>
        </w:rPr>
      </w:pPr>
    </w:p>
    <w:p w14:paraId="28203603">
      <w:pPr>
        <w:pStyle w:val="98"/>
        <w:spacing w:before="0" w:beforeAutospacing="0" w:after="0" w:afterAutospacing="0" w:line="360" w:lineRule="auto"/>
        <w:ind w:firstLine="2640" w:firstLineChars="600"/>
        <w:rPr>
          <w:rFonts w:hint="default" w:ascii="宋体" w:hAnsi="宋体" w:eastAsia="宋体" w:cs="宋体"/>
          <w:color w:val="auto"/>
          <w:kern w:val="2"/>
          <w:sz w:val="21"/>
          <w:szCs w:val="21"/>
          <w:highlight w:val="none"/>
          <w:u w:val="none"/>
          <w:lang w:val="en-US" w:eastAsia="zh-CN"/>
        </w:rPr>
      </w:pPr>
      <w:r>
        <w:rPr>
          <w:rFonts w:hint="eastAsia" w:cs="宋体"/>
          <w:color w:val="auto"/>
          <w:kern w:val="2"/>
          <w:sz w:val="44"/>
          <w:szCs w:val="22"/>
          <w:highlight w:val="none"/>
          <w:lang w:val="en-US" w:eastAsia="zh-CN"/>
        </w:rPr>
        <w:t>投标保证金承诺函</w:t>
      </w:r>
    </w:p>
    <w:p w14:paraId="0F912DF4">
      <w:pPr>
        <w:keepNext w:val="0"/>
        <w:keepLines w:val="0"/>
        <w:pageBreakBefore w:val="0"/>
        <w:widowControl/>
        <w:numPr>
          <w:ilvl w:val="-1"/>
          <w:numId w:val="0"/>
        </w:numPr>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outlineLvl w:val="9"/>
        <w:rPr>
          <w:rFonts w:hint="default" w:ascii="宋体" w:hAnsi="宋体" w:eastAsia="宋体" w:cs="宋体"/>
          <w:b w:val="0"/>
          <w:bCs w:val="0"/>
          <w:color w:val="auto"/>
          <w:spacing w:val="0"/>
          <w:sz w:val="21"/>
          <w:szCs w:val="21"/>
          <w:highlight w:val="none"/>
          <w:lang w:eastAsia="zh-CN"/>
        </w:rPr>
      </w:pPr>
      <w:r>
        <w:rPr>
          <w:rFonts w:hint="default" w:ascii="宋体" w:hAnsi="宋体" w:eastAsia="宋体" w:cs="宋体"/>
          <w:b w:val="0"/>
          <w:bCs w:val="0"/>
          <w:color w:val="auto"/>
          <w:spacing w:val="0"/>
          <w:sz w:val="21"/>
          <w:szCs w:val="21"/>
          <w:highlight w:val="none"/>
          <w:lang w:eastAsia="zh-CN"/>
        </w:rPr>
        <w:t>（招标单位名称）：</w:t>
      </w:r>
    </w:p>
    <w:p w14:paraId="76A023EE">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单位名称</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eastAsia"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none"/>
          <w:lang w:eastAsia="zh-CN"/>
        </w:rPr>
        <w:t xml:space="preserve">        </w:t>
      </w:r>
      <w:r>
        <w:rPr>
          <w:rFonts w:hint="default" w:ascii="宋体" w:hAnsi="宋体" w:eastAsia="宋体" w:cs="宋体"/>
          <w:b w:val="0"/>
          <w:bCs w:val="0"/>
          <w:color w:val="auto"/>
          <w:spacing w:val="0"/>
          <w:kern w:val="2"/>
          <w:sz w:val="21"/>
          <w:szCs w:val="21"/>
          <w:highlight w:val="none"/>
          <w:lang w:eastAsia="zh-CN"/>
        </w:rPr>
        <w:t xml:space="preserve">                       </w:t>
      </w:r>
    </w:p>
    <w:p w14:paraId="6394A9CF">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统一社会信用代码：</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eastAsia"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default" w:ascii="宋体" w:hAnsi="宋体" w:eastAsia="宋体" w:cs="宋体"/>
          <w:b w:val="0"/>
          <w:bCs w:val="0"/>
          <w:color w:val="auto"/>
          <w:spacing w:val="0"/>
          <w:kern w:val="2"/>
          <w:sz w:val="21"/>
          <w:szCs w:val="21"/>
          <w:highlight w:val="none"/>
          <w:lang w:eastAsia="zh-CN"/>
        </w:rPr>
        <w:t xml:space="preserve">                   </w:t>
      </w:r>
    </w:p>
    <w:p w14:paraId="070EC131">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法定代表人</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eastAsia"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single"/>
          <w:lang w:eastAsia="zh-CN"/>
        </w:rPr>
        <w:t xml:space="preserve">   </w:t>
      </w:r>
      <w:r>
        <w:rPr>
          <w:rFonts w:hint="default" w:ascii="宋体" w:hAnsi="宋体" w:eastAsia="宋体" w:cs="宋体"/>
          <w:b w:val="0"/>
          <w:bCs w:val="0"/>
          <w:color w:val="auto"/>
          <w:spacing w:val="0"/>
          <w:kern w:val="2"/>
          <w:sz w:val="21"/>
          <w:szCs w:val="21"/>
          <w:highlight w:val="none"/>
          <w:u w:val="none"/>
          <w:lang w:eastAsia="zh-CN"/>
        </w:rPr>
        <w:t xml:space="preserve">            </w:t>
      </w:r>
      <w:r>
        <w:rPr>
          <w:rFonts w:hint="default" w:ascii="宋体" w:hAnsi="宋体" w:eastAsia="宋体" w:cs="宋体"/>
          <w:b w:val="0"/>
          <w:bCs w:val="0"/>
          <w:color w:val="auto"/>
          <w:spacing w:val="0"/>
          <w:kern w:val="2"/>
          <w:sz w:val="21"/>
          <w:szCs w:val="21"/>
          <w:highlight w:val="none"/>
          <w:lang w:eastAsia="zh-CN"/>
        </w:rPr>
        <w:t xml:space="preserve">   </w:t>
      </w:r>
    </w:p>
    <w:p w14:paraId="3D2F3489">
      <w:pPr>
        <w:pStyle w:val="98"/>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为维护公平、公正、公开的</w:t>
      </w:r>
      <w:r>
        <w:rPr>
          <w:rFonts w:hint="default" w:ascii="宋体" w:hAnsi="宋体" w:eastAsia="宋体" w:cs="宋体"/>
          <w:b w:val="0"/>
          <w:bCs w:val="0"/>
          <w:color w:val="auto"/>
          <w:spacing w:val="0"/>
          <w:kern w:val="2"/>
          <w:sz w:val="21"/>
          <w:szCs w:val="21"/>
          <w:highlight w:val="none"/>
          <w:lang w:val="en-US" w:eastAsia="zh-CN"/>
        </w:rPr>
        <w:t>招标投标</w:t>
      </w:r>
      <w:r>
        <w:rPr>
          <w:rFonts w:hint="default" w:ascii="宋体" w:hAnsi="宋体" w:eastAsia="宋体" w:cs="宋体"/>
          <w:b w:val="0"/>
          <w:bCs w:val="0"/>
          <w:color w:val="auto"/>
          <w:spacing w:val="0"/>
          <w:kern w:val="2"/>
          <w:sz w:val="21"/>
          <w:szCs w:val="21"/>
          <w:highlight w:val="none"/>
          <w:lang w:eastAsia="zh-CN"/>
        </w:rPr>
        <w:t xml:space="preserve">市场秩序，树立诚实守信的投标人形象，在投标有效期内我单位自愿作出以下承诺： </w:t>
      </w:r>
    </w:p>
    <w:p w14:paraId="0AD6379E">
      <w:pPr>
        <w:pStyle w:val="98"/>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一、我</w:t>
      </w:r>
      <w:r>
        <w:rPr>
          <w:rFonts w:hint="default" w:ascii="宋体" w:hAnsi="宋体" w:eastAsia="宋体" w:cs="宋体"/>
          <w:b w:val="0"/>
          <w:bCs w:val="0"/>
          <w:color w:val="auto"/>
          <w:spacing w:val="0"/>
          <w:kern w:val="2"/>
          <w:sz w:val="21"/>
          <w:szCs w:val="21"/>
          <w:highlight w:val="none"/>
          <w:lang w:val="en-US" w:eastAsia="zh-CN"/>
        </w:rPr>
        <w:t>公司</w:t>
      </w:r>
      <w:r>
        <w:rPr>
          <w:rFonts w:hint="default" w:ascii="宋体" w:hAnsi="宋体" w:eastAsia="宋体" w:cs="宋体"/>
          <w:b w:val="0"/>
          <w:bCs w:val="0"/>
          <w:color w:val="auto"/>
          <w:spacing w:val="0"/>
          <w:kern w:val="2"/>
          <w:sz w:val="21"/>
          <w:szCs w:val="21"/>
          <w:highlight w:val="none"/>
          <w:lang w:eastAsia="zh-CN"/>
        </w:rPr>
        <w:t>具备承担</w:t>
      </w:r>
      <w:r>
        <w:rPr>
          <w:rFonts w:hint="default" w:ascii="宋体" w:hAnsi="宋体" w:eastAsia="宋体" w:cs="宋体"/>
          <w:b w:val="0"/>
          <w:bCs w:val="0"/>
          <w:color w:val="auto"/>
          <w:spacing w:val="0"/>
          <w:kern w:val="2"/>
          <w:sz w:val="21"/>
          <w:szCs w:val="21"/>
          <w:highlight w:val="none"/>
          <w:lang w:val="en-US" w:eastAsia="zh-CN"/>
        </w:rPr>
        <w:t xml:space="preserve"> </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single"/>
          <w:lang w:eastAsia="zh-CN"/>
        </w:rPr>
        <w:t>（招标工程项目名称）</w:t>
      </w:r>
      <w:r>
        <w:rPr>
          <w:rFonts w:hint="default" w:ascii="宋体" w:hAnsi="宋体" w:eastAsia="宋体" w:cs="宋体"/>
          <w:b w:val="0"/>
          <w:bCs w:val="0"/>
          <w:color w:val="auto"/>
          <w:spacing w:val="0"/>
          <w:kern w:val="2"/>
          <w:sz w:val="21"/>
          <w:szCs w:val="21"/>
          <w:highlight w:val="none"/>
          <w:lang w:eastAsia="zh-CN"/>
        </w:rPr>
        <w:t>的能力，自愿参加该项目投标活动，严格遵守《招标投标法》及相关法律法规、</w:t>
      </w:r>
      <w:r>
        <w:rPr>
          <w:rFonts w:hint="default" w:ascii="宋体" w:hAnsi="宋体" w:eastAsia="宋体" w:cs="宋体"/>
          <w:b w:val="0"/>
          <w:bCs w:val="0"/>
          <w:color w:val="auto"/>
          <w:spacing w:val="0"/>
          <w:kern w:val="2"/>
          <w:sz w:val="21"/>
          <w:szCs w:val="21"/>
          <w:highlight w:val="none"/>
          <w:lang w:val="en-US" w:eastAsia="zh-CN"/>
        </w:rPr>
        <w:t>招标文件的规定</w:t>
      </w:r>
      <w:r>
        <w:rPr>
          <w:rFonts w:hint="default" w:ascii="宋体" w:hAnsi="宋体" w:eastAsia="宋体" w:cs="宋体"/>
          <w:b w:val="0"/>
          <w:bCs w:val="0"/>
          <w:color w:val="auto"/>
          <w:spacing w:val="0"/>
          <w:kern w:val="2"/>
          <w:sz w:val="21"/>
          <w:szCs w:val="21"/>
          <w:highlight w:val="none"/>
          <w:lang w:eastAsia="zh-CN"/>
        </w:rPr>
        <w:t>。</w:t>
      </w:r>
    </w:p>
    <w:p w14:paraId="54E5ADA5">
      <w:pPr>
        <w:pStyle w:val="98"/>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lang w:eastAsia="zh-CN"/>
        </w:rPr>
      </w:pPr>
      <w:r>
        <w:rPr>
          <w:rFonts w:hint="default" w:ascii="宋体" w:hAnsi="宋体" w:eastAsia="宋体" w:cs="宋体"/>
          <w:b w:val="0"/>
          <w:bCs w:val="0"/>
          <w:color w:val="auto"/>
          <w:spacing w:val="0"/>
          <w:kern w:val="2"/>
          <w:sz w:val="21"/>
          <w:szCs w:val="21"/>
          <w:highlight w:val="none"/>
          <w:lang w:eastAsia="zh-CN"/>
        </w:rPr>
        <w:t>二、我</w:t>
      </w:r>
      <w:r>
        <w:rPr>
          <w:rFonts w:hint="default" w:ascii="宋体" w:hAnsi="宋体" w:eastAsia="宋体" w:cs="宋体"/>
          <w:b w:val="0"/>
          <w:bCs w:val="0"/>
          <w:color w:val="auto"/>
          <w:spacing w:val="0"/>
          <w:kern w:val="2"/>
          <w:sz w:val="21"/>
          <w:szCs w:val="21"/>
          <w:highlight w:val="none"/>
          <w:lang w:val="en-US" w:eastAsia="zh-CN"/>
        </w:rPr>
        <w:t>公司</w:t>
      </w:r>
      <w:r>
        <w:rPr>
          <w:rFonts w:hint="default" w:ascii="宋体" w:hAnsi="宋体" w:eastAsia="宋体" w:cs="宋体"/>
          <w:b w:val="0"/>
          <w:bCs w:val="0"/>
          <w:color w:val="auto"/>
          <w:spacing w:val="0"/>
          <w:kern w:val="2"/>
          <w:sz w:val="21"/>
          <w:szCs w:val="21"/>
          <w:highlight w:val="none"/>
          <w:lang w:eastAsia="zh-CN"/>
        </w:rPr>
        <w:t>在“信用中国”中未被列入“严重失信主体名单”、没有因招标投标违法行为被行政处罚的记录，在“中国执行信息公开网”中企业及法定代表人没有被列入“失信被执行人”，</w:t>
      </w:r>
      <w:r>
        <w:rPr>
          <w:rFonts w:hint="default" w:ascii="宋体" w:hAnsi="宋体" w:eastAsia="宋体" w:cs="宋体"/>
          <w:b w:val="0"/>
          <w:bCs w:val="0"/>
          <w:color w:val="auto"/>
          <w:spacing w:val="0"/>
          <w:kern w:val="2"/>
          <w:sz w:val="21"/>
          <w:szCs w:val="21"/>
          <w:highlight w:val="none"/>
          <w:lang w:val="en-US" w:eastAsia="zh-CN"/>
        </w:rPr>
        <w:t>在</w:t>
      </w:r>
      <w:r>
        <w:rPr>
          <w:rFonts w:hint="default" w:ascii="宋体" w:hAnsi="宋体" w:eastAsia="宋体" w:cs="宋体"/>
          <w:b w:val="0"/>
          <w:bCs w:val="0"/>
          <w:color w:val="auto"/>
          <w:spacing w:val="0"/>
          <w:kern w:val="2"/>
          <w:sz w:val="21"/>
          <w:szCs w:val="21"/>
          <w:highlight w:val="none"/>
          <w:lang w:eastAsia="zh-CN"/>
        </w:rPr>
        <w:t>深圳公共资源交易公共服务平台</w:t>
      </w:r>
      <w:r>
        <w:rPr>
          <w:rFonts w:hint="default" w:ascii="宋体" w:hAnsi="宋体" w:eastAsia="宋体" w:cs="宋体"/>
          <w:b w:val="0"/>
          <w:bCs w:val="0"/>
          <w:color w:val="auto"/>
          <w:spacing w:val="0"/>
          <w:kern w:val="2"/>
          <w:sz w:val="21"/>
          <w:szCs w:val="21"/>
          <w:highlight w:val="none"/>
          <w:lang w:val="en-US" w:eastAsia="zh-CN"/>
        </w:rPr>
        <w:t>上没有因违反招标投标有关规定被通报、处罚等</w:t>
      </w:r>
      <w:r>
        <w:rPr>
          <w:rFonts w:hint="default" w:ascii="宋体" w:hAnsi="宋体" w:eastAsia="宋体" w:cs="宋体"/>
          <w:b w:val="0"/>
          <w:bCs w:val="0"/>
          <w:color w:val="auto"/>
          <w:spacing w:val="0"/>
          <w:kern w:val="2"/>
          <w:sz w:val="21"/>
          <w:szCs w:val="21"/>
          <w:highlight w:val="none"/>
          <w:lang w:eastAsia="zh-CN"/>
        </w:rPr>
        <w:t>不良信用记录。</w:t>
      </w:r>
    </w:p>
    <w:p w14:paraId="0FC228EA">
      <w:pPr>
        <w:pStyle w:val="98"/>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u w:val="none"/>
          <w:lang w:val="en-US" w:eastAsia="zh-CN"/>
        </w:rPr>
      </w:pPr>
      <w:r>
        <w:rPr>
          <w:rFonts w:hint="eastAsia"/>
          <w:color w:val="auto"/>
          <w:kern w:val="2"/>
          <w:sz w:val="21"/>
          <w:szCs w:val="21"/>
          <w:highlight w:val="none"/>
          <w:lang w:val="en-US" w:eastAsia="zh-CN"/>
        </w:rPr>
        <w:t>□</w:t>
      </w:r>
      <w:r>
        <w:rPr>
          <w:rFonts w:hint="default" w:ascii="宋体" w:hAnsi="宋体" w:eastAsia="宋体" w:cs="宋体"/>
          <w:b w:val="0"/>
          <w:bCs w:val="0"/>
          <w:color w:val="auto"/>
          <w:spacing w:val="0"/>
          <w:kern w:val="2"/>
          <w:sz w:val="21"/>
          <w:szCs w:val="21"/>
          <w:highlight w:val="none"/>
          <w:lang w:val="en-US" w:eastAsia="zh-CN"/>
        </w:rPr>
        <w:t>我公司从业人员</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人，营业收入为</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万元，资产总额为</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万元，根据《关于印发中小企业划型标准规定的通知》（工信部联企业〔2011〕300号）的划分标准，属于</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eastAsia" w:cs="宋体"/>
          <w:color w:val="auto"/>
          <w:kern w:val="2"/>
          <w:sz w:val="21"/>
          <w:szCs w:val="21"/>
          <w:highlight w:val="none"/>
          <w:u w:val="single"/>
          <w:lang w:val="en-US" w:eastAsia="zh-CN"/>
        </w:rPr>
        <w:t>（本招标项目所属行业）</w:t>
      </w:r>
      <w:r>
        <w:rPr>
          <w:rFonts w:hint="default" w:ascii="宋体" w:hAnsi="宋体" w:eastAsia="宋体" w:cs="宋体"/>
          <w:b w:val="0"/>
          <w:bCs w:val="0"/>
          <w:color w:val="auto"/>
          <w:spacing w:val="0"/>
          <w:kern w:val="2"/>
          <w:sz w:val="21"/>
          <w:szCs w:val="21"/>
          <w:highlight w:val="none"/>
          <w:u w:val="single"/>
          <w:lang w:val="en-US" w:eastAsia="zh-CN"/>
        </w:rPr>
        <w:t xml:space="preserve">     </w:t>
      </w:r>
      <w:r>
        <w:rPr>
          <w:rFonts w:hint="default" w:ascii="宋体" w:hAnsi="宋体" w:eastAsia="宋体" w:cs="宋体"/>
          <w:b w:val="0"/>
          <w:bCs w:val="0"/>
          <w:color w:val="auto"/>
          <w:spacing w:val="0"/>
          <w:kern w:val="2"/>
          <w:sz w:val="21"/>
          <w:szCs w:val="21"/>
          <w:highlight w:val="none"/>
          <w:u w:val="none"/>
          <w:lang w:val="en-US" w:eastAsia="zh-CN"/>
        </w:rPr>
        <w:t xml:space="preserve"> </w:t>
      </w:r>
      <w:r>
        <w:rPr>
          <w:rFonts w:hint="default" w:ascii="宋体" w:hAnsi="宋体" w:eastAsia="宋体" w:cs="宋体"/>
          <w:b w:val="0"/>
          <w:bCs w:val="0"/>
          <w:color w:val="auto"/>
          <w:spacing w:val="0"/>
          <w:kern w:val="2"/>
          <w:sz w:val="21"/>
          <w:szCs w:val="21"/>
          <w:highlight w:val="none"/>
          <w:lang w:val="en-US" w:eastAsia="zh-CN"/>
        </w:rPr>
        <w:t xml:space="preserve">行业的 </w:t>
      </w:r>
      <w:r>
        <w:rPr>
          <w:rFonts w:hint="default" w:ascii="宋体" w:hAnsi="宋体" w:eastAsia="宋体" w:cs="宋体"/>
          <w:b w:val="0"/>
          <w:bCs w:val="0"/>
          <w:color w:val="auto"/>
          <w:spacing w:val="0"/>
          <w:kern w:val="2"/>
          <w:sz w:val="21"/>
          <w:szCs w:val="21"/>
          <w:highlight w:val="none"/>
          <w:u w:val="single"/>
          <w:lang w:val="en-US" w:eastAsia="zh-CN"/>
        </w:rPr>
        <w:t xml:space="preserve">    （中型企业、小型企业、微型企业） </w:t>
      </w:r>
      <w:r>
        <w:rPr>
          <w:rFonts w:hint="default" w:ascii="宋体" w:hAnsi="宋体" w:eastAsia="宋体" w:cs="宋体"/>
          <w:b w:val="0"/>
          <w:bCs w:val="0"/>
          <w:color w:val="auto"/>
          <w:spacing w:val="0"/>
          <w:kern w:val="2"/>
          <w:sz w:val="21"/>
          <w:szCs w:val="21"/>
          <w:highlight w:val="none"/>
          <w:u w:val="none"/>
          <w:lang w:val="en-US" w:eastAsia="zh-CN"/>
        </w:rPr>
        <w:t>，自愿使用承诺函替代投标保证金。</w:t>
      </w:r>
    </w:p>
    <w:p w14:paraId="7BFF7E01">
      <w:pPr>
        <w:pStyle w:val="98"/>
        <w:spacing w:before="0" w:beforeAutospacing="0" w:after="0" w:afterAutospacing="0" w:line="240" w:lineRule="auto"/>
        <w:ind w:firstLine="420" w:firstLineChars="200"/>
        <w:rPr>
          <w:rFonts w:hint="default" w:ascii="宋体" w:hAnsi="宋体" w:eastAsia="宋体" w:cs="宋体"/>
          <w:b w:val="0"/>
          <w:bCs w:val="0"/>
          <w:color w:val="auto"/>
          <w:spacing w:val="0"/>
          <w:kern w:val="2"/>
          <w:sz w:val="21"/>
          <w:szCs w:val="21"/>
          <w:highlight w:val="none"/>
          <w:u w:val="none"/>
          <w:lang w:val="en-US" w:eastAsia="zh-CN"/>
        </w:rPr>
      </w:pPr>
      <w:r>
        <w:rPr>
          <w:rFonts w:hint="eastAsia"/>
          <w:color w:val="auto"/>
          <w:kern w:val="2"/>
          <w:sz w:val="21"/>
          <w:szCs w:val="21"/>
          <w:highlight w:val="none"/>
          <w:lang w:val="en-US" w:eastAsia="zh-CN"/>
        </w:rPr>
        <w:t>□</w:t>
      </w:r>
      <w:r>
        <w:rPr>
          <w:rFonts w:hint="default"/>
          <w:color w:val="auto"/>
          <w:kern w:val="2"/>
          <w:sz w:val="21"/>
          <w:szCs w:val="21"/>
          <w:highlight w:val="none"/>
          <w:lang w:val="en-US" w:eastAsia="zh-CN"/>
        </w:rPr>
        <w:t>我公司</w:t>
      </w:r>
      <w:r>
        <w:rPr>
          <w:rFonts w:hint="default" w:ascii="宋体" w:hAnsi="宋体" w:eastAsia="宋体" w:cs="宋体"/>
          <w:b w:val="0"/>
          <w:bCs w:val="0"/>
          <w:color w:val="auto"/>
          <w:spacing w:val="0"/>
          <w:kern w:val="2"/>
          <w:sz w:val="21"/>
          <w:szCs w:val="21"/>
          <w:highlight w:val="none"/>
          <w:u w:val="none"/>
          <w:lang w:val="en-US" w:eastAsia="zh-CN"/>
        </w:rPr>
        <w:t>在本项目投标截止日，在深圳市建筑市场主体信用管理系统中信用等级为A，自愿使用承诺函替代投标保证金。</w:t>
      </w:r>
    </w:p>
    <w:p w14:paraId="581D384B">
      <w:pPr>
        <w:pStyle w:val="98"/>
        <w:spacing w:before="0" w:beforeAutospacing="0" w:after="0" w:afterAutospacing="0" w:line="240" w:lineRule="auto"/>
        <w:ind w:firstLine="420" w:firstLineChars="200"/>
        <w:rPr>
          <w:rFonts w:hint="default"/>
          <w:color w:val="auto"/>
          <w:kern w:val="2"/>
          <w:sz w:val="21"/>
          <w:szCs w:val="21"/>
          <w:highlight w:val="none"/>
          <w:lang w:val="en-US" w:eastAsia="zh-CN"/>
        </w:rPr>
      </w:pPr>
      <w:r>
        <w:rPr>
          <w:rFonts w:hint="eastAsia" w:cs="宋体"/>
          <w:color w:val="auto"/>
          <w:spacing w:val="0"/>
          <w:kern w:val="2"/>
          <w:sz w:val="21"/>
          <w:szCs w:val="21"/>
          <w:highlight w:val="none"/>
          <w:lang w:val="en-US" w:eastAsia="zh-CN"/>
        </w:rPr>
        <w:t>□</w:t>
      </w:r>
      <w:r>
        <w:rPr>
          <w:rFonts w:hint="default" w:ascii="宋体" w:hAnsi="宋体" w:eastAsia="宋体" w:cs="宋体"/>
          <w:color w:val="auto"/>
          <w:spacing w:val="0"/>
          <w:kern w:val="2"/>
          <w:sz w:val="21"/>
          <w:szCs w:val="21"/>
          <w:highlight w:val="none"/>
          <w:lang w:val="en-US" w:eastAsia="zh-CN"/>
        </w:rPr>
        <w:t>我公司</w:t>
      </w:r>
      <w:r>
        <w:rPr>
          <w:rFonts w:hint="default" w:ascii="宋体" w:hAnsi="宋体" w:eastAsia="宋体" w:cs="宋体"/>
          <w:b w:val="0"/>
          <w:bCs w:val="0"/>
          <w:color w:val="auto"/>
          <w:spacing w:val="0"/>
          <w:kern w:val="2"/>
          <w:sz w:val="21"/>
          <w:szCs w:val="21"/>
          <w:highlight w:val="none"/>
          <w:u w:val="none"/>
          <w:lang w:val="en-US" w:eastAsia="zh-CN"/>
        </w:rPr>
        <w:t>在本项目投标截止日，</w:t>
      </w:r>
      <w:r>
        <w:rPr>
          <w:rFonts w:hint="default"/>
          <w:color w:val="auto"/>
          <w:kern w:val="2"/>
          <w:sz w:val="21"/>
          <w:szCs w:val="21"/>
          <w:highlight w:val="none"/>
          <w:lang w:val="en-US" w:eastAsia="zh-CN"/>
        </w:rPr>
        <w:t>信用等级为B+，</w:t>
      </w:r>
      <w:r>
        <w:rPr>
          <w:rFonts w:hint="default" w:ascii="宋体" w:hAnsi="宋体" w:eastAsia="宋体" w:cs="宋体"/>
          <w:b w:val="0"/>
          <w:bCs w:val="0"/>
          <w:color w:val="auto"/>
          <w:spacing w:val="0"/>
          <w:kern w:val="2"/>
          <w:sz w:val="21"/>
          <w:szCs w:val="21"/>
          <w:highlight w:val="none"/>
          <w:u w:val="none"/>
          <w:lang w:val="en-US" w:eastAsia="zh-CN"/>
        </w:rPr>
        <w:t>自愿使用承诺函，并</w:t>
      </w:r>
      <w:r>
        <w:rPr>
          <w:rFonts w:hint="default"/>
          <w:color w:val="auto"/>
          <w:kern w:val="2"/>
          <w:sz w:val="21"/>
          <w:szCs w:val="21"/>
          <w:highlight w:val="none"/>
          <w:lang w:val="en-US" w:eastAsia="zh-CN"/>
        </w:rPr>
        <w:t>减半缴纳投标保证金</w:t>
      </w:r>
      <w:r>
        <w:rPr>
          <w:rFonts w:hint="default" w:ascii="宋体" w:hAnsi="宋体" w:eastAsia="宋体" w:cs="宋体"/>
          <w:color w:val="auto"/>
          <w:spacing w:val="0"/>
          <w:kern w:val="2"/>
          <w:sz w:val="21"/>
          <w:szCs w:val="21"/>
          <w:highlight w:val="none"/>
          <w:u w:val="none"/>
          <w:lang w:val="en-US" w:eastAsia="zh-CN"/>
        </w:rPr>
        <w:t>。</w:t>
      </w:r>
    </w:p>
    <w:p w14:paraId="4C296E5F">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eastAsia="宋体" w:cs="宋体"/>
          <w:color w:val="auto"/>
          <w:spacing w:val="0"/>
          <w:kern w:val="2"/>
          <w:sz w:val="21"/>
          <w:szCs w:val="21"/>
          <w:highlight w:val="none"/>
          <w:u w:val="none"/>
          <w:lang w:val="en-US" w:eastAsia="zh-CN"/>
        </w:rPr>
      </w:pPr>
      <w:bookmarkStart w:id="6473" w:name="_Toc10704"/>
      <w:r>
        <w:rPr>
          <w:rFonts w:hint="eastAsia" w:cs="宋体"/>
          <w:color w:val="auto"/>
          <w:spacing w:val="0"/>
          <w:kern w:val="2"/>
          <w:sz w:val="21"/>
          <w:szCs w:val="21"/>
          <w:highlight w:val="none"/>
          <w:lang w:val="en-US" w:eastAsia="zh-CN"/>
        </w:rPr>
        <w:t>□</w:t>
      </w:r>
      <w:r>
        <w:rPr>
          <w:rFonts w:hint="default" w:eastAsia="宋体" w:cs="宋体"/>
          <w:color w:val="auto"/>
          <w:spacing w:val="0"/>
          <w:kern w:val="2"/>
          <w:sz w:val="21"/>
          <w:szCs w:val="21"/>
          <w:highlight w:val="none"/>
          <w:lang w:val="en-US" w:eastAsia="zh-CN"/>
        </w:rPr>
        <w:t xml:space="preserve"> </w:t>
      </w:r>
      <w:r>
        <w:rPr>
          <w:rFonts w:hint="default" w:eastAsia="宋体" w:cs="宋体"/>
          <w:color w:val="auto"/>
          <w:spacing w:val="0"/>
          <w:kern w:val="2"/>
          <w:sz w:val="21"/>
          <w:szCs w:val="21"/>
          <w:highlight w:val="none"/>
          <w:u w:val="single"/>
          <w:lang w:val="en-US" w:eastAsia="zh-CN"/>
        </w:rPr>
        <w:t xml:space="preserve">                       （招标文件规定的其他情形）</w:t>
      </w:r>
      <w:bookmarkEnd w:id="6473"/>
    </w:p>
    <w:p w14:paraId="05C7A054">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6474" w:name="_Toc20330"/>
      <w:r>
        <w:rPr>
          <w:rFonts w:hint="eastAsia" w:ascii="宋体" w:hAnsi="宋体" w:eastAsia="宋体" w:cs="宋体"/>
          <w:b w:val="0"/>
          <w:bCs w:val="0"/>
          <w:color w:val="auto"/>
          <w:spacing w:val="0"/>
          <w:kern w:val="2"/>
          <w:sz w:val="21"/>
          <w:szCs w:val="21"/>
          <w:highlight w:val="none"/>
          <w:lang w:val="en-US" w:eastAsia="zh-CN"/>
        </w:rPr>
        <w:t>三、</w:t>
      </w:r>
      <w:r>
        <w:rPr>
          <w:rFonts w:hint="eastAsia" w:ascii="宋体" w:hAnsi="宋体" w:eastAsia="宋体" w:cs="宋体"/>
          <w:b w:val="0"/>
          <w:bCs w:val="0"/>
          <w:color w:val="auto"/>
          <w:spacing w:val="0"/>
          <w:kern w:val="2"/>
          <w:sz w:val="21"/>
          <w:szCs w:val="21"/>
          <w:highlight w:val="none"/>
          <w:lang w:eastAsia="zh-CN"/>
        </w:rPr>
        <w:t>如有发生下述任何一种违约行为，自愿承担相关法律责任，</w:t>
      </w:r>
      <w:r>
        <w:rPr>
          <w:rFonts w:hint="eastAsia" w:ascii="宋体" w:hAnsi="宋体" w:eastAsia="宋体" w:cs="宋体"/>
          <w:b w:val="0"/>
          <w:bCs w:val="0"/>
          <w:color w:val="auto"/>
          <w:spacing w:val="0"/>
          <w:kern w:val="2"/>
          <w:sz w:val="21"/>
          <w:szCs w:val="21"/>
          <w:highlight w:val="none"/>
          <w:lang w:val="en-US" w:eastAsia="zh-CN"/>
        </w:rPr>
        <w:t>并愿意</w:t>
      </w:r>
      <w:r>
        <w:rPr>
          <w:rFonts w:hint="eastAsia" w:ascii="宋体" w:hAnsi="宋体" w:eastAsia="宋体" w:cs="宋体"/>
          <w:b w:val="0"/>
          <w:bCs w:val="0"/>
          <w:color w:val="auto"/>
          <w:spacing w:val="0"/>
          <w:kern w:val="2"/>
          <w:sz w:val="21"/>
          <w:szCs w:val="21"/>
          <w:highlight w:val="none"/>
          <w:lang w:eastAsia="zh-CN"/>
        </w:rPr>
        <w:t>按所投项目招标文件约定的投标保证金金额以现金方式</w:t>
      </w:r>
      <w:r>
        <w:rPr>
          <w:rFonts w:hint="eastAsia" w:cs="宋体"/>
          <w:b w:val="0"/>
          <w:bCs w:val="0"/>
          <w:color w:val="auto"/>
          <w:spacing w:val="0"/>
          <w:kern w:val="2"/>
          <w:sz w:val="21"/>
          <w:szCs w:val="21"/>
          <w:highlight w:val="none"/>
          <w:lang w:val="en-US" w:eastAsia="zh-CN"/>
        </w:rPr>
        <w:t>补缴</w:t>
      </w:r>
      <w:r>
        <w:rPr>
          <w:rFonts w:hint="eastAsia" w:ascii="宋体" w:hAnsi="宋体" w:eastAsia="宋体" w:cs="宋体"/>
          <w:b w:val="0"/>
          <w:bCs w:val="0"/>
          <w:color w:val="auto"/>
          <w:spacing w:val="0"/>
          <w:kern w:val="2"/>
          <w:sz w:val="21"/>
          <w:szCs w:val="21"/>
          <w:highlight w:val="none"/>
          <w:lang w:eastAsia="zh-CN"/>
        </w:rPr>
        <w:t>。如不按时补缴，愿意接受行政监督部门实施的信用联合惩戒。</w:t>
      </w:r>
      <w:bookmarkEnd w:id="6474"/>
    </w:p>
    <w:p w14:paraId="0A4729DC">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6475" w:name="_Toc4073"/>
      <w:r>
        <w:rPr>
          <w:rFonts w:hint="eastAsia" w:ascii="宋体" w:hAnsi="宋体" w:eastAsia="宋体" w:cs="宋体"/>
          <w:b w:val="0"/>
          <w:bCs w:val="0"/>
          <w:color w:val="auto"/>
          <w:spacing w:val="0"/>
          <w:kern w:val="2"/>
          <w:sz w:val="21"/>
          <w:szCs w:val="21"/>
          <w:highlight w:val="none"/>
          <w:lang w:eastAsia="zh-CN"/>
        </w:rPr>
        <w:t>1.在招标文件中规定的投标有效期内撤销投标文件；</w:t>
      </w:r>
      <w:bookmarkEnd w:id="6475"/>
    </w:p>
    <w:p w14:paraId="0FA5827A">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6476" w:name="_Toc19954"/>
      <w:r>
        <w:rPr>
          <w:rFonts w:hint="eastAsia" w:ascii="宋体" w:hAnsi="宋体" w:eastAsia="宋体" w:cs="宋体"/>
          <w:b w:val="0"/>
          <w:bCs w:val="0"/>
          <w:color w:val="auto"/>
          <w:spacing w:val="0"/>
          <w:kern w:val="2"/>
          <w:sz w:val="21"/>
          <w:szCs w:val="21"/>
          <w:highlight w:val="none"/>
          <w:lang w:eastAsia="zh-CN"/>
        </w:rPr>
        <w:t>2.中标后在规定期限内无正当理由不与招标人签订合同或在签订合同时向招标人提出附加条件、或未按招标文件规定提交履约保证金；</w:t>
      </w:r>
      <w:bookmarkEnd w:id="6476"/>
    </w:p>
    <w:p w14:paraId="20E31CE7">
      <w:pPr>
        <w:pStyle w:val="9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bookmarkStart w:id="6477" w:name="_Toc6903"/>
      <w:r>
        <w:rPr>
          <w:rFonts w:hint="eastAsia" w:ascii="宋体" w:hAnsi="宋体" w:eastAsia="宋体" w:cs="宋体"/>
          <w:b w:val="0"/>
          <w:bCs w:val="0"/>
          <w:color w:val="auto"/>
          <w:spacing w:val="0"/>
          <w:kern w:val="2"/>
          <w:sz w:val="21"/>
          <w:szCs w:val="21"/>
          <w:highlight w:val="none"/>
          <w:lang w:eastAsia="zh-CN"/>
        </w:rPr>
        <w:t>3.法律、法规规定不予退还投标保证金的其他情形。</w:t>
      </w:r>
      <w:bookmarkEnd w:id="6477"/>
    </w:p>
    <w:p w14:paraId="7A9B7CF7">
      <w:pPr>
        <w:pStyle w:val="98"/>
        <w:spacing w:before="0" w:beforeAutospacing="0" w:after="0" w:afterAutospacing="0" w:line="240" w:lineRule="auto"/>
        <w:ind w:firstLine="420" w:firstLineChars="200"/>
        <w:rPr>
          <w:rFonts w:hint="default"/>
          <w:color w:val="auto"/>
          <w:kern w:val="2"/>
          <w:sz w:val="21"/>
          <w:szCs w:val="21"/>
          <w:highlight w:val="none"/>
          <w:lang w:val="en-US" w:eastAsia="zh-CN"/>
        </w:rPr>
      </w:pPr>
    </w:p>
    <w:p w14:paraId="4037A9D5">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696DF806">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r>
        <w:rPr>
          <w:rFonts w:hint="default" w:cs="宋体"/>
          <w:b w:val="0"/>
          <w:bCs w:val="0"/>
          <w:color w:val="auto"/>
          <w:spacing w:val="0"/>
          <w:kern w:val="2"/>
          <w:sz w:val="21"/>
          <w:szCs w:val="21"/>
          <w:highlight w:val="none"/>
          <w:lang w:val="en-US" w:eastAsia="zh-CN"/>
        </w:rPr>
        <w:t xml:space="preserve">                                  </w:t>
      </w:r>
      <w:r>
        <w:rPr>
          <w:rFonts w:hint="eastAsia" w:cs="宋体"/>
          <w:b w:val="0"/>
          <w:bCs w:val="0"/>
          <w:color w:val="auto"/>
          <w:spacing w:val="0"/>
          <w:kern w:val="2"/>
          <w:sz w:val="21"/>
          <w:szCs w:val="21"/>
          <w:highlight w:val="none"/>
          <w:lang w:val="en-US" w:eastAsia="zh-CN"/>
        </w:rPr>
        <w:t xml:space="preserve">            </w:t>
      </w:r>
      <w:r>
        <w:rPr>
          <w:rFonts w:hint="default" w:cs="宋体"/>
          <w:b w:val="0"/>
          <w:bCs w:val="0"/>
          <w:color w:val="auto"/>
          <w:spacing w:val="0"/>
          <w:kern w:val="2"/>
          <w:sz w:val="21"/>
          <w:szCs w:val="21"/>
          <w:highlight w:val="none"/>
          <w:lang w:val="en-US" w:eastAsia="zh-CN"/>
        </w:rPr>
        <w:t xml:space="preserve">  </w:t>
      </w:r>
      <w:r>
        <w:rPr>
          <w:rFonts w:hint="eastAsia" w:ascii="宋体" w:hAnsi="宋体" w:eastAsia="宋体" w:cs="宋体"/>
          <w:b w:val="0"/>
          <w:bCs w:val="0"/>
          <w:color w:val="auto"/>
          <w:spacing w:val="0"/>
          <w:kern w:val="2"/>
          <w:sz w:val="21"/>
          <w:szCs w:val="21"/>
          <w:highlight w:val="none"/>
          <w:lang w:eastAsia="zh-CN"/>
        </w:rPr>
        <w:t>承诺人（盖公章）：</w:t>
      </w:r>
    </w:p>
    <w:p w14:paraId="74551CEA">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r>
        <w:rPr>
          <w:rFonts w:hint="default" w:cs="宋体"/>
          <w:b w:val="0"/>
          <w:bCs w:val="0"/>
          <w:color w:val="auto"/>
          <w:spacing w:val="0"/>
          <w:kern w:val="2"/>
          <w:sz w:val="21"/>
          <w:szCs w:val="21"/>
          <w:highlight w:val="none"/>
          <w:lang w:val="en-US" w:eastAsia="zh-CN"/>
        </w:rPr>
        <w:t xml:space="preserve">                                             </w:t>
      </w:r>
      <w:r>
        <w:rPr>
          <w:rFonts w:hint="eastAsia" w:ascii="宋体" w:hAnsi="宋体" w:eastAsia="宋体" w:cs="宋体"/>
          <w:b w:val="0"/>
          <w:bCs w:val="0"/>
          <w:color w:val="auto"/>
          <w:spacing w:val="0"/>
          <w:kern w:val="2"/>
          <w:sz w:val="21"/>
          <w:szCs w:val="21"/>
          <w:highlight w:val="none"/>
          <w:lang w:eastAsia="zh-CN"/>
        </w:rPr>
        <w:t>法定代表人（印章或签字）：</w:t>
      </w:r>
    </w:p>
    <w:p w14:paraId="3A36BF2E">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r>
        <w:rPr>
          <w:rFonts w:hint="default" w:cs="宋体"/>
          <w:b w:val="0"/>
          <w:bCs w:val="0"/>
          <w:color w:val="auto"/>
          <w:spacing w:val="0"/>
          <w:kern w:val="2"/>
          <w:sz w:val="21"/>
          <w:szCs w:val="21"/>
          <w:highlight w:val="none"/>
          <w:lang w:val="en-US" w:eastAsia="zh-CN"/>
        </w:rPr>
        <w:t xml:space="preserve">                          </w:t>
      </w:r>
      <w:r>
        <w:rPr>
          <w:rFonts w:hint="eastAsia" w:cs="宋体"/>
          <w:b w:val="0"/>
          <w:bCs w:val="0"/>
          <w:color w:val="auto"/>
          <w:spacing w:val="0"/>
          <w:kern w:val="2"/>
          <w:sz w:val="21"/>
          <w:szCs w:val="21"/>
          <w:highlight w:val="none"/>
          <w:lang w:val="en-US" w:eastAsia="zh-CN"/>
        </w:rPr>
        <w:t xml:space="preserve">                     </w:t>
      </w:r>
      <w:r>
        <w:rPr>
          <w:rFonts w:hint="eastAsia" w:ascii="宋体" w:hAnsi="宋体" w:eastAsia="宋体" w:cs="宋体"/>
          <w:b w:val="0"/>
          <w:bCs w:val="0"/>
          <w:color w:val="auto"/>
          <w:spacing w:val="0"/>
          <w:kern w:val="2"/>
          <w:sz w:val="21"/>
          <w:szCs w:val="21"/>
          <w:highlight w:val="none"/>
          <w:lang w:eastAsia="zh-CN"/>
        </w:rPr>
        <w:t>日期：</w:t>
      </w:r>
    </w:p>
    <w:p w14:paraId="5C6AB757">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0F31B326">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71D88638">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73815DFB">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072B3F9D">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371A4E7B">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1C0C8722">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60908335">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76E9B1D4">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6734AB89">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46B7852F">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07871032">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79988423">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74A556CD">
      <w:pPr>
        <w:pStyle w:val="98"/>
        <w:spacing w:before="0" w:beforeAutospacing="0" w:after="0" w:afterAutospacing="0" w:line="360" w:lineRule="auto"/>
        <w:jc w:val="center"/>
        <w:rPr>
          <w:rFonts w:hint="eastAsia" w:ascii="宋体" w:hAnsi="宋体" w:eastAsia="宋体" w:cs="宋体"/>
          <w:color w:val="auto"/>
          <w:kern w:val="2"/>
          <w:sz w:val="44"/>
          <w:szCs w:val="22"/>
          <w:highlight w:val="none"/>
        </w:rPr>
      </w:pPr>
    </w:p>
    <w:p w14:paraId="34602CB0">
      <w:pPr>
        <w:pStyle w:val="98"/>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14:paraId="16BEE670">
      <w:pPr>
        <w:pStyle w:val="9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14:paraId="69D817A6">
      <w:pPr>
        <w:pStyle w:val="9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lang w:eastAsia="zh-CN"/>
        </w:rPr>
      </w:pPr>
      <w:r>
        <w:rPr>
          <w:rFonts w:hint="eastAsia" w:ascii="宋体" w:hAnsi="宋体" w:eastAsia="宋体" w:cs="宋体"/>
          <w:color w:val="auto"/>
          <w:kern w:val="2"/>
          <w:sz w:val="21"/>
          <w:szCs w:val="21"/>
          <w:highlight w:val="none"/>
          <w:u w:val="single"/>
        </w:rPr>
        <w:t>本</w:t>
      </w:r>
      <w:r>
        <w:rPr>
          <w:rFonts w:hint="eastAsia" w:cs="宋体"/>
          <w:color w:val="auto"/>
          <w:kern w:val="2"/>
          <w:sz w:val="21"/>
          <w:szCs w:val="21"/>
          <w:highlight w:val="none"/>
          <w:u w:val="single"/>
          <w:lang w:val="en-US" w:eastAsia="zh-CN"/>
        </w:rPr>
        <w:t>企业</w:t>
      </w:r>
      <w:r>
        <w:rPr>
          <w:rFonts w:hint="eastAsia" w:ascii="宋体" w:hAnsi="宋体" w:eastAsia="宋体" w:cs="宋体"/>
          <w:color w:val="auto"/>
          <w:kern w:val="2"/>
          <w:sz w:val="21"/>
          <w:szCs w:val="21"/>
          <w:highlight w:val="none"/>
          <w:u w:val="single"/>
        </w:rPr>
        <w:t>（联合体）</w:t>
      </w:r>
      <w:r>
        <w:rPr>
          <w:rFonts w:hint="eastAsia" w:ascii="宋体" w:hAnsi="宋体" w:eastAsia="宋体" w:cs="宋体"/>
          <w:color w:val="auto"/>
          <w:kern w:val="2"/>
          <w:sz w:val="21"/>
          <w:szCs w:val="21"/>
          <w:highlight w:val="none"/>
          <w:u w:val="none"/>
        </w:rPr>
        <w:t>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活动，工程的施工单位全部为符合政策要求的中小企业（或者：服务全部由符合政策要求的中小企业承接）。相关企业（含联合体中的中小企业）的具体情况如下</w:t>
      </w:r>
      <w:r>
        <w:rPr>
          <w:rFonts w:hint="eastAsia" w:cs="宋体"/>
          <w:color w:val="auto"/>
          <w:kern w:val="2"/>
          <w:sz w:val="21"/>
          <w:szCs w:val="21"/>
          <w:highlight w:val="none"/>
          <w:u w:val="none"/>
          <w:lang w:eastAsia="zh-CN"/>
        </w:rPr>
        <w:t>：</w:t>
      </w:r>
    </w:p>
    <w:p w14:paraId="311199FF">
      <w:pPr>
        <w:pStyle w:val="98"/>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XX企业</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（本招标项目所属行业）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14:paraId="49415A68">
      <w:pPr>
        <w:pStyle w:val="9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single"/>
          <w:lang w:val="en-US" w:eastAsia="zh-CN"/>
        </w:rPr>
      </w:pPr>
      <w:r>
        <w:rPr>
          <w:rFonts w:hint="eastAsia" w:cs="宋体"/>
          <w:color w:val="auto"/>
          <w:kern w:val="2"/>
          <w:sz w:val="21"/>
          <w:szCs w:val="21"/>
          <w:highlight w:val="none"/>
          <w:u w:val="single"/>
          <w:lang w:eastAsia="zh-CN"/>
        </w:rPr>
        <w:t>……</w:t>
      </w:r>
    </w:p>
    <w:p w14:paraId="391F038C">
      <w:pPr>
        <w:pStyle w:val="9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以上企业</w:t>
      </w:r>
      <w:r>
        <w:rPr>
          <w:rFonts w:hint="eastAsia" w:ascii="宋体" w:hAnsi="宋体" w:eastAsia="宋体" w:cs="宋体"/>
          <w:color w:val="auto"/>
          <w:kern w:val="2"/>
          <w:sz w:val="21"/>
          <w:szCs w:val="21"/>
          <w:highlight w:val="none"/>
        </w:rPr>
        <w:t>不属于大企业的分支机构，不存在控股股东为大企业的情形，也不存在与大企业的负责人为同一人的情形。</w:t>
      </w:r>
    </w:p>
    <w:p w14:paraId="30B212A3">
      <w:pPr>
        <w:pStyle w:val="9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14:paraId="5E075274">
      <w:pPr>
        <w:pStyle w:val="98"/>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210008B6">
      <w:pPr>
        <w:pStyle w:val="98"/>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14:paraId="03550325">
      <w:pPr>
        <w:pStyle w:val="98"/>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日期：</w:t>
      </w:r>
    </w:p>
    <w:p w14:paraId="0CA94969">
      <w:pPr>
        <w:pStyle w:val="98"/>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54AA3FE2">
      <w:pPr>
        <w:pStyle w:val="98"/>
        <w:spacing w:before="0" w:beforeAutospacing="0" w:after="0" w:afterAutospacing="0" w:line="360" w:lineRule="auto"/>
        <w:ind w:firstLine="420" w:firstLineChars="200"/>
        <w:rPr>
          <w:rFonts w:hint="default" w:cs="宋体"/>
          <w:color w:val="auto"/>
          <w:kern w:val="2"/>
          <w:sz w:val="21"/>
          <w:szCs w:val="21"/>
          <w:highlight w:val="none"/>
          <w:lang w:val="en-US" w:eastAsia="zh-CN"/>
        </w:rPr>
      </w:pPr>
      <w:r>
        <w:rPr>
          <w:rFonts w:hint="eastAsia" w:cs="宋体"/>
          <w:color w:val="auto"/>
          <w:kern w:val="2"/>
          <w:sz w:val="21"/>
          <w:szCs w:val="21"/>
          <w:highlight w:val="none"/>
          <w:lang w:val="en-US" w:eastAsia="zh-CN"/>
        </w:rPr>
        <w:t>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的，投标人属于招标项目所属行业的中小企业且提供声明函后，方可适用该条款。</w:t>
      </w:r>
    </w:p>
    <w:p w14:paraId="356DD4FA">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1DD3C6F0">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58652858">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5EA36362">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3E8393B7">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2A89E408">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1D686C8E">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2113BC4A">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3F59B4A8">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1274D5C5">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6EDBF258">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60CA3B0A">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39D4A500">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37080F3B">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45F7F7EC">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7BB4F3F3">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515FF36D">
      <w:pPr>
        <w:pStyle w:val="9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right="0" w:rightChars="0" w:firstLine="420" w:firstLineChars="200"/>
        <w:jc w:val="left"/>
        <w:textAlignment w:val="auto"/>
        <w:outlineLvl w:val="9"/>
        <w:rPr>
          <w:rFonts w:hint="eastAsia" w:ascii="宋体" w:hAnsi="宋体" w:eastAsia="宋体" w:cs="宋体"/>
          <w:b w:val="0"/>
          <w:bCs w:val="0"/>
          <w:color w:val="auto"/>
          <w:spacing w:val="0"/>
          <w:kern w:val="2"/>
          <w:sz w:val="21"/>
          <w:szCs w:val="21"/>
          <w:highlight w:val="none"/>
          <w:lang w:eastAsia="zh-CN"/>
        </w:rPr>
      </w:pPr>
    </w:p>
    <w:p w14:paraId="1AF098D1">
      <w:pPr>
        <w:pStyle w:val="98"/>
        <w:spacing w:before="0" w:beforeAutospacing="0" w:after="0" w:afterAutospacing="0" w:line="360" w:lineRule="auto"/>
        <w:rPr>
          <w:rFonts w:hint="eastAsia" w:ascii="宋体" w:hAnsi="宋体" w:eastAsia="宋体" w:cs="宋体"/>
          <w:b w:val="0"/>
          <w:bCs w:val="0"/>
          <w:color w:val="auto"/>
          <w:spacing w:val="3"/>
          <w:sz w:val="21"/>
          <w:szCs w:val="21"/>
          <w:highlight w:val="none"/>
          <w:lang w:eastAsia="zh-CN"/>
        </w:rPr>
      </w:pPr>
    </w:p>
    <w:bookmarkEnd w:id="6472"/>
    <w:p w14:paraId="4BF9D475">
      <w:pPr>
        <w:adjustRightInd w:val="0"/>
        <w:snapToGrid w:val="0"/>
        <w:spacing w:line="360" w:lineRule="exact"/>
        <w:jc w:val="center"/>
        <w:rPr>
          <w:color w:val="auto"/>
          <w:highlight w:val="none"/>
        </w:rPr>
      </w:pPr>
    </w:p>
    <w:p w14:paraId="2662F7F0">
      <w:pPr>
        <w:adjustRightInd w:val="0"/>
        <w:snapToGrid w:val="0"/>
        <w:spacing w:line="360" w:lineRule="auto"/>
        <w:ind w:firstLine="5140" w:firstLineChars="1600"/>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工程编号：</w:t>
      </w:r>
      <w:r>
        <w:rPr>
          <w:rFonts w:hint="eastAsia" w:ascii="宋体" w:hAnsi="宋体" w:eastAsia="宋体" w:cs="宋体"/>
          <w:b/>
          <w:bCs/>
          <w:color w:val="auto"/>
          <w:sz w:val="32"/>
          <w:szCs w:val="32"/>
          <w:highlight w:val="none"/>
          <w:u w:val="single"/>
        </w:rPr>
        <w:t>_____________</w:t>
      </w:r>
    </w:p>
    <w:p w14:paraId="729979A5">
      <w:pPr>
        <w:adjustRightInd w:val="0"/>
        <w:snapToGrid w:val="0"/>
        <w:spacing w:line="360" w:lineRule="auto"/>
        <w:rPr>
          <w:rFonts w:ascii="宋体" w:hAnsi="宋体" w:eastAsia="宋体" w:cs="宋体"/>
          <w:b/>
          <w:bCs/>
          <w:color w:val="auto"/>
          <w:sz w:val="28"/>
          <w:highlight w:val="none"/>
        </w:rPr>
      </w:pPr>
    </w:p>
    <w:p w14:paraId="74D21934">
      <w:pPr>
        <w:adjustRightInd w:val="0"/>
        <w:snapToGrid w:val="0"/>
        <w:spacing w:line="360" w:lineRule="auto"/>
        <w:rPr>
          <w:rFonts w:ascii="宋体" w:hAnsi="宋体" w:eastAsia="宋体" w:cs="宋体"/>
          <w:b/>
          <w:bCs/>
          <w:color w:val="auto"/>
          <w:sz w:val="28"/>
          <w:highlight w:val="none"/>
        </w:rPr>
      </w:pPr>
    </w:p>
    <w:p w14:paraId="2CE9CD59">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深圳市建设工程施工招标</w:t>
      </w:r>
    </w:p>
    <w:p w14:paraId="77950714">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投 标 文 件</w:t>
      </w:r>
    </w:p>
    <w:p w14:paraId="453CDC17">
      <w:pPr>
        <w:adjustRightInd w:val="0"/>
        <w:snapToGrid w:val="0"/>
        <w:spacing w:line="360" w:lineRule="auto"/>
        <w:jc w:val="center"/>
        <w:rPr>
          <w:rFonts w:ascii="宋体" w:hAnsi="宋体" w:eastAsia="宋体" w:cs="宋体"/>
          <w:b/>
          <w:color w:val="auto"/>
          <w:sz w:val="72"/>
          <w:highlight w:val="none"/>
        </w:rPr>
      </w:pPr>
    </w:p>
    <w:p w14:paraId="24F8219C">
      <w:pPr>
        <w:adjustRightInd w:val="0"/>
        <w:snapToGrid w:val="0"/>
        <w:spacing w:line="360" w:lineRule="auto"/>
        <w:jc w:val="center"/>
        <w:rPr>
          <w:rFonts w:ascii="宋体" w:hAnsi="宋体" w:eastAsia="宋体" w:cs="宋体"/>
          <w:b/>
          <w:color w:val="auto"/>
          <w:sz w:val="72"/>
          <w:highlight w:val="none"/>
        </w:rPr>
      </w:pPr>
    </w:p>
    <w:p w14:paraId="3D343EE3">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color w:val="auto"/>
          <w:sz w:val="32"/>
          <w:highlight w:val="none"/>
        </w:rPr>
        <w:t>工程名称：</w:t>
      </w:r>
      <w:r>
        <w:rPr>
          <w:rFonts w:hint="eastAsia" w:ascii="宋体" w:hAnsi="宋体" w:eastAsia="宋体" w:cs="宋体"/>
          <w:b/>
          <w:color w:val="auto"/>
          <w:sz w:val="32"/>
          <w:highlight w:val="none"/>
          <w:u w:val="single"/>
        </w:rPr>
        <w:t>___________________________________________</w:t>
      </w:r>
    </w:p>
    <w:p w14:paraId="461ED729">
      <w:pPr>
        <w:adjustRightInd w:val="0"/>
        <w:snapToGrid w:val="0"/>
        <w:spacing w:line="360" w:lineRule="auto"/>
        <w:rPr>
          <w:rFonts w:ascii="宋体" w:hAnsi="宋体" w:eastAsia="宋体" w:cs="宋体"/>
          <w:b/>
          <w:color w:val="auto"/>
          <w:sz w:val="32"/>
          <w:highlight w:val="none"/>
        </w:rPr>
      </w:pPr>
    </w:p>
    <w:p w14:paraId="2DCC0635">
      <w:pPr>
        <w:adjustRightInd w:val="0"/>
        <w:snapToGrid w:val="0"/>
        <w:spacing w:line="360" w:lineRule="auto"/>
        <w:outlineLvl w:val="1"/>
        <w:rPr>
          <w:rFonts w:ascii="宋体" w:hAnsi="宋体" w:eastAsia="宋体" w:cs="宋体"/>
          <w:b/>
          <w:color w:val="auto"/>
          <w:sz w:val="32"/>
          <w:highlight w:val="none"/>
        </w:rPr>
      </w:pPr>
      <w:bookmarkStart w:id="6478" w:name="_Toc20398"/>
      <w:bookmarkStart w:id="6479" w:name="_Toc32533"/>
      <w:bookmarkStart w:id="6480" w:name="_Toc19837"/>
      <w:bookmarkStart w:id="6481" w:name="_Toc12476"/>
      <w:bookmarkStart w:id="6482" w:name="_Toc26088"/>
      <w:bookmarkStart w:id="6483" w:name="_Toc23925"/>
      <w:r>
        <w:rPr>
          <w:rFonts w:hint="eastAsia" w:ascii="宋体" w:hAnsi="宋体" w:eastAsia="宋体" w:cs="宋体"/>
          <w:b/>
          <w:color w:val="auto"/>
          <w:sz w:val="32"/>
          <w:highlight w:val="none"/>
        </w:rPr>
        <w:t>投标文件内容：</w:t>
      </w:r>
      <w:r>
        <w:rPr>
          <w:rFonts w:hint="eastAsia" w:ascii="宋体" w:hAnsi="宋体" w:eastAsia="宋体" w:cs="宋体"/>
          <w:b/>
          <w:color w:val="auto"/>
          <w:sz w:val="52"/>
          <w:highlight w:val="none"/>
          <w:u w:val="single"/>
        </w:rPr>
        <w:t xml:space="preserve">       商务标部分</w:t>
      </w:r>
      <w:bookmarkEnd w:id="6478"/>
      <w:bookmarkEnd w:id="6479"/>
      <w:bookmarkEnd w:id="6480"/>
      <w:bookmarkEnd w:id="6481"/>
      <w:bookmarkEnd w:id="6482"/>
      <w:bookmarkEnd w:id="6483"/>
      <w:r>
        <w:rPr>
          <w:rFonts w:hint="eastAsia" w:ascii="宋体" w:hAnsi="宋体" w:eastAsia="宋体" w:cs="宋体"/>
          <w:b/>
          <w:color w:val="auto"/>
          <w:sz w:val="52"/>
          <w:highlight w:val="none"/>
          <w:u w:val="single"/>
        </w:rPr>
        <w:t xml:space="preserve">       </w:t>
      </w:r>
    </w:p>
    <w:p w14:paraId="0DCA2B16">
      <w:pPr>
        <w:adjustRightInd w:val="0"/>
        <w:snapToGrid w:val="0"/>
        <w:spacing w:line="360" w:lineRule="auto"/>
        <w:rPr>
          <w:rFonts w:ascii="宋体" w:hAnsi="宋体" w:eastAsia="宋体" w:cs="宋体"/>
          <w:b/>
          <w:color w:val="auto"/>
          <w:sz w:val="32"/>
          <w:highlight w:val="none"/>
        </w:rPr>
      </w:pPr>
    </w:p>
    <w:p w14:paraId="7A8F5BE5">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color w:val="auto"/>
          <w:sz w:val="32"/>
          <w:highlight w:val="none"/>
        </w:rPr>
        <w:t>投标人：</w:t>
      </w:r>
      <w:r>
        <w:rPr>
          <w:rFonts w:hint="eastAsia" w:ascii="宋体" w:hAnsi="宋体" w:eastAsia="宋体" w:cs="宋体"/>
          <w:b/>
          <w:color w:val="auto"/>
          <w:sz w:val="32"/>
          <w:highlight w:val="none"/>
          <w:u w:val="single"/>
        </w:rPr>
        <w:t>_____________________________________</w:t>
      </w:r>
    </w:p>
    <w:p w14:paraId="15E15264">
      <w:pPr>
        <w:adjustRightInd w:val="0"/>
        <w:snapToGrid w:val="0"/>
        <w:spacing w:line="360" w:lineRule="auto"/>
        <w:rPr>
          <w:rFonts w:ascii="宋体" w:hAnsi="宋体" w:eastAsia="宋体" w:cs="宋体"/>
          <w:b/>
          <w:color w:val="auto"/>
          <w:sz w:val="32"/>
          <w:highlight w:val="none"/>
        </w:rPr>
      </w:pPr>
    </w:p>
    <w:p w14:paraId="1EE98AEE">
      <w:pPr>
        <w:adjustRightInd w:val="0"/>
        <w:snapToGrid w:val="0"/>
        <w:spacing w:line="360" w:lineRule="auto"/>
        <w:rPr>
          <w:color w:val="auto"/>
          <w:highlight w:val="none"/>
        </w:rPr>
      </w:pPr>
      <w:r>
        <w:rPr>
          <w:rFonts w:hint="eastAsia" w:ascii="宋体" w:hAnsi="宋体" w:eastAsia="宋体" w:cs="宋体"/>
          <w:b/>
          <w:color w:val="auto"/>
          <w:sz w:val="32"/>
          <w:highlight w:val="none"/>
        </w:rPr>
        <w:t>日  期：</w:t>
      </w:r>
      <w:r>
        <w:rPr>
          <w:rFonts w:hint="eastAsia" w:ascii="宋体" w:hAnsi="宋体" w:eastAsia="宋体" w:cs="宋体"/>
          <w:b/>
          <w:color w:val="auto"/>
          <w:sz w:val="32"/>
          <w:highlight w:val="none"/>
          <w:u w:val="single"/>
        </w:rPr>
        <w:t>____________</w:t>
      </w:r>
      <w:r>
        <w:rPr>
          <w:rFonts w:hint="eastAsia" w:ascii="宋体" w:hAnsi="宋体" w:eastAsia="宋体" w:cs="宋体"/>
          <w:b/>
          <w:color w:val="auto"/>
          <w:sz w:val="32"/>
          <w:highlight w:val="none"/>
        </w:rPr>
        <w:t>年</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月</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日</w:t>
      </w:r>
      <w:r>
        <w:rPr>
          <w:color w:val="auto"/>
          <w:highlight w:val="none"/>
        </w:rPr>
        <w:br w:type="page"/>
      </w:r>
    </w:p>
    <w:p w14:paraId="5142C9A3">
      <w:pPr>
        <w:adjustRightInd w:val="0"/>
        <w:snapToGrid w:val="0"/>
        <w:spacing w:line="360" w:lineRule="auto"/>
        <w:jc w:val="cente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一、工程量清单报价表的说明</w:t>
      </w:r>
    </w:p>
    <w:p w14:paraId="5FD5F251">
      <w:pPr>
        <w:adjustRightInd w:val="0"/>
        <w:snapToGrid w:val="0"/>
        <w:spacing w:line="360" w:lineRule="auto"/>
        <w:ind w:firstLine="420" w:firstLineChars="200"/>
        <w:rPr>
          <w:color w:val="auto"/>
          <w:highlight w:val="none"/>
        </w:rPr>
      </w:pPr>
    </w:p>
    <w:p w14:paraId="2405A691">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1.本投标报价是依据本工程招标文件的投标须知、工程量清单、合同条件、工程建设标准及技术要求和图纸等文件进行编制的。</w:t>
      </w:r>
    </w:p>
    <w:p w14:paraId="1978DCEB">
      <w:pPr>
        <w:adjustRightInd w:val="0"/>
        <w:snapToGrid w:val="0"/>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2.“工程量清单报价表”按照《建设工程工程量清单计价</w:t>
      </w:r>
      <w:r>
        <w:rPr>
          <w:rFonts w:hint="eastAsia" w:ascii="宋体" w:hAnsi="宋体" w:eastAsia="宋体" w:cs="宋体"/>
          <w:color w:val="auto"/>
          <w:szCs w:val="21"/>
          <w:highlight w:val="none"/>
          <w:lang w:eastAsia="zh-CN"/>
        </w:rPr>
        <w:t>标准</w:t>
      </w:r>
      <w:r>
        <w:rPr>
          <w:rFonts w:hint="eastAsia" w:ascii="宋体" w:hAnsi="宋体" w:eastAsia="宋体" w:cs="宋体"/>
          <w:color w:val="auto"/>
          <w:szCs w:val="21"/>
          <w:highlight w:val="none"/>
        </w:rPr>
        <w:t>》(GB</w:t>
      </w:r>
      <w:r>
        <w:rPr>
          <w:rFonts w:hint="eastAsia" w:ascii="宋体" w:hAnsi="宋体" w:eastAsia="宋体" w:cs="宋体"/>
          <w:color w:val="auto"/>
          <w:szCs w:val="21"/>
          <w:highlight w:val="none"/>
          <w:lang w:val="en-US" w:eastAsia="zh-CN"/>
        </w:rPr>
        <w:t xml:space="preserve">/T </w:t>
      </w:r>
      <w:r>
        <w:rPr>
          <w:rFonts w:hint="eastAsia" w:ascii="宋体" w:hAnsi="宋体" w:eastAsia="宋体" w:cs="宋体"/>
          <w:color w:val="auto"/>
          <w:szCs w:val="21"/>
          <w:highlight w:val="none"/>
        </w:rPr>
        <w:t>50500-20</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及</w:t>
      </w:r>
      <w:r>
        <w:rPr>
          <w:rFonts w:hint="eastAsia" w:ascii="宋体" w:hAnsi="宋体" w:eastAsia="宋体" w:cs="宋体"/>
          <w:color w:val="auto"/>
          <w:szCs w:val="21"/>
          <w:highlight w:val="none"/>
          <w:lang w:eastAsia="zh-CN"/>
        </w:rPr>
        <w:t>《</w:t>
      </w:r>
      <w:r>
        <w:rPr>
          <w:rFonts w:hint="eastAsia" w:ascii="宋体" w:hAnsi="宋体" w:eastAsia="宋体" w:cs="宋体"/>
          <w:b w:val="0"/>
          <w:bCs w:val="0"/>
          <w:color w:val="auto"/>
          <w:sz w:val="21"/>
          <w:szCs w:val="21"/>
          <w:highlight w:val="none"/>
        </w:rPr>
        <w:t>深圳市建设工程</w:t>
      </w:r>
      <w:r>
        <w:rPr>
          <w:rFonts w:hint="eastAsia" w:ascii="宋体" w:hAnsi="宋体" w:eastAsia="宋体" w:cs="宋体"/>
          <w:b w:val="0"/>
          <w:bCs w:val="0"/>
          <w:color w:val="auto"/>
          <w:sz w:val="21"/>
          <w:szCs w:val="21"/>
          <w:highlight w:val="none"/>
          <w:lang w:eastAsia="zh-CN"/>
        </w:rPr>
        <w:t>工程量清单</w:t>
      </w:r>
      <w:r>
        <w:rPr>
          <w:rFonts w:hint="eastAsia" w:ascii="宋体" w:hAnsi="宋体" w:eastAsia="宋体" w:cs="宋体"/>
          <w:b w:val="0"/>
          <w:bCs w:val="0"/>
          <w:color w:val="auto"/>
          <w:sz w:val="21"/>
          <w:szCs w:val="21"/>
          <w:highlight w:val="none"/>
        </w:rPr>
        <w:t>计价</w:t>
      </w:r>
      <w:r>
        <w:rPr>
          <w:rFonts w:hint="eastAsia" w:ascii="宋体" w:hAnsi="宋体" w:eastAsia="宋体" w:cs="宋体"/>
          <w:b w:val="0"/>
          <w:bCs w:val="0"/>
          <w:color w:val="auto"/>
          <w:sz w:val="21"/>
          <w:szCs w:val="21"/>
          <w:highlight w:val="none"/>
          <w:lang w:eastAsia="zh-CN"/>
        </w:rPr>
        <w:t>与计算标准应用指引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的规定，工程量清单</w:t>
      </w:r>
      <w:r>
        <w:rPr>
          <w:rFonts w:hint="eastAsia" w:ascii="宋体" w:hAnsi="宋体" w:eastAsia="宋体" w:cs="宋体"/>
          <w:color w:val="auto"/>
          <w:szCs w:val="21"/>
          <w:highlight w:val="none"/>
          <w:lang w:val="en-US" w:eastAsia="zh-CN"/>
        </w:rPr>
        <w:t>样表详见“</w:t>
      </w:r>
      <w:r>
        <w:rPr>
          <w:rFonts w:hint="eastAsia" w:ascii="宋体" w:hAnsi="宋体" w:eastAsia="宋体" w:cs="宋体"/>
          <w:bCs w:val="0"/>
          <w:color w:val="auto"/>
          <w:sz w:val="21"/>
          <w:szCs w:val="21"/>
          <w:highlight w:val="none"/>
        </w:rPr>
        <w:t>第八章</w:t>
      </w:r>
      <w:r>
        <w:rPr>
          <w:rFonts w:hint="eastAsia" w:ascii="宋体" w:hAnsi="宋体" w:eastAsia="宋体" w:cs="宋体"/>
          <w:bCs w:val="0"/>
          <w:color w:val="auto"/>
          <w:sz w:val="21"/>
          <w:szCs w:val="21"/>
          <w:highlight w:val="none"/>
          <w:lang w:val="en-US" w:eastAsia="zh-CN"/>
        </w:rPr>
        <w:t xml:space="preserve"> </w:t>
      </w:r>
      <w:r>
        <w:rPr>
          <w:rFonts w:hint="eastAsia" w:ascii="宋体" w:hAnsi="宋体" w:eastAsia="宋体" w:cs="宋体"/>
          <w:color w:val="auto"/>
          <w:szCs w:val="21"/>
          <w:highlight w:val="none"/>
          <w:lang w:val="en-US" w:eastAsia="zh-CN"/>
        </w:rPr>
        <w:t>二、工程量清单格式”</w:t>
      </w:r>
      <w:r>
        <w:rPr>
          <w:rFonts w:hint="eastAsia" w:ascii="宋体" w:hAnsi="宋体" w:eastAsia="宋体" w:cs="宋体"/>
          <w:color w:val="auto"/>
          <w:szCs w:val="21"/>
          <w:highlight w:val="none"/>
          <w:lang w:eastAsia="zh-CN"/>
        </w:rPr>
        <w:t>。</w:t>
      </w:r>
    </w:p>
    <w:p w14:paraId="20F894C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3.本投标报价是按照招标文件中要求采用的工程量计算规则，根据本企业自身的情况、拟订的施工组织设计和施工方案，分析市场情况完成的，该报价不低于本企业完成该招标工程的成本。</w:t>
      </w:r>
    </w:p>
    <w:p w14:paraId="60A05AF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4.对“分部分项工程量清单计价表”的说明：</w:t>
      </w:r>
    </w:p>
    <w:p w14:paraId="05BF286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⑴.我方确认“分部分项工程量清单”中所列的工程量系招标人的估算，是临时的，结算时，应以由发、承包双方在合同中约定应予计量且实际完成的工程量确定。</w:t>
      </w:r>
    </w:p>
    <w:p w14:paraId="07320BF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⑵.该计价表中所填入的综合单价和合价已包括人工费、材料费、施工机械使用费和企业管理费与利润，以及一定范围内的风险费用。招标人计划自行采购的材料设备单价未计入综合单价报价中。</w:t>
      </w:r>
    </w:p>
    <w:p w14:paraId="53C20A2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⑶.该计价表中没有填写综合单价和合价或者价格为零的项目，其费用已包括在工程量清单的其他综合单价或合价之中，备注中已有明确说明。</w:t>
      </w:r>
    </w:p>
    <w:p w14:paraId="42897C0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□⑷.根据招标人的要求，我方提供了“工程量清单综合单价分析表”。</w:t>
      </w:r>
    </w:p>
    <w:p w14:paraId="5452A99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5.对“措施项目清单计价表”的说明：</w:t>
      </w:r>
    </w:p>
    <w:p w14:paraId="5EB8657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⑴.该计价表是根据招标人提供的“措施项目清单”填报的，我方根据自身的情况对有关项目进行了调整，包含了完成该招标工程所需发生的全部措施费用。</w:t>
      </w:r>
    </w:p>
    <w:p w14:paraId="3C827EC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⑵.根据招标人的要求，我方提供了“</w:t>
      </w:r>
      <w:r>
        <w:rPr>
          <w:rFonts w:hint="eastAsia"/>
          <w:kern w:val="0"/>
          <w:szCs w:val="21"/>
          <w:highlight w:val="none"/>
        </w:rPr>
        <w:t>措施项目清单计价表</w:t>
      </w:r>
      <w:r>
        <w:rPr>
          <w:rFonts w:hint="eastAsia" w:ascii="宋体" w:hAnsi="宋体" w:eastAsia="宋体" w:cs="宋体"/>
          <w:color w:val="auto"/>
          <w:szCs w:val="21"/>
          <w:highlight w:val="none"/>
        </w:rPr>
        <w:t>”。</w:t>
      </w:r>
    </w:p>
    <w:p w14:paraId="700AD5C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6.对“其他项目清单计价表”的说明：</w:t>
      </w:r>
    </w:p>
    <w:p w14:paraId="6A099BB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⑴.该计价表中材料暂估价根据招标人提供的“材料暂估价表”计算汇总填写。表中所列材料设备的暂估单价已计入相应清单项目综合单价报价中，结算时，</w:t>
      </w:r>
      <w:r>
        <w:rPr>
          <w:rFonts w:hint="eastAsia" w:ascii="Times New Roman" w:hAnsi="Times New Roman" w:eastAsia="宋体" w:cs="宋体"/>
          <w:sz w:val="21"/>
          <w:szCs w:val="21"/>
          <w:highlight w:val="none"/>
          <w:lang w:val="en-US" w:eastAsia="zh-CN"/>
        </w:rPr>
        <w:t>按经招标确定或发承包双方共同确认的材料税前价格调整合同价款，价差调整部分应计算增值税，不计利润</w:t>
      </w:r>
      <w:r>
        <w:rPr>
          <w:rFonts w:hint="eastAsia" w:cs="宋体"/>
          <w:sz w:val="21"/>
          <w:szCs w:val="21"/>
          <w:highlight w:val="none"/>
          <w:lang w:val="en-US" w:eastAsia="zh-CN"/>
        </w:rPr>
        <w:t>和安全文明施工费</w:t>
      </w:r>
      <w:r>
        <w:rPr>
          <w:rFonts w:hint="eastAsia" w:ascii="Times New Roman" w:hAnsi="Times New Roman" w:eastAsia="宋体" w:cs="宋体"/>
          <w:sz w:val="21"/>
          <w:szCs w:val="21"/>
          <w:highlight w:val="none"/>
          <w:lang w:val="en-US" w:eastAsia="zh-CN"/>
        </w:rPr>
        <w:t>。</w:t>
      </w:r>
    </w:p>
    <w:p w14:paraId="6CE433A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⑵.该计价表中计日工是根据招标人提出的“计日工表”的要求填报单价，结算时，按合同约定的方式确认工程量。</w:t>
      </w:r>
    </w:p>
    <w:p w14:paraId="4A5183C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⑶．该计价表中总承包服务费是根据</w:t>
      </w:r>
      <w:r>
        <w:rPr>
          <w:rFonts w:hint="eastAsia" w:ascii="Times New Roman" w:hAnsi="Times New Roman" w:eastAsia="宋体" w:cs="宋体"/>
          <w:sz w:val="21"/>
          <w:szCs w:val="21"/>
          <w:highlight w:val="none"/>
          <w:lang w:val="en-US" w:eastAsia="zh-CN"/>
        </w:rPr>
        <w:t>招标文件中列出的发包人另行发包的专业工程和发包人自行采购的材料与设备情况，按照招标文件要求</w:t>
      </w:r>
      <w:r>
        <w:rPr>
          <w:rFonts w:hint="eastAsia" w:cs="宋体"/>
          <w:sz w:val="21"/>
          <w:szCs w:val="21"/>
          <w:highlight w:val="none"/>
          <w:lang w:val="en-US" w:eastAsia="zh-CN"/>
        </w:rPr>
        <w:t>履行管理、协调及配合责任的</w:t>
      </w:r>
      <w:r>
        <w:rPr>
          <w:rFonts w:hint="eastAsia" w:ascii="Times New Roman" w:hAnsi="Times New Roman" w:eastAsia="宋体" w:cs="宋体"/>
          <w:sz w:val="21"/>
          <w:szCs w:val="21"/>
          <w:highlight w:val="none"/>
          <w:lang w:val="en-US" w:eastAsia="zh-CN"/>
        </w:rPr>
        <w:t>需要，自主报价。</w:t>
      </w:r>
    </w:p>
    <w:p w14:paraId="674E057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7.我方接受招标人在合同条款和合同格式部分提出的要约，特别是对工程变更价款、暂列金额、专业工程暂估价、工程建设其他费和设备及工器具购置费的确定和结算方式。</w:t>
      </w:r>
    </w:p>
    <w:p w14:paraId="075EF801">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8.其他。</w:t>
      </w:r>
      <w:r>
        <w:rPr>
          <w:rFonts w:hint="eastAsia" w:ascii="宋体" w:hAnsi="宋体" w:eastAsia="宋体" w:cs="宋体"/>
          <w:color w:val="auto"/>
          <w:highlight w:val="none"/>
        </w:rPr>
        <w:br w:type="page"/>
      </w:r>
    </w:p>
    <w:p w14:paraId="53733F87">
      <w:pPr>
        <w:adjustRightInd w:val="0"/>
        <w:snapToGrid w:val="0"/>
        <w:spacing w:line="360" w:lineRule="auto"/>
        <w:jc w:val="center"/>
        <w:rPr>
          <w:color w:val="auto"/>
          <w:highlight w:val="none"/>
        </w:rPr>
      </w:pPr>
    </w:p>
    <w:p w14:paraId="3CBA4E35">
      <w:pPr>
        <w:adjustRightInd w:val="0"/>
        <w:snapToGrid w:val="0"/>
        <w:spacing w:line="360" w:lineRule="auto"/>
        <w:jc w:val="center"/>
        <w:rPr>
          <w:color w:val="auto"/>
          <w:highlight w:val="none"/>
        </w:rPr>
      </w:pPr>
    </w:p>
    <w:p w14:paraId="25357F70">
      <w:pPr>
        <w:adjustRightInd w:val="0"/>
        <w:snapToGrid w:val="0"/>
        <w:spacing w:line="360" w:lineRule="auto"/>
        <w:jc w:val="center"/>
        <w:rPr>
          <w:rFonts w:ascii="黑体" w:hAnsi="黑体" w:eastAsia="黑体" w:cs="黑体"/>
          <w:b/>
          <w:color w:val="auto"/>
          <w:sz w:val="32"/>
          <w:szCs w:val="32"/>
          <w:highlight w:val="none"/>
        </w:rPr>
      </w:pPr>
      <w:r>
        <w:rPr>
          <w:rFonts w:hint="eastAsia" w:ascii="黑体" w:hAnsi="黑体" w:eastAsia="黑体" w:cs="黑体"/>
          <w:b/>
          <w:color w:val="auto"/>
          <w:sz w:val="32"/>
          <w:szCs w:val="32"/>
          <w:highlight w:val="none"/>
        </w:rPr>
        <w:t>二、商务标部分</w:t>
      </w:r>
    </w:p>
    <w:p w14:paraId="723AFEE3">
      <w:pPr>
        <w:adjustRightInd w:val="0"/>
        <w:snapToGrid w:val="0"/>
        <w:spacing w:line="360" w:lineRule="auto"/>
        <w:jc w:val="center"/>
        <w:rPr>
          <w:rFonts w:ascii="宋体" w:hAnsi="宋体" w:eastAsia="宋体" w:cs="宋体"/>
          <w:color w:val="auto"/>
          <w:sz w:val="32"/>
          <w:szCs w:val="32"/>
          <w:highlight w:val="none"/>
        </w:rPr>
      </w:pPr>
      <w:r>
        <w:rPr>
          <w:rFonts w:hint="eastAsia" w:ascii="宋体" w:hAnsi="宋体" w:eastAsia="宋体" w:cs="宋体"/>
          <w:color w:val="auto"/>
          <w:sz w:val="32"/>
          <w:szCs w:val="32"/>
          <w:highlight w:val="none"/>
        </w:rPr>
        <w:t>（格式同计算机编制软件）</w:t>
      </w:r>
    </w:p>
    <w:p w14:paraId="41B4C2A6">
      <w:pPr>
        <w:adjustRightInd w:val="0"/>
        <w:snapToGrid w:val="0"/>
        <w:spacing w:line="360" w:lineRule="auto"/>
        <w:jc w:val="center"/>
        <w:rPr>
          <w:rFonts w:ascii="黑体" w:hAnsi="黑体" w:eastAsia="黑体" w:cs="黑体"/>
          <w:color w:val="auto"/>
          <w:sz w:val="32"/>
          <w:szCs w:val="32"/>
          <w:highlight w:val="none"/>
        </w:rPr>
      </w:pPr>
    </w:p>
    <w:p w14:paraId="7947214A">
      <w:pPr>
        <w:adjustRightInd w:val="0"/>
        <w:snapToGrid w:val="0"/>
        <w:spacing w:line="360" w:lineRule="auto"/>
        <w:jc w:val="center"/>
        <w:rPr>
          <w:color w:val="auto"/>
          <w:highlight w:val="none"/>
        </w:rPr>
      </w:pPr>
      <w:r>
        <w:rPr>
          <w:rFonts w:hint="eastAsia" w:ascii="黑体" w:hAnsi="黑体" w:eastAsia="黑体" w:cs="黑体"/>
          <w:b/>
          <w:color w:val="auto"/>
          <w:sz w:val="32"/>
          <w:szCs w:val="32"/>
          <w:highlight w:val="none"/>
        </w:rPr>
        <w:t>三、施工投标承诺函</w:t>
      </w:r>
      <w:r>
        <w:rPr>
          <w:color w:val="auto"/>
          <w:highlight w:val="none"/>
        </w:rPr>
        <w:br w:type="page"/>
      </w:r>
    </w:p>
    <w:p w14:paraId="36EAF579">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提示：本承诺函明确除标明由</w:t>
      </w:r>
      <w:r>
        <w:rPr>
          <w:rFonts w:hint="eastAsia" w:ascii="宋体" w:hAnsi="宋体" w:eastAsia="宋体" w:cs="宋体"/>
          <w:bCs/>
          <w:color w:val="auto"/>
          <w:szCs w:val="21"/>
          <w:highlight w:val="none"/>
        </w:rPr>
        <w:t>“投标人填写”外，其余空格全部应由招标人填写完整。一旦投标人中标后，该承诺函将提交质监、安监、造价、审计等部门作为后续监管的依据。</w:t>
      </w:r>
    </w:p>
    <w:p w14:paraId="4AA8E119">
      <w:pPr>
        <w:adjustRightInd w:val="0"/>
        <w:snapToGrid w:val="0"/>
        <w:spacing w:line="360" w:lineRule="auto"/>
        <w:jc w:val="center"/>
        <w:rPr>
          <w:rFonts w:ascii="宋体" w:hAnsi="宋体" w:eastAsia="宋体" w:cs="宋体"/>
          <w:color w:val="auto"/>
          <w:highlight w:val="none"/>
        </w:rPr>
      </w:pPr>
    </w:p>
    <w:p w14:paraId="3AFEA5B6">
      <w:pPr>
        <w:adjustRightInd w:val="0"/>
        <w:snapToGrid w:val="0"/>
        <w:spacing w:line="360" w:lineRule="auto"/>
        <w:jc w:val="center"/>
        <w:rPr>
          <w:rFonts w:ascii="宋体" w:hAnsi="宋体" w:eastAsia="宋体" w:cs="宋体"/>
          <w:color w:val="auto"/>
          <w:sz w:val="44"/>
          <w:szCs w:val="44"/>
          <w:highlight w:val="none"/>
        </w:rPr>
      </w:pPr>
      <w:r>
        <w:rPr>
          <w:rFonts w:hint="eastAsia" w:ascii="宋体" w:hAnsi="宋体" w:eastAsia="宋体" w:cs="宋体"/>
          <w:color w:val="auto"/>
          <w:sz w:val="44"/>
          <w:szCs w:val="44"/>
          <w:highlight w:val="none"/>
        </w:rPr>
        <w:t>施工投标承诺函</w:t>
      </w:r>
    </w:p>
    <w:p w14:paraId="6FABBDE2">
      <w:pPr>
        <w:adjustRightInd w:val="0"/>
        <w:snapToGrid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致招标人：</w:t>
      </w:r>
      <w:r>
        <w:rPr>
          <w:rFonts w:hint="eastAsia" w:ascii="宋体" w:hAnsi="宋体" w:eastAsia="宋体" w:cs="宋体"/>
          <w:bCs/>
          <w:color w:val="auto"/>
          <w:szCs w:val="21"/>
          <w:highlight w:val="none"/>
          <w:u w:val="single"/>
        </w:rPr>
        <w:t>____________________</w:t>
      </w:r>
    </w:p>
    <w:p w14:paraId="0E17AA2B">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为了确保本工程招标投标工作顺利进行，同时保证优质高效、文明施工，我方将严格执行建设工程管理的法律法规，并完全接受</w:t>
      </w:r>
      <w:r>
        <w:rPr>
          <w:rFonts w:hint="eastAsia" w:ascii="宋体" w:hAnsi="宋体" w:eastAsia="宋体" w:cs="宋体"/>
          <w:bCs/>
          <w:color w:val="auto"/>
          <w:szCs w:val="21"/>
          <w:highlight w:val="none"/>
          <w:u w:val="single"/>
        </w:rPr>
        <w:t>_____________</w:t>
      </w:r>
      <w:r>
        <w:rPr>
          <w:rFonts w:hint="eastAsia" w:ascii="宋体" w:hAnsi="宋体" w:eastAsia="宋体" w:cs="宋体"/>
          <w:bCs/>
          <w:color w:val="auto"/>
          <w:szCs w:val="21"/>
          <w:highlight w:val="none"/>
        </w:rPr>
        <w:t>工程的招标文件所有内容，为此作出如下承诺：</w:t>
      </w:r>
    </w:p>
    <w:p w14:paraId="24AFF1C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bCs/>
          <w:color w:val="auto"/>
          <w:szCs w:val="21"/>
          <w:highlight w:val="none"/>
        </w:rPr>
        <w:t>1、根</w:t>
      </w:r>
      <w:r>
        <w:rPr>
          <w:rFonts w:hint="eastAsia" w:ascii="宋体" w:hAnsi="宋体" w:eastAsia="宋体" w:cs="宋体"/>
          <w:color w:val="auto"/>
          <w:szCs w:val="21"/>
          <w:highlight w:val="none"/>
        </w:rPr>
        <w:t>据企业自身情况，理性报价，不会以低于成本的报价竞标，并愿以投标总报价</w:t>
      </w:r>
    </w:p>
    <w:p w14:paraId="088E722F">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u w:val="single"/>
        </w:rPr>
        <w:t>________</w:t>
      </w:r>
      <w:r>
        <w:rPr>
          <w:rFonts w:hint="eastAsia" w:ascii="宋体" w:hAnsi="宋体" w:eastAsia="宋体" w:cs="宋体"/>
          <w:color w:val="auto"/>
          <w:szCs w:val="21"/>
          <w:highlight w:val="none"/>
        </w:rPr>
        <w:t>万元，按招标文件要求承包本工程的施工、竣工并修补其任何缺陷。否则，我方愿意承担任何风险。（投标人填写）</w:t>
      </w:r>
    </w:p>
    <w:p w14:paraId="46664DB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bCs/>
          <w:color w:val="auto"/>
          <w:szCs w:val="21"/>
          <w:highlight w:val="none"/>
        </w:rPr>
        <w:t>2、</w:t>
      </w:r>
      <w:r>
        <w:rPr>
          <w:rFonts w:hint="eastAsia" w:ascii="宋体" w:hAnsi="宋体" w:eastAsia="宋体" w:cs="宋体"/>
          <w:color w:val="auto"/>
          <w:szCs w:val="21"/>
          <w:highlight w:val="none"/>
        </w:rPr>
        <w:t>我方同意所递交的投标文件在投标须知规定的投标有效期内有效，在此期间内我方的投标有可能中标，我方将受此约束。如果在投标有效期内撤回投标或放弃中标资格，我方的投标担保将全部被没收，给贵方造成的损失超过我方投标担保金额的，贵方还有权要求我方对超过部分进行赔偿。</w:t>
      </w:r>
    </w:p>
    <w:p w14:paraId="5563386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3、我方保证所提交的保证金是从我公司基本账户汇出，银行保函是由我公司基本账户开户银行所在网点或其上级银行机构出具，</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color w:val="auto"/>
          <w:szCs w:val="21"/>
          <w:highlight w:val="none"/>
        </w:rPr>
        <w:t>保证保险的保费是通过我公司基本账户支付。否则，招标人有权取消我公司的中标资格或单方面终止合同，因此造成的责任由我公司承担。</w:t>
      </w:r>
    </w:p>
    <w:p w14:paraId="298A693A">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4、我方完全理解和接受招标文件招投标须知正文第40条的规定，并承诺一旦我方的投标出现该条列举的严重违规或涉嫌串通投标的情形而被评标委员会废标的，将自觉接受贵方暂停或者取消今后我方参加贵方其他任何工程投标资格的处理。</w:t>
      </w:r>
    </w:p>
    <w:p w14:paraId="27E78ADF">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5、</w:t>
      </w:r>
      <w:r>
        <w:rPr>
          <w:rFonts w:ascii="宋体" w:hAnsi="宋体" w:eastAsia="宋体" w:cs="宋体"/>
          <w:bCs/>
          <w:color w:val="auto"/>
          <w:szCs w:val="21"/>
          <w:highlight w:val="none"/>
        </w:rPr>
        <w:t>一旦我方中标，将保证在中标通知书发出之日起30日内，与贵方按招标文件、中标通知书中的内容签定施工合同，否则，视为我方自愿放弃中标资格。</w:t>
      </w:r>
    </w:p>
    <w:p w14:paraId="34C9D6ED">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color w:val="auto"/>
          <w:szCs w:val="21"/>
          <w:highlight w:val="none"/>
        </w:rPr>
        <w:t>6、除非另外达成协议并生效，贵方的中标通知书和本投标文件将成为约束双方的合同文件的组成部分。</w:t>
      </w:r>
    </w:p>
    <w:p w14:paraId="526CC078">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7、按规定完成施工合同承包范围</w:t>
      </w:r>
      <w:r>
        <w:rPr>
          <w:rFonts w:hint="eastAsia" w:ascii="宋体" w:hAnsi="宋体" w:eastAsia="宋体" w:cs="宋体"/>
          <w:bCs/>
          <w:color w:val="auto"/>
          <w:szCs w:val="21"/>
          <w:highlight w:val="none"/>
          <w:u w:val="single"/>
        </w:rPr>
        <w:t>___________________________________________</w:t>
      </w:r>
    </w:p>
    <w:p w14:paraId="26BF809E">
      <w:pPr>
        <w:adjustRightInd w:val="0"/>
        <w:snapToGrid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u w:val="single"/>
        </w:rPr>
        <w:t>___________________________________________________________________________</w:t>
      </w:r>
    </w:p>
    <w:p w14:paraId="6F515468">
      <w:pPr>
        <w:adjustRightInd w:val="0"/>
        <w:snapToGrid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（与招标范围一致）的全部内容，质量达到合格标准的要求，质量目标为</w:t>
      </w:r>
      <w:r>
        <w:rPr>
          <w:rFonts w:hint="eastAsia" w:ascii="宋体" w:hAnsi="宋体" w:eastAsia="宋体" w:cs="宋体"/>
          <w:bCs/>
          <w:color w:val="auto"/>
          <w:szCs w:val="21"/>
          <w:highlight w:val="none"/>
          <w:u w:val="single"/>
        </w:rPr>
        <w:t>______</w:t>
      </w:r>
      <w:r>
        <w:rPr>
          <w:rFonts w:hint="eastAsia" w:ascii="宋体" w:hAnsi="宋体" w:eastAsia="宋体" w:cs="宋体"/>
          <w:bCs/>
          <w:color w:val="auto"/>
          <w:szCs w:val="21"/>
          <w:highlight w:val="none"/>
        </w:rPr>
        <w:t>。</w:t>
      </w:r>
    </w:p>
    <w:p w14:paraId="0B250D1C">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8、建立完善的质量安全保证体系，配备与投标文件相一致且满足工程建设规模、技术要求、安全要求的项目管理机构和施工管理人员，并确保常驻现场。我方在本工程中配备的项目管理机构和施工管理人员详见《项目管理机构配备情况表》（投标人填写）。撤换上述人员前，必须征得贵方及建设行政主管部门批准同意。否则，招标人有权取消我公司的中标资格或单方面终止合同，由此造成的违约责任由我公司承担。</w:t>
      </w:r>
    </w:p>
    <w:p w14:paraId="7D056832">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9、我方在本工程中投入的主要机械设备详见附件《主要机械设备表》。所使用的工程机械、装卸机械满足国家现阶段非道路移动机械用柴油机排放标准。（投标人填写）</w:t>
      </w:r>
    </w:p>
    <w:p w14:paraId="68EC629B">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10、我方保证在收到中标通知书后</w:t>
      </w:r>
      <w:r>
        <w:rPr>
          <w:rFonts w:hint="eastAsia" w:ascii="宋体" w:hAnsi="宋体" w:eastAsia="宋体" w:cs="宋体"/>
          <w:bCs/>
          <w:color w:val="auto"/>
          <w:szCs w:val="21"/>
          <w:highlight w:val="none"/>
          <w:u w:val="single"/>
        </w:rPr>
        <w:t>____</w:t>
      </w:r>
      <w:r>
        <w:rPr>
          <w:rFonts w:hint="eastAsia" w:ascii="宋体" w:hAnsi="宋体" w:eastAsia="宋体" w:cs="宋体"/>
          <w:bCs/>
          <w:color w:val="auto"/>
          <w:szCs w:val="21"/>
          <w:highlight w:val="none"/>
        </w:rPr>
        <w:t>日内，递交经贵方认可的履约担保，履约担保金额为</w:t>
      </w:r>
      <w:r>
        <w:rPr>
          <w:rFonts w:hint="eastAsia" w:ascii="宋体" w:hAnsi="宋体" w:eastAsia="宋体" w:cs="宋体"/>
          <w:bCs/>
          <w:color w:val="auto"/>
          <w:szCs w:val="21"/>
          <w:highlight w:val="none"/>
          <w:u w:val="single"/>
        </w:rPr>
        <w:t>________</w:t>
      </w:r>
      <w:r>
        <w:rPr>
          <w:rFonts w:hint="eastAsia" w:ascii="宋体" w:hAnsi="宋体" w:eastAsia="宋体" w:cs="宋体"/>
          <w:bCs/>
          <w:color w:val="auto"/>
          <w:szCs w:val="21"/>
          <w:highlight w:val="none"/>
        </w:rPr>
        <w:t>万元，否则，贵方可取消我方中标资格。</w:t>
      </w:r>
    </w:p>
    <w:p w14:paraId="02462C82">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11、</w:t>
      </w:r>
      <w:r>
        <w:rPr>
          <w:rFonts w:hint="eastAsia" w:ascii="宋体" w:hAnsi="宋体" w:eastAsia="宋体" w:cs="宋体"/>
          <w:bCs/>
          <w:color w:val="auto"/>
          <w:szCs w:val="21"/>
          <w:highlight w:val="none"/>
          <w:lang w:val="en-US" w:eastAsia="zh-CN"/>
        </w:rPr>
        <w:t>我方</w:t>
      </w:r>
      <w:r>
        <w:rPr>
          <w:rFonts w:hint="eastAsia" w:ascii="宋体" w:hAnsi="宋体" w:eastAsia="宋体" w:cs="宋体"/>
          <w:color w:val="auto"/>
          <w:szCs w:val="21"/>
          <w:highlight w:val="none"/>
          <w:lang w:val="en-US" w:eastAsia="zh-CN"/>
        </w:rPr>
        <w:t>委托</w:t>
      </w:r>
      <w:r>
        <w:rPr>
          <w:rFonts w:hint="eastAsia" w:ascii="宋体" w:hAnsi="宋体" w:eastAsia="宋体" w:cs="宋体"/>
          <w:color w:val="auto"/>
          <w:szCs w:val="21"/>
          <w:highlight w:val="none"/>
        </w:rPr>
        <w:t>工程造价咨询企业</w:t>
      </w:r>
      <w:r>
        <w:rPr>
          <w:rFonts w:hint="eastAsia" w:ascii="宋体" w:hAnsi="宋体" w:eastAsia="宋体" w:cs="宋体"/>
          <w:color w:val="auto"/>
          <w:szCs w:val="21"/>
          <w:highlight w:val="none"/>
          <w:lang w:val="en-US" w:eastAsia="zh-CN"/>
        </w:rPr>
        <w:t>编制商务标书的，按照规定递交委托协议，商务标</w:t>
      </w:r>
      <w:r>
        <w:rPr>
          <w:rFonts w:hint="eastAsia" w:ascii="宋体" w:hAnsi="宋体" w:eastAsia="宋体" w:cs="宋体"/>
          <w:color w:val="auto"/>
          <w:szCs w:val="21"/>
          <w:highlight w:val="none"/>
        </w:rPr>
        <w:t>加签工程造价咨询企业造价工程师个人数字证书</w:t>
      </w:r>
      <w:r>
        <w:rPr>
          <w:rFonts w:hint="eastAsia" w:ascii="宋体" w:hAnsi="宋体" w:eastAsia="宋体" w:cs="宋体"/>
          <w:color w:val="auto"/>
          <w:szCs w:val="21"/>
          <w:highlight w:val="none"/>
          <w:lang w:val="en-US" w:eastAsia="zh-CN"/>
        </w:rPr>
        <w:t>。</w:t>
      </w:r>
    </w:p>
    <w:p w14:paraId="051B51A9">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12、为确保施工安全，我方保证在签定施工合同</w:t>
      </w:r>
      <w:r>
        <w:rPr>
          <w:rFonts w:hint="eastAsia" w:ascii="宋体" w:hAnsi="宋体" w:eastAsia="宋体" w:cs="宋体"/>
          <w:bCs/>
          <w:color w:val="auto"/>
          <w:szCs w:val="21"/>
          <w:highlight w:val="none"/>
          <w:u w:val="single"/>
        </w:rPr>
        <w:t>___</w:t>
      </w:r>
      <w:r>
        <w:rPr>
          <w:rFonts w:hint="eastAsia" w:ascii="宋体" w:hAnsi="宋体" w:eastAsia="宋体" w:cs="宋体"/>
          <w:bCs/>
          <w:color w:val="auto"/>
          <w:szCs w:val="21"/>
          <w:highlight w:val="none"/>
        </w:rPr>
        <w:t>日后，提交施工作业范围内的市政基础设施管线防护措施，按照《深圳市建设工程安全文明施工标准》，落实安全防护、环境保护、安全培训和信息化管理等要求，安全文明施工费专款专用。</w:t>
      </w:r>
    </w:p>
    <w:p w14:paraId="2D8334D4">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13、我方保证在</w:t>
      </w:r>
      <w:r>
        <w:rPr>
          <w:rFonts w:hint="eastAsia" w:ascii="宋体" w:hAnsi="宋体" w:eastAsia="宋体" w:cs="宋体"/>
          <w:bCs/>
          <w:color w:val="auto"/>
          <w:szCs w:val="21"/>
          <w:highlight w:val="none"/>
          <w:u w:val="single"/>
        </w:rPr>
        <w:t>____</w:t>
      </w:r>
      <w:r>
        <w:rPr>
          <w:rFonts w:hint="eastAsia" w:ascii="宋体" w:hAnsi="宋体" w:eastAsia="宋体" w:cs="宋体"/>
          <w:bCs/>
          <w:color w:val="auto"/>
          <w:szCs w:val="21"/>
          <w:highlight w:val="none"/>
        </w:rPr>
        <w:t>日内（或于</w:t>
      </w:r>
      <w:r>
        <w:rPr>
          <w:rFonts w:hint="eastAsia" w:ascii="宋体" w:hAnsi="宋体" w:eastAsia="宋体" w:cs="宋体"/>
          <w:bCs/>
          <w:color w:val="auto"/>
          <w:szCs w:val="21"/>
          <w:highlight w:val="none"/>
          <w:u w:val="single"/>
        </w:rPr>
        <w:t>_____</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____</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____</w:t>
      </w:r>
      <w:r>
        <w:rPr>
          <w:rFonts w:hint="eastAsia" w:ascii="宋体" w:hAnsi="宋体" w:eastAsia="宋体" w:cs="宋体"/>
          <w:bCs/>
          <w:color w:val="auto"/>
          <w:szCs w:val="21"/>
          <w:highlight w:val="none"/>
        </w:rPr>
        <w:t>日前）完成并移交本工程（非我方造成的工期延误除外）。（投标人填写）</w:t>
      </w:r>
    </w:p>
    <w:p w14:paraId="09D564D7">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14、对在工程实施过程中发生的工程变更，严格按照双方合同的有关规定计量和计价，我方保证接受贵方要求完成变更的工程内容。</w:t>
      </w:r>
    </w:p>
    <w:p w14:paraId="4A85F743">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15、按照施工合同约定的质量缺陷保修范围和相应的保修期，我方保证在接到保修通知后</w:t>
      </w:r>
      <w:r>
        <w:rPr>
          <w:rFonts w:hint="eastAsia" w:ascii="宋体" w:hAnsi="宋体" w:eastAsia="宋体" w:cs="宋体"/>
          <w:bCs/>
          <w:color w:val="auto"/>
          <w:szCs w:val="21"/>
          <w:highlight w:val="none"/>
          <w:u w:val="single"/>
        </w:rPr>
        <w:t>_______</w:t>
      </w:r>
      <w:r>
        <w:rPr>
          <w:rFonts w:hint="eastAsia" w:ascii="宋体" w:hAnsi="宋体" w:eastAsia="宋体" w:cs="宋体"/>
          <w:bCs/>
          <w:color w:val="auto"/>
          <w:szCs w:val="21"/>
          <w:highlight w:val="none"/>
        </w:rPr>
        <w:t>日内派人维修，直到达到合格的质量标准。</w:t>
      </w:r>
    </w:p>
    <w:p w14:paraId="35069493">
      <w:pPr>
        <w:adjustRightInd w:val="0"/>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16、招标文件规定的其他主要承诺事项：</w:t>
      </w:r>
    </w:p>
    <w:p w14:paraId="49C9AADB">
      <w:pPr>
        <w:adjustRightInd w:val="0"/>
        <w:snapToGrid w:val="0"/>
        <w:spacing w:line="360" w:lineRule="auto"/>
        <w:ind w:firstLine="420" w:firstLineChars="200"/>
        <w:rPr>
          <w:rFonts w:hint="default" w:ascii="宋体" w:hAnsi="宋体" w:eastAsia="宋体" w:cs="宋体"/>
          <w:bCs/>
          <w:color w:val="auto"/>
          <w:szCs w:val="21"/>
          <w:highlight w:val="none"/>
          <w:lang w:val="en-US"/>
        </w:rPr>
      </w:pPr>
      <w:r>
        <w:rPr>
          <w:rFonts w:hint="eastAsia" w:ascii="宋体" w:hAnsi="宋体" w:eastAsia="宋体" w:cs="宋体"/>
          <w:bCs/>
          <w:color w:val="auto"/>
          <w:szCs w:val="21"/>
          <w:highlight w:val="none"/>
          <w:u w:val="single"/>
          <w:lang w:val="en-US" w:eastAsia="zh-CN"/>
        </w:rPr>
        <w:t>如承诺</w:t>
      </w:r>
      <w:r>
        <w:rPr>
          <w:rFonts w:hint="eastAsia" w:ascii="宋体" w:hAnsi="宋体" w:eastAsia="宋体" w:cs="宋体"/>
          <w:color w:val="auto"/>
          <w:kern w:val="0"/>
          <w:szCs w:val="21"/>
          <w:highlight w:val="none"/>
          <w:lang w:eastAsia="zh-CN"/>
        </w:rPr>
        <w:t>将中标金额的</w:t>
      </w:r>
      <w:r>
        <w:rPr>
          <w:rFonts w:hint="eastAsia" w:ascii="宋体" w:hAnsi="宋体" w:eastAsia="宋体" w:cs="宋体"/>
          <w:color w:val="auto"/>
          <w:kern w:val="0"/>
          <w:szCs w:val="21"/>
          <w:highlight w:val="none"/>
          <w:u w:val="single"/>
          <w:lang w:val="en-US" w:eastAsia="zh-CN"/>
        </w:rPr>
        <w:t xml:space="preserve">   % </w:t>
      </w:r>
      <w:r>
        <w:rPr>
          <w:rFonts w:hint="eastAsia" w:ascii="宋体" w:hAnsi="宋体" w:eastAsia="宋体" w:cs="宋体"/>
          <w:color w:val="auto"/>
          <w:kern w:val="0"/>
          <w:szCs w:val="21"/>
          <w:highlight w:val="none"/>
          <w:lang w:eastAsia="zh-CN"/>
        </w:rPr>
        <w:t>依法分包给满足条件的中小企业</w:t>
      </w:r>
      <w:r>
        <w:rPr>
          <w:rFonts w:hint="eastAsia" w:ascii="宋体" w:hAnsi="宋体" w:eastAsia="宋体" w:cs="宋体"/>
          <w:color w:val="auto"/>
          <w:kern w:val="0"/>
          <w:szCs w:val="21"/>
          <w:highlight w:val="none"/>
          <w:lang w:val="en-US" w:eastAsia="zh-CN"/>
        </w:rPr>
        <w:t>等</w:t>
      </w:r>
      <w:r>
        <w:rPr>
          <w:rFonts w:hint="eastAsia" w:ascii="宋体" w:hAnsi="宋体" w:eastAsia="宋体" w:cs="宋体"/>
          <w:bCs/>
          <w:color w:val="auto"/>
          <w:szCs w:val="21"/>
          <w:highlight w:val="none"/>
          <w:u w:val="single"/>
          <w:lang w:eastAsia="zh-CN"/>
        </w:rPr>
        <w:t>。</w:t>
      </w:r>
      <w:r>
        <w:rPr>
          <w:rFonts w:hint="eastAsia" w:ascii="宋体" w:hAnsi="宋体" w:eastAsia="宋体" w:cs="宋体"/>
          <w:bCs/>
          <w:color w:val="auto"/>
          <w:szCs w:val="21"/>
          <w:highlight w:val="none"/>
          <w:u w:val="single"/>
          <w:lang w:val="en-US" w:eastAsia="zh-CN"/>
        </w:rPr>
        <w:t xml:space="preserve">                      </w:t>
      </w:r>
    </w:p>
    <w:p w14:paraId="6CBE602F">
      <w:pPr>
        <w:numPr>
          <w:ilvl w:val="255"/>
          <w:numId w:val="0"/>
        </w:num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17、我方保证在本次投标中无弄虚作假行为，且未与其他投标人、招标人及评标专家串通投标等违规行为。否则，将接受取消投标资格、取消中标资格、解除合同、已进场施工的无条件退场、记录不良行为、暂停一年至三年在我市参加建设工程投标的资格等处理，涉嫌构成犯罪的，将依法追究刑事责任并移送公安机关查处。</w:t>
      </w:r>
    </w:p>
    <w:p w14:paraId="2934948F">
      <w:pPr>
        <w:numPr>
          <w:ilvl w:val="0"/>
          <w:numId w:val="3"/>
        </w:num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我方保证中标后不转包或违法分包，依法按照国家、省、市有关规定发包劳务或使用自有劳务队伍，按时足额支付工程款给分包单位（如有）。</w:t>
      </w:r>
    </w:p>
    <w:p w14:paraId="191D7B90">
      <w:pPr>
        <w:numPr>
          <w:ilvl w:val="0"/>
          <w:numId w:val="3"/>
        </w:numPr>
        <w:adjustRightInd w:val="0"/>
        <w:snapToGrid w:val="0"/>
        <w:spacing w:line="360" w:lineRule="auto"/>
        <w:ind w:firstLine="420" w:firstLineChars="200"/>
        <w:rPr>
          <w:rFonts w:ascii="宋体" w:hAnsi="宋体" w:eastAsia="宋体" w:cs="宋体"/>
          <w:bCs/>
          <w:color w:val="FF0000"/>
          <w:szCs w:val="21"/>
          <w:highlight w:val="none"/>
        </w:rPr>
      </w:pPr>
      <w:r>
        <w:rPr>
          <w:rFonts w:hint="eastAsia" w:ascii="宋体" w:hAnsi="宋体" w:eastAsia="宋体" w:cs="宋体"/>
          <w:bCs/>
          <w:color w:val="auto"/>
          <w:szCs w:val="21"/>
          <w:highlight w:val="none"/>
        </w:rPr>
        <w:t>我方保证</w:t>
      </w:r>
      <w:r>
        <w:rPr>
          <w:rFonts w:hint="eastAsia" w:ascii="宋体" w:hAnsi="宋体" w:eastAsia="宋体" w:cs="宋体"/>
          <w:bCs/>
          <w:color w:val="auto"/>
          <w:szCs w:val="21"/>
          <w:highlight w:val="none"/>
          <w:lang w:val="en-US" w:eastAsia="zh-CN"/>
        </w:rPr>
        <w:t>坚持以人为本，</w:t>
      </w:r>
      <w:r>
        <w:rPr>
          <w:rFonts w:hint="eastAsia" w:ascii="宋体" w:hAnsi="宋体" w:eastAsia="宋体" w:cs="宋体"/>
          <w:bCs/>
          <w:color w:val="auto"/>
          <w:szCs w:val="21"/>
          <w:highlight w:val="none"/>
        </w:rPr>
        <w:t>中标后切实落实用工实名制和分账制管理的各项规定，利用信息技术手段对施工现场人员建立基本信息档案，采用人脸识别、扫码等技术实施考勤管理；开设工人工资专用账户，保证工人工资按月足额发放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切实维护工人合法权益</w:t>
      </w:r>
      <w:r>
        <w:rPr>
          <w:rFonts w:hint="eastAsia" w:ascii="宋体" w:hAnsi="宋体" w:eastAsia="宋体" w:cs="宋体"/>
          <w:bCs/>
          <w:color w:val="auto"/>
          <w:szCs w:val="21"/>
          <w:highlight w:val="none"/>
        </w:rPr>
        <w:t>。我方接受招标人及建设行政主管部门的监督、检查。</w:t>
      </w:r>
    </w:p>
    <w:p w14:paraId="79A8DCDF">
      <w:pPr>
        <w:adjustRightInd w:val="0"/>
        <w:snapToGrid w:val="0"/>
        <w:spacing w:line="360" w:lineRule="auto"/>
        <w:ind w:firstLine="525" w:firstLineChars="250"/>
        <w:rPr>
          <w:rFonts w:ascii="宋体" w:hAnsi="宋体" w:eastAsia="宋体" w:cs="宋体"/>
          <w:bCs/>
          <w:color w:val="auto"/>
          <w:szCs w:val="21"/>
          <w:highlight w:val="none"/>
        </w:rPr>
      </w:pPr>
      <w:r>
        <w:rPr>
          <w:rFonts w:hint="eastAsia" w:ascii="宋体" w:hAnsi="宋体" w:eastAsia="宋体" w:cs="宋体"/>
          <w:bCs/>
          <w:color w:val="auto"/>
          <w:szCs w:val="21"/>
          <w:highlight w:val="none"/>
        </w:rPr>
        <w:t>20、如果违反本承诺书中任何条款，我方愿意接受：</w:t>
      </w:r>
    </w:p>
    <w:p w14:paraId="2C6260C2">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(1)视作我方单方面违约，并按照合同规定向贵方支付违约金或解除合同；</w:t>
      </w:r>
    </w:p>
    <w:p w14:paraId="7535D5D0">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(2)履约评价评定为合格及以下；</w:t>
      </w:r>
    </w:p>
    <w:p w14:paraId="297B2521">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(3)本工程招标人今后可拒绝我方参与投标；</w:t>
      </w:r>
    </w:p>
    <w:p w14:paraId="5291C8BD">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(4)建设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行政主管部门或相关主管部门的不良行为记录、行政处罚。</w:t>
      </w:r>
    </w:p>
    <w:p w14:paraId="6DC013C9">
      <w:pPr>
        <w:adjustRightInd w:val="0"/>
        <w:snapToGrid w:val="0"/>
        <w:spacing w:line="360" w:lineRule="auto"/>
        <w:rPr>
          <w:rFonts w:ascii="宋体" w:hAnsi="宋体" w:eastAsia="宋体" w:cs="宋体"/>
          <w:bCs/>
          <w:color w:val="auto"/>
          <w:szCs w:val="21"/>
          <w:highlight w:val="none"/>
        </w:rPr>
      </w:pPr>
    </w:p>
    <w:p w14:paraId="349A6780">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投标人（单位公章）：</w:t>
      </w:r>
      <w:r>
        <w:rPr>
          <w:rFonts w:hint="eastAsia" w:ascii="宋体" w:hAnsi="宋体" w:eastAsia="宋体" w:cs="宋体"/>
          <w:color w:val="auto"/>
          <w:szCs w:val="21"/>
          <w:highlight w:val="none"/>
          <w:u w:val="single"/>
        </w:rPr>
        <w:t>__________________________________________</w:t>
      </w:r>
    </w:p>
    <w:p w14:paraId="2A3D3D16">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单位地址：</w:t>
      </w:r>
      <w:r>
        <w:rPr>
          <w:rFonts w:hint="eastAsia" w:ascii="宋体" w:hAnsi="宋体" w:eastAsia="宋体" w:cs="宋体"/>
          <w:color w:val="auto"/>
          <w:szCs w:val="21"/>
          <w:highlight w:val="none"/>
          <w:u w:val="single"/>
        </w:rPr>
        <w:t>___________________________________________________</w:t>
      </w:r>
    </w:p>
    <w:p w14:paraId="1BB4241A">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______________</w:t>
      </w:r>
      <w:r>
        <w:rPr>
          <w:rFonts w:hint="eastAsia" w:ascii="宋体" w:hAnsi="宋体" w:eastAsia="宋体" w:cs="宋体"/>
          <w:color w:val="auto"/>
          <w:szCs w:val="21"/>
          <w:highlight w:val="none"/>
        </w:rPr>
        <w:t>电话：</w:t>
      </w:r>
      <w:r>
        <w:rPr>
          <w:rFonts w:hint="eastAsia" w:ascii="宋体" w:hAnsi="宋体" w:eastAsia="宋体" w:cs="宋体"/>
          <w:color w:val="auto"/>
          <w:szCs w:val="21"/>
          <w:highlight w:val="none"/>
          <w:u w:val="single"/>
        </w:rPr>
        <w:t>____________</w:t>
      </w:r>
      <w:r>
        <w:rPr>
          <w:rFonts w:hint="eastAsia" w:ascii="宋体" w:hAnsi="宋体" w:eastAsia="宋体" w:cs="宋体"/>
          <w:color w:val="auto"/>
          <w:szCs w:val="21"/>
          <w:highlight w:val="none"/>
        </w:rPr>
        <w:t>传真：</w:t>
      </w:r>
      <w:r>
        <w:rPr>
          <w:rFonts w:hint="eastAsia" w:ascii="宋体" w:hAnsi="宋体" w:eastAsia="宋体" w:cs="宋体"/>
          <w:color w:val="auto"/>
          <w:szCs w:val="21"/>
          <w:highlight w:val="none"/>
          <w:u w:val="single"/>
        </w:rPr>
        <w:t>____________</w:t>
      </w:r>
    </w:p>
    <w:p w14:paraId="317D8A48">
      <w:pPr>
        <w:adjustRightInd w:val="0"/>
        <w:snapToGrid w:val="0"/>
        <w:spacing w:line="360" w:lineRule="auto"/>
        <w:rPr>
          <w:rFonts w:ascii="宋体" w:hAnsi="宋体" w:eastAsia="宋体" w:cs="宋体"/>
          <w:bCs/>
          <w:color w:val="auto"/>
          <w:szCs w:val="21"/>
          <w:highlight w:val="none"/>
        </w:rPr>
      </w:pPr>
    </w:p>
    <w:p w14:paraId="267D928B">
      <w:pPr>
        <w:adjustRightInd w:val="0"/>
        <w:snapToGrid w:val="0"/>
        <w:spacing w:line="360" w:lineRule="auto"/>
        <w:ind w:firstLine="4200" w:firstLineChars="2000"/>
        <w:rPr>
          <w:rFonts w:ascii="宋体" w:hAnsi="宋体" w:eastAsia="宋体" w:cs="宋体"/>
          <w:bCs/>
          <w:color w:val="auto"/>
          <w:szCs w:val="21"/>
          <w:highlight w:val="none"/>
        </w:rPr>
      </w:pPr>
      <w:r>
        <w:rPr>
          <w:rFonts w:hint="eastAsia" w:ascii="宋体" w:hAnsi="宋体" w:eastAsia="宋体" w:cs="宋体"/>
          <w:bCs/>
          <w:color w:val="auto"/>
          <w:szCs w:val="21"/>
          <w:highlight w:val="none"/>
        </w:rPr>
        <w:t>年   月   日</w:t>
      </w:r>
    </w:p>
    <w:p w14:paraId="7C14B5FC">
      <w:pPr>
        <w:adjustRightInd w:val="0"/>
        <w:snapToGrid w:val="0"/>
        <w:spacing w:line="360" w:lineRule="auto"/>
        <w:rPr>
          <w:rFonts w:ascii="宋体" w:hAnsi="宋体" w:eastAsia="宋体" w:cs="宋体"/>
          <w:bCs/>
          <w:color w:val="auto"/>
          <w:szCs w:val="21"/>
          <w:highlight w:val="none"/>
        </w:rPr>
      </w:pPr>
    </w:p>
    <w:p w14:paraId="020F5E78">
      <w:pPr>
        <w:adjustRightInd w:val="0"/>
        <w:snapToGrid w:val="0"/>
        <w:spacing w:line="360" w:lineRule="auto"/>
        <w:rPr>
          <w:rFonts w:ascii="宋体" w:hAnsi="宋体" w:eastAsia="宋体" w:cs="宋体"/>
          <w:bCs/>
          <w:color w:val="auto"/>
          <w:szCs w:val="21"/>
          <w:highlight w:val="none"/>
        </w:rPr>
      </w:pPr>
    </w:p>
    <w:p w14:paraId="436CAE4F">
      <w:pPr>
        <w:adjustRightInd w:val="0"/>
        <w:snapToGrid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附件：</w:t>
      </w:r>
    </w:p>
    <w:p w14:paraId="6F174ADD">
      <w:pPr>
        <w:adjustRightInd w:val="0"/>
        <w:snapToGrid w:val="0"/>
        <w:spacing w:line="360" w:lineRule="auto"/>
        <w:rPr>
          <w:bCs/>
          <w:color w:val="auto"/>
          <w:highlight w:val="none"/>
        </w:rPr>
      </w:pPr>
      <w:r>
        <w:rPr>
          <w:rFonts w:hint="eastAsia" w:ascii="宋体" w:hAnsi="宋体" w:eastAsia="宋体" w:cs="宋体"/>
          <w:bCs/>
          <w:color w:val="auto"/>
          <w:szCs w:val="21"/>
          <w:highlight w:val="none"/>
        </w:rPr>
        <w:t>《项目管理机构配备情况表》、《主要机械设备表》（投标人填写）</w:t>
      </w:r>
      <w:r>
        <w:rPr>
          <w:bCs/>
          <w:color w:val="auto"/>
          <w:highlight w:val="none"/>
        </w:rPr>
        <w:br w:type="page"/>
      </w:r>
    </w:p>
    <w:p w14:paraId="79216202">
      <w:pPr>
        <w:adjustRightInd w:val="0"/>
        <w:snapToGrid w:val="0"/>
        <w:spacing w:line="360" w:lineRule="auto"/>
        <w:ind w:firstLine="602" w:firstLineChars="200"/>
        <w:jc w:val="center"/>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项目管理机构配备情况表（与技术标书一致）</w:t>
      </w:r>
    </w:p>
    <w:tbl>
      <w:tblPr>
        <w:tblStyle w:val="42"/>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7"/>
        <w:gridCol w:w="1159"/>
        <w:gridCol w:w="1093"/>
        <w:gridCol w:w="1456"/>
        <w:gridCol w:w="1093"/>
        <w:gridCol w:w="1639"/>
        <w:gridCol w:w="1822"/>
      </w:tblGrid>
      <w:tr w14:paraId="15BA3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vMerge w:val="restart"/>
            <w:shd w:val="clear" w:color="auto" w:fill="auto"/>
            <w:vAlign w:val="center"/>
          </w:tcPr>
          <w:p w14:paraId="169E5EC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159" w:type="dxa"/>
            <w:vMerge w:val="restart"/>
            <w:shd w:val="clear" w:color="auto" w:fill="auto"/>
            <w:vAlign w:val="center"/>
          </w:tcPr>
          <w:p w14:paraId="645FF71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093" w:type="dxa"/>
            <w:vMerge w:val="restart"/>
            <w:shd w:val="clear" w:color="auto" w:fill="auto"/>
            <w:vAlign w:val="center"/>
          </w:tcPr>
          <w:p w14:paraId="5EC430F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6010" w:type="dxa"/>
            <w:gridSpan w:val="4"/>
            <w:shd w:val="clear" w:color="auto" w:fill="auto"/>
            <w:vAlign w:val="center"/>
          </w:tcPr>
          <w:p w14:paraId="71DCA3C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上岗资格证明</w:t>
            </w:r>
          </w:p>
        </w:tc>
      </w:tr>
      <w:tr w14:paraId="5499A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vMerge w:val="continue"/>
            <w:shd w:val="clear" w:color="auto" w:fill="auto"/>
            <w:vAlign w:val="center"/>
          </w:tcPr>
          <w:p w14:paraId="0E063AE2">
            <w:pPr>
              <w:adjustRightInd w:val="0"/>
              <w:snapToGrid w:val="0"/>
              <w:jc w:val="center"/>
              <w:rPr>
                <w:rFonts w:ascii="宋体" w:hAnsi="宋体" w:eastAsia="宋体" w:cs="宋体"/>
                <w:color w:val="auto"/>
                <w:kern w:val="0"/>
                <w:szCs w:val="21"/>
                <w:highlight w:val="none"/>
              </w:rPr>
            </w:pPr>
          </w:p>
        </w:tc>
        <w:tc>
          <w:tcPr>
            <w:tcW w:w="1159" w:type="dxa"/>
            <w:vMerge w:val="continue"/>
            <w:shd w:val="clear" w:color="auto" w:fill="auto"/>
            <w:vAlign w:val="center"/>
          </w:tcPr>
          <w:p w14:paraId="1CC3594A">
            <w:pPr>
              <w:adjustRightInd w:val="0"/>
              <w:snapToGrid w:val="0"/>
              <w:jc w:val="center"/>
              <w:rPr>
                <w:rFonts w:ascii="宋体" w:hAnsi="宋体" w:eastAsia="宋体" w:cs="宋体"/>
                <w:color w:val="auto"/>
                <w:kern w:val="0"/>
                <w:szCs w:val="21"/>
                <w:highlight w:val="none"/>
              </w:rPr>
            </w:pPr>
          </w:p>
        </w:tc>
        <w:tc>
          <w:tcPr>
            <w:tcW w:w="1093" w:type="dxa"/>
            <w:vMerge w:val="continue"/>
            <w:shd w:val="clear" w:color="auto" w:fill="auto"/>
            <w:vAlign w:val="center"/>
          </w:tcPr>
          <w:p w14:paraId="7D383C6E">
            <w:pPr>
              <w:adjustRightInd w:val="0"/>
              <w:snapToGrid w:val="0"/>
              <w:jc w:val="center"/>
              <w:rPr>
                <w:rFonts w:ascii="宋体" w:hAnsi="宋体" w:eastAsia="宋体" w:cs="宋体"/>
                <w:color w:val="auto"/>
                <w:kern w:val="0"/>
                <w:szCs w:val="21"/>
                <w:highlight w:val="none"/>
              </w:rPr>
            </w:pPr>
          </w:p>
        </w:tc>
        <w:tc>
          <w:tcPr>
            <w:tcW w:w="1456" w:type="dxa"/>
            <w:shd w:val="clear" w:color="auto" w:fill="auto"/>
            <w:vAlign w:val="center"/>
          </w:tcPr>
          <w:p w14:paraId="2B90677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证书名称</w:t>
            </w:r>
          </w:p>
        </w:tc>
        <w:tc>
          <w:tcPr>
            <w:tcW w:w="1093" w:type="dxa"/>
            <w:shd w:val="clear" w:color="auto" w:fill="auto"/>
            <w:vAlign w:val="center"/>
          </w:tcPr>
          <w:p w14:paraId="742C346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级别</w:t>
            </w:r>
          </w:p>
        </w:tc>
        <w:tc>
          <w:tcPr>
            <w:tcW w:w="1639" w:type="dxa"/>
            <w:shd w:val="clear" w:color="auto" w:fill="auto"/>
            <w:vAlign w:val="center"/>
          </w:tcPr>
          <w:p w14:paraId="1DE0C40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证号</w:t>
            </w:r>
          </w:p>
        </w:tc>
        <w:tc>
          <w:tcPr>
            <w:tcW w:w="1822" w:type="dxa"/>
            <w:shd w:val="clear" w:color="auto" w:fill="auto"/>
            <w:vAlign w:val="center"/>
          </w:tcPr>
          <w:p w14:paraId="66CE7F4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专业</w:t>
            </w:r>
          </w:p>
        </w:tc>
      </w:tr>
      <w:tr w14:paraId="79250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67D440D0">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46883C37">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14B959FB">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1980168E">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5723B21B">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29F7ECD9">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3F3CB634">
            <w:pPr>
              <w:adjustRightInd w:val="0"/>
              <w:snapToGrid w:val="0"/>
              <w:spacing w:line="360" w:lineRule="auto"/>
              <w:jc w:val="center"/>
              <w:rPr>
                <w:rFonts w:ascii="宋体" w:hAnsi="宋体" w:eastAsia="宋体" w:cs="宋体"/>
                <w:color w:val="auto"/>
                <w:kern w:val="0"/>
                <w:sz w:val="20"/>
                <w:szCs w:val="20"/>
                <w:highlight w:val="none"/>
              </w:rPr>
            </w:pPr>
          </w:p>
        </w:tc>
      </w:tr>
      <w:tr w14:paraId="24CD3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5AEF3EFD">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3797A29D">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231514EC">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302E9C39">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63B57FC2">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12BBC691">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0167C98E">
            <w:pPr>
              <w:adjustRightInd w:val="0"/>
              <w:snapToGrid w:val="0"/>
              <w:spacing w:line="360" w:lineRule="auto"/>
              <w:jc w:val="center"/>
              <w:rPr>
                <w:rFonts w:ascii="宋体" w:hAnsi="宋体" w:eastAsia="宋体" w:cs="宋体"/>
                <w:color w:val="auto"/>
                <w:kern w:val="0"/>
                <w:sz w:val="20"/>
                <w:szCs w:val="20"/>
                <w:highlight w:val="none"/>
              </w:rPr>
            </w:pPr>
          </w:p>
        </w:tc>
      </w:tr>
      <w:tr w14:paraId="6081F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497DE9C1">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4F7DA33F">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44EA1F6B">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0E3D95F9">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3AF700AD">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13888CD0">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09A51D8D">
            <w:pPr>
              <w:adjustRightInd w:val="0"/>
              <w:snapToGrid w:val="0"/>
              <w:spacing w:line="360" w:lineRule="auto"/>
              <w:jc w:val="center"/>
              <w:rPr>
                <w:rFonts w:ascii="宋体" w:hAnsi="宋体" w:eastAsia="宋体" w:cs="宋体"/>
                <w:color w:val="auto"/>
                <w:kern w:val="0"/>
                <w:sz w:val="20"/>
                <w:szCs w:val="20"/>
                <w:highlight w:val="none"/>
              </w:rPr>
            </w:pPr>
          </w:p>
        </w:tc>
      </w:tr>
      <w:tr w14:paraId="30A93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5EDB40B6">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3AB8E7DE">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39388EDF">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0700E1CC">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6ED354F0">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1E3BD52C">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4D97314A">
            <w:pPr>
              <w:adjustRightInd w:val="0"/>
              <w:snapToGrid w:val="0"/>
              <w:spacing w:line="360" w:lineRule="auto"/>
              <w:jc w:val="center"/>
              <w:rPr>
                <w:rFonts w:ascii="宋体" w:hAnsi="宋体" w:eastAsia="宋体" w:cs="宋体"/>
                <w:color w:val="auto"/>
                <w:kern w:val="0"/>
                <w:sz w:val="20"/>
                <w:szCs w:val="20"/>
                <w:highlight w:val="none"/>
              </w:rPr>
            </w:pPr>
          </w:p>
        </w:tc>
      </w:tr>
      <w:tr w14:paraId="41C2D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6737188E">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61A3141D">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519BBB43">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2DB9934E">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4F0B6D25">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5F54D1E6">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02018E1F">
            <w:pPr>
              <w:adjustRightInd w:val="0"/>
              <w:snapToGrid w:val="0"/>
              <w:spacing w:line="360" w:lineRule="auto"/>
              <w:jc w:val="center"/>
              <w:rPr>
                <w:rFonts w:ascii="宋体" w:hAnsi="宋体" w:eastAsia="宋体" w:cs="宋体"/>
                <w:color w:val="auto"/>
                <w:kern w:val="0"/>
                <w:sz w:val="20"/>
                <w:szCs w:val="20"/>
                <w:highlight w:val="none"/>
              </w:rPr>
            </w:pPr>
          </w:p>
        </w:tc>
      </w:tr>
      <w:tr w14:paraId="6DBFA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4FE6EEFA">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6709AC21">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2C63F05C">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004C37C5">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03A0339E">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17906709">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381E65C6">
            <w:pPr>
              <w:adjustRightInd w:val="0"/>
              <w:snapToGrid w:val="0"/>
              <w:spacing w:line="360" w:lineRule="auto"/>
              <w:jc w:val="center"/>
              <w:rPr>
                <w:rFonts w:ascii="宋体" w:hAnsi="宋体" w:eastAsia="宋体" w:cs="宋体"/>
                <w:color w:val="auto"/>
                <w:kern w:val="0"/>
                <w:sz w:val="20"/>
                <w:szCs w:val="20"/>
                <w:highlight w:val="none"/>
              </w:rPr>
            </w:pPr>
          </w:p>
        </w:tc>
      </w:tr>
      <w:tr w14:paraId="64842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06FB05AA">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1EC829F0">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0107BCF7">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0A38140C">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2ED6BEC3">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6C367764">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39F2A4A7">
            <w:pPr>
              <w:adjustRightInd w:val="0"/>
              <w:snapToGrid w:val="0"/>
              <w:spacing w:line="360" w:lineRule="auto"/>
              <w:jc w:val="center"/>
              <w:rPr>
                <w:rFonts w:ascii="宋体" w:hAnsi="宋体" w:eastAsia="宋体" w:cs="宋体"/>
                <w:color w:val="auto"/>
                <w:kern w:val="0"/>
                <w:sz w:val="20"/>
                <w:szCs w:val="20"/>
                <w:highlight w:val="none"/>
              </w:rPr>
            </w:pPr>
          </w:p>
        </w:tc>
      </w:tr>
      <w:tr w14:paraId="1266A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1D96A2C0">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0E6DD932">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388DDFEA">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4E1898C9">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4CC6B8AB">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424749BC">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040529DE">
            <w:pPr>
              <w:adjustRightInd w:val="0"/>
              <w:snapToGrid w:val="0"/>
              <w:spacing w:line="360" w:lineRule="auto"/>
              <w:jc w:val="center"/>
              <w:rPr>
                <w:rFonts w:ascii="宋体" w:hAnsi="宋体" w:eastAsia="宋体" w:cs="宋体"/>
                <w:color w:val="auto"/>
                <w:kern w:val="0"/>
                <w:sz w:val="20"/>
                <w:szCs w:val="20"/>
                <w:highlight w:val="none"/>
              </w:rPr>
            </w:pPr>
          </w:p>
        </w:tc>
      </w:tr>
      <w:tr w14:paraId="57EA7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2E8A2373">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170B104F">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0F49F1B6">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4EC98046">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7BE8FA36">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4017E199">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78DFC6D9">
            <w:pPr>
              <w:adjustRightInd w:val="0"/>
              <w:snapToGrid w:val="0"/>
              <w:spacing w:line="360" w:lineRule="auto"/>
              <w:jc w:val="center"/>
              <w:rPr>
                <w:rFonts w:ascii="宋体" w:hAnsi="宋体" w:eastAsia="宋体" w:cs="宋体"/>
                <w:color w:val="auto"/>
                <w:kern w:val="0"/>
                <w:sz w:val="20"/>
                <w:szCs w:val="20"/>
                <w:highlight w:val="none"/>
              </w:rPr>
            </w:pPr>
          </w:p>
        </w:tc>
      </w:tr>
      <w:tr w14:paraId="25B78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1755E02F">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4837444F">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42A46A5C">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1EABFE1B">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6DACB06F">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76CB08D4">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718F0505">
            <w:pPr>
              <w:adjustRightInd w:val="0"/>
              <w:snapToGrid w:val="0"/>
              <w:spacing w:line="360" w:lineRule="auto"/>
              <w:jc w:val="center"/>
              <w:rPr>
                <w:rFonts w:ascii="宋体" w:hAnsi="宋体" w:eastAsia="宋体" w:cs="宋体"/>
                <w:color w:val="auto"/>
                <w:kern w:val="0"/>
                <w:sz w:val="20"/>
                <w:szCs w:val="20"/>
                <w:highlight w:val="none"/>
              </w:rPr>
            </w:pPr>
          </w:p>
        </w:tc>
      </w:tr>
      <w:tr w14:paraId="457F1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54236097">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4DFF823C">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0D08DABF">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0C7A311D">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5CD8A36A">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42381D27">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701E82FD">
            <w:pPr>
              <w:adjustRightInd w:val="0"/>
              <w:snapToGrid w:val="0"/>
              <w:spacing w:line="360" w:lineRule="auto"/>
              <w:jc w:val="center"/>
              <w:rPr>
                <w:rFonts w:ascii="宋体" w:hAnsi="宋体" w:eastAsia="宋体" w:cs="宋体"/>
                <w:color w:val="auto"/>
                <w:kern w:val="0"/>
                <w:sz w:val="20"/>
                <w:szCs w:val="20"/>
                <w:highlight w:val="none"/>
              </w:rPr>
            </w:pPr>
          </w:p>
        </w:tc>
      </w:tr>
      <w:tr w14:paraId="71F89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31DFAE73">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22B82F14">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7AB9E62A">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2B5202CC">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6EA84C9E">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5B42C544">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13994852">
            <w:pPr>
              <w:adjustRightInd w:val="0"/>
              <w:snapToGrid w:val="0"/>
              <w:spacing w:line="360" w:lineRule="auto"/>
              <w:jc w:val="center"/>
              <w:rPr>
                <w:rFonts w:ascii="宋体" w:hAnsi="宋体" w:eastAsia="宋体" w:cs="宋体"/>
                <w:color w:val="auto"/>
                <w:kern w:val="0"/>
                <w:sz w:val="20"/>
                <w:szCs w:val="20"/>
                <w:highlight w:val="none"/>
              </w:rPr>
            </w:pPr>
          </w:p>
        </w:tc>
      </w:tr>
      <w:tr w14:paraId="64163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2ED6C475">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375E30F8">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2D28F8A8">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17725C11">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7BCCE5A7">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3B21B616">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42EC31EF">
            <w:pPr>
              <w:adjustRightInd w:val="0"/>
              <w:snapToGrid w:val="0"/>
              <w:spacing w:line="360" w:lineRule="auto"/>
              <w:jc w:val="center"/>
              <w:rPr>
                <w:rFonts w:ascii="宋体" w:hAnsi="宋体" w:eastAsia="宋体" w:cs="宋体"/>
                <w:color w:val="auto"/>
                <w:kern w:val="0"/>
                <w:sz w:val="20"/>
                <w:szCs w:val="20"/>
                <w:highlight w:val="none"/>
              </w:rPr>
            </w:pPr>
          </w:p>
        </w:tc>
      </w:tr>
      <w:tr w14:paraId="6E658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73C9B9EC">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2100313A">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2D020060">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34704715">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463464FD">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63EAD93A">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2CC69820">
            <w:pPr>
              <w:adjustRightInd w:val="0"/>
              <w:snapToGrid w:val="0"/>
              <w:spacing w:line="360" w:lineRule="auto"/>
              <w:jc w:val="center"/>
              <w:rPr>
                <w:rFonts w:ascii="宋体" w:hAnsi="宋体" w:eastAsia="宋体" w:cs="宋体"/>
                <w:color w:val="auto"/>
                <w:kern w:val="0"/>
                <w:sz w:val="20"/>
                <w:szCs w:val="20"/>
                <w:highlight w:val="none"/>
              </w:rPr>
            </w:pPr>
          </w:p>
        </w:tc>
      </w:tr>
      <w:tr w14:paraId="7C99B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5BEFBC3D">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60C3D9D3">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5ABB272B">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22E09A27">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59AD1FFD">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23D2F75C">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601C5E16">
            <w:pPr>
              <w:adjustRightInd w:val="0"/>
              <w:snapToGrid w:val="0"/>
              <w:spacing w:line="360" w:lineRule="auto"/>
              <w:jc w:val="center"/>
              <w:rPr>
                <w:rFonts w:ascii="宋体" w:hAnsi="宋体" w:eastAsia="宋体" w:cs="宋体"/>
                <w:color w:val="auto"/>
                <w:kern w:val="0"/>
                <w:sz w:val="20"/>
                <w:szCs w:val="20"/>
                <w:highlight w:val="none"/>
              </w:rPr>
            </w:pPr>
          </w:p>
        </w:tc>
      </w:tr>
      <w:tr w14:paraId="4731C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25F72E41">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7A995559">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495D3118">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0A6237F2">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5B452C8F">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0C107F2A">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0636E91C">
            <w:pPr>
              <w:adjustRightInd w:val="0"/>
              <w:snapToGrid w:val="0"/>
              <w:spacing w:line="360" w:lineRule="auto"/>
              <w:jc w:val="center"/>
              <w:rPr>
                <w:rFonts w:ascii="宋体" w:hAnsi="宋体" w:eastAsia="宋体" w:cs="宋体"/>
                <w:color w:val="auto"/>
                <w:kern w:val="0"/>
                <w:sz w:val="20"/>
                <w:szCs w:val="20"/>
                <w:highlight w:val="none"/>
              </w:rPr>
            </w:pPr>
          </w:p>
        </w:tc>
      </w:tr>
      <w:tr w14:paraId="16E92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7" w:type="dxa"/>
            <w:shd w:val="clear" w:color="auto" w:fill="auto"/>
            <w:vAlign w:val="center"/>
          </w:tcPr>
          <w:p w14:paraId="7B81FC33">
            <w:pPr>
              <w:adjustRightInd w:val="0"/>
              <w:snapToGrid w:val="0"/>
              <w:spacing w:line="360" w:lineRule="auto"/>
              <w:jc w:val="center"/>
              <w:rPr>
                <w:rFonts w:ascii="宋体" w:hAnsi="宋体" w:eastAsia="宋体" w:cs="宋体"/>
                <w:color w:val="auto"/>
                <w:kern w:val="0"/>
                <w:sz w:val="20"/>
                <w:szCs w:val="20"/>
                <w:highlight w:val="none"/>
              </w:rPr>
            </w:pPr>
          </w:p>
        </w:tc>
        <w:tc>
          <w:tcPr>
            <w:tcW w:w="1159" w:type="dxa"/>
            <w:shd w:val="clear" w:color="auto" w:fill="auto"/>
            <w:vAlign w:val="center"/>
          </w:tcPr>
          <w:p w14:paraId="4652BEB9">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5ACBC664">
            <w:pPr>
              <w:adjustRightInd w:val="0"/>
              <w:snapToGrid w:val="0"/>
              <w:spacing w:line="360" w:lineRule="auto"/>
              <w:jc w:val="center"/>
              <w:rPr>
                <w:rFonts w:ascii="宋体" w:hAnsi="宋体" w:eastAsia="宋体" w:cs="宋体"/>
                <w:color w:val="auto"/>
                <w:kern w:val="0"/>
                <w:sz w:val="20"/>
                <w:szCs w:val="20"/>
                <w:highlight w:val="none"/>
              </w:rPr>
            </w:pPr>
          </w:p>
        </w:tc>
        <w:tc>
          <w:tcPr>
            <w:tcW w:w="1456" w:type="dxa"/>
            <w:shd w:val="clear" w:color="auto" w:fill="auto"/>
            <w:vAlign w:val="center"/>
          </w:tcPr>
          <w:p w14:paraId="4FE85199">
            <w:pPr>
              <w:adjustRightInd w:val="0"/>
              <w:snapToGrid w:val="0"/>
              <w:spacing w:line="360" w:lineRule="auto"/>
              <w:jc w:val="center"/>
              <w:rPr>
                <w:rFonts w:ascii="宋体" w:hAnsi="宋体" w:eastAsia="宋体" w:cs="宋体"/>
                <w:color w:val="auto"/>
                <w:kern w:val="0"/>
                <w:sz w:val="20"/>
                <w:szCs w:val="20"/>
                <w:highlight w:val="none"/>
              </w:rPr>
            </w:pPr>
          </w:p>
        </w:tc>
        <w:tc>
          <w:tcPr>
            <w:tcW w:w="1093" w:type="dxa"/>
            <w:shd w:val="clear" w:color="auto" w:fill="auto"/>
            <w:vAlign w:val="center"/>
          </w:tcPr>
          <w:p w14:paraId="4DA19F5A">
            <w:pPr>
              <w:adjustRightInd w:val="0"/>
              <w:snapToGrid w:val="0"/>
              <w:spacing w:line="360" w:lineRule="auto"/>
              <w:jc w:val="center"/>
              <w:rPr>
                <w:rFonts w:ascii="宋体" w:hAnsi="宋体" w:eastAsia="宋体" w:cs="宋体"/>
                <w:color w:val="auto"/>
                <w:kern w:val="0"/>
                <w:sz w:val="20"/>
                <w:szCs w:val="20"/>
                <w:highlight w:val="none"/>
              </w:rPr>
            </w:pPr>
          </w:p>
        </w:tc>
        <w:tc>
          <w:tcPr>
            <w:tcW w:w="1639" w:type="dxa"/>
            <w:shd w:val="clear" w:color="auto" w:fill="auto"/>
            <w:vAlign w:val="center"/>
          </w:tcPr>
          <w:p w14:paraId="2CC9BC17">
            <w:pPr>
              <w:adjustRightInd w:val="0"/>
              <w:snapToGrid w:val="0"/>
              <w:spacing w:line="360" w:lineRule="auto"/>
              <w:jc w:val="center"/>
              <w:rPr>
                <w:rFonts w:ascii="宋体" w:hAnsi="宋体" w:eastAsia="宋体" w:cs="宋体"/>
                <w:color w:val="auto"/>
                <w:kern w:val="0"/>
                <w:sz w:val="20"/>
                <w:szCs w:val="20"/>
                <w:highlight w:val="none"/>
              </w:rPr>
            </w:pPr>
          </w:p>
        </w:tc>
        <w:tc>
          <w:tcPr>
            <w:tcW w:w="1822" w:type="dxa"/>
            <w:shd w:val="clear" w:color="auto" w:fill="auto"/>
            <w:vAlign w:val="center"/>
          </w:tcPr>
          <w:p w14:paraId="5527B37A">
            <w:pPr>
              <w:adjustRightInd w:val="0"/>
              <w:snapToGrid w:val="0"/>
              <w:spacing w:line="360" w:lineRule="auto"/>
              <w:jc w:val="center"/>
              <w:rPr>
                <w:rFonts w:ascii="宋体" w:hAnsi="宋体" w:eastAsia="宋体" w:cs="宋体"/>
                <w:color w:val="auto"/>
                <w:kern w:val="0"/>
                <w:sz w:val="20"/>
                <w:szCs w:val="20"/>
                <w:highlight w:val="none"/>
              </w:rPr>
            </w:pPr>
          </w:p>
        </w:tc>
      </w:tr>
    </w:tbl>
    <w:p w14:paraId="6F55CEAB">
      <w:pPr>
        <w:spacing w:line="20" w:lineRule="exact"/>
        <w:rPr>
          <w:color w:val="auto"/>
          <w:highlight w:val="none"/>
        </w:rPr>
      </w:pPr>
      <w:r>
        <w:rPr>
          <w:color w:val="auto"/>
          <w:highlight w:val="none"/>
        </w:rPr>
        <w:br w:type="page"/>
      </w:r>
    </w:p>
    <w:p w14:paraId="3834DC38">
      <w:pPr>
        <w:adjustRightInd w:val="0"/>
        <w:snapToGrid w:val="0"/>
        <w:spacing w:line="360" w:lineRule="auto"/>
        <w:ind w:firstLine="480"/>
        <w:jc w:val="center"/>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主要施工机械设备表（与技术标书一致）</w:t>
      </w:r>
    </w:p>
    <w:tbl>
      <w:tblPr>
        <w:tblStyle w:val="42"/>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722"/>
        <w:gridCol w:w="1072"/>
        <w:gridCol w:w="858"/>
        <w:gridCol w:w="858"/>
        <w:gridCol w:w="834"/>
        <w:gridCol w:w="1095"/>
        <w:gridCol w:w="1104"/>
        <w:gridCol w:w="1072"/>
      </w:tblGrid>
      <w:tr w14:paraId="42FF8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4EF18DA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722" w:type="dxa"/>
            <w:shd w:val="clear" w:color="auto" w:fill="auto"/>
            <w:vAlign w:val="center"/>
          </w:tcPr>
          <w:p w14:paraId="5B265E8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机械设备名称</w:t>
            </w:r>
          </w:p>
        </w:tc>
        <w:tc>
          <w:tcPr>
            <w:tcW w:w="1072" w:type="dxa"/>
            <w:shd w:val="clear" w:color="auto" w:fill="auto"/>
            <w:vAlign w:val="center"/>
          </w:tcPr>
          <w:p w14:paraId="6E04FB9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型号</w:t>
            </w:r>
          </w:p>
          <w:p w14:paraId="55A57ED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规格</w:t>
            </w:r>
          </w:p>
        </w:tc>
        <w:tc>
          <w:tcPr>
            <w:tcW w:w="858" w:type="dxa"/>
            <w:shd w:val="clear" w:color="auto" w:fill="auto"/>
            <w:vAlign w:val="center"/>
          </w:tcPr>
          <w:p w14:paraId="47D9956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数量</w:t>
            </w:r>
          </w:p>
        </w:tc>
        <w:tc>
          <w:tcPr>
            <w:tcW w:w="858" w:type="dxa"/>
            <w:shd w:val="clear" w:color="auto" w:fill="auto"/>
            <w:vAlign w:val="center"/>
          </w:tcPr>
          <w:p w14:paraId="56A226A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国别</w:t>
            </w:r>
          </w:p>
          <w:p w14:paraId="48378C8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产地</w:t>
            </w:r>
          </w:p>
        </w:tc>
        <w:tc>
          <w:tcPr>
            <w:tcW w:w="834" w:type="dxa"/>
            <w:shd w:val="clear" w:color="auto" w:fill="auto"/>
            <w:vAlign w:val="center"/>
          </w:tcPr>
          <w:p w14:paraId="2CA3EA5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制造</w:t>
            </w:r>
          </w:p>
          <w:p w14:paraId="72B71B2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年份</w:t>
            </w:r>
          </w:p>
        </w:tc>
        <w:tc>
          <w:tcPr>
            <w:tcW w:w="1095" w:type="dxa"/>
            <w:shd w:val="clear" w:color="auto" w:fill="auto"/>
            <w:vAlign w:val="center"/>
          </w:tcPr>
          <w:p w14:paraId="200D74A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额定功率（KW）</w:t>
            </w:r>
          </w:p>
        </w:tc>
        <w:tc>
          <w:tcPr>
            <w:tcW w:w="1104" w:type="dxa"/>
            <w:shd w:val="clear" w:color="auto" w:fill="auto"/>
            <w:vAlign w:val="center"/>
          </w:tcPr>
          <w:p w14:paraId="15C791D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生产</w:t>
            </w:r>
          </w:p>
          <w:p w14:paraId="697673E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能力</w:t>
            </w:r>
          </w:p>
        </w:tc>
        <w:tc>
          <w:tcPr>
            <w:tcW w:w="1072" w:type="dxa"/>
            <w:shd w:val="clear" w:color="auto" w:fill="auto"/>
            <w:vAlign w:val="center"/>
          </w:tcPr>
          <w:p w14:paraId="67DE4B9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14:paraId="431F9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4BDAE1A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7DB5CEC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25ECBC1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64A431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931D76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6BA93A7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6BA8A69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391A701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0412398">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5E617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65A4AEA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2675311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318BD8C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6D4F61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2F6056A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455CE14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0FAA17E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25B6DDB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51720E18">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7E339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51B95FD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165E5DE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B164F6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3D7E301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4816758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4857B1F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31E20C9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75942C1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B8FF2AB">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4108C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4A105DC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5A324BA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A37357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5AA144F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5847562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564DAE0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6BDF1EC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7D73145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6F61AC9A">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52173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1851873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78F8DB2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61A2F3F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35F700B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39302CF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508E8AC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760A35D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3373B6A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751A8C3">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12FDE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7E8EF85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0DF0905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574F4AE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35FF5E8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831F56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752609C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43CE924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35A6A6D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9A6FA35">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15284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0A5C89F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55E0EC8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3EF5408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AD174A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3FECE3D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64B0770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0F33B23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115C92C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3505B10E">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11BA0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0F4AD30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4ABBC3D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10552A8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24BD1EA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03669C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3E02DBD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2EBB88F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43ACB49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444ECA6">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52969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6547DF7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430E2B1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5D00C90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578DC2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990A9E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081F864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521518B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7CBC148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1E06933F">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6901C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74D4747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67B913F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1F9E205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586BEE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032329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0117C35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49BDA50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2E81017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176C98BB">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5649E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64037B5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52E69D6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ACDBAE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E60430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ACD0A5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31C2B7D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2DB5A2A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74C2DA4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FFF0B4A">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1EF69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6CA8F4A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3A25174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27D6DE5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20A3080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F22B3D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21DEBE6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6ADE6AE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253CD24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2D3151B3">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5650C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07EA69C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569C660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628ECD9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2D654C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20D2A0D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5043574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2718C17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5D26CF0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5A49ADC">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61D9F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2CAF65A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0783E11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3FC4BBE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6E59414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28DD94F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1A24D3A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78CAE28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37BFB9A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28BDC74">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345C4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0806A0A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446EEB4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2412FA0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B79710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DE14D0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7D3E126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1869966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3E96DF5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316F10D2">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58DFC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17AE7FF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2B6BCAE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6220DF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4E10753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470DBDD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10CAD20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3F73D2A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189BCD8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0F85C85">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58867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4E68C9A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6CD3103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2700BE6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704229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DF147F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6D1AFAB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155D3F9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437B323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A9C3681">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49A39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1B297BB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6A13FB2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182320D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A8357A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6C35B44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343FFA2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5B3E972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3E9D3EB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D3E9A61">
            <w:pPr>
              <w:adjustRightInd w:val="0"/>
              <w:snapToGrid w:val="0"/>
              <w:spacing w:line="360" w:lineRule="auto"/>
              <w:jc w:val="center"/>
              <w:rPr>
                <w:rFonts w:ascii="Times New Roman" w:hAnsi="Times New Roman" w:eastAsia="宋体" w:cs="Courier New"/>
                <w:color w:val="auto"/>
                <w:kern w:val="0"/>
                <w:sz w:val="20"/>
                <w:szCs w:val="20"/>
                <w:highlight w:val="none"/>
              </w:rPr>
            </w:pPr>
          </w:p>
        </w:tc>
      </w:tr>
    </w:tbl>
    <w:p w14:paraId="6FB73F3F">
      <w:pPr>
        <w:spacing w:line="20" w:lineRule="exact"/>
        <w:rPr>
          <w:color w:val="auto"/>
          <w:highlight w:val="none"/>
        </w:rPr>
      </w:pPr>
      <w:r>
        <w:rPr>
          <w:color w:val="auto"/>
          <w:highlight w:val="none"/>
        </w:rPr>
        <w:br w:type="page"/>
      </w:r>
    </w:p>
    <w:p w14:paraId="2842401D">
      <w:pPr>
        <w:adjustRightInd w:val="0"/>
        <w:snapToGrid w:val="0"/>
        <w:spacing w:line="360" w:lineRule="auto"/>
        <w:jc w:val="cente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四、招标文件要求提交的其他资料</w:t>
      </w:r>
    </w:p>
    <w:p w14:paraId="446371BD">
      <w:pPr>
        <w:adjustRightInd w:val="0"/>
        <w:snapToGrid w:val="0"/>
        <w:spacing w:line="360" w:lineRule="auto"/>
        <w:ind w:firstLine="420" w:firstLineChars="200"/>
        <w:rPr>
          <w:color w:val="auto"/>
          <w:highlight w:val="none"/>
        </w:rPr>
      </w:pPr>
    </w:p>
    <w:p w14:paraId="3E5063CF">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1．其他资料</w:t>
      </w:r>
      <w:r>
        <w:rPr>
          <w:color w:val="auto"/>
          <w:highlight w:val="none"/>
        </w:rPr>
        <w:br w:type="page"/>
      </w:r>
    </w:p>
    <w:p w14:paraId="4A4112DA">
      <w:pPr>
        <w:adjustRightInd w:val="0"/>
        <w:snapToGrid w:val="0"/>
        <w:spacing w:line="360" w:lineRule="auto"/>
        <w:ind w:firstLine="6425" w:firstLineChars="2000"/>
        <w:rPr>
          <w:rFonts w:ascii="宋体" w:hAnsi="宋体" w:eastAsia="宋体" w:cs="宋体"/>
          <w:b/>
          <w:bCs/>
          <w:color w:val="auto"/>
          <w:sz w:val="32"/>
          <w:szCs w:val="32"/>
          <w:highlight w:val="none"/>
          <w:u w:val="single"/>
        </w:rPr>
      </w:pPr>
      <w:r>
        <w:rPr>
          <w:rFonts w:hint="eastAsia" w:ascii="宋体" w:hAnsi="宋体" w:eastAsia="宋体" w:cs="宋体"/>
          <w:b/>
          <w:color w:val="auto"/>
          <w:sz w:val="32"/>
          <w:szCs w:val="32"/>
          <w:highlight w:val="none"/>
        </w:rPr>
        <w:t>工程编号：</w:t>
      </w:r>
      <w:r>
        <w:rPr>
          <w:rFonts w:hint="eastAsia" w:ascii="宋体" w:hAnsi="宋体" w:eastAsia="宋体" w:cs="宋体"/>
          <w:b/>
          <w:bCs/>
          <w:color w:val="auto"/>
          <w:sz w:val="32"/>
          <w:szCs w:val="32"/>
          <w:highlight w:val="none"/>
          <w:u w:val="single"/>
        </w:rPr>
        <w:t>_______</w:t>
      </w:r>
    </w:p>
    <w:p w14:paraId="36A8CA94">
      <w:pPr>
        <w:adjustRightInd w:val="0"/>
        <w:snapToGrid w:val="0"/>
        <w:spacing w:line="360" w:lineRule="auto"/>
        <w:rPr>
          <w:rFonts w:ascii="宋体" w:hAnsi="宋体" w:eastAsia="宋体" w:cs="宋体"/>
          <w:b/>
          <w:color w:val="auto"/>
          <w:sz w:val="32"/>
          <w:szCs w:val="32"/>
          <w:highlight w:val="none"/>
        </w:rPr>
      </w:pPr>
    </w:p>
    <w:p w14:paraId="5D1D97F4">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深圳市建设工程施工招标</w:t>
      </w:r>
    </w:p>
    <w:p w14:paraId="546B8A01">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投 标 文 件</w:t>
      </w:r>
    </w:p>
    <w:p w14:paraId="70B8CEE3">
      <w:pPr>
        <w:adjustRightInd w:val="0"/>
        <w:snapToGrid w:val="0"/>
        <w:spacing w:line="360" w:lineRule="auto"/>
        <w:jc w:val="center"/>
        <w:rPr>
          <w:rFonts w:ascii="宋体" w:hAnsi="宋体" w:eastAsia="宋体" w:cs="宋体"/>
          <w:b/>
          <w:color w:val="auto"/>
          <w:sz w:val="72"/>
          <w:highlight w:val="none"/>
        </w:rPr>
      </w:pPr>
    </w:p>
    <w:p w14:paraId="4F447C86">
      <w:pPr>
        <w:adjustRightInd w:val="0"/>
        <w:snapToGrid w:val="0"/>
        <w:spacing w:line="360" w:lineRule="auto"/>
        <w:jc w:val="center"/>
        <w:rPr>
          <w:rFonts w:ascii="宋体" w:hAnsi="宋体" w:eastAsia="宋体" w:cs="宋体"/>
          <w:b/>
          <w:color w:val="auto"/>
          <w:sz w:val="72"/>
          <w:highlight w:val="none"/>
        </w:rPr>
      </w:pPr>
    </w:p>
    <w:p w14:paraId="7592CEBD">
      <w:pPr>
        <w:adjustRightInd w:val="0"/>
        <w:snapToGrid w:val="0"/>
        <w:spacing w:line="360" w:lineRule="auto"/>
        <w:jc w:val="center"/>
        <w:rPr>
          <w:rFonts w:ascii="宋体" w:hAnsi="宋体" w:eastAsia="宋体" w:cs="宋体"/>
          <w:b/>
          <w:color w:val="auto"/>
          <w:sz w:val="72"/>
          <w:highlight w:val="none"/>
        </w:rPr>
      </w:pPr>
    </w:p>
    <w:p w14:paraId="19680B6F">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color w:val="auto"/>
          <w:sz w:val="32"/>
          <w:highlight w:val="none"/>
        </w:rPr>
        <w:t>工程名称：</w:t>
      </w:r>
      <w:r>
        <w:rPr>
          <w:rFonts w:hint="eastAsia" w:ascii="宋体" w:hAnsi="宋体" w:eastAsia="宋体" w:cs="宋体"/>
          <w:b/>
          <w:color w:val="auto"/>
          <w:sz w:val="32"/>
          <w:highlight w:val="none"/>
          <w:u w:val="single"/>
        </w:rPr>
        <w:t>___________________________________________</w:t>
      </w:r>
    </w:p>
    <w:p w14:paraId="688DC350">
      <w:pPr>
        <w:adjustRightInd w:val="0"/>
        <w:snapToGrid w:val="0"/>
        <w:spacing w:line="360" w:lineRule="auto"/>
        <w:rPr>
          <w:rFonts w:ascii="宋体" w:hAnsi="宋体" w:eastAsia="宋体" w:cs="宋体"/>
          <w:b/>
          <w:color w:val="auto"/>
          <w:sz w:val="32"/>
          <w:highlight w:val="none"/>
        </w:rPr>
      </w:pPr>
    </w:p>
    <w:p w14:paraId="1E2C20B7">
      <w:pPr>
        <w:adjustRightInd w:val="0"/>
        <w:snapToGrid w:val="0"/>
        <w:spacing w:line="360" w:lineRule="auto"/>
        <w:outlineLvl w:val="1"/>
        <w:rPr>
          <w:rFonts w:ascii="宋体" w:hAnsi="宋体" w:eastAsia="宋体" w:cs="宋体"/>
          <w:b/>
          <w:color w:val="auto"/>
          <w:sz w:val="32"/>
          <w:highlight w:val="none"/>
        </w:rPr>
      </w:pPr>
      <w:bookmarkStart w:id="6484" w:name="_Toc8543"/>
      <w:bookmarkStart w:id="6485" w:name="_Toc32075"/>
      <w:bookmarkStart w:id="6486" w:name="_Toc3789"/>
      <w:bookmarkStart w:id="6487" w:name="_Toc15897"/>
      <w:bookmarkStart w:id="6488" w:name="_Toc7265"/>
      <w:bookmarkStart w:id="6489" w:name="_Toc19094"/>
      <w:r>
        <w:rPr>
          <w:rFonts w:hint="eastAsia" w:ascii="宋体" w:hAnsi="宋体" w:eastAsia="宋体" w:cs="宋体"/>
          <w:b/>
          <w:color w:val="auto"/>
          <w:sz w:val="32"/>
          <w:highlight w:val="none"/>
        </w:rPr>
        <w:t>投标文件内容：</w:t>
      </w:r>
      <w:r>
        <w:rPr>
          <w:rFonts w:hint="eastAsia" w:ascii="宋体" w:hAnsi="宋体" w:eastAsia="宋体" w:cs="宋体"/>
          <w:b/>
          <w:color w:val="auto"/>
          <w:sz w:val="52"/>
          <w:highlight w:val="none"/>
          <w:u w:val="single"/>
        </w:rPr>
        <w:t xml:space="preserve">       技术标部分</w:t>
      </w:r>
      <w:bookmarkEnd w:id="6484"/>
      <w:bookmarkEnd w:id="6485"/>
      <w:bookmarkEnd w:id="6486"/>
      <w:bookmarkEnd w:id="6487"/>
      <w:bookmarkEnd w:id="6488"/>
      <w:bookmarkEnd w:id="6489"/>
      <w:r>
        <w:rPr>
          <w:rFonts w:hint="eastAsia" w:ascii="宋体" w:hAnsi="宋体" w:eastAsia="宋体" w:cs="宋体"/>
          <w:b/>
          <w:color w:val="auto"/>
          <w:sz w:val="52"/>
          <w:highlight w:val="none"/>
          <w:u w:val="single"/>
        </w:rPr>
        <w:t xml:space="preserve">       </w:t>
      </w:r>
    </w:p>
    <w:p w14:paraId="3F5A43CA">
      <w:pPr>
        <w:adjustRightInd w:val="0"/>
        <w:snapToGrid w:val="0"/>
        <w:spacing w:line="360" w:lineRule="auto"/>
        <w:rPr>
          <w:rFonts w:ascii="宋体" w:hAnsi="宋体" w:eastAsia="宋体" w:cs="宋体"/>
          <w:b/>
          <w:color w:val="auto"/>
          <w:sz w:val="32"/>
          <w:highlight w:val="none"/>
        </w:rPr>
      </w:pPr>
    </w:p>
    <w:p w14:paraId="42143A92">
      <w:pPr>
        <w:adjustRightInd w:val="0"/>
        <w:snapToGrid w:val="0"/>
        <w:spacing w:line="360" w:lineRule="auto"/>
        <w:rPr>
          <w:rFonts w:ascii="宋体" w:hAnsi="宋体" w:eastAsia="宋体" w:cs="宋体"/>
          <w:color w:val="auto"/>
          <w:highlight w:val="none"/>
        </w:rPr>
      </w:pPr>
      <w:r>
        <w:rPr>
          <w:rFonts w:hint="eastAsia" w:ascii="宋体" w:hAnsi="宋体" w:eastAsia="宋体" w:cs="宋体"/>
          <w:b/>
          <w:color w:val="auto"/>
          <w:sz w:val="32"/>
          <w:highlight w:val="none"/>
        </w:rPr>
        <w:t>日  期：</w:t>
      </w:r>
      <w:r>
        <w:rPr>
          <w:rFonts w:hint="eastAsia" w:ascii="宋体" w:hAnsi="宋体" w:eastAsia="宋体" w:cs="宋体"/>
          <w:b/>
          <w:color w:val="auto"/>
          <w:sz w:val="32"/>
          <w:highlight w:val="none"/>
          <w:u w:val="single"/>
        </w:rPr>
        <w:t>____________</w:t>
      </w:r>
      <w:r>
        <w:rPr>
          <w:rFonts w:hint="eastAsia" w:ascii="宋体" w:hAnsi="宋体" w:eastAsia="宋体" w:cs="宋体"/>
          <w:b/>
          <w:color w:val="auto"/>
          <w:sz w:val="32"/>
          <w:highlight w:val="none"/>
        </w:rPr>
        <w:t>年</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月</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日</w:t>
      </w:r>
      <w:r>
        <w:rPr>
          <w:rFonts w:hint="eastAsia" w:ascii="宋体" w:hAnsi="宋体" w:eastAsia="宋体" w:cs="宋体"/>
          <w:color w:val="auto"/>
          <w:highlight w:val="none"/>
        </w:rPr>
        <w:br w:type="page"/>
      </w:r>
    </w:p>
    <w:p w14:paraId="77B4DA53">
      <w:pPr>
        <w:adjustRightInd w:val="0"/>
        <w:snapToGrid w:val="0"/>
        <w:spacing w:line="360" w:lineRule="auto"/>
        <w:jc w:val="center"/>
        <w:rPr>
          <w:rFonts w:ascii="宋体" w:hAnsi="宋体" w:eastAsia="宋体" w:cs="宋体"/>
          <w:b/>
          <w:color w:val="auto"/>
          <w:sz w:val="44"/>
          <w:szCs w:val="44"/>
          <w:highlight w:val="none"/>
        </w:rPr>
      </w:pPr>
      <w:r>
        <w:rPr>
          <w:rFonts w:hint="eastAsia" w:ascii="宋体" w:hAnsi="宋体" w:eastAsia="宋体" w:cs="宋体"/>
          <w:b/>
          <w:color w:val="auto"/>
          <w:sz w:val="44"/>
          <w:szCs w:val="44"/>
          <w:highlight w:val="none"/>
        </w:rPr>
        <w:t>技术标编写目录及要求</w:t>
      </w:r>
    </w:p>
    <w:p w14:paraId="6814C95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人要求投标人编制技术标书的，应在招标文件中明确列出技术标部分目录，包括篇、章、节的标题及主要编制内容。招标人可以限制技术标部分的最高允许页数，超过限制页数的投标文件将被评标委员会在评审时作扣分等处理。</w:t>
      </w:r>
    </w:p>
    <w:p w14:paraId="48D86CFE">
      <w:pPr>
        <w:adjustRightInd w:val="0"/>
        <w:snapToGrid w:val="0"/>
        <w:spacing w:line="360" w:lineRule="auto"/>
        <w:jc w:val="center"/>
        <w:rPr>
          <w:rFonts w:ascii="宋体" w:hAnsi="宋体" w:eastAsia="宋体" w:cs="宋体"/>
          <w:b/>
          <w:color w:val="auto"/>
          <w:sz w:val="32"/>
          <w:highlight w:val="none"/>
        </w:rPr>
      </w:pPr>
      <w:r>
        <w:rPr>
          <w:rFonts w:hint="eastAsia" w:ascii="宋体" w:hAnsi="宋体" w:eastAsia="宋体" w:cs="宋体"/>
          <w:b/>
          <w:color w:val="auto"/>
          <w:sz w:val="32"/>
          <w:highlight w:val="none"/>
        </w:rPr>
        <w:t>本节编写指南</w:t>
      </w:r>
    </w:p>
    <w:p w14:paraId="2B01A193">
      <w:pPr>
        <w:adjustRightInd w:val="0"/>
        <w:snapToGrid w:val="0"/>
        <w:spacing w:line="360" w:lineRule="auto"/>
        <w:ind w:firstLine="1365" w:firstLineChars="650"/>
        <w:rPr>
          <w:rFonts w:ascii="宋体" w:hAnsi="宋体" w:eastAsia="宋体" w:cs="宋体"/>
          <w:color w:val="auto"/>
          <w:szCs w:val="21"/>
          <w:highlight w:val="none"/>
        </w:rPr>
      </w:pPr>
      <w:r>
        <w:rPr>
          <w:rFonts w:hint="eastAsia" w:ascii="宋体" w:hAnsi="宋体" w:eastAsia="宋体" w:cs="宋体"/>
          <w:color w:val="auto"/>
          <w:szCs w:val="21"/>
          <w:highlight w:val="none"/>
        </w:rPr>
        <w:t>（仅供参考，不作评审依据，技术标需评审的内容详见“评审项目”）</w:t>
      </w:r>
    </w:p>
    <w:p w14:paraId="2D6E3168">
      <w:pPr>
        <w:adjustRightInd w:val="0"/>
        <w:snapToGrid w:val="0"/>
        <w:spacing w:line="360" w:lineRule="auto"/>
        <w:rPr>
          <w:rFonts w:ascii="宋体" w:hAnsi="宋体" w:eastAsia="宋体" w:cs="宋体"/>
          <w:b/>
          <w:color w:val="auto"/>
          <w:sz w:val="30"/>
          <w:highlight w:val="none"/>
        </w:rPr>
      </w:pPr>
      <w:r>
        <w:rPr>
          <w:rFonts w:hint="eastAsia" w:ascii="宋体" w:hAnsi="宋体" w:eastAsia="宋体" w:cs="宋体"/>
          <w:b/>
          <w:color w:val="auto"/>
          <w:sz w:val="30"/>
          <w:highlight w:val="none"/>
        </w:rPr>
        <w:t>第一篇  明标评审部分</w:t>
      </w:r>
    </w:p>
    <w:p w14:paraId="2D7E8905">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第一章  项目管理机构人员配备及业绩</w:t>
      </w:r>
    </w:p>
    <w:p w14:paraId="3C1BF03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提出施工组织架构设想与施工管理人员配置计划，绘制投标人拟组建的项目管理部组织系统框图，并简述拟派驻本工程主要施工管理人员的学历、专业技术任职资格、项目管理任职资格、专业技术工作经历与类似工程项目经验。对于项目经理（建造师）、技术负责人、质量负责人、安全负责人、安全员、劳资专管员等，尚需提供相应资格证书（或上岗证书）、个人类似工程业绩证明文件和社保证明。提供同类工程业绩。（请将此部分证明资料在资信标中提交）</w:t>
      </w:r>
    </w:p>
    <w:p w14:paraId="229C7B15">
      <w:pPr>
        <w:adjustRightInd w:val="0"/>
        <w:snapToGrid w:val="0"/>
        <w:spacing w:line="360" w:lineRule="auto"/>
        <w:rPr>
          <w:rFonts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第二篇  明标评审部分</w:t>
      </w:r>
    </w:p>
    <w:p w14:paraId="7A74429B">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第一章  施工管理重点、难点分析及应对措施</w:t>
      </w:r>
    </w:p>
    <w:p w14:paraId="100B322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描述本工程特点，分析关键性专业工程的施工特点与难点，并对本工程质量、进度、造价和安全文明施工具有控制性影响的工程（工作）内容进行必要的、简要的描述。</w:t>
      </w:r>
    </w:p>
    <w:p w14:paraId="6F9A1FD7">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第二章  施工总体部署、施工总平面布置图及相关说明</w:t>
      </w:r>
    </w:p>
    <w:p w14:paraId="54C7CFC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施工总体部署应包括：对施工标段进行合理的分片分区安排；对各片区的主要人员及机械设备进行配置；对各片区的主要施工方法和施工工艺进行简要说明；对应工期安排和场地布置，简要说明总的施工流向、施工程序及施工顺序。</w:t>
      </w:r>
    </w:p>
    <w:p w14:paraId="4616C47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施工总平面布置图应包括主要机械设备、堆场、加工场、临时道路、临时供水供电、临时排水排污设施等的布局；主要施工阶段总平面图齐全合理。</w:t>
      </w:r>
    </w:p>
    <w:p w14:paraId="54467222">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第三章  施工进度网络图或带关键线路的横道图及相关说明</w:t>
      </w:r>
    </w:p>
    <w:p w14:paraId="3CF3CFB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根据招标人的工期要求和投标人的施工总体安排，规划施工关键线路，明确进度控制时间参数，绘制本工程施工总进度控制计划网络图（规定采用时标双代号网络图）和横道图，提出本工程总工期和关键节点工期控制措施，以及关键节点工期延误的回补措施。</w:t>
      </w:r>
    </w:p>
    <w:p w14:paraId="12FDDC1C">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第四章  主要机械设备需求计划表及相关说明</w:t>
      </w:r>
    </w:p>
    <w:p w14:paraId="6B04729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主要机械设备配置数量合理且性能恰当。</w:t>
      </w:r>
    </w:p>
    <w:p w14:paraId="2884F936">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第五章  劳动力需求计划表及相关说明</w:t>
      </w:r>
    </w:p>
    <w:p w14:paraId="455DEAB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主要施工阶段各工种人数合理且劳动力用工动态曲线变化规律合理。</w:t>
      </w:r>
    </w:p>
    <w:p w14:paraId="325F0847">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第六章  周转材料需求计划表及相关说明</w:t>
      </w:r>
    </w:p>
    <w:p w14:paraId="6DEBD5B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主要周转材料品种、数量满足施工要求。</w:t>
      </w:r>
    </w:p>
    <w:p w14:paraId="0ABC47BA">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第七章  招标人要求编制的专项施工技术方案</w:t>
      </w:r>
    </w:p>
    <w:p w14:paraId="1281ECC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由招标人根据本身对本工程各分部分项（或专业）工程的注重程度，择选主要分部分项（或专业）工程，要求投标人分别提出简要的专项施工技术方案。当招标人未有择选时，由投标人无需编制。</w:t>
      </w:r>
    </w:p>
    <w:p w14:paraId="653D0A9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招标人择选的主要分部分项（或专业）工程：</w:t>
      </w:r>
    </w:p>
    <w:p w14:paraId="5467D7AE">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p>
    <w:p w14:paraId="38ED939E">
      <w:pPr>
        <w:adjustRightInd w:val="0"/>
        <w:snapToGrid w:val="0"/>
        <w:spacing w:line="360" w:lineRule="auto"/>
        <w:ind w:firstLine="420" w:firstLineChars="200"/>
        <w:rPr>
          <w:rFonts w:ascii="宋体" w:hAnsi="宋体" w:eastAsia="宋体" w:cs="宋体"/>
          <w:color w:val="auto"/>
          <w:szCs w:val="21"/>
          <w:highlight w:val="none"/>
          <w:u w:val="single"/>
        </w:rPr>
      </w:pPr>
    </w:p>
    <w:p w14:paraId="57CEBC9C">
      <w:pPr>
        <w:adjustRightInd w:val="0"/>
        <w:snapToGrid w:val="0"/>
        <w:spacing w:line="360" w:lineRule="auto"/>
        <w:rPr>
          <w:rFonts w:ascii="宋体" w:hAnsi="宋体" w:eastAsia="宋体" w:cs="宋体"/>
          <w:b/>
          <w:color w:val="auto"/>
          <w:szCs w:val="21"/>
          <w:highlight w:val="none"/>
        </w:rPr>
      </w:pPr>
      <w:r>
        <w:rPr>
          <w:rFonts w:hint="eastAsia" w:ascii="宋体" w:hAnsi="宋体" w:eastAsia="宋体" w:cs="宋体"/>
          <w:b/>
          <w:color w:val="auto"/>
          <w:szCs w:val="21"/>
          <w:highlight w:val="none"/>
        </w:rPr>
        <w:t>第八章  危大工程清单及安全管理措施（如有）</w:t>
      </w:r>
    </w:p>
    <w:p w14:paraId="680793D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招标人列出危大工程清单，投标人在投标时根据工程实际特点补充完善危大工程清单，并明确相应的安全管理措施。</w:t>
      </w:r>
    </w:p>
    <w:p w14:paraId="24EA859A">
      <w:pPr>
        <w:adjustRightInd w:val="0"/>
        <w:snapToGrid w:val="0"/>
        <w:jc w:val="center"/>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t>危大工程清单</w:t>
      </w:r>
    </w:p>
    <w:tbl>
      <w:tblPr>
        <w:tblStyle w:val="42"/>
        <w:tblW w:w="9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4615"/>
        <w:gridCol w:w="3970"/>
      </w:tblGrid>
      <w:tr w14:paraId="6A513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682" w:type="dxa"/>
            <w:vAlign w:val="center"/>
          </w:tcPr>
          <w:p w14:paraId="1B74359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4615" w:type="dxa"/>
            <w:vAlign w:val="center"/>
          </w:tcPr>
          <w:p w14:paraId="55EA4F7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危大工程</w:t>
            </w:r>
          </w:p>
        </w:tc>
        <w:tc>
          <w:tcPr>
            <w:tcW w:w="3970" w:type="dxa"/>
            <w:vAlign w:val="center"/>
          </w:tcPr>
          <w:p w14:paraId="15C43BE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相关要求或说明</w:t>
            </w:r>
          </w:p>
        </w:tc>
      </w:tr>
      <w:tr w14:paraId="393EC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682" w:type="dxa"/>
            <w:vAlign w:val="center"/>
          </w:tcPr>
          <w:p w14:paraId="1FE9F782">
            <w:pPr>
              <w:adjustRightInd w:val="0"/>
              <w:snapToGrid w:val="0"/>
              <w:jc w:val="center"/>
              <w:rPr>
                <w:rFonts w:ascii="宋体" w:hAnsi="宋体" w:eastAsia="宋体" w:cs="宋体"/>
                <w:color w:val="auto"/>
                <w:kern w:val="0"/>
                <w:szCs w:val="21"/>
                <w:highlight w:val="none"/>
              </w:rPr>
            </w:pPr>
          </w:p>
        </w:tc>
        <w:tc>
          <w:tcPr>
            <w:tcW w:w="4615" w:type="dxa"/>
            <w:vAlign w:val="center"/>
          </w:tcPr>
          <w:p w14:paraId="1BB19B1E">
            <w:pPr>
              <w:adjustRightInd w:val="0"/>
              <w:snapToGrid w:val="0"/>
              <w:jc w:val="center"/>
              <w:rPr>
                <w:rFonts w:ascii="宋体" w:hAnsi="宋体" w:eastAsia="宋体" w:cs="宋体"/>
                <w:color w:val="auto"/>
                <w:kern w:val="0"/>
                <w:szCs w:val="21"/>
                <w:highlight w:val="none"/>
              </w:rPr>
            </w:pPr>
          </w:p>
        </w:tc>
        <w:tc>
          <w:tcPr>
            <w:tcW w:w="3970" w:type="dxa"/>
            <w:vAlign w:val="center"/>
          </w:tcPr>
          <w:p w14:paraId="2CCC2B37">
            <w:pPr>
              <w:adjustRightInd w:val="0"/>
              <w:snapToGrid w:val="0"/>
              <w:jc w:val="center"/>
              <w:rPr>
                <w:rFonts w:ascii="宋体" w:hAnsi="宋体" w:eastAsia="宋体" w:cs="宋体"/>
                <w:color w:val="auto"/>
                <w:kern w:val="0"/>
                <w:szCs w:val="21"/>
                <w:highlight w:val="none"/>
              </w:rPr>
            </w:pPr>
          </w:p>
        </w:tc>
      </w:tr>
    </w:tbl>
    <w:p w14:paraId="47D195C9">
      <w:pPr>
        <w:adjustRightInd w:val="0"/>
        <w:snapToGrid w:val="0"/>
        <w:spacing w:line="360" w:lineRule="auto"/>
        <w:ind w:left="1260" w:leftChars="200" w:hanging="840" w:hangingChars="400"/>
        <w:rPr>
          <w:rFonts w:ascii="宋体" w:hAnsi="宋体" w:eastAsia="宋体" w:cs="宋体"/>
          <w:color w:val="auto"/>
          <w:szCs w:val="21"/>
          <w:highlight w:val="none"/>
        </w:rPr>
      </w:pPr>
      <w:r>
        <w:rPr>
          <w:rFonts w:hint="eastAsia" w:ascii="宋体" w:hAnsi="宋体" w:eastAsia="宋体" w:cs="宋体"/>
          <w:color w:val="auto"/>
          <w:szCs w:val="21"/>
          <w:highlight w:val="none"/>
        </w:rPr>
        <w:t>备注：1.危险性较大的分部分项工程（简称危大工程）范围，详见《广东省住房和城乡建设厅关于印发房屋市政工程危险性较大的分部分项工程安全管理实施细则的通知》（粤建规范〔2019〕2号）；</w:t>
      </w:r>
    </w:p>
    <w:p w14:paraId="5BB5164E">
      <w:pPr>
        <w:adjustRightInd w:val="0"/>
        <w:snapToGrid w:val="0"/>
        <w:spacing w:line="360" w:lineRule="auto"/>
        <w:ind w:firstLine="1050" w:firstLineChars="500"/>
        <w:rPr>
          <w:rFonts w:ascii="宋体" w:hAnsi="宋体" w:eastAsia="宋体" w:cs="宋体"/>
          <w:color w:val="auto"/>
          <w:szCs w:val="21"/>
          <w:highlight w:val="none"/>
        </w:rPr>
      </w:pPr>
      <w:r>
        <w:rPr>
          <w:rFonts w:hint="eastAsia" w:ascii="宋体" w:hAnsi="宋体" w:eastAsia="宋体" w:cs="宋体"/>
          <w:color w:val="auto"/>
          <w:szCs w:val="21"/>
          <w:highlight w:val="none"/>
        </w:rPr>
        <w:t>2.招标人填写本清单，投标人根据工程实际特点补充完善并明确相应的安全管理措施。</w:t>
      </w:r>
    </w:p>
    <w:p w14:paraId="7C2E95F7">
      <w:pPr>
        <w:adjustRightInd w:val="0"/>
        <w:snapToGrid w:val="0"/>
        <w:spacing w:line="360" w:lineRule="auto"/>
        <w:ind w:firstLine="1050" w:firstLineChars="500"/>
        <w:rPr>
          <w:rFonts w:ascii="宋体" w:hAnsi="宋体" w:eastAsia="宋体" w:cs="宋体"/>
          <w:color w:val="auto"/>
          <w:szCs w:val="21"/>
          <w:highlight w:val="none"/>
        </w:rPr>
      </w:pPr>
    </w:p>
    <w:p w14:paraId="4B8C33C1">
      <w:pPr>
        <w:adjustRightInd w:val="0"/>
        <w:snapToGrid w:val="0"/>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szCs w:val="21"/>
          <w:highlight w:val="none"/>
        </w:rPr>
        <w:t>“项目管理机构配备”作为明标评审部分，需按照“电子投标文件</w:t>
      </w:r>
      <w:r>
        <w:rPr>
          <w:rFonts w:hint="eastAsia" w:ascii="宋体" w:hAnsi="宋体" w:eastAsia="宋体" w:cs="宋体"/>
          <w:color w:val="auto"/>
          <w:szCs w:val="21"/>
          <w:highlight w:val="none"/>
          <w:lang w:eastAsia="zh-CN"/>
        </w:rPr>
        <w:t>编制工具</w:t>
      </w:r>
      <w:r>
        <w:rPr>
          <w:rFonts w:hint="eastAsia" w:ascii="宋体" w:hAnsi="宋体" w:eastAsia="宋体" w:cs="宋体"/>
          <w:color w:val="auto"/>
          <w:szCs w:val="21"/>
          <w:highlight w:val="none"/>
        </w:rPr>
        <w:t>”中【明标编辑】的要求以独立文件形式编制。</w:t>
      </w:r>
      <w:r>
        <w:rPr>
          <w:rFonts w:hint="eastAsia" w:ascii="宋体" w:hAnsi="宋体" w:eastAsia="宋体" w:cs="宋体"/>
          <w:color w:val="auto"/>
          <w:highlight w:val="none"/>
        </w:rPr>
        <w:br w:type="page"/>
      </w:r>
    </w:p>
    <w:p w14:paraId="19C32BEB">
      <w:pPr>
        <w:adjustRightInd w:val="0"/>
        <w:snapToGrid w:val="0"/>
        <w:spacing w:line="360" w:lineRule="auto"/>
        <w:ind w:firstLine="602" w:firstLineChars="200"/>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2.投入本招标工程的主要施工机械设备表</w:t>
      </w:r>
    </w:p>
    <w:tbl>
      <w:tblPr>
        <w:tblStyle w:val="42"/>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722"/>
        <w:gridCol w:w="1072"/>
        <w:gridCol w:w="858"/>
        <w:gridCol w:w="858"/>
        <w:gridCol w:w="834"/>
        <w:gridCol w:w="1095"/>
        <w:gridCol w:w="1104"/>
        <w:gridCol w:w="1072"/>
      </w:tblGrid>
      <w:tr w14:paraId="7B38F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4F8A210F">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序号</w:t>
            </w:r>
          </w:p>
        </w:tc>
        <w:tc>
          <w:tcPr>
            <w:tcW w:w="1722" w:type="dxa"/>
            <w:shd w:val="clear" w:color="auto" w:fill="auto"/>
            <w:vAlign w:val="center"/>
          </w:tcPr>
          <w:p w14:paraId="721DFBCF">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机械设备名称</w:t>
            </w:r>
          </w:p>
        </w:tc>
        <w:tc>
          <w:tcPr>
            <w:tcW w:w="1072" w:type="dxa"/>
            <w:shd w:val="clear" w:color="auto" w:fill="auto"/>
            <w:vAlign w:val="center"/>
          </w:tcPr>
          <w:p w14:paraId="58500BE4">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型号</w:t>
            </w:r>
          </w:p>
          <w:p w14:paraId="0E551CFF">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规格</w:t>
            </w:r>
          </w:p>
        </w:tc>
        <w:tc>
          <w:tcPr>
            <w:tcW w:w="858" w:type="dxa"/>
            <w:shd w:val="clear" w:color="auto" w:fill="auto"/>
            <w:vAlign w:val="center"/>
          </w:tcPr>
          <w:p w14:paraId="686343BE">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数量</w:t>
            </w:r>
          </w:p>
        </w:tc>
        <w:tc>
          <w:tcPr>
            <w:tcW w:w="858" w:type="dxa"/>
            <w:shd w:val="clear" w:color="auto" w:fill="auto"/>
            <w:vAlign w:val="center"/>
          </w:tcPr>
          <w:p w14:paraId="4D2C229C">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国别</w:t>
            </w:r>
          </w:p>
          <w:p w14:paraId="769C3F0A">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产地</w:t>
            </w:r>
          </w:p>
        </w:tc>
        <w:tc>
          <w:tcPr>
            <w:tcW w:w="834" w:type="dxa"/>
            <w:shd w:val="clear" w:color="auto" w:fill="auto"/>
            <w:vAlign w:val="center"/>
          </w:tcPr>
          <w:p w14:paraId="60BD501E">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制造</w:t>
            </w:r>
          </w:p>
          <w:p w14:paraId="3FC434AB">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年份</w:t>
            </w:r>
          </w:p>
        </w:tc>
        <w:tc>
          <w:tcPr>
            <w:tcW w:w="1095" w:type="dxa"/>
            <w:shd w:val="clear" w:color="auto" w:fill="auto"/>
            <w:vAlign w:val="center"/>
          </w:tcPr>
          <w:p w14:paraId="1E6B58A2">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额定功率（KW）</w:t>
            </w:r>
          </w:p>
        </w:tc>
        <w:tc>
          <w:tcPr>
            <w:tcW w:w="1104" w:type="dxa"/>
            <w:shd w:val="clear" w:color="auto" w:fill="auto"/>
            <w:vAlign w:val="center"/>
          </w:tcPr>
          <w:p w14:paraId="2235B8EF">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生产</w:t>
            </w:r>
          </w:p>
          <w:p w14:paraId="66712D8A">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能力</w:t>
            </w:r>
          </w:p>
        </w:tc>
        <w:tc>
          <w:tcPr>
            <w:tcW w:w="1072" w:type="dxa"/>
            <w:shd w:val="clear" w:color="auto" w:fill="auto"/>
            <w:vAlign w:val="center"/>
          </w:tcPr>
          <w:p w14:paraId="045161EC">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备注</w:t>
            </w:r>
          </w:p>
        </w:tc>
      </w:tr>
      <w:tr w14:paraId="43E96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5C9DC17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2886696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343AC7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4798DD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396E8DD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4569AB6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60DC295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3BA6FDC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5DB7F6CD">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75D74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76E20BA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5501AEC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ADE9C9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474F105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45CFDB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4AD62DC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39C6CB3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3282319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C6DE9E2">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7128E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1AB7995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344945F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3C90EB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440E476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D97C08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40224F0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13C4D07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103E6D4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C3C65CE">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6F623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3339BDE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1D01651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2A84D8A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94DE23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4D56E36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26905B0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19C5816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186DF7F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0E4D701">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09438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59C5CA3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1632275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347E45E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6AB56C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92282C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6E4C12F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108C5CC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2C06D0B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49DF35C">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5CAFB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44C7FBB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3D93C64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52E1EA4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33C914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812D76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4ED279C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3BC6CDA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0269834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A5A1774">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69A71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4020201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6959BE9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150C8C5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B46C30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5E88C5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746B7A4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187B3E5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1ABDF66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249DFC1B">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7573E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67E7DC6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04EFDC1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15AB78C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5AE459E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0EB0ED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3EFC694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594757E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68A08FD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12B3BEA8">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35877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6C1E002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6B2F127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3A26805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61F0A88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58A4BD2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1CA5376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2C04CF9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7E6D84B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9DC1E97">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2D1A5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0E311C1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7F438D6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B3406A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48E46EC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2131639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629FE97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612A45D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4C9BDBF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CA19057">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5AAF9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287516B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4D60E83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7F6E1F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521C79D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F2CC42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2E0D367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2825CEB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66014F7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44D205A">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27A50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2E86EDE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3B18D4E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5171865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D65C1F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5CF189C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1C466CD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77C759E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1E5C9E0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6D5EBAD3">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1AF47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52D9A90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38B4C3D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6A9F876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4BDBD8A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6FCF8BB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2FEA33F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16CE558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2191BF8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378AE5E0">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3D375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4D3A557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3D22DE6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A6BE24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5B4E71A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6B1A8E3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344D4A1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7BFC3BD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653B759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166B87A1">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0EF74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1B857CB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233118F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6B7C8E2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3E154C8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413A9D0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7BA75B2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6CC5655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44D9D15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54ED6B99">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1DB94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0353250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3A25C52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7E54502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691A9FA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14EC1D0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388D71D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7807875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07F9C3C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3845B173">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79E27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4A114B4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23F4376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120F475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66E0F52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2992C4B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55BB652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2710F41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43DFD2F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69C8B46B">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01ADC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6A8616C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6E96049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4EE919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70DDCCB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20E5B1B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4F978E0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35050A19">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230323F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5EF0C12">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6BE15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14:paraId="2563B0C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722" w:type="dxa"/>
            <w:shd w:val="clear" w:color="auto" w:fill="auto"/>
            <w:vAlign w:val="center"/>
          </w:tcPr>
          <w:p w14:paraId="7B89EF8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0B63D1E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636FEA7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58" w:type="dxa"/>
            <w:shd w:val="clear" w:color="auto" w:fill="auto"/>
            <w:vAlign w:val="center"/>
          </w:tcPr>
          <w:p w14:paraId="06125FE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834" w:type="dxa"/>
            <w:shd w:val="clear" w:color="auto" w:fill="auto"/>
            <w:vAlign w:val="center"/>
          </w:tcPr>
          <w:p w14:paraId="7B2AAE3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95" w:type="dxa"/>
            <w:shd w:val="clear" w:color="auto" w:fill="auto"/>
            <w:vAlign w:val="center"/>
          </w:tcPr>
          <w:p w14:paraId="5817F1D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104" w:type="dxa"/>
            <w:shd w:val="clear" w:color="auto" w:fill="auto"/>
            <w:vAlign w:val="center"/>
          </w:tcPr>
          <w:p w14:paraId="60331D2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1072" w:type="dxa"/>
            <w:shd w:val="clear" w:color="auto" w:fill="auto"/>
            <w:vAlign w:val="center"/>
          </w:tcPr>
          <w:p w14:paraId="44C43A49">
            <w:pPr>
              <w:adjustRightInd w:val="0"/>
              <w:snapToGrid w:val="0"/>
              <w:spacing w:line="360" w:lineRule="auto"/>
              <w:jc w:val="center"/>
              <w:rPr>
                <w:rFonts w:ascii="Times New Roman" w:hAnsi="Times New Roman" w:eastAsia="宋体" w:cs="Courier New"/>
                <w:color w:val="auto"/>
                <w:kern w:val="0"/>
                <w:sz w:val="20"/>
                <w:szCs w:val="20"/>
                <w:highlight w:val="none"/>
              </w:rPr>
            </w:pPr>
          </w:p>
        </w:tc>
      </w:tr>
    </w:tbl>
    <w:p w14:paraId="62CC2EC5">
      <w:pPr>
        <w:spacing w:line="20" w:lineRule="exact"/>
        <w:rPr>
          <w:color w:val="auto"/>
          <w:highlight w:val="none"/>
        </w:rPr>
      </w:pPr>
      <w:r>
        <w:rPr>
          <w:color w:val="auto"/>
          <w:highlight w:val="none"/>
        </w:rPr>
        <w:br w:type="page"/>
      </w:r>
    </w:p>
    <w:p w14:paraId="6C27436F">
      <w:pPr>
        <w:adjustRightInd w:val="0"/>
        <w:snapToGrid w:val="0"/>
        <w:spacing w:line="360" w:lineRule="auto"/>
        <w:ind w:firstLine="602" w:firstLineChars="200"/>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3.劳动力安排计划表</w:t>
      </w:r>
    </w:p>
    <w:p w14:paraId="2F164315">
      <w:pPr>
        <w:adjustRightInd w:val="0"/>
        <w:snapToGrid w:val="0"/>
        <w:spacing w:line="360" w:lineRule="auto"/>
        <w:ind w:firstLine="8085" w:firstLineChars="3850"/>
        <w:rPr>
          <w:rFonts w:ascii="宋体" w:hAnsi="宋体" w:eastAsia="宋体" w:cs="宋体"/>
          <w:color w:val="auto"/>
          <w:szCs w:val="21"/>
          <w:highlight w:val="none"/>
        </w:rPr>
      </w:pPr>
      <w:r>
        <w:rPr>
          <w:rFonts w:hint="eastAsia" w:ascii="宋体" w:hAnsi="宋体" w:eastAsia="宋体" w:cs="宋体"/>
          <w:color w:val="auto"/>
          <w:szCs w:val="21"/>
          <w:highlight w:val="none"/>
        </w:rPr>
        <w:t>单位：人</w:t>
      </w:r>
    </w:p>
    <w:tbl>
      <w:tblPr>
        <w:tblStyle w:val="42"/>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4"/>
        <w:gridCol w:w="1159"/>
        <w:gridCol w:w="1161"/>
        <w:gridCol w:w="1161"/>
        <w:gridCol w:w="1161"/>
        <w:gridCol w:w="1161"/>
        <w:gridCol w:w="1161"/>
        <w:gridCol w:w="1159"/>
      </w:tblGrid>
      <w:tr w14:paraId="5CCB6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vMerge w:val="restart"/>
            <w:shd w:val="clear" w:color="auto" w:fill="auto"/>
            <w:vAlign w:val="center"/>
          </w:tcPr>
          <w:p w14:paraId="6B4E7CA3">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工 种</w:t>
            </w:r>
          </w:p>
          <w:p w14:paraId="6047A2A3">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级 别</w:t>
            </w:r>
          </w:p>
        </w:tc>
        <w:tc>
          <w:tcPr>
            <w:tcW w:w="8123" w:type="dxa"/>
            <w:gridSpan w:val="7"/>
            <w:shd w:val="clear" w:color="auto" w:fill="auto"/>
            <w:vAlign w:val="center"/>
          </w:tcPr>
          <w:p w14:paraId="7C74E515">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按工程施工阶段投入劳动力情况</w:t>
            </w:r>
          </w:p>
        </w:tc>
      </w:tr>
      <w:tr w14:paraId="4F519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vMerge w:val="continue"/>
            <w:shd w:val="clear" w:color="auto" w:fill="auto"/>
            <w:vAlign w:val="center"/>
          </w:tcPr>
          <w:p w14:paraId="4E6CA772">
            <w:pPr>
              <w:adjustRightInd w:val="0"/>
              <w:snapToGrid w:val="0"/>
              <w:jc w:val="center"/>
              <w:rPr>
                <w:rFonts w:ascii="Times New Roman" w:hAnsi="Times New Roman" w:eastAsia="宋体" w:cs="Courier New"/>
                <w:color w:val="auto"/>
                <w:kern w:val="0"/>
                <w:szCs w:val="21"/>
                <w:highlight w:val="none"/>
              </w:rPr>
            </w:pPr>
          </w:p>
        </w:tc>
        <w:tc>
          <w:tcPr>
            <w:tcW w:w="1159" w:type="dxa"/>
            <w:shd w:val="clear" w:color="auto" w:fill="auto"/>
            <w:vAlign w:val="center"/>
          </w:tcPr>
          <w:p w14:paraId="5C92C562">
            <w:pPr>
              <w:adjustRightInd w:val="0"/>
              <w:snapToGrid w:val="0"/>
              <w:jc w:val="center"/>
              <w:rPr>
                <w:rFonts w:ascii="Times New Roman" w:hAnsi="Times New Roman" w:eastAsia="宋体" w:cs="Courier New"/>
                <w:color w:val="auto"/>
                <w:kern w:val="0"/>
                <w:szCs w:val="21"/>
                <w:highlight w:val="none"/>
              </w:rPr>
            </w:pPr>
          </w:p>
        </w:tc>
        <w:tc>
          <w:tcPr>
            <w:tcW w:w="1161" w:type="dxa"/>
            <w:shd w:val="clear" w:color="auto" w:fill="auto"/>
            <w:vAlign w:val="center"/>
          </w:tcPr>
          <w:p w14:paraId="027967EF">
            <w:pPr>
              <w:adjustRightInd w:val="0"/>
              <w:snapToGrid w:val="0"/>
              <w:jc w:val="center"/>
              <w:rPr>
                <w:rFonts w:ascii="Times New Roman" w:hAnsi="Times New Roman" w:eastAsia="宋体" w:cs="Courier New"/>
                <w:color w:val="auto"/>
                <w:kern w:val="0"/>
                <w:szCs w:val="21"/>
                <w:highlight w:val="none"/>
              </w:rPr>
            </w:pPr>
          </w:p>
        </w:tc>
        <w:tc>
          <w:tcPr>
            <w:tcW w:w="1161" w:type="dxa"/>
            <w:shd w:val="clear" w:color="auto" w:fill="auto"/>
            <w:vAlign w:val="center"/>
          </w:tcPr>
          <w:p w14:paraId="19B58B3D">
            <w:pPr>
              <w:adjustRightInd w:val="0"/>
              <w:snapToGrid w:val="0"/>
              <w:jc w:val="center"/>
              <w:rPr>
                <w:rFonts w:ascii="Times New Roman" w:hAnsi="Times New Roman" w:eastAsia="宋体" w:cs="Courier New"/>
                <w:color w:val="auto"/>
                <w:kern w:val="0"/>
                <w:szCs w:val="21"/>
                <w:highlight w:val="none"/>
              </w:rPr>
            </w:pPr>
          </w:p>
        </w:tc>
        <w:tc>
          <w:tcPr>
            <w:tcW w:w="1161" w:type="dxa"/>
            <w:shd w:val="clear" w:color="auto" w:fill="auto"/>
            <w:vAlign w:val="center"/>
          </w:tcPr>
          <w:p w14:paraId="273F778D">
            <w:pPr>
              <w:adjustRightInd w:val="0"/>
              <w:snapToGrid w:val="0"/>
              <w:jc w:val="center"/>
              <w:rPr>
                <w:rFonts w:ascii="Times New Roman" w:hAnsi="Times New Roman" w:eastAsia="宋体" w:cs="Courier New"/>
                <w:color w:val="auto"/>
                <w:kern w:val="0"/>
                <w:szCs w:val="21"/>
                <w:highlight w:val="none"/>
              </w:rPr>
            </w:pPr>
          </w:p>
        </w:tc>
        <w:tc>
          <w:tcPr>
            <w:tcW w:w="1161" w:type="dxa"/>
            <w:shd w:val="clear" w:color="auto" w:fill="auto"/>
            <w:vAlign w:val="center"/>
          </w:tcPr>
          <w:p w14:paraId="0613CAFC">
            <w:pPr>
              <w:adjustRightInd w:val="0"/>
              <w:snapToGrid w:val="0"/>
              <w:jc w:val="center"/>
              <w:rPr>
                <w:rFonts w:ascii="Times New Roman" w:hAnsi="Times New Roman" w:eastAsia="宋体" w:cs="Courier New"/>
                <w:color w:val="auto"/>
                <w:kern w:val="0"/>
                <w:szCs w:val="21"/>
                <w:highlight w:val="none"/>
              </w:rPr>
            </w:pPr>
          </w:p>
        </w:tc>
        <w:tc>
          <w:tcPr>
            <w:tcW w:w="1161" w:type="dxa"/>
            <w:shd w:val="clear" w:color="auto" w:fill="auto"/>
            <w:vAlign w:val="center"/>
          </w:tcPr>
          <w:p w14:paraId="15801987">
            <w:pPr>
              <w:adjustRightInd w:val="0"/>
              <w:snapToGrid w:val="0"/>
              <w:jc w:val="center"/>
              <w:rPr>
                <w:rFonts w:ascii="Times New Roman" w:hAnsi="Times New Roman" w:eastAsia="宋体" w:cs="Courier New"/>
                <w:color w:val="auto"/>
                <w:kern w:val="0"/>
                <w:szCs w:val="21"/>
                <w:highlight w:val="none"/>
              </w:rPr>
            </w:pPr>
          </w:p>
        </w:tc>
        <w:tc>
          <w:tcPr>
            <w:tcW w:w="1159" w:type="dxa"/>
            <w:shd w:val="clear" w:color="auto" w:fill="auto"/>
            <w:vAlign w:val="center"/>
          </w:tcPr>
          <w:p w14:paraId="2BFF959B">
            <w:pPr>
              <w:adjustRightInd w:val="0"/>
              <w:snapToGrid w:val="0"/>
              <w:jc w:val="center"/>
              <w:rPr>
                <w:rFonts w:ascii="Times New Roman" w:hAnsi="Times New Roman" w:eastAsia="宋体" w:cs="Courier New"/>
                <w:color w:val="auto"/>
                <w:kern w:val="0"/>
                <w:szCs w:val="21"/>
                <w:highlight w:val="none"/>
              </w:rPr>
            </w:pPr>
          </w:p>
        </w:tc>
      </w:tr>
      <w:tr w14:paraId="38215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35549C15">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5AF8376C">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3B4803E3">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4B2A605">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9DB8531">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686AE8C5">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647C5302">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54D0AB82">
            <w:pPr>
              <w:adjustRightInd w:val="0"/>
              <w:snapToGrid w:val="0"/>
              <w:spacing w:line="360" w:lineRule="auto"/>
              <w:rPr>
                <w:rFonts w:ascii="Times New Roman" w:hAnsi="Times New Roman" w:eastAsia="宋体" w:cs="Courier New"/>
                <w:color w:val="auto"/>
                <w:kern w:val="0"/>
                <w:sz w:val="20"/>
                <w:szCs w:val="20"/>
                <w:highlight w:val="none"/>
              </w:rPr>
            </w:pPr>
          </w:p>
        </w:tc>
      </w:tr>
      <w:tr w14:paraId="2F13A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1D47E757">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56E1DEA6">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5D6031E">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1E2D865">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6775F596">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393C6594">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455D753">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1DB3B906">
            <w:pPr>
              <w:adjustRightInd w:val="0"/>
              <w:snapToGrid w:val="0"/>
              <w:spacing w:line="360" w:lineRule="auto"/>
              <w:rPr>
                <w:rFonts w:ascii="Times New Roman" w:hAnsi="Times New Roman" w:eastAsia="宋体" w:cs="Courier New"/>
                <w:color w:val="auto"/>
                <w:kern w:val="0"/>
                <w:sz w:val="20"/>
                <w:szCs w:val="20"/>
                <w:highlight w:val="none"/>
              </w:rPr>
            </w:pPr>
          </w:p>
        </w:tc>
      </w:tr>
      <w:tr w14:paraId="4DD1E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305FE243">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253FDDB0">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A69E691">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0468DC4E">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02E4FC5B">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0B5B6346">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0DE7D903">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00EF143E">
            <w:pPr>
              <w:adjustRightInd w:val="0"/>
              <w:snapToGrid w:val="0"/>
              <w:spacing w:line="360" w:lineRule="auto"/>
              <w:rPr>
                <w:rFonts w:ascii="Times New Roman" w:hAnsi="Times New Roman" w:eastAsia="宋体" w:cs="Courier New"/>
                <w:color w:val="auto"/>
                <w:kern w:val="0"/>
                <w:sz w:val="20"/>
                <w:szCs w:val="20"/>
                <w:highlight w:val="none"/>
              </w:rPr>
            </w:pPr>
          </w:p>
        </w:tc>
      </w:tr>
      <w:tr w14:paraId="24E22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25D6914E">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53B11D05">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D61BCC2">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149D964">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5201FDB">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0EA9ED62">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AB77F46">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6E74F2C0">
            <w:pPr>
              <w:adjustRightInd w:val="0"/>
              <w:snapToGrid w:val="0"/>
              <w:spacing w:line="360" w:lineRule="auto"/>
              <w:rPr>
                <w:rFonts w:ascii="Times New Roman" w:hAnsi="Times New Roman" w:eastAsia="宋体" w:cs="Courier New"/>
                <w:color w:val="auto"/>
                <w:kern w:val="0"/>
                <w:sz w:val="20"/>
                <w:szCs w:val="20"/>
                <w:highlight w:val="none"/>
              </w:rPr>
            </w:pPr>
          </w:p>
        </w:tc>
      </w:tr>
      <w:tr w14:paraId="0E4EC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45C404D5">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06239D68">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81736E1">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5FAAE42">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069D3B35">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034A1502">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0E061CF">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770FEEB5">
            <w:pPr>
              <w:adjustRightInd w:val="0"/>
              <w:snapToGrid w:val="0"/>
              <w:spacing w:line="360" w:lineRule="auto"/>
              <w:rPr>
                <w:rFonts w:ascii="Times New Roman" w:hAnsi="Times New Roman" w:eastAsia="宋体" w:cs="Courier New"/>
                <w:color w:val="auto"/>
                <w:kern w:val="0"/>
                <w:sz w:val="20"/>
                <w:szCs w:val="20"/>
                <w:highlight w:val="none"/>
              </w:rPr>
            </w:pPr>
          </w:p>
        </w:tc>
      </w:tr>
      <w:tr w14:paraId="45DF5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33F8C5E3">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3443A101">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ED02204">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CD0E21A">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7A92CFB">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0E4DD46C">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310C6F25">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5AF38C47">
            <w:pPr>
              <w:adjustRightInd w:val="0"/>
              <w:snapToGrid w:val="0"/>
              <w:spacing w:line="360" w:lineRule="auto"/>
              <w:rPr>
                <w:rFonts w:ascii="Times New Roman" w:hAnsi="Times New Roman" w:eastAsia="宋体" w:cs="Courier New"/>
                <w:color w:val="auto"/>
                <w:kern w:val="0"/>
                <w:sz w:val="20"/>
                <w:szCs w:val="20"/>
                <w:highlight w:val="none"/>
              </w:rPr>
            </w:pPr>
          </w:p>
        </w:tc>
      </w:tr>
      <w:tr w14:paraId="2AA39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06801BDD">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515A43C7">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67180B5">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7675E49">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B9EAC2D">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8805458">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60C8A755">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30B33545">
            <w:pPr>
              <w:adjustRightInd w:val="0"/>
              <w:snapToGrid w:val="0"/>
              <w:spacing w:line="360" w:lineRule="auto"/>
              <w:rPr>
                <w:rFonts w:ascii="Times New Roman" w:hAnsi="Times New Roman" w:eastAsia="宋体" w:cs="Courier New"/>
                <w:color w:val="auto"/>
                <w:kern w:val="0"/>
                <w:sz w:val="20"/>
                <w:szCs w:val="20"/>
                <w:highlight w:val="none"/>
              </w:rPr>
            </w:pPr>
          </w:p>
        </w:tc>
      </w:tr>
      <w:tr w14:paraId="4AC0A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50C73501">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7590E4A0">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1B513F0">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E1F5760">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2E6E42E">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1B9F2D1">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3A268E8E">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70EDB87D">
            <w:pPr>
              <w:adjustRightInd w:val="0"/>
              <w:snapToGrid w:val="0"/>
              <w:spacing w:line="360" w:lineRule="auto"/>
              <w:rPr>
                <w:rFonts w:ascii="Times New Roman" w:hAnsi="Times New Roman" w:eastAsia="宋体" w:cs="Courier New"/>
                <w:color w:val="auto"/>
                <w:kern w:val="0"/>
                <w:sz w:val="20"/>
                <w:szCs w:val="20"/>
                <w:highlight w:val="none"/>
              </w:rPr>
            </w:pPr>
          </w:p>
        </w:tc>
      </w:tr>
      <w:tr w14:paraId="7DE18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484B66B2">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4F6444CC">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5C4D242">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0E3025B3">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60670960">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FD975AA">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3E248C3">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73EC874D">
            <w:pPr>
              <w:adjustRightInd w:val="0"/>
              <w:snapToGrid w:val="0"/>
              <w:spacing w:line="360" w:lineRule="auto"/>
              <w:rPr>
                <w:rFonts w:ascii="Times New Roman" w:hAnsi="Times New Roman" w:eastAsia="宋体" w:cs="Courier New"/>
                <w:color w:val="auto"/>
                <w:kern w:val="0"/>
                <w:sz w:val="20"/>
                <w:szCs w:val="20"/>
                <w:highlight w:val="none"/>
              </w:rPr>
            </w:pPr>
          </w:p>
        </w:tc>
      </w:tr>
      <w:tr w14:paraId="0425B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65E72A48">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72C6D0C0">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E39A021">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60BD2AFE">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2A2228A">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DCDCA8B">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6EC2821C">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56D22481">
            <w:pPr>
              <w:adjustRightInd w:val="0"/>
              <w:snapToGrid w:val="0"/>
              <w:spacing w:line="360" w:lineRule="auto"/>
              <w:rPr>
                <w:rFonts w:ascii="Times New Roman" w:hAnsi="Times New Roman" w:eastAsia="宋体" w:cs="Courier New"/>
                <w:color w:val="auto"/>
                <w:kern w:val="0"/>
                <w:sz w:val="20"/>
                <w:szCs w:val="20"/>
                <w:highlight w:val="none"/>
              </w:rPr>
            </w:pPr>
          </w:p>
        </w:tc>
      </w:tr>
      <w:tr w14:paraId="09854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11D64416">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34002AE9">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B1EC890">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692AF2E0">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76604C3">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69F289E">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0ED2366">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07A3F9BF">
            <w:pPr>
              <w:adjustRightInd w:val="0"/>
              <w:snapToGrid w:val="0"/>
              <w:spacing w:line="360" w:lineRule="auto"/>
              <w:rPr>
                <w:rFonts w:ascii="Times New Roman" w:hAnsi="Times New Roman" w:eastAsia="宋体" w:cs="Courier New"/>
                <w:color w:val="auto"/>
                <w:kern w:val="0"/>
                <w:sz w:val="20"/>
                <w:szCs w:val="20"/>
                <w:highlight w:val="none"/>
              </w:rPr>
            </w:pPr>
          </w:p>
        </w:tc>
      </w:tr>
      <w:tr w14:paraId="5C820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2A9A06F0">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673D1755">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B772468">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D09A79E">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5DA1DC2">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3141D018">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3E3A74DA">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1DDD7459">
            <w:pPr>
              <w:adjustRightInd w:val="0"/>
              <w:snapToGrid w:val="0"/>
              <w:spacing w:line="360" w:lineRule="auto"/>
              <w:rPr>
                <w:rFonts w:ascii="Times New Roman" w:hAnsi="Times New Roman" w:eastAsia="宋体" w:cs="Courier New"/>
                <w:color w:val="auto"/>
                <w:kern w:val="0"/>
                <w:sz w:val="20"/>
                <w:szCs w:val="20"/>
                <w:highlight w:val="none"/>
              </w:rPr>
            </w:pPr>
          </w:p>
        </w:tc>
      </w:tr>
      <w:tr w14:paraId="7800C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03E6E86D">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747CAE50">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143DF51">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5324286">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6008B4F2">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6BD5E6C">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F5DB5ED">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295002B5">
            <w:pPr>
              <w:adjustRightInd w:val="0"/>
              <w:snapToGrid w:val="0"/>
              <w:spacing w:line="360" w:lineRule="auto"/>
              <w:rPr>
                <w:rFonts w:ascii="Times New Roman" w:hAnsi="Times New Roman" w:eastAsia="宋体" w:cs="Courier New"/>
                <w:color w:val="auto"/>
                <w:kern w:val="0"/>
                <w:sz w:val="20"/>
                <w:szCs w:val="20"/>
                <w:highlight w:val="none"/>
              </w:rPr>
            </w:pPr>
          </w:p>
        </w:tc>
      </w:tr>
      <w:tr w14:paraId="1BD48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62F64B14">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21CE6695">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186CB75">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A38C55A">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88C7B77">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21212A4">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0DE5462B">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4FFC5A9B">
            <w:pPr>
              <w:adjustRightInd w:val="0"/>
              <w:snapToGrid w:val="0"/>
              <w:spacing w:line="360" w:lineRule="auto"/>
              <w:rPr>
                <w:rFonts w:ascii="Times New Roman" w:hAnsi="Times New Roman" w:eastAsia="宋体" w:cs="Courier New"/>
                <w:color w:val="auto"/>
                <w:kern w:val="0"/>
                <w:sz w:val="20"/>
                <w:szCs w:val="20"/>
                <w:highlight w:val="none"/>
              </w:rPr>
            </w:pPr>
          </w:p>
        </w:tc>
      </w:tr>
      <w:tr w14:paraId="61B45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74A0D838">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1E3BAFB1">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E169119">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42752AC">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6E71D62A">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527F221">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28445567">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642D309A">
            <w:pPr>
              <w:adjustRightInd w:val="0"/>
              <w:snapToGrid w:val="0"/>
              <w:spacing w:line="360" w:lineRule="auto"/>
              <w:rPr>
                <w:rFonts w:ascii="Times New Roman" w:hAnsi="Times New Roman" w:eastAsia="宋体" w:cs="Courier New"/>
                <w:color w:val="auto"/>
                <w:kern w:val="0"/>
                <w:sz w:val="20"/>
                <w:szCs w:val="20"/>
                <w:highlight w:val="none"/>
              </w:rPr>
            </w:pPr>
          </w:p>
        </w:tc>
      </w:tr>
      <w:tr w14:paraId="06507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01A219F9">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089AB74B">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0DB5CBC8">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40744012">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15904FB6">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FF5FF1B">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4E826E0">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54D3F9B8">
            <w:pPr>
              <w:adjustRightInd w:val="0"/>
              <w:snapToGrid w:val="0"/>
              <w:spacing w:line="360" w:lineRule="auto"/>
              <w:rPr>
                <w:rFonts w:ascii="Times New Roman" w:hAnsi="Times New Roman" w:eastAsia="宋体" w:cs="Courier New"/>
                <w:color w:val="auto"/>
                <w:kern w:val="0"/>
                <w:sz w:val="20"/>
                <w:szCs w:val="20"/>
                <w:highlight w:val="none"/>
              </w:rPr>
            </w:pPr>
          </w:p>
        </w:tc>
      </w:tr>
      <w:tr w14:paraId="57638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14:paraId="71D99A23">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66FFAF57">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DAD4438">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5A565CE4">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643B8F9C">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07078EA">
            <w:pPr>
              <w:adjustRightInd w:val="0"/>
              <w:snapToGrid w:val="0"/>
              <w:spacing w:line="360" w:lineRule="auto"/>
              <w:rPr>
                <w:rFonts w:ascii="Times New Roman" w:hAnsi="Times New Roman" w:eastAsia="宋体" w:cs="Courier New"/>
                <w:color w:val="auto"/>
                <w:kern w:val="0"/>
                <w:sz w:val="20"/>
                <w:szCs w:val="20"/>
                <w:highlight w:val="none"/>
              </w:rPr>
            </w:pPr>
          </w:p>
        </w:tc>
        <w:tc>
          <w:tcPr>
            <w:tcW w:w="1161" w:type="dxa"/>
            <w:shd w:val="clear" w:color="auto" w:fill="auto"/>
            <w:vAlign w:val="center"/>
          </w:tcPr>
          <w:p w14:paraId="767B0C1F">
            <w:pPr>
              <w:adjustRightInd w:val="0"/>
              <w:snapToGrid w:val="0"/>
              <w:spacing w:line="360" w:lineRule="auto"/>
              <w:rPr>
                <w:rFonts w:ascii="Times New Roman" w:hAnsi="Times New Roman" w:eastAsia="宋体" w:cs="Courier New"/>
                <w:color w:val="auto"/>
                <w:kern w:val="0"/>
                <w:sz w:val="20"/>
                <w:szCs w:val="20"/>
                <w:highlight w:val="none"/>
              </w:rPr>
            </w:pPr>
          </w:p>
        </w:tc>
        <w:tc>
          <w:tcPr>
            <w:tcW w:w="1159" w:type="dxa"/>
            <w:shd w:val="clear" w:color="auto" w:fill="auto"/>
            <w:vAlign w:val="center"/>
          </w:tcPr>
          <w:p w14:paraId="6CC6A70A">
            <w:pPr>
              <w:adjustRightInd w:val="0"/>
              <w:snapToGrid w:val="0"/>
              <w:spacing w:line="360" w:lineRule="auto"/>
              <w:rPr>
                <w:rFonts w:ascii="Times New Roman" w:hAnsi="Times New Roman" w:eastAsia="宋体" w:cs="Courier New"/>
                <w:color w:val="auto"/>
                <w:kern w:val="0"/>
                <w:sz w:val="20"/>
                <w:szCs w:val="20"/>
                <w:highlight w:val="none"/>
              </w:rPr>
            </w:pPr>
          </w:p>
        </w:tc>
      </w:tr>
    </w:tbl>
    <w:p w14:paraId="6CA448F9">
      <w:pPr>
        <w:adjustRightInd w:val="0"/>
        <w:snapToGrid w:val="0"/>
        <w:spacing w:line="360" w:lineRule="auto"/>
        <w:rPr>
          <w:rFonts w:ascii="楷体_GB2312" w:hAnsi="楷体_GB2312" w:eastAsia="楷体_GB2312" w:cs="楷体_GB2312"/>
          <w:color w:val="auto"/>
          <w:szCs w:val="21"/>
          <w:highlight w:val="none"/>
        </w:rPr>
      </w:pPr>
      <w:r>
        <w:rPr>
          <w:rFonts w:hint="eastAsia" w:ascii="楷体_GB2312" w:hAnsi="楷体_GB2312" w:eastAsia="楷体_GB2312" w:cs="楷体_GB2312"/>
          <w:color w:val="auto"/>
          <w:szCs w:val="21"/>
          <w:highlight w:val="none"/>
        </w:rPr>
        <w:t>注：投标人应接所列格式提交包括分包人在内的估计的劳动力计划表；</w:t>
      </w:r>
    </w:p>
    <w:p w14:paraId="37D0E5F4">
      <w:pPr>
        <w:adjustRightInd w:val="0"/>
        <w:snapToGrid w:val="0"/>
        <w:spacing w:line="360" w:lineRule="auto"/>
        <w:ind w:firstLine="420" w:firstLineChars="200"/>
        <w:rPr>
          <w:rFonts w:ascii="楷体_GB2312" w:eastAsia="楷体_GB2312"/>
          <w:color w:val="auto"/>
          <w:highlight w:val="none"/>
        </w:rPr>
      </w:pPr>
      <w:r>
        <w:rPr>
          <w:rFonts w:hint="eastAsia" w:ascii="楷体_GB2312" w:hAnsi="楷体_GB2312" w:eastAsia="楷体_GB2312" w:cs="楷体_GB2312"/>
          <w:color w:val="auto"/>
          <w:szCs w:val="21"/>
          <w:highlight w:val="none"/>
        </w:rPr>
        <w:t>本计划表是以每班八小时工作制为基础的。</w:t>
      </w:r>
      <w:r>
        <w:rPr>
          <w:rFonts w:ascii="楷体_GB2312" w:eastAsia="楷体_GB2312"/>
          <w:color w:val="auto"/>
          <w:highlight w:val="none"/>
        </w:rPr>
        <w:br w:type="page"/>
      </w:r>
    </w:p>
    <w:p w14:paraId="05551555">
      <w:pPr>
        <w:adjustRightInd w:val="0"/>
        <w:snapToGrid w:val="0"/>
        <w:spacing w:line="360" w:lineRule="auto"/>
        <w:ind w:firstLine="602" w:firstLineChars="200"/>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4.计划开、竣工日期和施工进度网络图</w:t>
      </w:r>
    </w:p>
    <w:p w14:paraId="2EE2F177">
      <w:pPr>
        <w:adjustRightInd w:val="0"/>
        <w:snapToGrid w:val="0"/>
        <w:spacing w:line="360" w:lineRule="auto"/>
        <w:ind w:firstLine="480"/>
        <w:rPr>
          <w:color w:val="auto"/>
          <w:highlight w:val="none"/>
        </w:rPr>
      </w:pPr>
      <w:r>
        <w:rPr>
          <w:rFonts w:hint="eastAsia"/>
          <w:color w:val="auto"/>
          <w:highlight w:val="none"/>
        </w:rPr>
        <w:t>…………</w:t>
      </w:r>
    </w:p>
    <w:p w14:paraId="7F2A1667">
      <w:pPr>
        <w:adjustRightInd w:val="0"/>
        <w:snapToGrid w:val="0"/>
        <w:spacing w:line="360" w:lineRule="auto"/>
        <w:ind w:firstLine="480"/>
        <w:rPr>
          <w:color w:val="auto"/>
          <w:highlight w:val="none"/>
        </w:rPr>
      </w:pPr>
    </w:p>
    <w:p w14:paraId="04B3D3B1">
      <w:pPr>
        <w:adjustRightInd w:val="0"/>
        <w:snapToGrid w:val="0"/>
        <w:spacing w:line="360" w:lineRule="auto"/>
        <w:ind w:firstLine="420" w:firstLineChars="200"/>
        <w:rPr>
          <w:rFonts w:ascii="楷体_GB2312" w:eastAsia="楷体_GB2312"/>
          <w:color w:val="auto"/>
          <w:szCs w:val="21"/>
          <w:highlight w:val="none"/>
        </w:rPr>
      </w:pPr>
      <w:r>
        <w:rPr>
          <w:rFonts w:hint="eastAsia" w:ascii="楷体_GB2312" w:eastAsia="楷体_GB2312"/>
          <w:color w:val="auto"/>
          <w:szCs w:val="21"/>
          <w:highlight w:val="none"/>
        </w:rPr>
        <w:t>注：投标人应提交的施工进度网络图或施工进度表，说明按招标文件要求的工期进行施工的各个关键日期。中标的投标人还要按合同条件有关条款的要求提交详细的施工进度计划。</w:t>
      </w:r>
    </w:p>
    <w:p w14:paraId="0F4001EC">
      <w:pPr>
        <w:adjustRightInd w:val="0"/>
        <w:snapToGrid w:val="0"/>
        <w:spacing w:line="360" w:lineRule="auto"/>
        <w:ind w:firstLine="420" w:firstLineChars="200"/>
        <w:rPr>
          <w:rFonts w:ascii="楷体_GB2312" w:eastAsia="楷体_GB2312"/>
          <w:color w:val="auto"/>
          <w:szCs w:val="21"/>
          <w:highlight w:val="none"/>
        </w:rPr>
      </w:pPr>
      <w:r>
        <w:rPr>
          <w:rFonts w:hint="eastAsia" w:ascii="楷体_GB2312" w:eastAsia="楷体_GB2312"/>
          <w:color w:val="auto"/>
          <w:szCs w:val="21"/>
          <w:highlight w:val="none"/>
        </w:rPr>
        <w:t>施工进度表可采用关键线路网络图（或横道图）表示，说明计划开工日期和各分项工程各阶段的完工日期和分包合同签订的日期。</w:t>
      </w:r>
    </w:p>
    <w:p w14:paraId="23D5262B">
      <w:pPr>
        <w:adjustRightInd w:val="0"/>
        <w:snapToGrid w:val="0"/>
        <w:spacing w:line="360" w:lineRule="auto"/>
        <w:ind w:firstLine="420" w:firstLineChars="200"/>
        <w:rPr>
          <w:rFonts w:ascii="楷体_GB2312" w:eastAsia="楷体_GB2312"/>
          <w:color w:val="auto"/>
          <w:highlight w:val="none"/>
        </w:rPr>
      </w:pPr>
      <w:r>
        <w:rPr>
          <w:rFonts w:hint="eastAsia" w:ascii="楷体_GB2312" w:eastAsia="楷体_GB2312"/>
          <w:color w:val="auto"/>
          <w:szCs w:val="21"/>
          <w:highlight w:val="none"/>
        </w:rPr>
        <w:t>施工进度计划应与施工组织设计或施工方案相适应。</w:t>
      </w:r>
      <w:r>
        <w:rPr>
          <w:rFonts w:ascii="楷体_GB2312" w:eastAsia="楷体_GB2312"/>
          <w:color w:val="auto"/>
          <w:highlight w:val="none"/>
        </w:rPr>
        <w:br w:type="page"/>
      </w:r>
    </w:p>
    <w:p w14:paraId="245BEF32">
      <w:pPr>
        <w:adjustRightInd w:val="0"/>
        <w:snapToGrid w:val="0"/>
        <w:spacing w:line="360" w:lineRule="auto"/>
        <w:ind w:firstLine="602" w:firstLineChars="200"/>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5.施工总平面布置图</w:t>
      </w:r>
    </w:p>
    <w:p w14:paraId="18C7A01A">
      <w:pPr>
        <w:adjustRightInd w:val="0"/>
        <w:snapToGrid w:val="0"/>
        <w:spacing w:line="360" w:lineRule="auto"/>
        <w:ind w:firstLine="420" w:firstLineChars="200"/>
        <w:rPr>
          <w:color w:val="auto"/>
          <w:highlight w:val="none"/>
        </w:rPr>
      </w:pPr>
      <w:r>
        <w:rPr>
          <w:rFonts w:hint="eastAsia"/>
          <w:color w:val="auto"/>
          <w:highlight w:val="none"/>
        </w:rPr>
        <w:t>…………</w:t>
      </w:r>
    </w:p>
    <w:p w14:paraId="26A00E8F">
      <w:pPr>
        <w:adjustRightInd w:val="0"/>
        <w:snapToGrid w:val="0"/>
        <w:spacing w:line="360" w:lineRule="auto"/>
        <w:ind w:firstLine="420" w:firstLineChars="200"/>
        <w:rPr>
          <w:rFonts w:ascii="楷体_GB2312" w:eastAsia="楷体_GB2312"/>
          <w:color w:val="auto"/>
          <w:highlight w:val="none"/>
        </w:rPr>
      </w:pPr>
      <w:r>
        <w:rPr>
          <w:rFonts w:hint="eastAsia" w:ascii="楷体_GB2312" w:eastAsia="楷体_GB2312"/>
          <w:color w:val="auto"/>
          <w:szCs w:val="21"/>
          <w:highlight w:val="none"/>
        </w:rPr>
        <w:t>注：投标人应提交一份施工总平面图，给出现场临时设施布置图表并附文字说明，说明临时设施、加工车间、现场办公、设备及仓储、供电、供水、卫生、生活等设施的情况和布置。</w:t>
      </w:r>
      <w:r>
        <w:rPr>
          <w:rFonts w:ascii="楷体_GB2312" w:eastAsia="楷体_GB2312"/>
          <w:color w:val="auto"/>
          <w:highlight w:val="none"/>
        </w:rPr>
        <w:br w:type="page"/>
      </w:r>
    </w:p>
    <w:p w14:paraId="3F2C277F">
      <w:pPr>
        <w:adjustRightInd w:val="0"/>
        <w:snapToGrid w:val="0"/>
        <w:spacing w:line="360" w:lineRule="auto"/>
        <w:ind w:firstLine="602" w:firstLineChars="200"/>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6.临时用地表</w:t>
      </w:r>
    </w:p>
    <w:tbl>
      <w:tblPr>
        <w:tblStyle w:val="42"/>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6"/>
        <w:gridCol w:w="2268"/>
        <w:gridCol w:w="2352"/>
        <w:gridCol w:w="2352"/>
      </w:tblGrid>
      <w:tr w14:paraId="7CF7D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15216CF5">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用  途</w:t>
            </w:r>
          </w:p>
        </w:tc>
        <w:tc>
          <w:tcPr>
            <w:tcW w:w="2268" w:type="dxa"/>
            <w:shd w:val="clear" w:color="auto" w:fill="auto"/>
            <w:vAlign w:val="center"/>
          </w:tcPr>
          <w:p w14:paraId="7263F637">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面积（平方米）</w:t>
            </w:r>
          </w:p>
        </w:tc>
        <w:tc>
          <w:tcPr>
            <w:tcW w:w="2352" w:type="dxa"/>
            <w:shd w:val="clear" w:color="auto" w:fill="auto"/>
            <w:vAlign w:val="center"/>
          </w:tcPr>
          <w:p w14:paraId="67B3B046">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位  置</w:t>
            </w:r>
          </w:p>
        </w:tc>
        <w:tc>
          <w:tcPr>
            <w:tcW w:w="2352" w:type="dxa"/>
            <w:shd w:val="clear" w:color="auto" w:fill="auto"/>
            <w:vAlign w:val="center"/>
          </w:tcPr>
          <w:p w14:paraId="3D7B33B6">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需用时间</w:t>
            </w:r>
          </w:p>
        </w:tc>
      </w:tr>
      <w:tr w14:paraId="5CA08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23CB38F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5EFF415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64210A7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6FB46582">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3BA9F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6777FEB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341D299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621E2BB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774EB96E">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0C9B8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387A5E3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2F69EB9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4AD2FA2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5B366E8B">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68E78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31E4354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6997180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69C2F19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4EB12AF7">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39174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7E5AEDC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57BEF1D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274B99E1">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2B33DED7">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11268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60F7B17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0CA2258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1853B7A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4926B083">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51EBF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187E81F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4C27857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7BB85CF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191230C8">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57FBB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094A1B7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7E7BF2C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0C49EA4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10913BA8">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02B20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360FDDC5">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046E062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1E4B8CB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67AF50D8">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39DC5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7C33FAF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49881FA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0420B8E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1695B633">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3AEC3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3AD32F6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0BC28A2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0B62963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1CDC1D6A">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1C657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4CDF9B90">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0051D2AB">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18377C9D">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2AB72CF4">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2C7B3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0A54BE9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228D11B3">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1FE7A6C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3DB97DA7">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6427A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70D8577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6A20451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3165FEE4">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686ECCF0">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25370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25A56F6F">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6084A4F2">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6FD847D6">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5E2787E4">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098A7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3003552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0AE1381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7D4EB09A">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52F59D30">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61A5B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6B90E91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0A2ECCF8">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6101592C">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47553C15">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1751F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4D3C9D5E">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268" w:type="dxa"/>
            <w:shd w:val="clear" w:color="auto" w:fill="auto"/>
            <w:vAlign w:val="center"/>
          </w:tcPr>
          <w:p w14:paraId="4E91091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45D2F147">
            <w:pPr>
              <w:adjustRightInd w:val="0"/>
              <w:snapToGrid w:val="0"/>
              <w:spacing w:line="360" w:lineRule="auto"/>
              <w:jc w:val="center"/>
              <w:rPr>
                <w:rFonts w:ascii="Times New Roman" w:hAnsi="Times New Roman" w:eastAsia="宋体" w:cs="Courier New"/>
                <w:color w:val="auto"/>
                <w:kern w:val="0"/>
                <w:sz w:val="20"/>
                <w:szCs w:val="20"/>
                <w:highlight w:val="none"/>
              </w:rPr>
            </w:pPr>
          </w:p>
        </w:tc>
        <w:tc>
          <w:tcPr>
            <w:tcW w:w="2352" w:type="dxa"/>
            <w:shd w:val="clear" w:color="auto" w:fill="auto"/>
            <w:vAlign w:val="center"/>
          </w:tcPr>
          <w:p w14:paraId="76E81B72">
            <w:pPr>
              <w:adjustRightInd w:val="0"/>
              <w:snapToGrid w:val="0"/>
              <w:spacing w:line="360" w:lineRule="auto"/>
              <w:jc w:val="center"/>
              <w:rPr>
                <w:rFonts w:ascii="Times New Roman" w:hAnsi="Times New Roman" w:eastAsia="宋体" w:cs="Courier New"/>
                <w:color w:val="auto"/>
                <w:kern w:val="0"/>
                <w:sz w:val="20"/>
                <w:szCs w:val="20"/>
                <w:highlight w:val="none"/>
              </w:rPr>
            </w:pPr>
          </w:p>
        </w:tc>
      </w:tr>
      <w:tr w14:paraId="5A517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316" w:type="dxa"/>
            <w:shd w:val="clear" w:color="auto" w:fill="auto"/>
            <w:vAlign w:val="center"/>
          </w:tcPr>
          <w:p w14:paraId="4C504B15">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合    计</w:t>
            </w:r>
          </w:p>
        </w:tc>
        <w:tc>
          <w:tcPr>
            <w:tcW w:w="2268" w:type="dxa"/>
            <w:shd w:val="clear" w:color="auto" w:fill="auto"/>
            <w:vAlign w:val="center"/>
          </w:tcPr>
          <w:p w14:paraId="387E5E7B">
            <w:pPr>
              <w:adjustRightInd w:val="0"/>
              <w:snapToGrid w:val="0"/>
              <w:jc w:val="center"/>
              <w:rPr>
                <w:rFonts w:ascii="Times New Roman" w:hAnsi="Times New Roman" w:eastAsia="宋体" w:cs="Courier New"/>
                <w:color w:val="auto"/>
                <w:kern w:val="0"/>
                <w:szCs w:val="21"/>
                <w:highlight w:val="none"/>
              </w:rPr>
            </w:pPr>
          </w:p>
        </w:tc>
        <w:tc>
          <w:tcPr>
            <w:tcW w:w="2352" w:type="dxa"/>
            <w:shd w:val="clear" w:color="auto" w:fill="auto"/>
            <w:vAlign w:val="center"/>
          </w:tcPr>
          <w:p w14:paraId="4779C099">
            <w:pPr>
              <w:adjustRightInd w:val="0"/>
              <w:snapToGrid w:val="0"/>
              <w:jc w:val="center"/>
              <w:rPr>
                <w:rFonts w:ascii="Times New Roman" w:hAnsi="Times New Roman" w:eastAsia="宋体" w:cs="Courier New"/>
                <w:color w:val="auto"/>
                <w:kern w:val="0"/>
                <w:szCs w:val="21"/>
                <w:highlight w:val="none"/>
              </w:rPr>
            </w:pPr>
          </w:p>
        </w:tc>
        <w:tc>
          <w:tcPr>
            <w:tcW w:w="2352" w:type="dxa"/>
            <w:shd w:val="clear" w:color="auto" w:fill="auto"/>
            <w:vAlign w:val="center"/>
          </w:tcPr>
          <w:p w14:paraId="7C28A3AD">
            <w:pPr>
              <w:adjustRightInd w:val="0"/>
              <w:snapToGrid w:val="0"/>
              <w:jc w:val="center"/>
              <w:rPr>
                <w:rFonts w:ascii="Times New Roman" w:hAnsi="Times New Roman" w:eastAsia="宋体" w:cs="Courier New"/>
                <w:color w:val="auto"/>
                <w:kern w:val="0"/>
                <w:szCs w:val="21"/>
                <w:highlight w:val="none"/>
              </w:rPr>
            </w:pPr>
          </w:p>
        </w:tc>
      </w:tr>
    </w:tbl>
    <w:p w14:paraId="711ECFC8">
      <w:pPr>
        <w:adjustRightInd w:val="0"/>
        <w:snapToGrid w:val="0"/>
        <w:spacing w:line="360" w:lineRule="auto"/>
        <w:rPr>
          <w:rFonts w:ascii="楷体_GB2312" w:eastAsia="楷体_GB2312"/>
          <w:color w:val="auto"/>
          <w:highlight w:val="none"/>
        </w:rPr>
      </w:pPr>
      <w:r>
        <w:rPr>
          <w:rFonts w:hint="eastAsia" w:ascii="楷体_GB2312" w:eastAsia="楷体_GB2312"/>
          <w:color w:val="auto"/>
          <w:szCs w:val="21"/>
          <w:highlight w:val="none"/>
        </w:rPr>
        <w:t>注：投标人应逐项填写本表，指出全部临时设施用地面积以及详细用途。</w:t>
      </w:r>
      <w:r>
        <w:rPr>
          <w:rFonts w:ascii="楷体_GB2312" w:eastAsia="楷体_GB2312"/>
          <w:color w:val="auto"/>
          <w:highlight w:val="none"/>
        </w:rPr>
        <w:br w:type="page"/>
      </w:r>
    </w:p>
    <w:p w14:paraId="7BD2C79F">
      <w:pPr>
        <w:adjustRightInd w:val="0"/>
        <w:snapToGrid w:val="0"/>
        <w:spacing w:line="360" w:lineRule="auto"/>
        <w:jc w:val="cente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二、项目管理机构配备情况</w:t>
      </w:r>
    </w:p>
    <w:p w14:paraId="164A7FB9">
      <w:pPr>
        <w:adjustRightInd w:val="0"/>
        <w:snapToGrid w:val="0"/>
        <w:spacing w:line="360" w:lineRule="auto"/>
        <w:ind w:firstLine="602" w:firstLineChars="200"/>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1.项目管理机构配备情况表</w:t>
      </w:r>
    </w:p>
    <w:tbl>
      <w:tblPr>
        <w:tblStyle w:val="42"/>
        <w:tblpPr w:leftFromText="180" w:rightFromText="180" w:vertAnchor="text" w:horzAnchor="page" w:tblpX="1432" w:tblpY="90"/>
        <w:tblOverlap w:val="never"/>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759"/>
        <w:gridCol w:w="758"/>
        <w:gridCol w:w="1137"/>
        <w:gridCol w:w="758"/>
        <w:gridCol w:w="758"/>
        <w:gridCol w:w="758"/>
        <w:gridCol w:w="1518"/>
        <w:gridCol w:w="947"/>
        <w:gridCol w:w="1135"/>
      </w:tblGrid>
      <w:tr w14:paraId="348EF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vMerge w:val="restart"/>
            <w:shd w:val="clear" w:color="auto" w:fill="auto"/>
            <w:vAlign w:val="center"/>
          </w:tcPr>
          <w:p w14:paraId="0DAA4F3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759" w:type="dxa"/>
            <w:vMerge w:val="restart"/>
            <w:shd w:val="clear" w:color="auto" w:fill="auto"/>
            <w:vAlign w:val="center"/>
          </w:tcPr>
          <w:p w14:paraId="5BFCECE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758" w:type="dxa"/>
            <w:vMerge w:val="restart"/>
            <w:shd w:val="clear" w:color="auto" w:fill="auto"/>
            <w:vAlign w:val="center"/>
          </w:tcPr>
          <w:p w14:paraId="7131AE6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4929" w:type="dxa"/>
            <w:gridSpan w:val="5"/>
            <w:shd w:val="clear" w:color="auto" w:fill="auto"/>
            <w:vAlign w:val="center"/>
          </w:tcPr>
          <w:p w14:paraId="19AAA48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上岗资格证明</w:t>
            </w:r>
          </w:p>
        </w:tc>
        <w:tc>
          <w:tcPr>
            <w:tcW w:w="2082" w:type="dxa"/>
            <w:gridSpan w:val="2"/>
            <w:shd w:val="clear" w:color="auto" w:fill="auto"/>
            <w:vAlign w:val="center"/>
          </w:tcPr>
          <w:p w14:paraId="7F84EB1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已承担在建工程</w:t>
            </w:r>
          </w:p>
          <w:p w14:paraId="0A6E87B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情  况</w:t>
            </w:r>
          </w:p>
        </w:tc>
      </w:tr>
      <w:tr w14:paraId="6A65F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vMerge w:val="continue"/>
            <w:shd w:val="clear" w:color="auto" w:fill="auto"/>
            <w:vAlign w:val="center"/>
          </w:tcPr>
          <w:p w14:paraId="4F8F5677">
            <w:pPr>
              <w:adjustRightInd w:val="0"/>
              <w:snapToGrid w:val="0"/>
              <w:jc w:val="center"/>
              <w:rPr>
                <w:rFonts w:ascii="宋体" w:hAnsi="宋体" w:eastAsia="宋体" w:cs="宋体"/>
                <w:color w:val="auto"/>
                <w:kern w:val="0"/>
                <w:szCs w:val="21"/>
                <w:highlight w:val="none"/>
              </w:rPr>
            </w:pPr>
          </w:p>
        </w:tc>
        <w:tc>
          <w:tcPr>
            <w:tcW w:w="759" w:type="dxa"/>
            <w:vMerge w:val="continue"/>
            <w:shd w:val="clear" w:color="auto" w:fill="auto"/>
            <w:vAlign w:val="center"/>
          </w:tcPr>
          <w:p w14:paraId="36D95038">
            <w:pPr>
              <w:adjustRightInd w:val="0"/>
              <w:snapToGrid w:val="0"/>
              <w:jc w:val="center"/>
              <w:rPr>
                <w:rFonts w:ascii="宋体" w:hAnsi="宋体" w:eastAsia="宋体" w:cs="宋体"/>
                <w:color w:val="auto"/>
                <w:kern w:val="0"/>
                <w:szCs w:val="21"/>
                <w:highlight w:val="none"/>
              </w:rPr>
            </w:pPr>
          </w:p>
        </w:tc>
        <w:tc>
          <w:tcPr>
            <w:tcW w:w="758" w:type="dxa"/>
            <w:vMerge w:val="continue"/>
            <w:shd w:val="clear" w:color="auto" w:fill="auto"/>
            <w:vAlign w:val="center"/>
          </w:tcPr>
          <w:p w14:paraId="645C029C">
            <w:pPr>
              <w:adjustRightInd w:val="0"/>
              <w:snapToGrid w:val="0"/>
              <w:jc w:val="center"/>
              <w:rPr>
                <w:rFonts w:ascii="宋体" w:hAnsi="宋体" w:eastAsia="宋体" w:cs="宋体"/>
                <w:color w:val="auto"/>
                <w:kern w:val="0"/>
                <w:szCs w:val="21"/>
                <w:highlight w:val="none"/>
              </w:rPr>
            </w:pPr>
          </w:p>
        </w:tc>
        <w:tc>
          <w:tcPr>
            <w:tcW w:w="1137" w:type="dxa"/>
            <w:shd w:val="clear" w:color="auto" w:fill="auto"/>
            <w:vAlign w:val="center"/>
          </w:tcPr>
          <w:p w14:paraId="6A68D78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证书名称</w:t>
            </w:r>
          </w:p>
        </w:tc>
        <w:tc>
          <w:tcPr>
            <w:tcW w:w="758" w:type="dxa"/>
            <w:shd w:val="clear" w:color="auto" w:fill="auto"/>
            <w:vAlign w:val="center"/>
          </w:tcPr>
          <w:p w14:paraId="4B10A3E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级别</w:t>
            </w:r>
          </w:p>
        </w:tc>
        <w:tc>
          <w:tcPr>
            <w:tcW w:w="758" w:type="dxa"/>
            <w:shd w:val="clear" w:color="auto" w:fill="auto"/>
            <w:vAlign w:val="center"/>
          </w:tcPr>
          <w:p w14:paraId="6CFFBC9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证号</w:t>
            </w:r>
          </w:p>
        </w:tc>
        <w:tc>
          <w:tcPr>
            <w:tcW w:w="758" w:type="dxa"/>
            <w:shd w:val="clear" w:color="auto" w:fill="auto"/>
            <w:vAlign w:val="center"/>
          </w:tcPr>
          <w:p w14:paraId="7AA1466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专业</w:t>
            </w:r>
          </w:p>
        </w:tc>
        <w:tc>
          <w:tcPr>
            <w:tcW w:w="1518" w:type="dxa"/>
            <w:shd w:val="clear" w:color="auto" w:fill="auto"/>
            <w:vAlign w:val="center"/>
          </w:tcPr>
          <w:p w14:paraId="1127D1E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原服务单位</w:t>
            </w:r>
          </w:p>
        </w:tc>
        <w:tc>
          <w:tcPr>
            <w:tcW w:w="947" w:type="dxa"/>
            <w:shd w:val="clear" w:color="auto" w:fill="auto"/>
            <w:vAlign w:val="center"/>
          </w:tcPr>
          <w:p w14:paraId="4AEB847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项目数</w:t>
            </w:r>
          </w:p>
        </w:tc>
        <w:tc>
          <w:tcPr>
            <w:tcW w:w="1135" w:type="dxa"/>
            <w:shd w:val="clear" w:color="auto" w:fill="auto"/>
            <w:vAlign w:val="center"/>
          </w:tcPr>
          <w:p w14:paraId="1D47C1D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r>
      <w:tr w14:paraId="58218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73D0898A">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441BB8B5">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7D888FBA">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686C13BD">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7ABE1C7B">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4A14C718">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14D0FF20">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3BAD68AD">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2FECB483">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0078619A">
            <w:pPr>
              <w:adjustRightInd w:val="0"/>
              <w:snapToGrid w:val="0"/>
              <w:spacing w:line="360" w:lineRule="auto"/>
              <w:jc w:val="center"/>
              <w:rPr>
                <w:rFonts w:ascii="宋体" w:hAnsi="宋体" w:eastAsia="宋体" w:cs="宋体"/>
                <w:color w:val="auto"/>
                <w:kern w:val="0"/>
                <w:sz w:val="20"/>
                <w:szCs w:val="21"/>
                <w:highlight w:val="none"/>
              </w:rPr>
            </w:pPr>
          </w:p>
        </w:tc>
      </w:tr>
      <w:tr w14:paraId="75902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36E47C2E">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2CD56738">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6D0BEDE2">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3DDEB928">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44DEEA16">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1DB35CC2">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77E43839">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54B8071F">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1FEDCC8F">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3CDAFAB9">
            <w:pPr>
              <w:adjustRightInd w:val="0"/>
              <w:snapToGrid w:val="0"/>
              <w:spacing w:line="360" w:lineRule="auto"/>
              <w:jc w:val="center"/>
              <w:rPr>
                <w:rFonts w:ascii="宋体" w:hAnsi="宋体" w:eastAsia="宋体" w:cs="宋体"/>
                <w:color w:val="auto"/>
                <w:kern w:val="0"/>
                <w:sz w:val="20"/>
                <w:szCs w:val="21"/>
                <w:highlight w:val="none"/>
              </w:rPr>
            </w:pPr>
          </w:p>
        </w:tc>
      </w:tr>
      <w:tr w14:paraId="1EA2B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4B595CF6">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6A531DEC">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0029AD1E">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4C844A82">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766842DF">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39077623">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44CB0730">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5B2755D8">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295C1853">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6873D094">
            <w:pPr>
              <w:adjustRightInd w:val="0"/>
              <w:snapToGrid w:val="0"/>
              <w:spacing w:line="360" w:lineRule="auto"/>
              <w:jc w:val="center"/>
              <w:rPr>
                <w:rFonts w:ascii="宋体" w:hAnsi="宋体" w:eastAsia="宋体" w:cs="宋体"/>
                <w:color w:val="auto"/>
                <w:kern w:val="0"/>
                <w:sz w:val="20"/>
                <w:szCs w:val="21"/>
                <w:highlight w:val="none"/>
              </w:rPr>
            </w:pPr>
          </w:p>
        </w:tc>
      </w:tr>
      <w:tr w14:paraId="3C4EC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6DD3896C">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70BFD85E">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2795B780">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5C8A188B">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66473872">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73E3B84B">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EBFB853">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65495F1C">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78E2311C">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57811F56">
            <w:pPr>
              <w:adjustRightInd w:val="0"/>
              <w:snapToGrid w:val="0"/>
              <w:spacing w:line="360" w:lineRule="auto"/>
              <w:jc w:val="center"/>
              <w:rPr>
                <w:rFonts w:ascii="宋体" w:hAnsi="宋体" w:eastAsia="宋体" w:cs="宋体"/>
                <w:color w:val="auto"/>
                <w:kern w:val="0"/>
                <w:sz w:val="20"/>
                <w:szCs w:val="21"/>
                <w:highlight w:val="none"/>
              </w:rPr>
            </w:pPr>
          </w:p>
        </w:tc>
      </w:tr>
      <w:tr w14:paraId="39F8B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0AB83C2A">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24D875D1">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012FE3FD">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46D87B0D">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45A387AF">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19414E95">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055673BD">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62BDB732">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04A76608">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24E3E8D4">
            <w:pPr>
              <w:adjustRightInd w:val="0"/>
              <w:snapToGrid w:val="0"/>
              <w:spacing w:line="360" w:lineRule="auto"/>
              <w:jc w:val="center"/>
              <w:rPr>
                <w:rFonts w:ascii="宋体" w:hAnsi="宋体" w:eastAsia="宋体" w:cs="宋体"/>
                <w:color w:val="auto"/>
                <w:kern w:val="0"/>
                <w:sz w:val="20"/>
                <w:szCs w:val="21"/>
                <w:highlight w:val="none"/>
              </w:rPr>
            </w:pPr>
          </w:p>
        </w:tc>
      </w:tr>
      <w:tr w14:paraId="7F6A1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72C16FA2">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673FFD93">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7F227E5D">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06541E3D">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40AF7B55">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7C74CCEA">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01056274">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404D187D">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336FCFD6">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6D0BEE32">
            <w:pPr>
              <w:adjustRightInd w:val="0"/>
              <w:snapToGrid w:val="0"/>
              <w:spacing w:line="360" w:lineRule="auto"/>
              <w:jc w:val="center"/>
              <w:rPr>
                <w:rFonts w:ascii="宋体" w:hAnsi="宋体" w:eastAsia="宋体" w:cs="宋体"/>
                <w:color w:val="auto"/>
                <w:kern w:val="0"/>
                <w:sz w:val="20"/>
                <w:szCs w:val="21"/>
                <w:highlight w:val="none"/>
              </w:rPr>
            </w:pPr>
          </w:p>
        </w:tc>
      </w:tr>
      <w:tr w14:paraId="4E0FF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68E4F651">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0593BC5F">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484FF0AA">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5817B741">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28E182BA">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29F3AD6C">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1AB0959D">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538D9B74">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28DA3BFB">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2019154E">
            <w:pPr>
              <w:adjustRightInd w:val="0"/>
              <w:snapToGrid w:val="0"/>
              <w:spacing w:line="360" w:lineRule="auto"/>
              <w:jc w:val="center"/>
              <w:rPr>
                <w:rFonts w:ascii="宋体" w:hAnsi="宋体" w:eastAsia="宋体" w:cs="宋体"/>
                <w:color w:val="auto"/>
                <w:kern w:val="0"/>
                <w:sz w:val="20"/>
                <w:szCs w:val="21"/>
                <w:highlight w:val="none"/>
              </w:rPr>
            </w:pPr>
          </w:p>
        </w:tc>
      </w:tr>
      <w:tr w14:paraId="7D15A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7BEA7054">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2882C51A">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175D83B">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692D85A4">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380BDADB">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231C5089">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7D572FF7">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2DE1ABDF">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7ED5C05E">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173653EA">
            <w:pPr>
              <w:adjustRightInd w:val="0"/>
              <w:snapToGrid w:val="0"/>
              <w:spacing w:line="360" w:lineRule="auto"/>
              <w:jc w:val="center"/>
              <w:rPr>
                <w:rFonts w:ascii="宋体" w:hAnsi="宋体" w:eastAsia="宋体" w:cs="宋体"/>
                <w:color w:val="auto"/>
                <w:kern w:val="0"/>
                <w:sz w:val="20"/>
                <w:szCs w:val="21"/>
                <w:highlight w:val="none"/>
              </w:rPr>
            </w:pPr>
          </w:p>
        </w:tc>
      </w:tr>
      <w:tr w14:paraId="62D4B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67783742">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200BC8D2">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40D321F">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053EE132">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4D91451">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3D1133F6">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2C39524">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653A86E8">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7069BC56">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39D58C9E">
            <w:pPr>
              <w:adjustRightInd w:val="0"/>
              <w:snapToGrid w:val="0"/>
              <w:spacing w:line="360" w:lineRule="auto"/>
              <w:jc w:val="center"/>
              <w:rPr>
                <w:rFonts w:ascii="宋体" w:hAnsi="宋体" w:eastAsia="宋体" w:cs="宋体"/>
                <w:color w:val="auto"/>
                <w:kern w:val="0"/>
                <w:sz w:val="20"/>
                <w:szCs w:val="21"/>
                <w:highlight w:val="none"/>
              </w:rPr>
            </w:pPr>
          </w:p>
        </w:tc>
      </w:tr>
      <w:tr w14:paraId="09614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58144717">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27E9A276">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66709946">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7EA763C5">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0DB22A5">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0D167CB3">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6E2833CE">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1CE624DF">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224449A1">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1DB71478">
            <w:pPr>
              <w:adjustRightInd w:val="0"/>
              <w:snapToGrid w:val="0"/>
              <w:spacing w:line="360" w:lineRule="auto"/>
              <w:jc w:val="center"/>
              <w:rPr>
                <w:rFonts w:ascii="宋体" w:hAnsi="宋体" w:eastAsia="宋体" w:cs="宋体"/>
                <w:color w:val="auto"/>
                <w:kern w:val="0"/>
                <w:sz w:val="20"/>
                <w:szCs w:val="21"/>
                <w:highlight w:val="none"/>
              </w:rPr>
            </w:pPr>
          </w:p>
        </w:tc>
      </w:tr>
      <w:tr w14:paraId="6C0E6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3B2916DA">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528940D1">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46D0D953">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5016F5EE">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2B46D806">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6C530934">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194F6E83">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7AAC2971">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3F1F89B3">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1CA93F1D">
            <w:pPr>
              <w:adjustRightInd w:val="0"/>
              <w:snapToGrid w:val="0"/>
              <w:spacing w:line="360" w:lineRule="auto"/>
              <w:jc w:val="center"/>
              <w:rPr>
                <w:rFonts w:ascii="宋体" w:hAnsi="宋体" w:eastAsia="宋体" w:cs="宋体"/>
                <w:color w:val="auto"/>
                <w:kern w:val="0"/>
                <w:sz w:val="20"/>
                <w:szCs w:val="21"/>
                <w:highlight w:val="none"/>
              </w:rPr>
            </w:pPr>
          </w:p>
        </w:tc>
      </w:tr>
      <w:tr w14:paraId="2401D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3072EB83">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534C29AC">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5B7E82CD">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65CBFE27">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62C1EA89">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645E4F5F">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0B32169D">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7BA276B4">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798EAA32">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50452071">
            <w:pPr>
              <w:adjustRightInd w:val="0"/>
              <w:snapToGrid w:val="0"/>
              <w:spacing w:line="360" w:lineRule="auto"/>
              <w:jc w:val="center"/>
              <w:rPr>
                <w:rFonts w:ascii="宋体" w:hAnsi="宋体" w:eastAsia="宋体" w:cs="宋体"/>
                <w:color w:val="auto"/>
                <w:kern w:val="0"/>
                <w:sz w:val="20"/>
                <w:szCs w:val="21"/>
                <w:highlight w:val="none"/>
              </w:rPr>
            </w:pPr>
          </w:p>
        </w:tc>
      </w:tr>
      <w:tr w14:paraId="46383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6041789C">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5F2846BA">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79D6C063">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548CCFB4">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7E5F0CDB">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44CC1A0F">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12571341">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28DE5F27">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45A89F23">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69E1C963">
            <w:pPr>
              <w:adjustRightInd w:val="0"/>
              <w:snapToGrid w:val="0"/>
              <w:spacing w:line="360" w:lineRule="auto"/>
              <w:jc w:val="center"/>
              <w:rPr>
                <w:rFonts w:ascii="宋体" w:hAnsi="宋体" w:eastAsia="宋体" w:cs="宋体"/>
                <w:color w:val="auto"/>
                <w:kern w:val="0"/>
                <w:sz w:val="20"/>
                <w:szCs w:val="21"/>
                <w:highlight w:val="none"/>
              </w:rPr>
            </w:pPr>
          </w:p>
        </w:tc>
      </w:tr>
      <w:tr w14:paraId="797E1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2EAEB4B8">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22064489">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3BAA5807">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3F1020DC">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4CAE08A4">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406BB325">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602244D8">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5896B1F0">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65159042">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31FC1775">
            <w:pPr>
              <w:adjustRightInd w:val="0"/>
              <w:snapToGrid w:val="0"/>
              <w:spacing w:line="360" w:lineRule="auto"/>
              <w:jc w:val="center"/>
              <w:rPr>
                <w:rFonts w:ascii="宋体" w:hAnsi="宋体" w:eastAsia="宋体" w:cs="宋体"/>
                <w:color w:val="auto"/>
                <w:kern w:val="0"/>
                <w:sz w:val="20"/>
                <w:szCs w:val="21"/>
                <w:highlight w:val="none"/>
              </w:rPr>
            </w:pPr>
          </w:p>
        </w:tc>
      </w:tr>
      <w:tr w14:paraId="6A64F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59" w:type="dxa"/>
            <w:shd w:val="clear" w:color="auto" w:fill="auto"/>
            <w:vAlign w:val="center"/>
          </w:tcPr>
          <w:p w14:paraId="65766EDF">
            <w:pPr>
              <w:adjustRightInd w:val="0"/>
              <w:snapToGrid w:val="0"/>
              <w:spacing w:line="360" w:lineRule="auto"/>
              <w:jc w:val="center"/>
              <w:rPr>
                <w:rFonts w:ascii="宋体" w:hAnsi="宋体" w:eastAsia="宋体" w:cs="宋体"/>
                <w:color w:val="auto"/>
                <w:kern w:val="0"/>
                <w:sz w:val="20"/>
                <w:szCs w:val="21"/>
                <w:highlight w:val="none"/>
              </w:rPr>
            </w:pPr>
          </w:p>
        </w:tc>
        <w:tc>
          <w:tcPr>
            <w:tcW w:w="759" w:type="dxa"/>
            <w:shd w:val="clear" w:color="auto" w:fill="auto"/>
            <w:vAlign w:val="center"/>
          </w:tcPr>
          <w:p w14:paraId="078EE408">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620CF0BD">
            <w:pPr>
              <w:adjustRightInd w:val="0"/>
              <w:snapToGrid w:val="0"/>
              <w:spacing w:line="360" w:lineRule="auto"/>
              <w:jc w:val="center"/>
              <w:rPr>
                <w:rFonts w:ascii="宋体" w:hAnsi="宋体" w:eastAsia="宋体" w:cs="宋体"/>
                <w:color w:val="auto"/>
                <w:kern w:val="0"/>
                <w:sz w:val="20"/>
                <w:szCs w:val="21"/>
                <w:highlight w:val="none"/>
              </w:rPr>
            </w:pPr>
          </w:p>
        </w:tc>
        <w:tc>
          <w:tcPr>
            <w:tcW w:w="1137" w:type="dxa"/>
            <w:shd w:val="clear" w:color="auto" w:fill="auto"/>
            <w:vAlign w:val="center"/>
          </w:tcPr>
          <w:p w14:paraId="48E17BF9">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229D76DE">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31049E8A">
            <w:pPr>
              <w:adjustRightInd w:val="0"/>
              <w:snapToGrid w:val="0"/>
              <w:spacing w:line="360" w:lineRule="auto"/>
              <w:jc w:val="center"/>
              <w:rPr>
                <w:rFonts w:ascii="宋体" w:hAnsi="宋体" w:eastAsia="宋体" w:cs="宋体"/>
                <w:color w:val="auto"/>
                <w:kern w:val="0"/>
                <w:sz w:val="20"/>
                <w:szCs w:val="21"/>
                <w:highlight w:val="none"/>
              </w:rPr>
            </w:pPr>
          </w:p>
        </w:tc>
        <w:tc>
          <w:tcPr>
            <w:tcW w:w="758" w:type="dxa"/>
            <w:shd w:val="clear" w:color="auto" w:fill="auto"/>
            <w:vAlign w:val="center"/>
          </w:tcPr>
          <w:p w14:paraId="48EA065B">
            <w:pPr>
              <w:adjustRightInd w:val="0"/>
              <w:snapToGrid w:val="0"/>
              <w:spacing w:line="360" w:lineRule="auto"/>
              <w:jc w:val="center"/>
              <w:rPr>
                <w:rFonts w:ascii="宋体" w:hAnsi="宋体" w:eastAsia="宋体" w:cs="宋体"/>
                <w:color w:val="auto"/>
                <w:kern w:val="0"/>
                <w:sz w:val="20"/>
                <w:szCs w:val="21"/>
                <w:highlight w:val="none"/>
              </w:rPr>
            </w:pPr>
          </w:p>
        </w:tc>
        <w:tc>
          <w:tcPr>
            <w:tcW w:w="1518" w:type="dxa"/>
            <w:shd w:val="clear" w:color="auto" w:fill="auto"/>
            <w:vAlign w:val="center"/>
          </w:tcPr>
          <w:p w14:paraId="7C5F44AB">
            <w:pPr>
              <w:adjustRightInd w:val="0"/>
              <w:snapToGrid w:val="0"/>
              <w:spacing w:line="360" w:lineRule="auto"/>
              <w:jc w:val="center"/>
              <w:rPr>
                <w:rFonts w:ascii="宋体" w:hAnsi="宋体" w:eastAsia="宋体" w:cs="宋体"/>
                <w:color w:val="auto"/>
                <w:kern w:val="0"/>
                <w:sz w:val="20"/>
                <w:szCs w:val="21"/>
                <w:highlight w:val="none"/>
              </w:rPr>
            </w:pPr>
          </w:p>
        </w:tc>
        <w:tc>
          <w:tcPr>
            <w:tcW w:w="947" w:type="dxa"/>
            <w:shd w:val="clear" w:color="auto" w:fill="auto"/>
            <w:vAlign w:val="center"/>
          </w:tcPr>
          <w:p w14:paraId="7D8F92A8">
            <w:pPr>
              <w:adjustRightInd w:val="0"/>
              <w:snapToGrid w:val="0"/>
              <w:spacing w:line="360" w:lineRule="auto"/>
              <w:jc w:val="center"/>
              <w:rPr>
                <w:rFonts w:ascii="宋体" w:hAnsi="宋体" w:eastAsia="宋体" w:cs="宋体"/>
                <w:color w:val="auto"/>
                <w:kern w:val="0"/>
                <w:sz w:val="20"/>
                <w:szCs w:val="21"/>
                <w:highlight w:val="none"/>
              </w:rPr>
            </w:pPr>
          </w:p>
        </w:tc>
        <w:tc>
          <w:tcPr>
            <w:tcW w:w="1135" w:type="dxa"/>
            <w:shd w:val="clear" w:color="auto" w:fill="auto"/>
            <w:vAlign w:val="center"/>
          </w:tcPr>
          <w:p w14:paraId="603F43B5">
            <w:pPr>
              <w:adjustRightInd w:val="0"/>
              <w:snapToGrid w:val="0"/>
              <w:spacing w:line="360" w:lineRule="auto"/>
              <w:jc w:val="center"/>
              <w:rPr>
                <w:rFonts w:ascii="宋体" w:hAnsi="宋体" w:eastAsia="宋体" w:cs="宋体"/>
                <w:color w:val="auto"/>
                <w:kern w:val="0"/>
                <w:sz w:val="20"/>
                <w:szCs w:val="21"/>
                <w:highlight w:val="none"/>
              </w:rPr>
            </w:pPr>
          </w:p>
        </w:tc>
      </w:tr>
    </w:tbl>
    <w:p w14:paraId="555F423C">
      <w:pPr>
        <w:spacing w:line="20" w:lineRule="exact"/>
        <w:rPr>
          <w:color w:val="auto"/>
          <w:highlight w:val="none"/>
        </w:rPr>
      </w:pPr>
    </w:p>
    <w:p w14:paraId="0F336A1F">
      <w:pPr>
        <w:adjustRightInd w:val="0"/>
        <w:snapToGrid w:val="0"/>
        <w:spacing w:line="360" w:lineRule="auto"/>
        <w:ind w:firstLine="420" w:firstLineChars="200"/>
        <w:rPr>
          <w:rFonts w:ascii="楷体_GB2312" w:hAnsi="楷体_GB2312" w:eastAsia="楷体_GB2312" w:cs="楷体_GB2312"/>
          <w:color w:val="auto"/>
          <w:szCs w:val="21"/>
          <w:highlight w:val="none"/>
        </w:rPr>
      </w:pPr>
      <w:r>
        <w:rPr>
          <w:rFonts w:hint="eastAsia" w:ascii="楷体_GB2312" w:hAnsi="楷体_GB2312" w:eastAsia="楷体_GB2312" w:cs="楷体_GB2312"/>
          <w:color w:val="auto"/>
          <w:szCs w:val="21"/>
          <w:highlight w:val="none"/>
        </w:rPr>
        <w:t>注：1.项目管理机构包括：（1）必填项：项目经理、技术负责人、质量负责人、安全负责人、安全员、劳资专管员；（2）选填项：项目副经理、土建工程师、强电工程师、弱电工程师、暖通工程师、给排水工程师、造价工程师、测量工程师、BIM工程师、质量员、施工员、材料员、预算员、资料员、其他施工管理人员；</w:t>
      </w:r>
    </w:p>
    <w:p w14:paraId="33F4CC0F">
      <w:pPr>
        <w:adjustRightInd w:val="0"/>
        <w:snapToGrid w:val="0"/>
        <w:spacing w:line="360" w:lineRule="auto"/>
        <w:ind w:firstLine="420" w:firstLineChars="200"/>
        <w:rPr>
          <w:rFonts w:ascii="楷体_GB2312" w:hAnsi="楷体_GB2312" w:eastAsia="楷体_GB2312" w:cs="楷体_GB2312"/>
          <w:color w:val="auto"/>
          <w:szCs w:val="21"/>
          <w:highlight w:val="none"/>
        </w:rPr>
      </w:pPr>
      <w:r>
        <w:rPr>
          <w:rFonts w:hint="eastAsia" w:ascii="楷体_GB2312" w:hAnsi="楷体_GB2312" w:eastAsia="楷体_GB2312" w:cs="楷体_GB2312"/>
          <w:color w:val="auto"/>
          <w:szCs w:val="21"/>
          <w:highlight w:val="none"/>
        </w:rPr>
        <w:t>2.本表填报项目管理机构应与提交投标文件时投标子系统填报一致。</w:t>
      </w:r>
    </w:p>
    <w:p w14:paraId="6C35D565">
      <w:pPr>
        <w:rPr>
          <w:b/>
          <w:bCs/>
          <w:color w:val="auto"/>
          <w:sz w:val="28"/>
          <w:highlight w:val="none"/>
        </w:rPr>
      </w:pPr>
      <w:r>
        <w:rPr>
          <w:rFonts w:hint="eastAsia"/>
          <w:b/>
          <w:bCs/>
          <w:color w:val="auto"/>
          <w:sz w:val="28"/>
          <w:highlight w:val="none"/>
        </w:rPr>
        <w:br w:type="page"/>
      </w:r>
    </w:p>
    <w:p w14:paraId="623F95C6">
      <w:pPr>
        <w:adjustRightInd w:val="0"/>
        <w:snapToGrid w:val="0"/>
        <w:spacing w:line="360" w:lineRule="auto"/>
        <w:ind w:firstLine="602" w:firstLineChars="200"/>
        <w:rPr>
          <w:rFonts w:ascii="宋体" w:hAnsi="宋体" w:eastAsia="宋体" w:cs="宋体"/>
          <w:b/>
          <w:bCs/>
          <w:color w:val="auto"/>
          <w:sz w:val="28"/>
          <w:highlight w:val="none"/>
        </w:rPr>
      </w:pPr>
      <w:r>
        <w:rPr>
          <w:rFonts w:hint="eastAsia" w:ascii="宋体" w:hAnsi="宋体" w:eastAsia="宋体" w:cs="宋体"/>
          <w:b/>
          <w:bCs/>
          <w:color w:val="auto"/>
          <w:sz w:val="30"/>
          <w:szCs w:val="30"/>
          <w:highlight w:val="none"/>
        </w:rPr>
        <w:t>2.项目经理（建造师）简历表</w:t>
      </w:r>
      <w:r>
        <w:rPr>
          <w:rFonts w:hint="eastAsia" w:ascii="宋体" w:hAnsi="宋体" w:eastAsia="宋体" w:cs="宋体"/>
          <w:color w:val="auto"/>
          <w:highlight w:val="none"/>
        </w:rPr>
        <w:t>（每个项目只能一个，必填项）</w:t>
      </w:r>
    </w:p>
    <w:tbl>
      <w:tblPr>
        <w:tblStyle w:val="42"/>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580"/>
        <w:gridCol w:w="470"/>
        <w:gridCol w:w="887"/>
        <w:gridCol w:w="194"/>
        <w:gridCol w:w="1397"/>
        <w:gridCol w:w="1975"/>
        <w:gridCol w:w="970"/>
        <w:gridCol w:w="496"/>
        <w:gridCol w:w="1354"/>
      </w:tblGrid>
      <w:tr w14:paraId="64D9E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shd w:val="clear" w:color="auto" w:fill="auto"/>
            <w:vAlign w:val="center"/>
          </w:tcPr>
          <w:p w14:paraId="0A9A5406">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2131" w:type="dxa"/>
            <w:gridSpan w:val="4"/>
            <w:shd w:val="clear" w:color="auto" w:fill="auto"/>
            <w:vAlign w:val="center"/>
          </w:tcPr>
          <w:p w14:paraId="52E807D0">
            <w:pPr>
              <w:adjustRightInd w:val="0"/>
              <w:snapToGrid w:val="0"/>
              <w:ind w:left="-107" w:leftChars="-51" w:right="-107" w:rightChars="-51"/>
              <w:rPr>
                <w:rFonts w:ascii="宋体" w:hAnsi="宋体" w:eastAsia="宋体" w:cs="宋体"/>
                <w:color w:val="auto"/>
                <w:kern w:val="0"/>
                <w:szCs w:val="21"/>
                <w:highlight w:val="none"/>
              </w:rPr>
            </w:pPr>
          </w:p>
        </w:tc>
        <w:tc>
          <w:tcPr>
            <w:tcW w:w="1397" w:type="dxa"/>
            <w:shd w:val="clear" w:color="auto" w:fill="auto"/>
            <w:vAlign w:val="center"/>
          </w:tcPr>
          <w:p w14:paraId="31E2FC22">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性  别</w:t>
            </w:r>
          </w:p>
        </w:tc>
        <w:tc>
          <w:tcPr>
            <w:tcW w:w="1975" w:type="dxa"/>
            <w:shd w:val="clear" w:color="auto" w:fill="auto"/>
            <w:vAlign w:val="center"/>
          </w:tcPr>
          <w:p w14:paraId="02569FAB">
            <w:pPr>
              <w:adjustRightInd w:val="0"/>
              <w:snapToGrid w:val="0"/>
              <w:ind w:left="-107" w:leftChars="-51" w:right="-107" w:rightChars="-51"/>
              <w:rPr>
                <w:rFonts w:ascii="宋体" w:hAnsi="宋体" w:eastAsia="宋体" w:cs="宋体"/>
                <w:color w:val="auto"/>
                <w:kern w:val="0"/>
                <w:szCs w:val="21"/>
                <w:highlight w:val="none"/>
              </w:rPr>
            </w:pPr>
          </w:p>
        </w:tc>
        <w:tc>
          <w:tcPr>
            <w:tcW w:w="970" w:type="dxa"/>
            <w:shd w:val="clear" w:color="auto" w:fill="auto"/>
            <w:vAlign w:val="center"/>
          </w:tcPr>
          <w:p w14:paraId="09C523F5">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龄</w:t>
            </w:r>
          </w:p>
        </w:tc>
        <w:tc>
          <w:tcPr>
            <w:tcW w:w="1850" w:type="dxa"/>
            <w:gridSpan w:val="2"/>
            <w:shd w:val="clear" w:color="auto" w:fill="auto"/>
            <w:vAlign w:val="center"/>
          </w:tcPr>
          <w:p w14:paraId="3C929437">
            <w:pPr>
              <w:adjustRightInd w:val="0"/>
              <w:snapToGrid w:val="0"/>
              <w:ind w:left="-107" w:leftChars="-51" w:right="-107" w:rightChars="-51"/>
              <w:rPr>
                <w:rFonts w:ascii="宋体" w:hAnsi="宋体" w:eastAsia="宋体" w:cs="宋体"/>
                <w:color w:val="auto"/>
                <w:kern w:val="0"/>
                <w:szCs w:val="21"/>
                <w:highlight w:val="none"/>
              </w:rPr>
            </w:pPr>
          </w:p>
        </w:tc>
      </w:tr>
      <w:tr w14:paraId="3B463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shd w:val="clear" w:color="auto" w:fill="auto"/>
            <w:vAlign w:val="center"/>
          </w:tcPr>
          <w:p w14:paraId="44EDA635">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2131" w:type="dxa"/>
            <w:gridSpan w:val="4"/>
            <w:shd w:val="clear" w:color="auto" w:fill="auto"/>
            <w:vAlign w:val="center"/>
          </w:tcPr>
          <w:p w14:paraId="2359ADB5">
            <w:pPr>
              <w:adjustRightInd w:val="0"/>
              <w:snapToGrid w:val="0"/>
              <w:ind w:left="-107" w:leftChars="-51" w:right="-107" w:rightChars="-51"/>
              <w:rPr>
                <w:rFonts w:ascii="宋体" w:hAnsi="宋体" w:eastAsia="宋体" w:cs="宋体"/>
                <w:color w:val="auto"/>
                <w:kern w:val="0"/>
                <w:szCs w:val="21"/>
                <w:highlight w:val="none"/>
              </w:rPr>
            </w:pPr>
          </w:p>
        </w:tc>
        <w:tc>
          <w:tcPr>
            <w:tcW w:w="1397" w:type="dxa"/>
            <w:shd w:val="clear" w:color="auto" w:fill="auto"/>
            <w:vAlign w:val="center"/>
          </w:tcPr>
          <w:p w14:paraId="27EE9690">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  称</w:t>
            </w:r>
          </w:p>
        </w:tc>
        <w:tc>
          <w:tcPr>
            <w:tcW w:w="1975" w:type="dxa"/>
            <w:shd w:val="clear" w:color="auto" w:fill="auto"/>
            <w:vAlign w:val="center"/>
          </w:tcPr>
          <w:p w14:paraId="7EEE40C1">
            <w:pPr>
              <w:adjustRightInd w:val="0"/>
              <w:snapToGrid w:val="0"/>
              <w:ind w:left="-107" w:leftChars="-51" w:right="-107" w:rightChars="-51"/>
              <w:rPr>
                <w:rFonts w:ascii="宋体" w:hAnsi="宋体" w:eastAsia="宋体" w:cs="宋体"/>
                <w:color w:val="auto"/>
                <w:kern w:val="0"/>
                <w:szCs w:val="21"/>
                <w:highlight w:val="none"/>
              </w:rPr>
            </w:pPr>
          </w:p>
        </w:tc>
        <w:tc>
          <w:tcPr>
            <w:tcW w:w="970" w:type="dxa"/>
            <w:shd w:val="clear" w:color="auto" w:fill="auto"/>
            <w:vAlign w:val="center"/>
          </w:tcPr>
          <w:p w14:paraId="4F392405">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学  历</w:t>
            </w:r>
          </w:p>
        </w:tc>
        <w:tc>
          <w:tcPr>
            <w:tcW w:w="1850" w:type="dxa"/>
            <w:gridSpan w:val="2"/>
            <w:shd w:val="clear" w:color="auto" w:fill="auto"/>
            <w:vAlign w:val="center"/>
          </w:tcPr>
          <w:p w14:paraId="696B8313">
            <w:pPr>
              <w:adjustRightInd w:val="0"/>
              <w:snapToGrid w:val="0"/>
              <w:ind w:left="-107" w:leftChars="-51" w:right="-107" w:rightChars="-51"/>
              <w:rPr>
                <w:rFonts w:ascii="宋体" w:hAnsi="宋体" w:eastAsia="宋体" w:cs="宋体"/>
                <w:color w:val="auto"/>
                <w:kern w:val="0"/>
                <w:szCs w:val="21"/>
                <w:highlight w:val="none"/>
              </w:rPr>
            </w:pPr>
          </w:p>
        </w:tc>
      </w:tr>
      <w:tr w14:paraId="30727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shd w:val="clear" w:color="auto" w:fill="auto"/>
            <w:vAlign w:val="center"/>
          </w:tcPr>
          <w:p w14:paraId="5E69BBA8">
            <w:pPr>
              <w:adjustRightInd w:val="0"/>
              <w:snapToGrid w:val="0"/>
              <w:ind w:left="-107" w:leftChars="-51" w:right="-107" w:rightChars="-51"/>
              <w:jc w:val="center"/>
              <w:rPr>
                <w:rFonts w:ascii="宋体" w:hAnsi="宋体" w:eastAsia="宋体" w:cs="宋体"/>
                <w:color w:val="auto"/>
                <w:kern w:val="0"/>
                <w:sz w:val="20"/>
                <w:szCs w:val="21"/>
                <w:highlight w:val="none"/>
              </w:rPr>
            </w:pPr>
            <w:r>
              <w:rPr>
                <w:rFonts w:hint="eastAsia" w:ascii="宋体" w:hAnsi="宋体" w:eastAsia="宋体" w:cs="宋体"/>
                <w:color w:val="auto"/>
                <w:kern w:val="0"/>
                <w:sz w:val="20"/>
                <w:szCs w:val="21"/>
                <w:highlight w:val="none"/>
              </w:rPr>
              <w:t>证件类型</w:t>
            </w:r>
          </w:p>
        </w:tc>
        <w:tc>
          <w:tcPr>
            <w:tcW w:w="2131" w:type="dxa"/>
            <w:gridSpan w:val="4"/>
            <w:shd w:val="clear" w:color="auto" w:fill="auto"/>
            <w:vAlign w:val="center"/>
          </w:tcPr>
          <w:p w14:paraId="2E1EA1F5">
            <w:pPr>
              <w:adjustRightInd w:val="0"/>
              <w:snapToGrid w:val="0"/>
              <w:ind w:left="-107" w:leftChars="-51" w:right="-107" w:rightChars="-51"/>
              <w:rPr>
                <w:rFonts w:ascii="宋体" w:hAnsi="宋体" w:eastAsia="宋体" w:cs="宋体"/>
                <w:color w:val="auto"/>
                <w:kern w:val="0"/>
                <w:sz w:val="20"/>
                <w:szCs w:val="21"/>
                <w:highlight w:val="none"/>
              </w:rPr>
            </w:pPr>
          </w:p>
        </w:tc>
        <w:tc>
          <w:tcPr>
            <w:tcW w:w="1397" w:type="dxa"/>
            <w:shd w:val="clear" w:color="auto" w:fill="auto"/>
            <w:vAlign w:val="center"/>
          </w:tcPr>
          <w:p w14:paraId="700F61E6">
            <w:pPr>
              <w:adjustRightInd w:val="0"/>
              <w:snapToGrid w:val="0"/>
              <w:ind w:left="-107" w:leftChars="-51" w:right="-107" w:rightChars="-51"/>
              <w:jc w:val="center"/>
              <w:rPr>
                <w:rFonts w:ascii="宋体" w:hAnsi="宋体" w:eastAsia="宋体" w:cs="宋体"/>
                <w:color w:val="auto"/>
                <w:kern w:val="0"/>
                <w:sz w:val="20"/>
                <w:szCs w:val="21"/>
                <w:highlight w:val="none"/>
              </w:rPr>
            </w:pPr>
            <w:r>
              <w:rPr>
                <w:rFonts w:hint="eastAsia" w:ascii="宋体" w:hAnsi="宋体" w:eastAsia="宋体" w:cs="宋体"/>
                <w:color w:val="auto"/>
                <w:kern w:val="0"/>
                <w:sz w:val="20"/>
                <w:szCs w:val="21"/>
                <w:highlight w:val="none"/>
              </w:rPr>
              <w:t>证件号码</w:t>
            </w:r>
          </w:p>
        </w:tc>
        <w:tc>
          <w:tcPr>
            <w:tcW w:w="1975" w:type="dxa"/>
            <w:shd w:val="clear" w:color="auto" w:fill="auto"/>
            <w:vAlign w:val="center"/>
          </w:tcPr>
          <w:p w14:paraId="5B104D3F">
            <w:pPr>
              <w:adjustRightInd w:val="0"/>
              <w:snapToGrid w:val="0"/>
              <w:ind w:left="-107" w:leftChars="-51" w:right="-107" w:rightChars="-51"/>
              <w:rPr>
                <w:rFonts w:ascii="宋体" w:hAnsi="宋体" w:eastAsia="宋体" w:cs="宋体"/>
                <w:color w:val="auto"/>
                <w:kern w:val="0"/>
                <w:sz w:val="20"/>
                <w:szCs w:val="21"/>
                <w:highlight w:val="none"/>
              </w:rPr>
            </w:pPr>
          </w:p>
        </w:tc>
        <w:tc>
          <w:tcPr>
            <w:tcW w:w="970" w:type="dxa"/>
            <w:shd w:val="clear" w:color="auto" w:fill="auto"/>
            <w:vAlign w:val="center"/>
          </w:tcPr>
          <w:p w14:paraId="3DBB0A56">
            <w:pPr>
              <w:adjustRightInd w:val="0"/>
              <w:snapToGrid w:val="0"/>
              <w:ind w:left="-107" w:leftChars="-51" w:right="-107" w:rightChars="-51"/>
              <w:jc w:val="center"/>
              <w:rPr>
                <w:rFonts w:ascii="宋体" w:hAnsi="宋体" w:eastAsia="宋体" w:cs="宋体"/>
                <w:color w:val="auto"/>
                <w:kern w:val="0"/>
                <w:sz w:val="20"/>
                <w:szCs w:val="21"/>
                <w:highlight w:val="none"/>
              </w:rPr>
            </w:pPr>
            <w:r>
              <w:rPr>
                <w:rFonts w:hint="eastAsia" w:ascii="宋体" w:hAnsi="宋体" w:eastAsia="宋体" w:cs="宋体"/>
                <w:color w:val="auto"/>
                <w:kern w:val="0"/>
                <w:sz w:val="20"/>
                <w:szCs w:val="21"/>
                <w:highlight w:val="none"/>
              </w:rPr>
              <w:t>手机号码</w:t>
            </w:r>
          </w:p>
        </w:tc>
        <w:tc>
          <w:tcPr>
            <w:tcW w:w="1850" w:type="dxa"/>
            <w:gridSpan w:val="2"/>
            <w:shd w:val="clear" w:color="auto" w:fill="auto"/>
            <w:vAlign w:val="center"/>
          </w:tcPr>
          <w:p w14:paraId="6DD96847">
            <w:pPr>
              <w:adjustRightInd w:val="0"/>
              <w:snapToGrid w:val="0"/>
              <w:ind w:left="-107" w:leftChars="-51" w:right="-107" w:rightChars="-51"/>
              <w:rPr>
                <w:rFonts w:ascii="宋体" w:hAnsi="宋体" w:eastAsia="宋体" w:cs="宋体"/>
                <w:color w:val="auto"/>
                <w:kern w:val="0"/>
                <w:sz w:val="20"/>
                <w:szCs w:val="21"/>
                <w:highlight w:val="none"/>
              </w:rPr>
            </w:pPr>
          </w:p>
        </w:tc>
      </w:tr>
      <w:tr w14:paraId="7E41E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17" w:type="dxa"/>
            <w:gridSpan w:val="3"/>
            <w:shd w:val="clear" w:color="auto" w:fill="auto"/>
            <w:vAlign w:val="center"/>
          </w:tcPr>
          <w:p w14:paraId="3F755E96">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参加工作时间</w:t>
            </w:r>
          </w:p>
        </w:tc>
        <w:tc>
          <w:tcPr>
            <w:tcW w:w="2478" w:type="dxa"/>
            <w:gridSpan w:val="3"/>
            <w:shd w:val="clear" w:color="auto" w:fill="auto"/>
            <w:vAlign w:val="center"/>
          </w:tcPr>
          <w:p w14:paraId="5A9F376A">
            <w:pPr>
              <w:adjustRightInd w:val="0"/>
              <w:snapToGrid w:val="0"/>
              <w:ind w:left="-107" w:leftChars="-51" w:right="-107" w:rightChars="-51"/>
              <w:rPr>
                <w:rFonts w:ascii="宋体" w:hAnsi="宋体" w:eastAsia="宋体" w:cs="宋体"/>
                <w:color w:val="auto"/>
                <w:kern w:val="0"/>
                <w:szCs w:val="21"/>
                <w:highlight w:val="none"/>
              </w:rPr>
            </w:pPr>
          </w:p>
        </w:tc>
        <w:tc>
          <w:tcPr>
            <w:tcW w:w="2945" w:type="dxa"/>
            <w:gridSpan w:val="2"/>
            <w:shd w:val="clear" w:color="auto" w:fill="auto"/>
            <w:vAlign w:val="center"/>
          </w:tcPr>
          <w:p w14:paraId="3BBE36EA">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从事项目经理（建造师）年限</w:t>
            </w:r>
          </w:p>
        </w:tc>
        <w:tc>
          <w:tcPr>
            <w:tcW w:w="1850" w:type="dxa"/>
            <w:gridSpan w:val="2"/>
            <w:shd w:val="clear" w:color="auto" w:fill="auto"/>
            <w:vAlign w:val="center"/>
          </w:tcPr>
          <w:p w14:paraId="305B52CF">
            <w:pPr>
              <w:adjustRightInd w:val="0"/>
              <w:snapToGrid w:val="0"/>
              <w:ind w:left="-107" w:leftChars="-51" w:right="-107" w:rightChars="-51"/>
              <w:rPr>
                <w:rFonts w:ascii="宋体" w:hAnsi="宋体" w:eastAsia="宋体" w:cs="宋体"/>
                <w:color w:val="auto"/>
                <w:kern w:val="0"/>
                <w:szCs w:val="21"/>
                <w:highlight w:val="none"/>
              </w:rPr>
            </w:pPr>
          </w:p>
        </w:tc>
      </w:tr>
      <w:tr w14:paraId="38B20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04" w:type="dxa"/>
            <w:gridSpan w:val="4"/>
            <w:shd w:val="clear" w:color="auto" w:fill="auto"/>
            <w:vAlign w:val="center"/>
          </w:tcPr>
          <w:p w14:paraId="62942973">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项目经理（建造师）</w:t>
            </w:r>
          </w:p>
          <w:p w14:paraId="62ADC6B8">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资格证书编号</w:t>
            </w:r>
          </w:p>
        </w:tc>
        <w:tc>
          <w:tcPr>
            <w:tcW w:w="6386" w:type="dxa"/>
            <w:gridSpan w:val="6"/>
            <w:shd w:val="clear" w:color="auto" w:fill="auto"/>
            <w:vAlign w:val="center"/>
          </w:tcPr>
          <w:p w14:paraId="4B6A23E8">
            <w:pPr>
              <w:adjustRightInd w:val="0"/>
              <w:snapToGrid w:val="0"/>
              <w:ind w:left="-107" w:leftChars="-51" w:right="-107" w:rightChars="-51"/>
              <w:rPr>
                <w:rFonts w:ascii="宋体" w:hAnsi="宋体" w:eastAsia="宋体" w:cs="宋体"/>
                <w:color w:val="auto"/>
                <w:kern w:val="0"/>
                <w:szCs w:val="21"/>
                <w:highlight w:val="none"/>
              </w:rPr>
            </w:pPr>
          </w:p>
        </w:tc>
      </w:tr>
      <w:tr w14:paraId="6B759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90" w:type="dxa"/>
            <w:gridSpan w:val="10"/>
            <w:shd w:val="clear" w:color="auto" w:fill="auto"/>
            <w:vAlign w:val="center"/>
          </w:tcPr>
          <w:p w14:paraId="20D78CB9">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在建和已完工程项目情况</w:t>
            </w:r>
          </w:p>
        </w:tc>
      </w:tr>
      <w:tr w14:paraId="46FA7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003F51D7">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建设单位</w:t>
            </w:r>
          </w:p>
        </w:tc>
        <w:tc>
          <w:tcPr>
            <w:tcW w:w="1551" w:type="dxa"/>
            <w:gridSpan w:val="3"/>
            <w:shd w:val="clear" w:color="auto" w:fill="auto"/>
            <w:vAlign w:val="center"/>
          </w:tcPr>
          <w:p w14:paraId="15749DD0">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1397" w:type="dxa"/>
            <w:shd w:val="clear" w:color="auto" w:fill="auto"/>
            <w:vAlign w:val="center"/>
          </w:tcPr>
          <w:p w14:paraId="26BEB04C">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建设规模</w:t>
            </w:r>
          </w:p>
        </w:tc>
        <w:tc>
          <w:tcPr>
            <w:tcW w:w="1975" w:type="dxa"/>
            <w:shd w:val="clear" w:color="auto" w:fill="auto"/>
            <w:vAlign w:val="center"/>
          </w:tcPr>
          <w:p w14:paraId="1B68DFAF">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开、竣工日期</w:t>
            </w:r>
          </w:p>
        </w:tc>
        <w:tc>
          <w:tcPr>
            <w:tcW w:w="1466" w:type="dxa"/>
            <w:gridSpan w:val="2"/>
            <w:shd w:val="clear" w:color="auto" w:fill="auto"/>
            <w:vAlign w:val="center"/>
          </w:tcPr>
          <w:p w14:paraId="6E6DCA42">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在建或已完</w:t>
            </w:r>
          </w:p>
        </w:tc>
        <w:tc>
          <w:tcPr>
            <w:tcW w:w="1354" w:type="dxa"/>
            <w:shd w:val="clear" w:color="auto" w:fill="auto"/>
            <w:vAlign w:val="center"/>
          </w:tcPr>
          <w:p w14:paraId="51EDB93B">
            <w:pPr>
              <w:adjustRightInd w:val="0"/>
              <w:snapToGrid w:val="0"/>
              <w:ind w:left="-107" w:leftChars="-51" w:right="-107" w:rightChars="-51"/>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r>
      <w:tr w14:paraId="401F4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0DD5CE33">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27373A76">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03013113">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410979B5">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42D6EA5F">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6773BAAB">
            <w:pPr>
              <w:adjustRightInd w:val="0"/>
              <w:snapToGrid w:val="0"/>
              <w:spacing w:line="360" w:lineRule="auto"/>
              <w:rPr>
                <w:rFonts w:ascii="宋体" w:hAnsi="宋体" w:eastAsia="宋体" w:cs="宋体"/>
                <w:color w:val="auto"/>
                <w:kern w:val="0"/>
                <w:sz w:val="20"/>
                <w:szCs w:val="20"/>
                <w:highlight w:val="none"/>
              </w:rPr>
            </w:pPr>
          </w:p>
        </w:tc>
      </w:tr>
      <w:tr w14:paraId="4232E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1B525CE2">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4AD10147">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0297655F">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5AB9BB14">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48BC0CC6">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01144327">
            <w:pPr>
              <w:adjustRightInd w:val="0"/>
              <w:snapToGrid w:val="0"/>
              <w:spacing w:line="360" w:lineRule="auto"/>
              <w:rPr>
                <w:rFonts w:ascii="宋体" w:hAnsi="宋体" w:eastAsia="宋体" w:cs="宋体"/>
                <w:color w:val="auto"/>
                <w:kern w:val="0"/>
                <w:sz w:val="20"/>
                <w:szCs w:val="20"/>
                <w:highlight w:val="none"/>
              </w:rPr>
            </w:pPr>
          </w:p>
        </w:tc>
      </w:tr>
      <w:tr w14:paraId="0BC99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59958E73">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020A2CE8">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4FB257BA">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7B5984F7">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3E98EE90">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2B948F68">
            <w:pPr>
              <w:adjustRightInd w:val="0"/>
              <w:snapToGrid w:val="0"/>
              <w:spacing w:line="360" w:lineRule="auto"/>
              <w:rPr>
                <w:rFonts w:ascii="宋体" w:hAnsi="宋体" w:eastAsia="宋体" w:cs="宋体"/>
                <w:color w:val="auto"/>
                <w:kern w:val="0"/>
                <w:sz w:val="20"/>
                <w:szCs w:val="20"/>
                <w:highlight w:val="none"/>
              </w:rPr>
            </w:pPr>
          </w:p>
        </w:tc>
      </w:tr>
      <w:tr w14:paraId="7682B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6ED2A19F">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3AEF398C">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723C90B5">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54D70E91">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7F8C4ED7">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3E70F4B2">
            <w:pPr>
              <w:adjustRightInd w:val="0"/>
              <w:snapToGrid w:val="0"/>
              <w:spacing w:line="360" w:lineRule="auto"/>
              <w:rPr>
                <w:rFonts w:ascii="宋体" w:hAnsi="宋体" w:eastAsia="宋体" w:cs="宋体"/>
                <w:color w:val="auto"/>
                <w:kern w:val="0"/>
                <w:sz w:val="20"/>
                <w:szCs w:val="20"/>
                <w:highlight w:val="none"/>
              </w:rPr>
            </w:pPr>
          </w:p>
        </w:tc>
      </w:tr>
      <w:tr w14:paraId="476EF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73129DEE">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3FF7E60A">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76306B71">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7FF59514">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643CB316">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5C53408C">
            <w:pPr>
              <w:adjustRightInd w:val="0"/>
              <w:snapToGrid w:val="0"/>
              <w:spacing w:line="360" w:lineRule="auto"/>
              <w:rPr>
                <w:rFonts w:ascii="宋体" w:hAnsi="宋体" w:eastAsia="宋体" w:cs="宋体"/>
                <w:color w:val="auto"/>
                <w:kern w:val="0"/>
                <w:sz w:val="20"/>
                <w:szCs w:val="20"/>
                <w:highlight w:val="none"/>
              </w:rPr>
            </w:pPr>
          </w:p>
        </w:tc>
      </w:tr>
      <w:tr w14:paraId="158DB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4ADC1427">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28288293">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63D19B03">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262259FD">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5825AB0F">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433FF2F4">
            <w:pPr>
              <w:adjustRightInd w:val="0"/>
              <w:snapToGrid w:val="0"/>
              <w:spacing w:line="360" w:lineRule="auto"/>
              <w:rPr>
                <w:rFonts w:ascii="宋体" w:hAnsi="宋体" w:eastAsia="宋体" w:cs="宋体"/>
                <w:color w:val="auto"/>
                <w:kern w:val="0"/>
                <w:sz w:val="20"/>
                <w:szCs w:val="20"/>
                <w:highlight w:val="none"/>
              </w:rPr>
            </w:pPr>
          </w:p>
        </w:tc>
      </w:tr>
      <w:tr w14:paraId="3FE77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7A9034DA">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58D8746E">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74975C6C">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5ED8045E">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067780E6">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3579A3D2">
            <w:pPr>
              <w:adjustRightInd w:val="0"/>
              <w:snapToGrid w:val="0"/>
              <w:spacing w:line="360" w:lineRule="auto"/>
              <w:rPr>
                <w:rFonts w:ascii="宋体" w:hAnsi="宋体" w:eastAsia="宋体" w:cs="宋体"/>
                <w:color w:val="auto"/>
                <w:kern w:val="0"/>
                <w:sz w:val="20"/>
                <w:szCs w:val="20"/>
                <w:highlight w:val="none"/>
              </w:rPr>
            </w:pPr>
          </w:p>
        </w:tc>
      </w:tr>
      <w:tr w14:paraId="27081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0003A08F">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6C3472B0">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338FDC28">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49BAA959">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405EAD76">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3BC49CBD">
            <w:pPr>
              <w:adjustRightInd w:val="0"/>
              <w:snapToGrid w:val="0"/>
              <w:spacing w:line="360" w:lineRule="auto"/>
              <w:rPr>
                <w:rFonts w:ascii="宋体" w:hAnsi="宋体" w:eastAsia="宋体" w:cs="宋体"/>
                <w:color w:val="auto"/>
                <w:kern w:val="0"/>
                <w:sz w:val="20"/>
                <w:szCs w:val="20"/>
                <w:highlight w:val="none"/>
              </w:rPr>
            </w:pPr>
          </w:p>
        </w:tc>
      </w:tr>
      <w:tr w14:paraId="0C648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1465C4F6">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2CC06947">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0C65F180">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49DB950A">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367BFA0B">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5A651804">
            <w:pPr>
              <w:adjustRightInd w:val="0"/>
              <w:snapToGrid w:val="0"/>
              <w:spacing w:line="360" w:lineRule="auto"/>
              <w:rPr>
                <w:rFonts w:ascii="宋体" w:hAnsi="宋体" w:eastAsia="宋体" w:cs="宋体"/>
                <w:color w:val="auto"/>
                <w:kern w:val="0"/>
                <w:sz w:val="20"/>
                <w:szCs w:val="20"/>
                <w:highlight w:val="none"/>
              </w:rPr>
            </w:pPr>
          </w:p>
        </w:tc>
      </w:tr>
      <w:tr w14:paraId="30C3B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568D82ED">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2486E391">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5155D883">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1641004C">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1FCB671A">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0D9AA935">
            <w:pPr>
              <w:adjustRightInd w:val="0"/>
              <w:snapToGrid w:val="0"/>
              <w:spacing w:line="360" w:lineRule="auto"/>
              <w:rPr>
                <w:rFonts w:ascii="宋体" w:hAnsi="宋体" w:eastAsia="宋体" w:cs="宋体"/>
                <w:color w:val="auto"/>
                <w:kern w:val="0"/>
                <w:sz w:val="20"/>
                <w:szCs w:val="20"/>
                <w:highlight w:val="none"/>
              </w:rPr>
            </w:pPr>
          </w:p>
        </w:tc>
      </w:tr>
      <w:tr w14:paraId="2444C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0C0CBB25">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0818DE42">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516C3971">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6E58C7EC">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4E537151">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6CC11858">
            <w:pPr>
              <w:adjustRightInd w:val="0"/>
              <w:snapToGrid w:val="0"/>
              <w:spacing w:line="360" w:lineRule="auto"/>
              <w:rPr>
                <w:rFonts w:ascii="宋体" w:hAnsi="宋体" w:eastAsia="宋体" w:cs="宋体"/>
                <w:color w:val="auto"/>
                <w:kern w:val="0"/>
                <w:sz w:val="20"/>
                <w:szCs w:val="20"/>
                <w:highlight w:val="none"/>
              </w:rPr>
            </w:pPr>
          </w:p>
        </w:tc>
      </w:tr>
      <w:tr w14:paraId="53461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0F260D91">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4E7B26CD">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31EB7AC3">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384BEE9F">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7EDE3FD5">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2ADA604D">
            <w:pPr>
              <w:adjustRightInd w:val="0"/>
              <w:snapToGrid w:val="0"/>
              <w:spacing w:line="360" w:lineRule="auto"/>
              <w:rPr>
                <w:rFonts w:ascii="宋体" w:hAnsi="宋体" w:eastAsia="宋体" w:cs="宋体"/>
                <w:color w:val="auto"/>
                <w:kern w:val="0"/>
                <w:sz w:val="20"/>
                <w:szCs w:val="20"/>
                <w:highlight w:val="none"/>
              </w:rPr>
            </w:pPr>
          </w:p>
        </w:tc>
      </w:tr>
      <w:tr w14:paraId="69ED3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46366193">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7DCDA9F3">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0C7E4905">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65126F47">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6EC16952">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4B2CF0A7">
            <w:pPr>
              <w:adjustRightInd w:val="0"/>
              <w:snapToGrid w:val="0"/>
              <w:spacing w:line="360" w:lineRule="auto"/>
              <w:rPr>
                <w:rFonts w:ascii="宋体" w:hAnsi="宋体" w:eastAsia="宋体" w:cs="宋体"/>
                <w:color w:val="auto"/>
                <w:kern w:val="0"/>
                <w:sz w:val="20"/>
                <w:szCs w:val="20"/>
                <w:highlight w:val="none"/>
              </w:rPr>
            </w:pPr>
          </w:p>
        </w:tc>
      </w:tr>
      <w:tr w14:paraId="698CA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144CADDA">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7A4301F4">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54F5DA72">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37ED7938">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0F1B53D3">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1D095F62">
            <w:pPr>
              <w:adjustRightInd w:val="0"/>
              <w:snapToGrid w:val="0"/>
              <w:spacing w:line="360" w:lineRule="auto"/>
              <w:rPr>
                <w:rFonts w:ascii="宋体" w:hAnsi="宋体" w:eastAsia="宋体" w:cs="宋体"/>
                <w:color w:val="auto"/>
                <w:kern w:val="0"/>
                <w:sz w:val="20"/>
                <w:szCs w:val="20"/>
                <w:highlight w:val="none"/>
              </w:rPr>
            </w:pPr>
          </w:p>
        </w:tc>
      </w:tr>
      <w:tr w14:paraId="4FDF7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14:paraId="394C5921">
            <w:pPr>
              <w:adjustRightInd w:val="0"/>
              <w:snapToGrid w:val="0"/>
              <w:spacing w:line="360" w:lineRule="auto"/>
              <w:rPr>
                <w:rFonts w:ascii="宋体" w:hAnsi="宋体" w:eastAsia="宋体" w:cs="宋体"/>
                <w:color w:val="auto"/>
                <w:kern w:val="0"/>
                <w:sz w:val="20"/>
                <w:szCs w:val="20"/>
                <w:highlight w:val="none"/>
              </w:rPr>
            </w:pPr>
          </w:p>
        </w:tc>
        <w:tc>
          <w:tcPr>
            <w:tcW w:w="1551" w:type="dxa"/>
            <w:gridSpan w:val="3"/>
            <w:shd w:val="clear" w:color="auto" w:fill="auto"/>
            <w:vAlign w:val="center"/>
          </w:tcPr>
          <w:p w14:paraId="384D36CC">
            <w:pPr>
              <w:adjustRightInd w:val="0"/>
              <w:snapToGrid w:val="0"/>
              <w:spacing w:line="360" w:lineRule="auto"/>
              <w:rPr>
                <w:rFonts w:ascii="宋体" w:hAnsi="宋体" w:eastAsia="宋体" w:cs="宋体"/>
                <w:color w:val="auto"/>
                <w:kern w:val="0"/>
                <w:sz w:val="20"/>
                <w:szCs w:val="20"/>
                <w:highlight w:val="none"/>
              </w:rPr>
            </w:pPr>
          </w:p>
        </w:tc>
        <w:tc>
          <w:tcPr>
            <w:tcW w:w="1397" w:type="dxa"/>
            <w:shd w:val="clear" w:color="auto" w:fill="auto"/>
            <w:vAlign w:val="center"/>
          </w:tcPr>
          <w:p w14:paraId="7F8EF00A">
            <w:pPr>
              <w:adjustRightInd w:val="0"/>
              <w:snapToGrid w:val="0"/>
              <w:spacing w:line="360" w:lineRule="auto"/>
              <w:rPr>
                <w:rFonts w:ascii="宋体" w:hAnsi="宋体" w:eastAsia="宋体" w:cs="宋体"/>
                <w:color w:val="auto"/>
                <w:kern w:val="0"/>
                <w:sz w:val="20"/>
                <w:szCs w:val="20"/>
                <w:highlight w:val="none"/>
              </w:rPr>
            </w:pPr>
          </w:p>
        </w:tc>
        <w:tc>
          <w:tcPr>
            <w:tcW w:w="1975" w:type="dxa"/>
            <w:shd w:val="clear" w:color="auto" w:fill="auto"/>
            <w:vAlign w:val="center"/>
          </w:tcPr>
          <w:p w14:paraId="6701844A">
            <w:pPr>
              <w:adjustRightInd w:val="0"/>
              <w:snapToGrid w:val="0"/>
              <w:spacing w:line="360" w:lineRule="auto"/>
              <w:rPr>
                <w:rFonts w:ascii="宋体" w:hAnsi="宋体" w:eastAsia="宋体" w:cs="宋体"/>
                <w:color w:val="auto"/>
                <w:kern w:val="0"/>
                <w:sz w:val="20"/>
                <w:szCs w:val="20"/>
                <w:highlight w:val="none"/>
              </w:rPr>
            </w:pPr>
          </w:p>
        </w:tc>
        <w:tc>
          <w:tcPr>
            <w:tcW w:w="1466" w:type="dxa"/>
            <w:gridSpan w:val="2"/>
            <w:shd w:val="clear" w:color="auto" w:fill="auto"/>
            <w:vAlign w:val="center"/>
          </w:tcPr>
          <w:p w14:paraId="7A88C35C">
            <w:pPr>
              <w:adjustRightInd w:val="0"/>
              <w:snapToGrid w:val="0"/>
              <w:spacing w:line="360" w:lineRule="auto"/>
              <w:rPr>
                <w:rFonts w:ascii="宋体" w:hAnsi="宋体" w:eastAsia="宋体" w:cs="宋体"/>
                <w:color w:val="auto"/>
                <w:kern w:val="0"/>
                <w:sz w:val="20"/>
                <w:szCs w:val="20"/>
                <w:highlight w:val="none"/>
              </w:rPr>
            </w:pPr>
          </w:p>
        </w:tc>
        <w:tc>
          <w:tcPr>
            <w:tcW w:w="1354" w:type="dxa"/>
            <w:shd w:val="clear" w:color="auto" w:fill="auto"/>
            <w:vAlign w:val="center"/>
          </w:tcPr>
          <w:p w14:paraId="499A3AB6">
            <w:pPr>
              <w:adjustRightInd w:val="0"/>
              <w:snapToGrid w:val="0"/>
              <w:spacing w:line="360" w:lineRule="auto"/>
              <w:rPr>
                <w:rFonts w:ascii="宋体" w:hAnsi="宋体" w:eastAsia="宋体" w:cs="宋体"/>
                <w:color w:val="auto"/>
                <w:kern w:val="0"/>
                <w:sz w:val="20"/>
                <w:szCs w:val="20"/>
                <w:highlight w:val="none"/>
              </w:rPr>
            </w:pPr>
          </w:p>
        </w:tc>
      </w:tr>
    </w:tbl>
    <w:p w14:paraId="619E69F4">
      <w:pPr>
        <w:spacing w:line="20" w:lineRule="exact"/>
        <w:rPr>
          <w:rFonts w:ascii="宋体" w:hAnsi="宋体" w:eastAsia="宋体" w:cs="宋体"/>
          <w:color w:val="auto"/>
          <w:highlight w:val="none"/>
        </w:rPr>
      </w:pPr>
      <w:r>
        <w:rPr>
          <w:rFonts w:hint="eastAsia" w:ascii="宋体" w:hAnsi="宋体" w:eastAsia="宋体" w:cs="宋体"/>
          <w:color w:val="auto"/>
          <w:highlight w:val="none"/>
        </w:rPr>
        <w:br w:type="page"/>
      </w:r>
    </w:p>
    <w:p w14:paraId="1C393206">
      <w:pPr>
        <w:adjustRightInd w:val="0"/>
        <w:snapToGrid w:val="0"/>
        <w:spacing w:line="360" w:lineRule="auto"/>
        <w:ind w:firstLine="602" w:firstLineChars="200"/>
        <w:rPr>
          <w:rFonts w:ascii="宋体" w:hAnsi="宋体" w:eastAsia="宋体" w:cs="宋体"/>
          <w:b/>
          <w:bCs/>
          <w:color w:val="auto"/>
          <w:sz w:val="28"/>
          <w:highlight w:val="none"/>
        </w:rPr>
      </w:pPr>
      <w:r>
        <w:rPr>
          <w:rFonts w:hint="eastAsia" w:ascii="宋体" w:hAnsi="宋体" w:eastAsia="宋体" w:cs="宋体"/>
          <w:b/>
          <w:bCs/>
          <w:color w:val="auto"/>
          <w:sz w:val="30"/>
          <w:szCs w:val="30"/>
          <w:highlight w:val="none"/>
        </w:rPr>
        <w:t>3.技术负责人简历表</w:t>
      </w:r>
      <w:r>
        <w:rPr>
          <w:rFonts w:hint="eastAsia" w:ascii="宋体" w:hAnsi="宋体" w:eastAsia="宋体" w:cs="宋体"/>
          <w:color w:val="auto"/>
          <w:highlight w:val="none"/>
        </w:rPr>
        <w:t>（每个项目只能一个，必填项）</w:t>
      </w:r>
    </w:p>
    <w:tbl>
      <w:tblPr>
        <w:tblStyle w:val="42"/>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121"/>
        <w:gridCol w:w="580"/>
        <w:gridCol w:w="1003"/>
        <w:gridCol w:w="1458"/>
        <w:gridCol w:w="1975"/>
        <w:gridCol w:w="178"/>
        <w:gridCol w:w="581"/>
        <w:gridCol w:w="505"/>
        <w:gridCol w:w="281"/>
        <w:gridCol w:w="1362"/>
      </w:tblGrid>
      <w:tr w14:paraId="57A1E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shd w:val="clear" w:color="auto" w:fill="auto"/>
            <w:vAlign w:val="center"/>
          </w:tcPr>
          <w:p w14:paraId="4AB7C3F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704" w:type="dxa"/>
            <w:gridSpan w:val="3"/>
            <w:shd w:val="clear" w:color="auto" w:fill="auto"/>
            <w:vAlign w:val="center"/>
          </w:tcPr>
          <w:p w14:paraId="0C73CB31">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0264458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性 别</w:t>
            </w:r>
          </w:p>
        </w:tc>
        <w:tc>
          <w:tcPr>
            <w:tcW w:w="2153" w:type="dxa"/>
            <w:gridSpan w:val="2"/>
            <w:shd w:val="clear" w:color="auto" w:fill="auto"/>
            <w:vAlign w:val="center"/>
          </w:tcPr>
          <w:p w14:paraId="5DD134C0">
            <w:pPr>
              <w:adjustRightInd w:val="0"/>
              <w:snapToGrid w:val="0"/>
              <w:jc w:val="center"/>
              <w:rPr>
                <w:rFonts w:ascii="宋体" w:hAnsi="宋体" w:eastAsia="宋体" w:cs="宋体"/>
                <w:color w:val="auto"/>
                <w:kern w:val="0"/>
                <w:szCs w:val="21"/>
                <w:highlight w:val="none"/>
              </w:rPr>
            </w:pPr>
          </w:p>
        </w:tc>
        <w:tc>
          <w:tcPr>
            <w:tcW w:w="1086" w:type="dxa"/>
            <w:gridSpan w:val="2"/>
            <w:shd w:val="clear" w:color="auto" w:fill="auto"/>
            <w:vAlign w:val="center"/>
          </w:tcPr>
          <w:p w14:paraId="0A0BB1A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龄</w:t>
            </w:r>
          </w:p>
        </w:tc>
        <w:tc>
          <w:tcPr>
            <w:tcW w:w="1643" w:type="dxa"/>
            <w:gridSpan w:val="2"/>
            <w:shd w:val="clear" w:color="auto" w:fill="auto"/>
            <w:vAlign w:val="center"/>
          </w:tcPr>
          <w:p w14:paraId="0E127CF7">
            <w:pPr>
              <w:adjustRightInd w:val="0"/>
              <w:snapToGrid w:val="0"/>
              <w:jc w:val="center"/>
              <w:rPr>
                <w:rFonts w:ascii="宋体" w:hAnsi="宋体" w:eastAsia="宋体" w:cs="宋体"/>
                <w:color w:val="auto"/>
                <w:kern w:val="0"/>
                <w:szCs w:val="21"/>
                <w:highlight w:val="none"/>
              </w:rPr>
            </w:pPr>
          </w:p>
        </w:tc>
      </w:tr>
      <w:tr w14:paraId="3F5C7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shd w:val="clear" w:color="auto" w:fill="auto"/>
            <w:vAlign w:val="center"/>
          </w:tcPr>
          <w:p w14:paraId="31C9F21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704" w:type="dxa"/>
            <w:gridSpan w:val="3"/>
            <w:shd w:val="clear" w:color="auto" w:fill="auto"/>
            <w:vAlign w:val="center"/>
          </w:tcPr>
          <w:p w14:paraId="03A8DF08">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6E30884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职 称</w:t>
            </w:r>
          </w:p>
        </w:tc>
        <w:tc>
          <w:tcPr>
            <w:tcW w:w="2153" w:type="dxa"/>
            <w:gridSpan w:val="2"/>
            <w:shd w:val="clear" w:color="auto" w:fill="auto"/>
            <w:vAlign w:val="center"/>
          </w:tcPr>
          <w:p w14:paraId="029A469B">
            <w:pPr>
              <w:adjustRightInd w:val="0"/>
              <w:snapToGrid w:val="0"/>
              <w:jc w:val="center"/>
              <w:rPr>
                <w:rFonts w:ascii="宋体" w:hAnsi="宋体" w:eastAsia="宋体" w:cs="宋体"/>
                <w:color w:val="auto"/>
                <w:kern w:val="0"/>
                <w:szCs w:val="21"/>
                <w:highlight w:val="none"/>
              </w:rPr>
            </w:pPr>
          </w:p>
        </w:tc>
        <w:tc>
          <w:tcPr>
            <w:tcW w:w="1086" w:type="dxa"/>
            <w:gridSpan w:val="2"/>
            <w:shd w:val="clear" w:color="auto" w:fill="auto"/>
            <w:vAlign w:val="center"/>
          </w:tcPr>
          <w:p w14:paraId="0E37586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学  历</w:t>
            </w:r>
          </w:p>
        </w:tc>
        <w:tc>
          <w:tcPr>
            <w:tcW w:w="1643" w:type="dxa"/>
            <w:gridSpan w:val="2"/>
            <w:shd w:val="clear" w:color="auto" w:fill="auto"/>
            <w:vAlign w:val="center"/>
          </w:tcPr>
          <w:p w14:paraId="7235FB5B">
            <w:pPr>
              <w:adjustRightInd w:val="0"/>
              <w:snapToGrid w:val="0"/>
              <w:jc w:val="center"/>
              <w:rPr>
                <w:rFonts w:ascii="宋体" w:hAnsi="宋体" w:eastAsia="宋体" w:cs="宋体"/>
                <w:color w:val="auto"/>
                <w:kern w:val="0"/>
                <w:szCs w:val="21"/>
                <w:highlight w:val="none"/>
              </w:rPr>
            </w:pPr>
          </w:p>
        </w:tc>
      </w:tr>
      <w:tr w14:paraId="32A9C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shd w:val="clear" w:color="auto" w:fill="auto"/>
            <w:vAlign w:val="center"/>
          </w:tcPr>
          <w:p w14:paraId="47B2DBC4">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证件类型</w:t>
            </w:r>
          </w:p>
        </w:tc>
        <w:tc>
          <w:tcPr>
            <w:tcW w:w="1704" w:type="dxa"/>
            <w:gridSpan w:val="3"/>
            <w:shd w:val="clear" w:color="auto" w:fill="auto"/>
            <w:vAlign w:val="center"/>
          </w:tcPr>
          <w:p w14:paraId="79F4A9D5">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0C5F89D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证件号码</w:t>
            </w:r>
          </w:p>
        </w:tc>
        <w:tc>
          <w:tcPr>
            <w:tcW w:w="4882" w:type="dxa"/>
            <w:gridSpan w:val="6"/>
            <w:shd w:val="clear" w:color="auto" w:fill="auto"/>
            <w:vAlign w:val="center"/>
          </w:tcPr>
          <w:p w14:paraId="092FFF70">
            <w:pPr>
              <w:adjustRightInd w:val="0"/>
              <w:snapToGrid w:val="0"/>
              <w:jc w:val="center"/>
              <w:rPr>
                <w:rFonts w:ascii="宋体" w:hAnsi="宋体" w:eastAsia="宋体" w:cs="宋体"/>
                <w:color w:val="auto"/>
                <w:kern w:val="0"/>
                <w:szCs w:val="21"/>
                <w:highlight w:val="none"/>
              </w:rPr>
            </w:pPr>
          </w:p>
        </w:tc>
      </w:tr>
      <w:tr w14:paraId="7E53F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4" w:type="dxa"/>
            <w:gridSpan w:val="3"/>
            <w:shd w:val="clear" w:color="auto" w:fill="auto"/>
            <w:vAlign w:val="center"/>
          </w:tcPr>
          <w:p w14:paraId="4742B59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手机号码</w:t>
            </w:r>
          </w:p>
        </w:tc>
        <w:tc>
          <w:tcPr>
            <w:tcW w:w="2461" w:type="dxa"/>
            <w:gridSpan w:val="2"/>
            <w:shd w:val="clear" w:color="auto" w:fill="auto"/>
            <w:vAlign w:val="center"/>
          </w:tcPr>
          <w:p w14:paraId="5FDBE739">
            <w:pPr>
              <w:adjustRightInd w:val="0"/>
              <w:snapToGrid w:val="0"/>
              <w:jc w:val="center"/>
              <w:rPr>
                <w:rFonts w:ascii="宋体" w:hAnsi="宋体" w:eastAsia="宋体" w:cs="宋体"/>
                <w:color w:val="auto"/>
                <w:kern w:val="0"/>
                <w:szCs w:val="21"/>
                <w:highlight w:val="none"/>
              </w:rPr>
            </w:pPr>
          </w:p>
        </w:tc>
        <w:tc>
          <w:tcPr>
            <w:tcW w:w="2734" w:type="dxa"/>
            <w:gridSpan w:val="3"/>
            <w:shd w:val="clear" w:color="auto" w:fill="auto"/>
            <w:vAlign w:val="center"/>
          </w:tcPr>
          <w:p w14:paraId="3CBC1C6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证件号（职称证书编号）</w:t>
            </w:r>
          </w:p>
        </w:tc>
        <w:tc>
          <w:tcPr>
            <w:tcW w:w="2148" w:type="dxa"/>
            <w:gridSpan w:val="3"/>
            <w:shd w:val="clear" w:color="auto" w:fill="auto"/>
            <w:vAlign w:val="center"/>
          </w:tcPr>
          <w:p w14:paraId="18EF8324">
            <w:pPr>
              <w:adjustRightInd w:val="0"/>
              <w:snapToGrid w:val="0"/>
              <w:jc w:val="center"/>
              <w:rPr>
                <w:rFonts w:ascii="宋体" w:hAnsi="宋体" w:eastAsia="宋体" w:cs="宋体"/>
                <w:color w:val="auto"/>
                <w:kern w:val="0"/>
                <w:szCs w:val="21"/>
                <w:highlight w:val="none"/>
              </w:rPr>
            </w:pPr>
          </w:p>
        </w:tc>
      </w:tr>
      <w:tr w14:paraId="2F245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4" w:type="dxa"/>
            <w:gridSpan w:val="3"/>
            <w:shd w:val="clear" w:color="auto" w:fill="auto"/>
            <w:vAlign w:val="center"/>
          </w:tcPr>
          <w:p w14:paraId="44EB44A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参加工作时间</w:t>
            </w:r>
          </w:p>
        </w:tc>
        <w:tc>
          <w:tcPr>
            <w:tcW w:w="2461" w:type="dxa"/>
            <w:gridSpan w:val="2"/>
            <w:shd w:val="clear" w:color="auto" w:fill="auto"/>
            <w:vAlign w:val="center"/>
          </w:tcPr>
          <w:p w14:paraId="66BB3771">
            <w:pPr>
              <w:adjustRightInd w:val="0"/>
              <w:snapToGrid w:val="0"/>
              <w:jc w:val="center"/>
              <w:rPr>
                <w:rFonts w:ascii="宋体" w:hAnsi="宋体" w:eastAsia="宋体" w:cs="宋体"/>
                <w:color w:val="auto"/>
                <w:kern w:val="0"/>
                <w:szCs w:val="21"/>
                <w:highlight w:val="none"/>
              </w:rPr>
            </w:pPr>
          </w:p>
        </w:tc>
        <w:tc>
          <w:tcPr>
            <w:tcW w:w="2734" w:type="dxa"/>
            <w:gridSpan w:val="3"/>
            <w:shd w:val="clear" w:color="auto" w:fill="auto"/>
            <w:vAlign w:val="center"/>
          </w:tcPr>
          <w:p w14:paraId="79C0BD8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从事技术负责人年限</w:t>
            </w:r>
          </w:p>
        </w:tc>
        <w:tc>
          <w:tcPr>
            <w:tcW w:w="2148" w:type="dxa"/>
            <w:gridSpan w:val="3"/>
            <w:shd w:val="clear" w:color="auto" w:fill="auto"/>
            <w:vAlign w:val="center"/>
          </w:tcPr>
          <w:p w14:paraId="28691832">
            <w:pPr>
              <w:adjustRightInd w:val="0"/>
              <w:snapToGrid w:val="0"/>
              <w:jc w:val="center"/>
              <w:rPr>
                <w:rFonts w:ascii="宋体" w:hAnsi="宋体" w:eastAsia="宋体" w:cs="宋体"/>
                <w:color w:val="auto"/>
                <w:kern w:val="0"/>
                <w:szCs w:val="21"/>
                <w:highlight w:val="none"/>
              </w:rPr>
            </w:pPr>
          </w:p>
        </w:tc>
      </w:tr>
      <w:tr w14:paraId="38BB4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87" w:type="dxa"/>
            <w:gridSpan w:val="11"/>
            <w:shd w:val="clear" w:color="auto" w:fill="auto"/>
            <w:vAlign w:val="center"/>
          </w:tcPr>
          <w:p w14:paraId="7FFF6207">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在建和已完工程项目情况</w:t>
            </w:r>
          </w:p>
        </w:tc>
      </w:tr>
      <w:tr w14:paraId="7E806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5C2113DE">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建设单位</w:t>
            </w:r>
          </w:p>
        </w:tc>
        <w:tc>
          <w:tcPr>
            <w:tcW w:w="1583" w:type="dxa"/>
            <w:gridSpan w:val="2"/>
            <w:shd w:val="clear" w:color="auto" w:fill="auto"/>
            <w:vAlign w:val="center"/>
          </w:tcPr>
          <w:p w14:paraId="60680DD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1458" w:type="dxa"/>
            <w:shd w:val="clear" w:color="auto" w:fill="auto"/>
            <w:vAlign w:val="center"/>
          </w:tcPr>
          <w:p w14:paraId="204CD58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建设规模</w:t>
            </w:r>
          </w:p>
        </w:tc>
        <w:tc>
          <w:tcPr>
            <w:tcW w:w="1975" w:type="dxa"/>
            <w:shd w:val="clear" w:color="auto" w:fill="auto"/>
            <w:vAlign w:val="center"/>
          </w:tcPr>
          <w:p w14:paraId="5BFC438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开、竣工日期</w:t>
            </w:r>
          </w:p>
        </w:tc>
        <w:tc>
          <w:tcPr>
            <w:tcW w:w="1545" w:type="dxa"/>
            <w:gridSpan w:val="4"/>
            <w:shd w:val="clear" w:color="auto" w:fill="auto"/>
            <w:vAlign w:val="center"/>
          </w:tcPr>
          <w:p w14:paraId="1AB5818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在建或已完</w:t>
            </w:r>
          </w:p>
        </w:tc>
        <w:tc>
          <w:tcPr>
            <w:tcW w:w="1362" w:type="dxa"/>
            <w:shd w:val="clear" w:color="auto" w:fill="auto"/>
            <w:vAlign w:val="center"/>
          </w:tcPr>
          <w:p w14:paraId="7A74FBF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r>
      <w:tr w14:paraId="3CB3C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2FB6092F">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3E59D33F">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308F6AFE">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4BAA30F7">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179751F0">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10B1C752">
            <w:pPr>
              <w:adjustRightInd w:val="0"/>
              <w:snapToGrid w:val="0"/>
              <w:jc w:val="center"/>
              <w:rPr>
                <w:rFonts w:ascii="宋体" w:hAnsi="宋体" w:eastAsia="宋体" w:cs="宋体"/>
                <w:color w:val="auto"/>
                <w:kern w:val="0"/>
                <w:szCs w:val="21"/>
                <w:highlight w:val="none"/>
              </w:rPr>
            </w:pPr>
          </w:p>
        </w:tc>
      </w:tr>
      <w:tr w14:paraId="6C07C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757A0CF8">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47445605">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79C2ED53">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5A91EA44">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01768C41">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7E494D50">
            <w:pPr>
              <w:adjustRightInd w:val="0"/>
              <w:snapToGrid w:val="0"/>
              <w:jc w:val="center"/>
              <w:rPr>
                <w:rFonts w:ascii="宋体" w:hAnsi="宋体" w:eastAsia="宋体" w:cs="宋体"/>
                <w:color w:val="auto"/>
                <w:kern w:val="0"/>
                <w:szCs w:val="21"/>
                <w:highlight w:val="none"/>
              </w:rPr>
            </w:pPr>
          </w:p>
        </w:tc>
      </w:tr>
      <w:tr w14:paraId="361FD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733BF7D0">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622D77E1">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7932F2E4">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432AB749">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78961FAE">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4B9229B8">
            <w:pPr>
              <w:adjustRightInd w:val="0"/>
              <w:snapToGrid w:val="0"/>
              <w:jc w:val="center"/>
              <w:rPr>
                <w:rFonts w:ascii="宋体" w:hAnsi="宋体" w:eastAsia="宋体" w:cs="宋体"/>
                <w:color w:val="auto"/>
                <w:kern w:val="0"/>
                <w:szCs w:val="21"/>
                <w:highlight w:val="none"/>
              </w:rPr>
            </w:pPr>
          </w:p>
        </w:tc>
      </w:tr>
      <w:tr w14:paraId="1A85F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44A7748B">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7631B5C0">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7D118B89">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5EB59923">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20E540EC">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1FD48CD2">
            <w:pPr>
              <w:adjustRightInd w:val="0"/>
              <w:snapToGrid w:val="0"/>
              <w:jc w:val="center"/>
              <w:rPr>
                <w:rFonts w:ascii="宋体" w:hAnsi="宋体" w:eastAsia="宋体" w:cs="宋体"/>
                <w:color w:val="auto"/>
                <w:kern w:val="0"/>
                <w:szCs w:val="21"/>
                <w:highlight w:val="none"/>
              </w:rPr>
            </w:pPr>
          </w:p>
        </w:tc>
      </w:tr>
      <w:tr w14:paraId="08909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3CACE995">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454FBE8A">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49584311">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47A5C68F">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1F4DA440">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5A524F4F">
            <w:pPr>
              <w:adjustRightInd w:val="0"/>
              <w:snapToGrid w:val="0"/>
              <w:jc w:val="center"/>
              <w:rPr>
                <w:rFonts w:ascii="宋体" w:hAnsi="宋体" w:eastAsia="宋体" w:cs="宋体"/>
                <w:color w:val="auto"/>
                <w:kern w:val="0"/>
                <w:szCs w:val="21"/>
                <w:highlight w:val="none"/>
              </w:rPr>
            </w:pPr>
          </w:p>
        </w:tc>
      </w:tr>
      <w:tr w14:paraId="23112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595329CE">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15D2CF59">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2FAF73C6">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59F79A99">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11F9B50C">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6FC6C566">
            <w:pPr>
              <w:adjustRightInd w:val="0"/>
              <w:snapToGrid w:val="0"/>
              <w:jc w:val="center"/>
              <w:rPr>
                <w:rFonts w:ascii="宋体" w:hAnsi="宋体" w:eastAsia="宋体" w:cs="宋体"/>
                <w:color w:val="auto"/>
                <w:kern w:val="0"/>
                <w:szCs w:val="21"/>
                <w:highlight w:val="none"/>
              </w:rPr>
            </w:pPr>
          </w:p>
        </w:tc>
      </w:tr>
      <w:tr w14:paraId="25EED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69619ACF">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3C90C263">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0F018D87">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66DA780E">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00345A06">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27A5134C">
            <w:pPr>
              <w:adjustRightInd w:val="0"/>
              <w:snapToGrid w:val="0"/>
              <w:jc w:val="center"/>
              <w:rPr>
                <w:rFonts w:ascii="宋体" w:hAnsi="宋体" w:eastAsia="宋体" w:cs="宋体"/>
                <w:color w:val="auto"/>
                <w:kern w:val="0"/>
                <w:szCs w:val="21"/>
                <w:highlight w:val="none"/>
              </w:rPr>
            </w:pPr>
          </w:p>
        </w:tc>
      </w:tr>
      <w:tr w14:paraId="01AC4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2DC6FB97">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27899CFF">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37DE916C">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38E030F9">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13F49A41">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71C8D4DE">
            <w:pPr>
              <w:adjustRightInd w:val="0"/>
              <w:snapToGrid w:val="0"/>
              <w:jc w:val="center"/>
              <w:rPr>
                <w:rFonts w:ascii="宋体" w:hAnsi="宋体" w:eastAsia="宋体" w:cs="宋体"/>
                <w:color w:val="auto"/>
                <w:kern w:val="0"/>
                <w:szCs w:val="21"/>
                <w:highlight w:val="none"/>
              </w:rPr>
            </w:pPr>
          </w:p>
        </w:tc>
      </w:tr>
      <w:tr w14:paraId="3C47B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294EC68C">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0EED6058">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07F7DF24">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2254D624">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311938E1">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3190C20C">
            <w:pPr>
              <w:adjustRightInd w:val="0"/>
              <w:snapToGrid w:val="0"/>
              <w:jc w:val="center"/>
              <w:rPr>
                <w:rFonts w:ascii="宋体" w:hAnsi="宋体" w:eastAsia="宋体" w:cs="宋体"/>
                <w:color w:val="auto"/>
                <w:kern w:val="0"/>
                <w:szCs w:val="21"/>
                <w:highlight w:val="none"/>
              </w:rPr>
            </w:pPr>
          </w:p>
        </w:tc>
      </w:tr>
      <w:tr w14:paraId="7FDE4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208366FE">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5A5C93D0">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48A06CC8">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450D045B">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3F42791A">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7D515473">
            <w:pPr>
              <w:adjustRightInd w:val="0"/>
              <w:snapToGrid w:val="0"/>
              <w:jc w:val="center"/>
              <w:rPr>
                <w:rFonts w:ascii="宋体" w:hAnsi="宋体" w:eastAsia="宋体" w:cs="宋体"/>
                <w:color w:val="auto"/>
                <w:kern w:val="0"/>
                <w:szCs w:val="21"/>
                <w:highlight w:val="none"/>
              </w:rPr>
            </w:pPr>
          </w:p>
        </w:tc>
      </w:tr>
      <w:tr w14:paraId="65F08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615FB016">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308140F1">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266E81D0">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00AC11ED">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7C02067D">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4B17F63E">
            <w:pPr>
              <w:adjustRightInd w:val="0"/>
              <w:snapToGrid w:val="0"/>
              <w:jc w:val="center"/>
              <w:rPr>
                <w:rFonts w:ascii="宋体" w:hAnsi="宋体" w:eastAsia="宋体" w:cs="宋体"/>
                <w:color w:val="auto"/>
                <w:kern w:val="0"/>
                <w:szCs w:val="21"/>
                <w:highlight w:val="none"/>
              </w:rPr>
            </w:pPr>
          </w:p>
        </w:tc>
      </w:tr>
      <w:tr w14:paraId="4EEDE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415D47FF">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005BDA7E">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354B49B0">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3D35D273">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44C33EE3">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3C7EFB4F">
            <w:pPr>
              <w:adjustRightInd w:val="0"/>
              <w:snapToGrid w:val="0"/>
              <w:jc w:val="center"/>
              <w:rPr>
                <w:rFonts w:ascii="宋体" w:hAnsi="宋体" w:eastAsia="宋体" w:cs="宋体"/>
                <w:color w:val="auto"/>
                <w:kern w:val="0"/>
                <w:szCs w:val="21"/>
                <w:highlight w:val="none"/>
              </w:rPr>
            </w:pPr>
          </w:p>
        </w:tc>
      </w:tr>
      <w:tr w14:paraId="39F81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369D7073">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226B5C57">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177EA916">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2D599F6B">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336B5576">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5E3DC19F">
            <w:pPr>
              <w:adjustRightInd w:val="0"/>
              <w:snapToGrid w:val="0"/>
              <w:jc w:val="center"/>
              <w:rPr>
                <w:rFonts w:ascii="宋体" w:hAnsi="宋体" w:eastAsia="宋体" w:cs="宋体"/>
                <w:color w:val="auto"/>
                <w:kern w:val="0"/>
                <w:szCs w:val="21"/>
                <w:highlight w:val="none"/>
              </w:rPr>
            </w:pPr>
          </w:p>
        </w:tc>
      </w:tr>
      <w:tr w14:paraId="480C1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2A5ECF86">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54513495">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437068A7">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121B1C2B">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20AC1FD4">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3E5C7090">
            <w:pPr>
              <w:adjustRightInd w:val="0"/>
              <w:snapToGrid w:val="0"/>
              <w:jc w:val="center"/>
              <w:rPr>
                <w:rFonts w:ascii="宋体" w:hAnsi="宋体" w:eastAsia="宋体" w:cs="宋体"/>
                <w:color w:val="auto"/>
                <w:kern w:val="0"/>
                <w:szCs w:val="21"/>
                <w:highlight w:val="none"/>
              </w:rPr>
            </w:pPr>
          </w:p>
        </w:tc>
      </w:tr>
      <w:tr w14:paraId="5E9B5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61A1D3BF">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69D56330">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623335A6">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27B180A1">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42C28A54">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03981AA7">
            <w:pPr>
              <w:adjustRightInd w:val="0"/>
              <w:snapToGrid w:val="0"/>
              <w:jc w:val="center"/>
              <w:rPr>
                <w:rFonts w:ascii="宋体" w:hAnsi="宋体" w:eastAsia="宋体" w:cs="宋体"/>
                <w:color w:val="auto"/>
                <w:kern w:val="0"/>
                <w:szCs w:val="21"/>
                <w:highlight w:val="none"/>
              </w:rPr>
            </w:pPr>
          </w:p>
        </w:tc>
      </w:tr>
      <w:tr w14:paraId="3A720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14:paraId="5E2ECCA4">
            <w:pPr>
              <w:adjustRightInd w:val="0"/>
              <w:snapToGrid w:val="0"/>
              <w:jc w:val="center"/>
              <w:rPr>
                <w:rFonts w:ascii="宋体" w:hAnsi="宋体" w:eastAsia="宋体" w:cs="宋体"/>
                <w:color w:val="auto"/>
                <w:kern w:val="0"/>
                <w:szCs w:val="21"/>
                <w:highlight w:val="none"/>
              </w:rPr>
            </w:pPr>
          </w:p>
        </w:tc>
        <w:tc>
          <w:tcPr>
            <w:tcW w:w="1583" w:type="dxa"/>
            <w:gridSpan w:val="2"/>
            <w:shd w:val="clear" w:color="auto" w:fill="auto"/>
            <w:vAlign w:val="center"/>
          </w:tcPr>
          <w:p w14:paraId="3838B978">
            <w:pPr>
              <w:adjustRightInd w:val="0"/>
              <w:snapToGrid w:val="0"/>
              <w:jc w:val="center"/>
              <w:rPr>
                <w:rFonts w:ascii="宋体" w:hAnsi="宋体" w:eastAsia="宋体" w:cs="宋体"/>
                <w:color w:val="auto"/>
                <w:kern w:val="0"/>
                <w:szCs w:val="21"/>
                <w:highlight w:val="none"/>
              </w:rPr>
            </w:pPr>
          </w:p>
        </w:tc>
        <w:tc>
          <w:tcPr>
            <w:tcW w:w="1458" w:type="dxa"/>
            <w:shd w:val="clear" w:color="auto" w:fill="auto"/>
            <w:vAlign w:val="center"/>
          </w:tcPr>
          <w:p w14:paraId="163F3958">
            <w:pPr>
              <w:adjustRightInd w:val="0"/>
              <w:snapToGrid w:val="0"/>
              <w:jc w:val="center"/>
              <w:rPr>
                <w:rFonts w:ascii="宋体" w:hAnsi="宋体" w:eastAsia="宋体" w:cs="宋体"/>
                <w:color w:val="auto"/>
                <w:kern w:val="0"/>
                <w:szCs w:val="21"/>
                <w:highlight w:val="none"/>
              </w:rPr>
            </w:pPr>
          </w:p>
        </w:tc>
        <w:tc>
          <w:tcPr>
            <w:tcW w:w="1975" w:type="dxa"/>
            <w:shd w:val="clear" w:color="auto" w:fill="auto"/>
            <w:vAlign w:val="center"/>
          </w:tcPr>
          <w:p w14:paraId="2962D480">
            <w:pPr>
              <w:adjustRightInd w:val="0"/>
              <w:snapToGrid w:val="0"/>
              <w:jc w:val="center"/>
              <w:rPr>
                <w:rFonts w:ascii="宋体" w:hAnsi="宋体" w:eastAsia="宋体" w:cs="宋体"/>
                <w:color w:val="auto"/>
                <w:kern w:val="0"/>
                <w:szCs w:val="21"/>
                <w:highlight w:val="none"/>
              </w:rPr>
            </w:pPr>
          </w:p>
        </w:tc>
        <w:tc>
          <w:tcPr>
            <w:tcW w:w="1545" w:type="dxa"/>
            <w:gridSpan w:val="4"/>
            <w:shd w:val="clear" w:color="auto" w:fill="auto"/>
            <w:vAlign w:val="center"/>
          </w:tcPr>
          <w:p w14:paraId="6F64BAD0">
            <w:pPr>
              <w:adjustRightInd w:val="0"/>
              <w:snapToGrid w:val="0"/>
              <w:jc w:val="center"/>
              <w:rPr>
                <w:rFonts w:ascii="宋体" w:hAnsi="宋体" w:eastAsia="宋体" w:cs="宋体"/>
                <w:color w:val="auto"/>
                <w:kern w:val="0"/>
                <w:szCs w:val="21"/>
                <w:highlight w:val="none"/>
              </w:rPr>
            </w:pPr>
          </w:p>
        </w:tc>
        <w:tc>
          <w:tcPr>
            <w:tcW w:w="1362" w:type="dxa"/>
            <w:shd w:val="clear" w:color="auto" w:fill="auto"/>
            <w:vAlign w:val="center"/>
          </w:tcPr>
          <w:p w14:paraId="7E2BFF6F">
            <w:pPr>
              <w:adjustRightInd w:val="0"/>
              <w:snapToGrid w:val="0"/>
              <w:jc w:val="center"/>
              <w:rPr>
                <w:rFonts w:ascii="宋体" w:hAnsi="宋体" w:eastAsia="宋体" w:cs="宋体"/>
                <w:color w:val="auto"/>
                <w:kern w:val="0"/>
                <w:szCs w:val="21"/>
                <w:highlight w:val="none"/>
              </w:rPr>
            </w:pPr>
          </w:p>
        </w:tc>
      </w:tr>
    </w:tbl>
    <w:p w14:paraId="6AE162B5">
      <w:pPr>
        <w:spacing w:line="20" w:lineRule="exact"/>
        <w:rPr>
          <w:rFonts w:ascii="宋体" w:hAnsi="宋体" w:eastAsia="宋体" w:cs="宋体"/>
          <w:color w:val="auto"/>
          <w:highlight w:val="none"/>
        </w:rPr>
      </w:pPr>
      <w:r>
        <w:rPr>
          <w:rFonts w:hint="eastAsia" w:ascii="宋体" w:hAnsi="宋体" w:eastAsia="宋体" w:cs="宋体"/>
          <w:color w:val="auto"/>
          <w:highlight w:val="none"/>
        </w:rPr>
        <w:br w:type="page"/>
      </w:r>
    </w:p>
    <w:p w14:paraId="10487ED6">
      <w:pPr>
        <w:adjustRightInd w:val="0"/>
        <w:snapToGrid w:val="0"/>
        <w:spacing w:line="360" w:lineRule="auto"/>
        <w:ind w:firstLine="705" w:firstLineChars="234"/>
        <w:rPr>
          <w:rFonts w:ascii="宋体" w:hAnsi="宋体" w:eastAsia="宋体" w:cs="宋体"/>
          <w:b/>
          <w:bCs/>
          <w:color w:val="auto"/>
          <w:sz w:val="28"/>
          <w:highlight w:val="none"/>
        </w:rPr>
      </w:pPr>
      <w:r>
        <w:rPr>
          <w:rFonts w:hint="eastAsia" w:ascii="宋体" w:hAnsi="宋体" w:eastAsia="宋体" w:cs="宋体"/>
          <w:b/>
          <w:bCs/>
          <w:color w:val="auto"/>
          <w:sz w:val="30"/>
          <w:szCs w:val="30"/>
          <w:highlight w:val="none"/>
        </w:rPr>
        <w:t>4.质量负责人信息表</w:t>
      </w:r>
      <w:r>
        <w:rPr>
          <w:rFonts w:hint="eastAsia" w:ascii="宋体" w:hAnsi="宋体" w:eastAsia="宋体" w:cs="宋体"/>
          <w:color w:val="auto"/>
          <w:highlight w:val="none"/>
        </w:rPr>
        <w:t>（每个项目只能一个，必填项）</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837"/>
        <w:gridCol w:w="1178"/>
        <w:gridCol w:w="1365"/>
        <w:gridCol w:w="1200"/>
        <w:gridCol w:w="2606"/>
      </w:tblGrid>
      <w:tr w14:paraId="67B88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14:paraId="61164A5A">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837" w:type="dxa"/>
            <w:vAlign w:val="center"/>
          </w:tcPr>
          <w:p w14:paraId="0659786E">
            <w:pPr>
              <w:adjustRightInd w:val="0"/>
              <w:snapToGrid w:val="0"/>
              <w:jc w:val="center"/>
              <w:rPr>
                <w:rFonts w:ascii="宋体" w:hAnsi="宋体" w:eastAsia="宋体" w:cs="宋体"/>
                <w:color w:val="auto"/>
                <w:szCs w:val="21"/>
                <w:highlight w:val="none"/>
              </w:rPr>
            </w:pPr>
          </w:p>
        </w:tc>
        <w:tc>
          <w:tcPr>
            <w:tcW w:w="1178" w:type="dxa"/>
            <w:vAlign w:val="center"/>
          </w:tcPr>
          <w:p w14:paraId="7249C46B">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证件类型</w:t>
            </w:r>
          </w:p>
        </w:tc>
        <w:tc>
          <w:tcPr>
            <w:tcW w:w="1365" w:type="dxa"/>
            <w:vAlign w:val="center"/>
          </w:tcPr>
          <w:p w14:paraId="7C25447E">
            <w:pPr>
              <w:adjustRightInd w:val="0"/>
              <w:snapToGrid w:val="0"/>
              <w:jc w:val="center"/>
              <w:rPr>
                <w:rFonts w:ascii="宋体" w:hAnsi="宋体" w:eastAsia="宋体" w:cs="宋体"/>
                <w:color w:val="auto"/>
                <w:szCs w:val="21"/>
                <w:highlight w:val="none"/>
              </w:rPr>
            </w:pPr>
          </w:p>
        </w:tc>
        <w:tc>
          <w:tcPr>
            <w:tcW w:w="1200" w:type="dxa"/>
            <w:vAlign w:val="center"/>
          </w:tcPr>
          <w:p w14:paraId="6C160F7E">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证件号码</w:t>
            </w:r>
          </w:p>
        </w:tc>
        <w:tc>
          <w:tcPr>
            <w:tcW w:w="2606" w:type="dxa"/>
            <w:vAlign w:val="center"/>
          </w:tcPr>
          <w:p w14:paraId="7BB3A877">
            <w:pPr>
              <w:adjustRightInd w:val="0"/>
              <w:snapToGrid w:val="0"/>
              <w:jc w:val="center"/>
              <w:rPr>
                <w:rFonts w:ascii="宋体" w:hAnsi="宋体" w:eastAsia="宋体" w:cs="宋体"/>
                <w:color w:val="auto"/>
                <w:szCs w:val="21"/>
                <w:highlight w:val="none"/>
              </w:rPr>
            </w:pPr>
          </w:p>
        </w:tc>
      </w:tr>
      <w:tr w14:paraId="3B24D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14:paraId="4511BBE6">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手机号码</w:t>
            </w:r>
          </w:p>
        </w:tc>
        <w:tc>
          <w:tcPr>
            <w:tcW w:w="3015" w:type="dxa"/>
            <w:gridSpan w:val="2"/>
            <w:vAlign w:val="center"/>
          </w:tcPr>
          <w:p w14:paraId="3DD5412A">
            <w:pPr>
              <w:adjustRightInd w:val="0"/>
              <w:snapToGrid w:val="0"/>
              <w:jc w:val="center"/>
              <w:rPr>
                <w:rFonts w:ascii="宋体" w:hAnsi="宋体" w:eastAsia="宋体" w:cs="宋体"/>
                <w:color w:val="auto"/>
                <w:szCs w:val="21"/>
                <w:highlight w:val="none"/>
              </w:rPr>
            </w:pPr>
          </w:p>
        </w:tc>
        <w:tc>
          <w:tcPr>
            <w:tcW w:w="2565" w:type="dxa"/>
            <w:gridSpan w:val="2"/>
            <w:vAlign w:val="center"/>
          </w:tcPr>
          <w:p w14:paraId="3061776A">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证件号（质量员证编号）</w:t>
            </w:r>
          </w:p>
        </w:tc>
        <w:tc>
          <w:tcPr>
            <w:tcW w:w="2606" w:type="dxa"/>
            <w:vAlign w:val="center"/>
          </w:tcPr>
          <w:p w14:paraId="30EF7882">
            <w:pPr>
              <w:adjustRightInd w:val="0"/>
              <w:snapToGrid w:val="0"/>
              <w:jc w:val="center"/>
              <w:rPr>
                <w:rFonts w:ascii="宋体" w:hAnsi="宋体" w:eastAsia="宋体" w:cs="宋体"/>
                <w:color w:val="auto"/>
                <w:szCs w:val="21"/>
                <w:highlight w:val="none"/>
              </w:rPr>
            </w:pPr>
          </w:p>
        </w:tc>
      </w:tr>
    </w:tbl>
    <w:p w14:paraId="57AD725F">
      <w:pPr>
        <w:adjustRightInd w:val="0"/>
        <w:snapToGrid w:val="0"/>
        <w:spacing w:line="360" w:lineRule="auto"/>
        <w:ind w:firstLine="658" w:firstLineChars="234"/>
        <w:rPr>
          <w:rFonts w:ascii="宋体" w:hAnsi="宋体" w:eastAsia="宋体" w:cs="宋体"/>
          <w:b/>
          <w:bCs/>
          <w:color w:val="auto"/>
          <w:sz w:val="28"/>
          <w:highlight w:val="none"/>
        </w:rPr>
      </w:pPr>
    </w:p>
    <w:p w14:paraId="24C70D5F">
      <w:pPr>
        <w:adjustRightInd w:val="0"/>
        <w:snapToGrid w:val="0"/>
        <w:spacing w:line="360" w:lineRule="auto"/>
        <w:ind w:firstLine="705" w:firstLineChars="234"/>
        <w:rPr>
          <w:rFonts w:ascii="宋体" w:hAnsi="宋体" w:eastAsia="宋体" w:cs="宋体"/>
          <w:b/>
          <w:bCs/>
          <w:color w:val="auto"/>
          <w:sz w:val="28"/>
          <w:highlight w:val="none"/>
        </w:rPr>
      </w:pPr>
      <w:r>
        <w:rPr>
          <w:rFonts w:hint="eastAsia" w:ascii="宋体" w:hAnsi="宋体" w:eastAsia="宋体" w:cs="宋体"/>
          <w:b/>
          <w:bCs/>
          <w:color w:val="auto"/>
          <w:sz w:val="30"/>
          <w:szCs w:val="30"/>
          <w:highlight w:val="none"/>
        </w:rPr>
        <w:t>5.安全负责人信息表</w:t>
      </w:r>
      <w:r>
        <w:rPr>
          <w:rFonts w:hint="eastAsia" w:ascii="宋体" w:hAnsi="宋体" w:eastAsia="宋体" w:cs="宋体"/>
          <w:color w:val="auto"/>
          <w:highlight w:val="none"/>
        </w:rPr>
        <w:t>（每个项目只能一个，必填项）</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837"/>
        <w:gridCol w:w="1178"/>
        <w:gridCol w:w="1380"/>
        <w:gridCol w:w="1200"/>
        <w:gridCol w:w="2591"/>
      </w:tblGrid>
      <w:tr w14:paraId="68E65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14:paraId="58F6D5FC">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837" w:type="dxa"/>
            <w:vAlign w:val="center"/>
          </w:tcPr>
          <w:p w14:paraId="5CDB32AA">
            <w:pPr>
              <w:adjustRightInd w:val="0"/>
              <w:snapToGrid w:val="0"/>
              <w:jc w:val="center"/>
              <w:rPr>
                <w:rFonts w:ascii="宋体" w:hAnsi="宋体" w:eastAsia="宋体" w:cs="宋体"/>
                <w:color w:val="auto"/>
                <w:szCs w:val="21"/>
                <w:highlight w:val="none"/>
              </w:rPr>
            </w:pPr>
          </w:p>
        </w:tc>
        <w:tc>
          <w:tcPr>
            <w:tcW w:w="1178" w:type="dxa"/>
            <w:vAlign w:val="center"/>
          </w:tcPr>
          <w:p w14:paraId="1F6FDD01">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证件类型</w:t>
            </w:r>
          </w:p>
        </w:tc>
        <w:tc>
          <w:tcPr>
            <w:tcW w:w="1380" w:type="dxa"/>
            <w:vAlign w:val="center"/>
          </w:tcPr>
          <w:p w14:paraId="5988E353">
            <w:pPr>
              <w:adjustRightInd w:val="0"/>
              <w:snapToGrid w:val="0"/>
              <w:jc w:val="center"/>
              <w:rPr>
                <w:rFonts w:ascii="宋体" w:hAnsi="宋体" w:eastAsia="宋体" w:cs="宋体"/>
                <w:color w:val="auto"/>
                <w:szCs w:val="21"/>
                <w:highlight w:val="none"/>
              </w:rPr>
            </w:pPr>
          </w:p>
        </w:tc>
        <w:tc>
          <w:tcPr>
            <w:tcW w:w="1200" w:type="dxa"/>
            <w:vAlign w:val="center"/>
          </w:tcPr>
          <w:p w14:paraId="45A26877">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证件号码</w:t>
            </w:r>
          </w:p>
        </w:tc>
        <w:tc>
          <w:tcPr>
            <w:tcW w:w="2591" w:type="dxa"/>
            <w:vAlign w:val="center"/>
          </w:tcPr>
          <w:p w14:paraId="0F06A272">
            <w:pPr>
              <w:adjustRightInd w:val="0"/>
              <w:snapToGrid w:val="0"/>
              <w:jc w:val="center"/>
              <w:rPr>
                <w:rFonts w:ascii="宋体" w:hAnsi="宋体" w:eastAsia="宋体" w:cs="宋体"/>
                <w:color w:val="auto"/>
                <w:szCs w:val="21"/>
                <w:highlight w:val="none"/>
              </w:rPr>
            </w:pPr>
          </w:p>
        </w:tc>
      </w:tr>
      <w:tr w14:paraId="6CF37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14:paraId="06C51E5C">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手机号码</w:t>
            </w:r>
          </w:p>
        </w:tc>
        <w:tc>
          <w:tcPr>
            <w:tcW w:w="3015" w:type="dxa"/>
            <w:gridSpan w:val="2"/>
            <w:vAlign w:val="center"/>
          </w:tcPr>
          <w:p w14:paraId="15A343D4">
            <w:pPr>
              <w:adjustRightInd w:val="0"/>
              <w:snapToGrid w:val="0"/>
              <w:jc w:val="center"/>
              <w:rPr>
                <w:rFonts w:ascii="宋体" w:hAnsi="宋体" w:eastAsia="宋体" w:cs="宋体"/>
                <w:color w:val="auto"/>
                <w:szCs w:val="21"/>
                <w:highlight w:val="none"/>
              </w:rPr>
            </w:pPr>
          </w:p>
        </w:tc>
        <w:tc>
          <w:tcPr>
            <w:tcW w:w="2580" w:type="dxa"/>
            <w:gridSpan w:val="2"/>
            <w:vAlign w:val="center"/>
          </w:tcPr>
          <w:p w14:paraId="671416C7">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证件号（C证编号）</w:t>
            </w:r>
          </w:p>
        </w:tc>
        <w:tc>
          <w:tcPr>
            <w:tcW w:w="2591" w:type="dxa"/>
            <w:vAlign w:val="center"/>
          </w:tcPr>
          <w:p w14:paraId="579B86DD">
            <w:pPr>
              <w:adjustRightInd w:val="0"/>
              <w:snapToGrid w:val="0"/>
              <w:jc w:val="center"/>
              <w:rPr>
                <w:rFonts w:ascii="宋体" w:hAnsi="宋体" w:eastAsia="宋体" w:cs="宋体"/>
                <w:color w:val="auto"/>
                <w:szCs w:val="21"/>
                <w:highlight w:val="none"/>
              </w:rPr>
            </w:pPr>
          </w:p>
        </w:tc>
      </w:tr>
    </w:tbl>
    <w:p w14:paraId="0CAF70BF">
      <w:pPr>
        <w:adjustRightInd w:val="0"/>
        <w:snapToGrid w:val="0"/>
        <w:spacing w:line="360" w:lineRule="auto"/>
        <w:ind w:firstLine="658" w:firstLineChars="234"/>
        <w:rPr>
          <w:rFonts w:ascii="宋体" w:hAnsi="宋体" w:eastAsia="宋体" w:cs="宋体"/>
          <w:b/>
          <w:bCs/>
          <w:color w:val="auto"/>
          <w:sz w:val="28"/>
          <w:highlight w:val="none"/>
        </w:rPr>
      </w:pPr>
    </w:p>
    <w:p w14:paraId="639C5D0C">
      <w:pPr>
        <w:adjustRightInd w:val="0"/>
        <w:snapToGrid w:val="0"/>
        <w:ind w:firstLine="602" w:firstLineChars="200"/>
        <w:rPr>
          <w:rFonts w:ascii="宋体" w:hAnsi="宋体" w:eastAsia="宋体" w:cs="宋体"/>
          <w:b/>
          <w:bCs/>
          <w:color w:val="auto"/>
          <w:sz w:val="28"/>
          <w:highlight w:val="none"/>
        </w:rPr>
      </w:pPr>
      <w:r>
        <w:rPr>
          <w:rFonts w:hint="eastAsia" w:ascii="宋体" w:hAnsi="宋体" w:eastAsia="宋体" w:cs="宋体"/>
          <w:b/>
          <w:bCs/>
          <w:color w:val="auto"/>
          <w:sz w:val="30"/>
          <w:szCs w:val="30"/>
          <w:highlight w:val="none"/>
        </w:rPr>
        <w:t>6.安全员信息表</w:t>
      </w:r>
      <w:r>
        <w:rPr>
          <w:rFonts w:hint="eastAsia" w:ascii="宋体" w:hAnsi="宋体" w:eastAsia="宋体" w:cs="宋体"/>
          <w:color w:val="auto"/>
          <w:highlight w:val="none"/>
        </w:rPr>
        <w:t>（每个项目可多个，必</w:t>
      </w:r>
      <w:r>
        <w:rPr>
          <w:rFonts w:hint="eastAsia" w:ascii="宋体" w:hAnsi="宋体" w:eastAsia="宋体" w:cs="宋体"/>
          <w:color w:val="auto"/>
          <w:szCs w:val="21"/>
          <w:highlight w:val="none"/>
        </w:rPr>
        <w:t>填项</w:t>
      </w:r>
      <w:r>
        <w:rPr>
          <w:rFonts w:hint="eastAsia" w:ascii="宋体" w:hAnsi="宋体" w:eastAsia="宋体" w:cs="宋体"/>
          <w:color w:val="auto"/>
          <w:highlight w:val="none"/>
        </w:rPr>
        <w:t>）</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837"/>
        <w:gridCol w:w="1178"/>
        <w:gridCol w:w="1380"/>
        <w:gridCol w:w="1215"/>
        <w:gridCol w:w="2576"/>
      </w:tblGrid>
      <w:tr w14:paraId="45668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14:paraId="03EA2A00">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837" w:type="dxa"/>
            <w:vAlign w:val="center"/>
          </w:tcPr>
          <w:p w14:paraId="796BD7AC">
            <w:pPr>
              <w:adjustRightInd w:val="0"/>
              <w:snapToGrid w:val="0"/>
              <w:jc w:val="center"/>
              <w:rPr>
                <w:rFonts w:ascii="宋体" w:hAnsi="宋体" w:eastAsia="宋体" w:cs="宋体"/>
                <w:color w:val="auto"/>
                <w:szCs w:val="21"/>
                <w:highlight w:val="none"/>
              </w:rPr>
            </w:pPr>
          </w:p>
        </w:tc>
        <w:tc>
          <w:tcPr>
            <w:tcW w:w="1178" w:type="dxa"/>
            <w:vAlign w:val="center"/>
          </w:tcPr>
          <w:p w14:paraId="509341F0">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证件类型</w:t>
            </w:r>
          </w:p>
        </w:tc>
        <w:tc>
          <w:tcPr>
            <w:tcW w:w="1380" w:type="dxa"/>
            <w:vAlign w:val="center"/>
          </w:tcPr>
          <w:p w14:paraId="1799D63B">
            <w:pPr>
              <w:adjustRightInd w:val="0"/>
              <w:snapToGrid w:val="0"/>
              <w:jc w:val="center"/>
              <w:rPr>
                <w:rFonts w:ascii="宋体" w:hAnsi="宋体" w:eastAsia="宋体" w:cs="宋体"/>
                <w:color w:val="auto"/>
                <w:szCs w:val="21"/>
                <w:highlight w:val="none"/>
              </w:rPr>
            </w:pPr>
          </w:p>
        </w:tc>
        <w:tc>
          <w:tcPr>
            <w:tcW w:w="1215" w:type="dxa"/>
            <w:vAlign w:val="center"/>
          </w:tcPr>
          <w:p w14:paraId="131A170A">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证件号码</w:t>
            </w:r>
          </w:p>
        </w:tc>
        <w:tc>
          <w:tcPr>
            <w:tcW w:w="2576" w:type="dxa"/>
            <w:vAlign w:val="center"/>
          </w:tcPr>
          <w:p w14:paraId="03D10DE9">
            <w:pPr>
              <w:adjustRightInd w:val="0"/>
              <w:snapToGrid w:val="0"/>
              <w:jc w:val="center"/>
              <w:rPr>
                <w:rFonts w:ascii="宋体" w:hAnsi="宋体" w:eastAsia="宋体" w:cs="宋体"/>
                <w:color w:val="auto"/>
                <w:szCs w:val="21"/>
                <w:highlight w:val="none"/>
              </w:rPr>
            </w:pPr>
          </w:p>
        </w:tc>
      </w:tr>
      <w:tr w14:paraId="66242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14:paraId="6290592C">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手机号码</w:t>
            </w:r>
          </w:p>
        </w:tc>
        <w:tc>
          <w:tcPr>
            <w:tcW w:w="3015" w:type="dxa"/>
            <w:gridSpan w:val="2"/>
            <w:vAlign w:val="center"/>
          </w:tcPr>
          <w:p w14:paraId="5A787972">
            <w:pPr>
              <w:adjustRightInd w:val="0"/>
              <w:snapToGrid w:val="0"/>
              <w:jc w:val="center"/>
              <w:rPr>
                <w:rFonts w:ascii="宋体" w:hAnsi="宋体" w:eastAsia="宋体" w:cs="宋体"/>
                <w:color w:val="auto"/>
                <w:szCs w:val="21"/>
                <w:highlight w:val="none"/>
              </w:rPr>
            </w:pPr>
          </w:p>
        </w:tc>
        <w:tc>
          <w:tcPr>
            <w:tcW w:w="2595" w:type="dxa"/>
            <w:gridSpan w:val="2"/>
            <w:vAlign w:val="center"/>
          </w:tcPr>
          <w:p w14:paraId="7D6338FD">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证件号（C证编号）</w:t>
            </w:r>
          </w:p>
        </w:tc>
        <w:tc>
          <w:tcPr>
            <w:tcW w:w="2576" w:type="dxa"/>
            <w:vAlign w:val="center"/>
          </w:tcPr>
          <w:p w14:paraId="727468E6">
            <w:pPr>
              <w:adjustRightInd w:val="0"/>
              <w:snapToGrid w:val="0"/>
              <w:jc w:val="center"/>
              <w:rPr>
                <w:rFonts w:ascii="宋体" w:hAnsi="宋体" w:eastAsia="宋体" w:cs="宋体"/>
                <w:color w:val="auto"/>
                <w:szCs w:val="21"/>
                <w:highlight w:val="none"/>
              </w:rPr>
            </w:pPr>
          </w:p>
        </w:tc>
      </w:tr>
    </w:tbl>
    <w:p w14:paraId="5FBE8AD9">
      <w:pPr>
        <w:adjustRightInd w:val="0"/>
        <w:snapToGrid w:val="0"/>
        <w:spacing w:line="360" w:lineRule="auto"/>
        <w:ind w:firstLine="658" w:firstLineChars="234"/>
        <w:rPr>
          <w:rFonts w:ascii="宋体" w:hAnsi="宋体" w:eastAsia="宋体" w:cs="宋体"/>
          <w:b/>
          <w:bCs/>
          <w:color w:val="auto"/>
          <w:sz w:val="28"/>
          <w:highlight w:val="none"/>
        </w:rPr>
      </w:pPr>
    </w:p>
    <w:p w14:paraId="5611EB20">
      <w:pPr>
        <w:adjustRightInd w:val="0"/>
        <w:snapToGrid w:val="0"/>
        <w:spacing w:line="360" w:lineRule="auto"/>
        <w:ind w:firstLine="705" w:firstLineChars="234"/>
        <w:rPr>
          <w:rFonts w:ascii="宋体" w:hAnsi="宋体" w:eastAsia="宋体" w:cs="宋体"/>
          <w:b/>
          <w:bCs/>
          <w:color w:val="auto"/>
          <w:sz w:val="28"/>
          <w:highlight w:val="none"/>
        </w:rPr>
      </w:pPr>
      <w:r>
        <w:rPr>
          <w:rFonts w:hint="eastAsia" w:ascii="宋体" w:hAnsi="宋体" w:eastAsia="宋体" w:cs="宋体"/>
          <w:b/>
          <w:bCs/>
          <w:color w:val="auto"/>
          <w:sz w:val="30"/>
          <w:szCs w:val="30"/>
          <w:highlight w:val="none"/>
        </w:rPr>
        <w:t>7.劳资专管员信息表</w:t>
      </w:r>
      <w:r>
        <w:rPr>
          <w:rFonts w:hint="eastAsia" w:ascii="宋体" w:hAnsi="宋体" w:eastAsia="宋体" w:cs="宋体"/>
          <w:color w:val="auto"/>
          <w:highlight w:val="none"/>
        </w:rPr>
        <w:t>（每个项目可多个，</w:t>
      </w:r>
      <w:r>
        <w:rPr>
          <w:rFonts w:hint="eastAsia" w:ascii="宋体" w:hAnsi="宋体" w:eastAsia="宋体" w:cs="宋体"/>
          <w:color w:val="auto"/>
          <w:szCs w:val="21"/>
          <w:highlight w:val="none"/>
        </w:rPr>
        <w:t>必填项</w:t>
      </w:r>
      <w:r>
        <w:rPr>
          <w:rFonts w:hint="eastAsia" w:ascii="宋体" w:hAnsi="宋体" w:eastAsia="宋体" w:cs="宋体"/>
          <w:color w:val="auto"/>
          <w:highlight w:val="none"/>
        </w:rPr>
        <w:t>）</w:t>
      </w:r>
    </w:p>
    <w:tbl>
      <w:tblPr>
        <w:tblStyle w:val="4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837"/>
        <w:gridCol w:w="1178"/>
        <w:gridCol w:w="1380"/>
        <w:gridCol w:w="1215"/>
        <w:gridCol w:w="2576"/>
      </w:tblGrid>
      <w:tr w14:paraId="480E7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14:paraId="69487F5D">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837" w:type="dxa"/>
            <w:vAlign w:val="center"/>
          </w:tcPr>
          <w:p w14:paraId="4604805F">
            <w:pPr>
              <w:adjustRightInd w:val="0"/>
              <w:snapToGrid w:val="0"/>
              <w:jc w:val="center"/>
              <w:rPr>
                <w:rFonts w:ascii="宋体" w:hAnsi="宋体" w:eastAsia="宋体" w:cs="宋体"/>
                <w:color w:val="auto"/>
                <w:szCs w:val="21"/>
                <w:highlight w:val="none"/>
              </w:rPr>
            </w:pPr>
          </w:p>
        </w:tc>
        <w:tc>
          <w:tcPr>
            <w:tcW w:w="1178" w:type="dxa"/>
            <w:vAlign w:val="center"/>
          </w:tcPr>
          <w:p w14:paraId="06CBE29A">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证件类型</w:t>
            </w:r>
          </w:p>
        </w:tc>
        <w:tc>
          <w:tcPr>
            <w:tcW w:w="1380" w:type="dxa"/>
            <w:vAlign w:val="center"/>
          </w:tcPr>
          <w:p w14:paraId="5CA7AFBD">
            <w:pPr>
              <w:adjustRightInd w:val="0"/>
              <w:snapToGrid w:val="0"/>
              <w:jc w:val="center"/>
              <w:rPr>
                <w:rFonts w:ascii="宋体" w:hAnsi="宋体" w:eastAsia="宋体" w:cs="宋体"/>
                <w:color w:val="auto"/>
                <w:szCs w:val="21"/>
                <w:highlight w:val="none"/>
              </w:rPr>
            </w:pPr>
          </w:p>
        </w:tc>
        <w:tc>
          <w:tcPr>
            <w:tcW w:w="1215" w:type="dxa"/>
            <w:vAlign w:val="center"/>
          </w:tcPr>
          <w:p w14:paraId="026DD517">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证件号码</w:t>
            </w:r>
          </w:p>
        </w:tc>
        <w:tc>
          <w:tcPr>
            <w:tcW w:w="2576" w:type="dxa"/>
            <w:vAlign w:val="center"/>
          </w:tcPr>
          <w:p w14:paraId="08776F0A">
            <w:pPr>
              <w:adjustRightInd w:val="0"/>
              <w:snapToGrid w:val="0"/>
              <w:jc w:val="center"/>
              <w:rPr>
                <w:rFonts w:ascii="宋体" w:hAnsi="宋体" w:eastAsia="宋体" w:cs="宋体"/>
                <w:color w:val="auto"/>
                <w:szCs w:val="21"/>
                <w:highlight w:val="none"/>
              </w:rPr>
            </w:pPr>
          </w:p>
        </w:tc>
      </w:tr>
      <w:tr w14:paraId="131D6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14:paraId="7144AE31">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手机号码</w:t>
            </w:r>
          </w:p>
        </w:tc>
        <w:tc>
          <w:tcPr>
            <w:tcW w:w="3015" w:type="dxa"/>
            <w:gridSpan w:val="2"/>
            <w:vAlign w:val="center"/>
          </w:tcPr>
          <w:p w14:paraId="57E3F929">
            <w:pPr>
              <w:adjustRightInd w:val="0"/>
              <w:snapToGrid w:val="0"/>
              <w:jc w:val="center"/>
              <w:rPr>
                <w:rFonts w:ascii="宋体" w:hAnsi="宋体" w:eastAsia="宋体" w:cs="宋体"/>
                <w:color w:val="auto"/>
                <w:szCs w:val="21"/>
                <w:highlight w:val="none"/>
              </w:rPr>
            </w:pPr>
          </w:p>
        </w:tc>
        <w:tc>
          <w:tcPr>
            <w:tcW w:w="2595" w:type="dxa"/>
            <w:gridSpan w:val="2"/>
            <w:vAlign w:val="center"/>
          </w:tcPr>
          <w:p w14:paraId="650679B9">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szCs w:val="21"/>
                <w:highlight w:val="none"/>
              </w:rPr>
              <w:t>证件号</w:t>
            </w:r>
          </w:p>
        </w:tc>
        <w:tc>
          <w:tcPr>
            <w:tcW w:w="2576" w:type="dxa"/>
            <w:vAlign w:val="center"/>
          </w:tcPr>
          <w:p w14:paraId="0651543C">
            <w:pPr>
              <w:adjustRightInd w:val="0"/>
              <w:snapToGrid w:val="0"/>
              <w:jc w:val="center"/>
              <w:rPr>
                <w:rFonts w:ascii="宋体" w:hAnsi="宋体" w:eastAsia="宋体" w:cs="宋体"/>
                <w:color w:val="auto"/>
                <w:szCs w:val="21"/>
                <w:highlight w:val="none"/>
              </w:rPr>
            </w:pPr>
          </w:p>
        </w:tc>
      </w:tr>
    </w:tbl>
    <w:p w14:paraId="29939C3A">
      <w:pPr>
        <w:adjustRightInd w:val="0"/>
        <w:snapToGrid w:val="0"/>
        <w:spacing w:line="360" w:lineRule="auto"/>
        <w:ind w:firstLine="658" w:firstLineChars="234"/>
        <w:rPr>
          <w:rFonts w:ascii="宋体" w:hAnsi="宋体" w:eastAsia="宋体" w:cs="宋体"/>
          <w:b/>
          <w:bCs/>
          <w:color w:val="auto"/>
          <w:sz w:val="28"/>
          <w:highlight w:val="none"/>
        </w:rPr>
      </w:pPr>
    </w:p>
    <w:p w14:paraId="01D398D5">
      <w:pPr>
        <w:adjustRightInd w:val="0"/>
        <w:snapToGrid w:val="0"/>
        <w:spacing w:line="360" w:lineRule="auto"/>
        <w:ind w:firstLine="705" w:firstLineChars="234"/>
        <w:rPr>
          <w:rFonts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8.项目管理机构情况辅助证明材料</w:t>
      </w:r>
    </w:p>
    <w:p w14:paraId="36476162">
      <w:pPr>
        <w:adjustRightInd w:val="0"/>
        <w:snapToGrid w:val="0"/>
        <w:spacing w:line="360" w:lineRule="auto"/>
        <w:ind w:firstLine="420" w:firstLineChars="200"/>
        <w:rPr>
          <w:color w:val="auto"/>
          <w:highlight w:val="none"/>
        </w:rPr>
      </w:pPr>
      <w:r>
        <w:rPr>
          <w:rFonts w:hint="eastAsia"/>
          <w:color w:val="auto"/>
          <w:highlight w:val="none"/>
        </w:rPr>
        <w:t>…………</w:t>
      </w:r>
    </w:p>
    <w:p w14:paraId="0ADECCF7">
      <w:pPr>
        <w:adjustRightInd w:val="0"/>
        <w:snapToGrid w:val="0"/>
        <w:spacing w:line="360" w:lineRule="auto"/>
        <w:ind w:firstLine="420" w:firstLineChars="200"/>
        <w:rPr>
          <w:rFonts w:ascii="楷体_GB2312" w:eastAsia="楷体_GB2312"/>
          <w:color w:val="auto"/>
          <w:highlight w:val="none"/>
        </w:rPr>
      </w:pPr>
      <w:r>
        <w:rPr>
          <w:rFonts w:hint="eastAsia" w:ascii="楷体_GB2312" w:eastAsia="楷体_GB2312"/>
          <w:color w:val="auto"/>
          <w:szCs w:val="21"/>
          <w:highlight w:val="none"/>
        </w:rPr>
        <w:t>注：辅助证明材料主要包括管理机构设置、职责分工、有关社保证明等复印证明资料以及投标人认为有必要提供的资料，辅助说明资料格式不做统一规定，由投标人自行设计。</w:t>
      </w:r>
      <w:r>
        <w:rPr>
          <w:rFonts w:ascii="楷体_GB2312" w:eastAsia="楷体_GB2312"/>
          <w:color w:val="auto"/>
          <w:highlight w:val="none"/>
        </w:rPr>
        <w:br w:type="page"/>
      </w:r>
    </w:p>
    <w:p w14:paraId="25DEA90C">
      <w:pPr>
        <w:adjustRightInd w:val="0"/>
        <w:snapToGrid w:val="0"/>
        <w:spacing w:line="360" w:lineRule="auto"/>
        <w:jc w:val="cente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三、项目拟分包情况</w:t>
      </w:r>
    </w:p>
    <w:p w14:paraId="5935DB42">
      <w:pPr>
        <w:adjustRightInd w:val="0"/>
        <w:snapToGrid w:val="0"/>
        <w:spacing w:line="360" w:lineRule="auto"/>
        <w:jc w:val="center"/>
        <w:rPr>
          <w:b/>
          <w:bCs/>
          <w:color w:val="auto"/>
          <w:sz w:val="28"/>
          <w:highlight w:val="none"/>
        </w:rPr>
      </w:pPr>
      <w:r>
        <w:rPr>
          <w:rFonts w:hint="eastAsia" w:ascii="宋体" w:hAnsi="宋体" w:eastAsia="宋体" w:cs="宋体"/>
          <w:b/>
          <w:bCs/>
          <w:color w:val="auto"/>
          <w:sz w:val="30"/>
          <w:szCs w:val="30"/>
          <w:highlight w:val="none"/>
        </w:rPr>
        <w:t>项目分包情况表</w:t>
      </w:r>
    </w:p>
    <w:tbl>
      <w:tblPr>
        <w:tblStyle w:val="42"/>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9"/>
        <w:gridCol w:w="2129"/>
        <w:gridCol w:w="2904"/>
        <w:gridCol w:w="1548"/>
      </w:tblGrid>
      <w:tr w14:paraId="19601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52BD2E0F">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分包的工程项目</w:t>
            </w:r>
          </w:p>
        </w:tc>
        <w:tc>
          <w:tcPr>
            <w:tcW w:w="2129" w:type="dxa"/>
            <w:shd w:val="clear" w:color="auto" w:fill="auto"/>
            <w:vAlign w:val="center"/>
          </w:tcPr>
          <w:p w14:paraId="097EE2B8">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分包人名称</w:t>
            </w:r>
          </w:p>
        </w:tc>
        <w:tc>
          <w:tcPr>
            <w:tcW w:w="2904" w:type="dxa"/>
            <w:shd w:val="clear" w:color="auto" w:fill="auto"/>
            <w:vAlign w:val="center"/>
          </w:tcPr>
          <w:p w14:paraId="581AD460">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分包项目造价（万元）</w:t>
            </w:r>
          </w:p>
        </w:tc>
        <w:tc>
          <w:tcPr>
            <w:tcW w:w="1548" w:type="dxa"/>
            <w:shd w:val="clear" w:color="auto" w:fill="auto"/>
            <w:vAlign w:val="center"/>
          </w:tcPr>
          <w:p w14:paraId="2AF4C65C">
            <w:pPr>
              <w:adjustRightInd w:val="0"/>
              <w:snapToGrid w:val="0"/>
              <w:jc w:val="center"/>
              <w:rPr>
                <w:rFonts w:ascii="Times New Roman" w:hAnsi="Times New Roman" w:eastAsia="宋体" w:cs="Courier New"/>
                <w:color w:val="auto"/>
                <w:kern w:val="0"/>
                <w:szCs w:val="21"/>
                <w:highlight w:val="none"/>
              </w:rPr>
            </w:pPr>
            <w:r>
              <w:rPr>
                <w:rFonts w:hint="eastAsia" w:ascii="Times New Roman" w:hAnsi="Times New Roman" w:eastAsia="宋体" w:cs="Courier New"/>
                <w:color w:val="auto"/>
                <w:kern w:val="0"/>
                <w:szCs w:val="21"/>
                <w:highlight w:val="none"/>
              </w:rPr>
              <w:t>备注</w:t>
            </w:r>
          </w:p>
        </w:tc>
      </w:tr>
      <w:tr w14:paraId="65293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546E0ED9">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46E75695">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7E41A935">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3E2FE5B4">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52478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6ECFA1A3">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0FFD8077">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12E2E79A">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2C8F07A4">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386C3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540B4F47">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2A89F8EE">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000E078D">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1EC57524">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5BF47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49FD4613">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5CFBB3C7">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495FEB2B">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00FA3A64">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02FE0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31DFE161">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2EEFF005">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4239DC78">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7D5368F2">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25419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2A68760B">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17B62820">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5F3F4D94">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2EDAF9C3">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40C89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21CD84A5">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79A1347B">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4AA67008">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043807E4">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38905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71FCB7E5">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42B7D749">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7A8C3BB8">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1E71BCDF">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0057E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45DFCEEC">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375D33B9">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491678F6">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7F891593">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4DEB0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2181AE9A">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4507C6AB">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2F385B88">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4E3A96D0">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334EC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435579D5">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5BF9D361">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01C7CC27">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087D1975">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3ADC6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3A90CD06">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1D634EB8">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0B5EB9EC">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5272B8B1">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78D30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2DF33517">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0C445930">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6AA83515">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69FD79D6">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31B5F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290986D4">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000C370D">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6712C674">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6C2BDF78">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67903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73D8CD6F">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2197699E">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52D7B85F">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7DD51A3E">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16DA6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2B4EDE08">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2553B2AF">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72457DF7">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07C98551">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09BEA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3BA67F89">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7E298FF0">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4D11C5A4">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07C013C0">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r w14:paraId="0661E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14:paraId="013BF35C">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129" w:type="dxa"/>
            <w:shd w:val="clear" w:color="auto" w:fill="auto"/>
            <w:vAlign w:val="center"/>
          </w:tcPr>
          <w:p w14:paraId="74179B3D">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2904" w:type="dxa"/>
            <w:shd w:val="clear" w:color="auto" w:fill="auto"/>
            <w:vAlign w:val="center"/>
          </w:tcPr>
          <w:p w14:paraId="26EA8AD4">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c>
          <w:tcPr>
            <w:tcW w:w="1548" w:type="dxa"/>
            <w:shd w:val="clear" w:color="auto" w:fill="auto"/>
            <w:vAlign w:val="center"/>
          </w:tcPr>
          <w:p w14:paraId="4CE899D6">
            <w:pPr>
              <w:adjustRightInd w:val="0"/>
              <w:snapToGrid w:val="0"/>
              <w:spacing w:line="360" w:lineRule="auto"/>
              <w:jc w:val="center"/>
              <w:rPr>
                <w:rFonts w:ascii="Times New Roman" w:hAnsi="Times New Roman" w:eastAsia="宋体" w:cs="Courier New"/>
                <w:b/>
                <w:bCs/>
                <w:color w:val="auto"/>
                <w:kern w:val="0"/>
                <w:sz w:val="20"/>
                <w:szCs w:val="20"/>
                <w:highlight w:val="none"/>
              </w:rPr>
            </w:pPr>
          </w:p>
        </w:tc>
      </w:tr>
    </w:tbl>
    <w:p w14:paraId="489761F6">
      <w:pPr>
        <w:spacing w:line="20" w:lineRule="exact"/>
        <w:rPr>
          <w:color w:val="auto"/>
          <w:highlight w:val="none"/>
        </w:rPr>
      </w:pPr>
    </w:p>
    <w:p w14:paraId="0A680DF0">
      <w:pPr>
        <w:spacing w:line="20" w:lineRule="exact"/>
        <w:rPr>
          <w:color w:val="auto"/>
          <w:highlight w:val="none"/>
        </w:rPr>
      </w:pPr>
    </w:p>
    <w:p w14:paraId="25FD6EB6">
      <w:pPr>
        <w:spacing w:line="20" w:lineRule="exact"/>
        <w:rPr>
          <w:color w:val="auto"/>
          <w:highlight w:val="none"/>
        </w:rPr>
      </w:pPr>
    </w:p>
    <w:p w14:paraId="1FAF8601">
      <w:pPr>
        <w:spacing w:line="20" w:lineRule="exact"/>
        <w:rPr>
          <w:color w:val="auto"/>
          <w:highlight w:val="none"/>
        </w:rPr>
        <w:sectPr>
          <w:pgSz w:w="11907" w:h="16840"/>
          <w:pgMar w:top="1417" w:right="1417" w:bottom="1417" w:left="1417" w:header="851" w:footer="851" w:gutter="0"/>
          <w:pgNumType w:fmt="decimal"/>
          <w:cols w:space="425" w:num="1"/>
          <w:docGrid w:type="lines" w:linePitch="312" w:charSpace="0"/>
        </w:sectPr>
      </w:pPr>
    </w:p>
    <w:p w14:paraId="47D800F1">
      <w:pPr>
        <w:adjustRightInd w:val="0"/>
        <w:snapToGrid w:val="0"/>
        <w:spacing w:line="360" w:lineRule="auto"/>
        <w:ind w:firstLine="5140" w:firstLineChars="1600"/>
        <w:rPr>
          <w:rFonts w:ascii="宋体" w:hAnsi="宋体" w:eastAsia="宋体" w:cs="宋体"/>
          <w:b/>
          <w:color w:val="auto"/>
          <w:sz w:val="32"/>
          <w:szCs w:val="32"/>
          <w:highlight w:val="none"/>
        </w:rPr>
      </w:pPr>
      <w:r>
        <w:rPr>
          <w:rFonts w:hint="eastAsia" w:ascii="宋体" w:hAnsi="宋体" w:eastAsia="宋体" w:cs="宋体"/>
          <w:b/>
          <w:color w:val="auto"/>
          <w:sz w:val="32"/>
          <w:szCs w:val="32"/>
          <w:highlight w:val="none"/>
        </w:rPr>
        <w:t>工程编号：</w:t>
      </w:r>
      <w:r>
        <w:rPr>
          <w:rFonts w:hint="eastAsia" w:ascii="宋体" w:hAnsi="宋体" w:eastAsia="宋体" w:cs="宋体"/>
          <w:b/>
          <w:bCs/>
          <w:color w:val="auto"/>
          <w:sz w:val="32"/>
          <w:szCs w:val="32"/>
          <w:highlight w:val="none"/>
          <w:u w:val="single"/>
        </w:rPr>
        <w:t>_____________</w:t>
      </w:r>
    </w:p>
    <w:p w14:paraId="6F49F6A4">
      <w:pPr>
        <w:adjustRightInd w:val="0"/>
        <w:snapToGrid w:val="0"/>
        <w:spacing w:line="360" w:lineRule="auto"/>
        <w:rPr>
          <w:rFonts w:ascii="宋体" w:hAnsi="宋体" w:eastAsia="宋体" w:cs="宋体"/>
          <w:b/>
          <w:bCs/>
          <w:color w:val="auto"/>
          <w:sz w:val="28"/>
          <w:highlight w:val="none"/>
        </w:rPr>
      </w:pPr>
    </w:p>
    <w:p w14:paraId="1FF1BEDE">
      <w:pPr>
        <w:adjustRightInd w:val="0"/>
        <w:snapToGrid w:val="0"/>
        <w:spacing w:line="360" w:lineRule="auto"/>
        <w:rPr>
          <w:rFonts w:ascii="宋体" w:hAnsi="宋体" w:eastAsia="宋体" w:cs="宋体"/>
          <w:b/>
          <w:bCs/>
          <w:color w:val="auto"/>
          <w:sz w:val="28"/>
          <w:highlight w:val="none"/>
        </w:rPr>
      </w:pPr>
    </w:p>
    <w:p w14:paraId="1BA62ADE">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深圳市建设工程施工招标</w:t>
      </w:r>
    </w:p>
    <w:p w14:paraId="45F42AC0">
      <w:pPr>
        <w:adjustRightInd w:val="0"/>
        <w:snapToGrid w:val="0"/>
        <w:spacing w:line="360" w:lineRule="auto"/>
        <w:jc w:val="center"/>
        <w:rPr>
          <w:rFonts w:ascii="宋体" w:hAnsi="宋体" w:eastAsia="宋体" w:cs="宋体"/>
          <w:b/>
          <w:color w:val="auto"/>
          <w:sz w:val="72"/>
          <w:highlight w:val="none"/>
        </w:rPr>
      </w:pPr>
      <w:r>
        <w:rPr>
          <w:rFonts w:hint="eastAsia" w:ascii="宋体" w:hAnsi="宋体" w:eastAsia="宋体" w:cs="宋体"/>
          <w:b/>
          <w:color w:val="auto"/>
          <w:sz w:val="72"/>
          <w:highlight w:val="none"/>
        </w:rPr>
        <w:t>投 标 文 件</w:t>
      </w:r>
    </w:p>
    <w:p w14:paraId="28B5F58D">
      <w:pPr>
        <w:adjustRightInd w:val="0"/>
        <w:snapToGrid w:val="0"/>
        <w:spacing w:line="360" w:lineRule="auto"/>
        <w:jc w:val="center"/>
        <w:rPr>
          <w:rFonts w:ascii="宋体" w:hAnsi="宋体" w:eastAsia="宋体" w:cs="宋体"/>
          <w:b/>
          <w:color w:val="auto"/>
          <w:sz w:val="72"/>
          <w:highlight w:val="none"/>
        </w:rPr>
      </w:pPr>
    </w:p>
    <w:p w14:paraId="2ACFC777">
      <w:pPr>
        <w:adjustRightInd w:val="0"/>
        <w:snapToGrid w:val="0"/>
        <w:spacing w:line="360" w:lineRule="auto"/>
        <w:jc w:val="center"/>
        <w:rPr>
          <w:rFonts w:ascii="宋体" w:hAnsi="宋体" w:eastAsia="宋体" w:cs="宋体"/>
          <w:b/>
          <w:color w:val="auto"/>
          <w:sz w:val="72"/>
          <w:highlight w:val="none"/>
        </w:rPr>
      </w:pPr>
    </w:p>
    <w:p w14:paraId="41E8F186">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color w:val="auto"/>
          <w:sz w:val="32"/>
          <w:highlight w:val="none"/>
        </w:rPr>
        <w:t>工程名称：</w:t>
      </w:r>
      <w:r>
        <w:rPr>
          <w:rFonts w:hint="eastAsia" w:ascii="宋体" w:hAnsi="宋体" w:eastAsia="宋体" w:cs="宋体"/>
          <w:b/>
          <w:color w:val="auto"/>
          <w:sz w:val="32"/>
          <w:highlight w:val="none"/>
          <w:u w:val="single"/>
        </w:rPr>
        <w:t>___________________________________________</w:t>
      </w:r>
    </w:p>
    <w:p w14:paraId="1E168141">
      <w:pPr>
        <w:adjustRightInd w:val="0"/>
        <w:snapToGrid w:val="0"/>
        <w:spacing w:line="360" w:lineRule="auto"/>
        <w:rPr>
          <w:rFonts w:ascii="宋体" w:hAnsi="宋体" w:eastAsia="宋体" w:cs="宋体"/>
          <w:b/>
          <w:color w:val="auto"/>
          <w:sz w:val="32"/>
          <w:highlight w:val="none"/>
        </w:rPr>
      </w:pPr>
    </w:p>
    <w:p w14:paraId="3825A9BD">
      <w:pPr>
        <w:adjustRightInd w:val="0"/>
        <w:snapToGrid w:val="0"/>
        <w:spacing w:line="360" w:lineRule="auto"/>
        <w:outlineLvl w:val="1"/>
        <w:rPr>
          <w:rFonts w:ascii="宋体" w:hAnsi="宋体" w:eastAsia="宋体" w:cs="宋体"/>
          <w:b/>
          <w:color w:val="auto"/>
          <w:sz w:val="32"/>
          <w:highlight w:val="none"/>
        </w:rPr>
      </w:pPr>
      <w:bookmarkStart w:id="6490" w:name="_Toc24917"/>
      <w:bookmarkStart w:id="6491" w:name="_Toc27938"/>
      <w:bookmarkStart w:id="6492" w:name="_Toc12915"/>
      <w:bookmarkStart w:id="6493" w:name="_Toc17383"/>
      <w:bookmarkStart w:id="6494" w:name="_Toc820"/>
      <w:r>
        <w:rPr>
          <w:rFonts w:hint="eastAsia" w:ascii="宋体" w:hAnsi="宋体" w:eastAsia="宋体" w:cs="宋体"/>
          <w:b/>
          <w:color w:val="auto"/>
          <w:sz w:val="32"/>
          <w:highlight w:val="none"/>
        </w:rPr>
        <w:t>投标文件内容：</w:t>
      </w:r>
      <w:r>
        <w:rPr>
          <w:rFonts w:hint="eastAsia" w:ascii="宋体" w:hAnsi="宋体" w:eastAsia="宋体" w:cs="宋体"/>
          <w:b/>
          <w:color w:val="auto"/>
          <w:sz w:val="52"/>
          <w:highlight w:val="none"/>
          <w:u w:val="single"/>
        </w:rPr>
        <w:t xml:space="preserve">       BIM标部分</w:t>
      </w:r>
      <w:bookmarkEnd w:id="6490"/>
      <w:bookmarkEnd w:id="6491"/>
      <w:bookmarkEnd w:id="6492"/>
      <w:bookmarkEnd w:id="6493"/>
      <w:bookmarkEnd w:id="6494"/>
      <w:r>
        <w:rPr>
          <w:rFonts w:hint="eastAsia" w:ascii="宋体" w:hAnsi="宋体" w:eastAsia="宋体" w:cs="宋体"/>
          <w:b/>
          <w:color w:val="auto"/>
          <w:sz w:val="52"/>
          <w:highlight w:val="none"/>
          <w:u w:val="single"/>
        </w:rPr>
        <w:t xml:space="preserve">       </w:t>
      </w:r>
    </w:p>
    <w:p w14:paraId="1FFF6343">
      <w:pPr>
        <w:adjustRightInd w:val="0"/>
        <w:snapToGrid w:val="0"/>
        <w:spacing w:line="360" w:lineRule="auto"/>
        <w:rPr>
          <w:rFonts w:ascii="宋体" w:hAnsi="宋体" w:eastAsia="宋体" w:cs="宋体"/>
          <w:b/>
          <w:color w:val="auto"/>
          <w:sz w:val="32"/>
          <w:highlight w:val="none"/>
        </w:rPr>
      </w:pPr>
    </w:p>
    <w:p w14:paraId="78B1FC41">
      <w:pPr>
        <w:adjustRightInd w:val="0"/>
        <w:snapToGrid w:val="0"/>
        <w:spacing w:line="360" w:lineRule="auto"/>
        <w:rPr>
          <w:rFonts w:ascii="宋体" w:hAnsi="宋体" w:eastAsia="宋体" w:cs="宋体"/>
          <w:b/>
          <w:color w:val="auto"/>
          <w:sz w:val="32"/>
          <w:highlight w:val="none"/>
        </w:rPr>
      </w:pPr>
      <w:r>
        <w:rPr>
          <w:rFonts w:hint="eastAsia" w:ascii="宋体" w:hAnsi="宋体" w:eastAsia="宋体" w:cs="宋体"/>
          <w:b/>
          <w:color w:val="auto"/>
          <w:sz w:val="32"/>
          <w:highlight w:val="none"/>
        </w:rPr>
        <w:t>投标人：</w:t>
      </w:r>
      <w:r>
        <w:rPr>
          <w:rFonts w:hint="eastAsia" w:ascii="宋体" w:hAnsi="宋体" w:eastAsia="宋体" w:cs="宋体"/>
          <w:b/>
          <w:color w:val="auto"/>
          <w:sz w:val="32"/>
          <w:highlight w:val="none"/>
          <w:u w:val="single"/>
        </w:rPr>
        <w:t>_____________________________________</w:t>
      </w:r>
    </w:p>
    <w:p w14:paraId="09A35A5F">
      <w:pPr>
        <w:adjustRightInd w:val="0"/>
        <w:snapToGrid w:val="0"/>
        <w:spacing w:line="360" w:lineRule="auto"/>
        <w:rPr>
          <w:rFonts w:ascii="宋体" w:hAnsi="宋体" w:eastAsia="宋体" w:cs="宋体"/>
          <w:b/>
          <w:color w:val="auto"/>
          <w:sz w:val="32"/>
          <w:highlight w:val="none"/>
        </w:rPr>
      </w:pPr>
    </w:p>
    <w:p w14:paraId="23C881FD">
      <w:pPr>
        <w:adjustRightInd w:val="0"/>
        <w:snapToGrid w:val="0"/>
        <w:spacing w:line="360" w:lineRule="auto"/>
        <w:rPr>
          <w:color w:val="auto"/>
          <w:highlight w:val="none"/>
        </w:rPr>
      </w:pPr>
      <w:r>
        <w:rPr>
          <w:rFonts w:hint="eastAsia" w:ascii="宋体" w:hAnsi="宋体" w:eastAsia="宋体" w:cs="宋体"/>
          <w:b/>
          <w:color w:val="auto"/>
          <w:sz w:val="32"/>
          <w:highlight w:val="none"/>
        </w:rPr>
        <w:t>日  期：</w:t>
      </w:r>
      <w:r>
        <w:rPr>
          <w:rFonts w:hint="eastAsia" w:ascii="宋体" w:hAnsi="宋体" w:eastAsia="宋体" w:cs="宋体"/>
          <w:b/>
          <w:color w:val="auto"/>
          <w:sz w:val="32"/>
          <w:highlight w:val="none"/>
          <w:u w:val="single"/>
        </w:rPr>
        <w:t>____________</w:t>
      </w:r>
      <w:r>
        <w:rPr>
          <w:rFonts w:hint="eastAsia" w:ascii="宋体" w:hAnsi="宋体" w:eastAsia="宋体" w:cs="宋体"/>
          <w:b/>
          <w:color w:val="auto"/>
          <w:sz w:val="32"/>
          <w:highlight w:val="none"/>
        </w:rPr>
        <w:t>年</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月</w:t>
      </w:r>
      <w:r>
        <w:rPr>
          <w:rFonts w:hint="eastAsia" w:ascii="宋体" w:hAnsi="宋体" w:eastAsia="宋体" w:cs="宋体"/>
          <w:b/>
          <w:color w:val="auto"/>
          <w:sz w:val="32"/>
          <w:highlight w:val="none"/>
          <w:u w:val="single"/>
        </w:rPr>
        <w:t>______</w:t>
      </w:r>
      <w:r>
        <w:rPr>
          <w:rFonts w:hint="eastAsia" w:ascii="宋体" w:hAnsi="宋体" w:eastAsia="宋体" w:cs="宋体"/>
          <w:b/>
          <w:color w:val="auto"/>
          <w:sz w:val="32"/>
          <w:highlight w:val="none"/>
        </w:rPr>
        <w:t>日</w:t>
      </w:r>
      <w:r>
        <w:rPr>
          <w:color w:val="auto"/>
          <w:highlight w:val="none"/>
        </w:rPr>
        <w:br w:type="page"/>
      </w:r>
    </w:p>
    <w:p w14:paraId="1965321F">
      <w:pPr>
        <w:adjustRightInd w:val="0"/>
        <w:snapToGrid w:val="0"/>
        <w:spacing w:line="360" w:lineRule="auto"/>
        <w:rPr>
          <w:rFonts w:ascii="宋体"/>
          <w:color w:val="auto"/>
          <w:highlight w:val="none"/>
        </w:rPr>
      </w:pPr>
    </w:p>
    <w:p w14:paraId="49EE9CE9">
      <w:pPr>
        <w:adjustRightInd w:val="0"/>
        <w:snapToGrid w:val="0"/>
        <w:spacing w:line="360" w:lineRule="auto"/>
        <w:ind w:firstLine="880" w:firstLineChars="200"/>
        <w:jc w:val="center"/>
        <w:rPr>
          <w:rFonts w:hAnsi="宋体"/>
          <w:b/>
          <w:color w:val="auto"/>
          <w:kern w:val="0"/>
          <w:sz w:val="44"/>
          <w:szCs w:val="44"/>
          <w:highlight w:val="none"/>
        </w:rPr>
      </w:pPr>
      <w:r>
        <w:rPr>
          <w:rFonts w:hint="eastAsia" w:hAnsi="宋体"/>
          <w:b/>
          <w:color w:val="auto"/>
          <w:kern w:val="0"/>
          <w:sz w:val="44"/>
          <w:szCs w:val="44"/>
          <w:highlight w:val="none"/>
        </w:rPr>
        <w:t>BIM标编写目录及要求</w:t>
      </w:r>
    </w:p>
    <w:p w14:paraId="74B25DF9">
      <w:pPr>
        <w:adjustRightInd w:val="0"/>
        <w:snapToGrid w:val="0"/>
        <w:spacing w:line="360" w:lineRule="auto"/>
        <w:rPr>
          <w:rFonts w:ascii="宋体"/>
          <w:b/>
          <w:color w:val="auto"/>
          <w:kern w:val="0"/>
          <w:sz w:val="28"/>
          <w:highlight w:val="none"/>
        </w:rPr>
      </w:pPr>
    </w:p>
    <w:p w14:paraId="7C8921F8">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招标人要求投标人编制BIM标书的，应在招标文件中明确列出BIM标部分要求，包括</w:t>
      </w:r>
      <w:bookmarkStart w:id="6495" w:name="_Hlk520143922"/>
      <w:r>
        <w:rPr>
          <w:rFonts w:hint="eastAsia" w:ascii="宋体" w:hAnsi="宋体"/>
          <w:color w:val="auto"/>
          <w:kern w:val="0"/>
          <w:szCs w:val="21"/>
          <w:highlight w:val="none"/>
        </w:rPr>
        <w:t>BIM实施方案评审、模型、进度、场布、工艺、资金资源、清单、直接费等的编制要求。</w:t>
      </w:r>
      <w:bookmarkEnd w:id="6495"/>
      <w:r>
        <w:rPr>
          <w:rFonts w:hint="eastAsia" w:ascii="宋体" w:hAnsi="宋体"/>
          <w:color w:val="auto"/>
          <w:kern w:val="0"/>
          <w:szCs w:val="21"/>
          <w:highlight w:val="none"/>
        </w:rPr>
        <w:t>招标人可以限制B</w:t>
      </w:r>
      <w:r>
        <w:rPr>
          <w:rFonts w:ascii="宋体" w:hAnsi="宋体"/>
          <w:color w:val="auto"/>
          <w:kern w:val="0"/>
          <w:szCs w:val="21"/>
          <w:highlight w:val="none"/>
        </w:rPr>
        <w:t>IM</w:t>
      </w:r>
      <w:r>
        <w:rPr>
          <w:rFonts w:hint="eastAsia" w:ascii="宋体" w:hAnsi="宋体"/>
          <w:color w:val="auto"/>
          <w:kern w:val="0"/>
          <w:szCs w:val="21"/>
          <w:highlight w:val="none"/>
        </w:rPr>
        <w:t>标部分的最大文件存储量。</w:t>
      </w:r>
    </w:p>
    <w:p w14:paraId="1E154C5B">
      <w:pPr>
        <w:adjustRightInd w:val="0"/>
        <w:snapToGrid w:val="0"/>
        <w:spacing w:line="360" w:lineRule="auto"/>
        <w:jc w:val="center"/>
        <w:rPr>
          <w:rFonts w:ascii="宋体" w:hAnsi="宋体"/>
          <w:color w:val="auto"/>
          <w:kern w:val="0"/>
          <w:sz w:val="32"/>
          <w:highlight w:val="none"/>
        </w:rPr>
      </w:pPr>
    </w:p>
    <w:p w14:paraId="31F887F9">
      <w:pPr>
        <w:adjustRightInd w:val="0"/>
        <w:snapToGrid w:val="0"/>
        <w:spacing w:line="360" w:lineRule="auto"/>
        <w:jc w:val="center"/>
        <w:rPr>
          <w:rFonts w:ascii="宋体"/>
          <w:b/>
          <w:color w:val="auto"/>
          <w:kern w:val="0"/>
          <w:sz w:val="32"/>
          <w:highlight w:val="none"/>
        </w:rPr>
      </w:pPr>
      <w:r>
        <w:rPr>
          <w:rFonts w:hint="eastAsia" w:ascii="宋体"/>
          <w:b/>
          <w:color w:val="auto"/>
          <w:kern w:val="0"/>
          <w:sz w:val="32"/>
          <w:highlight w:val="none"/>
        </w:rPr>
        <w:t>本节编写指南</w:t>
      </w:r>
    </w:p>
    <w:p w14:paraId="1D2276E9">
      <w:pPr>
        <w:adjustRightInd w:val="0"/>
        <w:snapToGrid w:val="0"/>
        <w:spacing w:line="360" w:lineRule="auto"/>
        <w:ind w:firstLine="1365" w:firstLineChars="650"/>
        <w:rPr>
          <w:rFonts w:ascii="宋体" w:hAnsi="宋体"/>
          <w:color w:val="auto"/>
          <w:kern w:val="0"/>
          <w:szCs w:val="21"/>
          <w:highlight w:val="none"/>
        </w:rPr>
      </w:pPr>
      <w:r>
        <w:rPr>
          <w:rFonts w:hint="eastAsia" w:ascii="宋体" w:hAnsi="宋体"/>
          <w:color w:val="auto"/>
          <w:kern w:val="0"/>
          <w:szCs w:val="21"/>
          <w:highlight w:val="none"/>
        </w:rPr>
        <w:t>（仅供参考，不作评审依据，评审的内容详见“评审项目”）</w:t>
      </w:r>
    </w:p>
    <w:p w14:paraId="3C755EB4">
      <w:pPr>
        <w:adjustRightInd w:val="0"/>
        <w:snapToGrid w:val="0"/>
        <w:spacing w:line="360" w:lineRule="auto"/>
        <w:rPr>
          <w:rFonts w:ascii="宋体"/>
          <w:b/>
          <w:color w:val="auto"/>
          <w:kern w:val="0"/>
          <w:szCs w:val="21"/>
          <w:highlight w:val="none"/>
        </w:rPr>
      </w:pPr>
      <w:r>
        <w:rPr>
          <w:rFonts w:hint="eastAsia" w:ascii="宋体"/>
          <w:b/>
          <w:color w:val="auto"/>
          <w:kern w:val="0"/>
          <w:szCs w:val="21"/>
          <w:highlight w:val="none"/>
        </w:rPr>
        <w:t xml:space="preserve">第一章 </w:t>
      </w:r>
      <w:r>
        <w:rPr>
          <w:rFonts w:ascii="宋体"/>
          <w:b/>
          <w:color w:val="auto"/>
          <w:kern w:val="0"/>
          <w:szCs w:val="21"/>
          <w:highlight w:val="none"/>
        </w:rPr>
        <w:t xml:space="preserve"> </w:t>
      </w:r>
      <w:r>
        <w:rPr>
          <w:rFonts w:hint="eastAsia" w:ascii="宋体"/>
          <w:b/>
          <w:color w:val="auto"/>
          <w:kern w:val="0"/>
          <w:szCs w:val="21"/>
          <w:highlight w:val="none"/>
        </w:rPr>
        <w:t>BIM实施方案</w:t>
      </w:r>
    </w:p>
    <w:p w14:paraId="5974B6D2">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该部分考察投标人的</w:t>
      </w:r>
      <w:r>
        <w:rPr>
          <w:rFonts w:ascii="宋体" w:hAnsi="宋体"/>
          <w:color w:val="auto"/>
          <w:kern w:val="0"/>
          <w:szCs w:val="21"/>
          <w:highlight w:val="none"/>
        </w:rPr>
        <w:t>BIM</w:t>
      </w:r>
      <w:r>
        <w:rPr>
          <w:rFonts w:hint="eastAsia" w:ascii="宋体" w:hAnsi="宋体"/>
          <w:color w:val="auto"/>
          <w:kern w:val="0"/>
          <w:szCs w:val="21"/>
          <w:highlight w:val="none"/>
        </w:rPr>
        <w:t>综合应用能力。</w:t>
      </w:r>
    </w:p>
    <w:p w14:paraId="13E7A564">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BIM应用实施方案应包括以下内容：</w:t>
      </w:r>
      <w:r>
        <w:rPr>
          <w:rFonts w:ascii="宋体" w:hAnsi="宋体"/>
          <w:color w:val="auto"/>
          <w:kern w:val="0"/>
          <w:szCs w:val="21"/>
          <w:highlight w:val="none"/>
        </w:rPr>
        <w:t xml:space="preserve"> </w:t>
      </w:r>
    </w:p>
    <w:p w14:paraId="4696D713">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1 工程概况； </w:t>
      </w:r>
    </w:p>
    <w:p w14:paraId="01359DC3">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2 编制依据； </w:t>
      </w:r>
    </w:p>
    <w:p w14:paraId="5D8CC9E5">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3 应用预期目标和效益； </w:t>
      </w:r>
    </w:p>
    <w:p w14:paraId="5990BA0C">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4 应用内容和范围； </w:t>
      </w:r>
    </w:p>
    <w:p w14:paraId="242F3BC0">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5 应用人员组织和相应职责； </w:t>
      </w:r>
    </w:p>
    <w:p w14:paraId="0F564E1D">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6 应用流程； </w:t>
      </w:r>
    </w:p>
    <w:p w14:paraId="730A96C9">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7 模型创建、使用和管理要求； </w:t>
      </w:r>
    </w:p>
    <w:p w14:paraId="14D163C4">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8 信息交换要求； </w:t>
      </w:r>
    </w:p>
    <w:p w14:paraId="14961DF1">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9 模型质量控制规则； </w:t>
      </w:r>
    </w:p>
    <w:p w14:paraId="2F40C4FB">
      <w:pPr>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 xml:space="preserve">10 进度计划和模型交付要求； </w:t>
      </w:r>
    </w:p>
    <w:p w14:paraId="21758251">
      <w:pPr>
        <w:adjustRightInd w:val="0"/>
        <w:snapToGrid w:val="0"/>
        <w:spacing w:line="36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11 应用基础技术条件要求，包括软硬件的选择，以及软件版本。</w:t>
      </w:r>
    </w:p>
    <w:p w14:paraId="24853F33">
      <w:pPr>
        <w:adjustRightInd w:val="0"/>
        <w:snapToGrid w:val="0"/>
        <w:spacing w:line="360" w:lineRule="auto"/>
        <w:ind w:firstLine="420" w:firstLineChars="200"/>
        <w:rPr>
          <w:rFonts w:hint="eastAsia" w:ascii="宋体" w:hAnsi="宋体"/>
          <w:color w:val="auto"/>
          <w:kern w:val="0"/>
          <w:szCs w:val="21"/>
          <w:highlight w:val="none"/>
        </w:rPr>
      </w:pPr>
    </w:p>
    <w:p w14:paraId="211EDCE0">
      <w:pPr>
        <w:widowControl/>
        <w:jc w:val="left"/>
        <w:rPr>
          <w:rFonts w:hint="eastAsia" w:ascii="宋体" w:hAnsi="宋体"/>
          <w:color w:val="auto"/>
          <w:kern w:val="0"/>
          <w:szCs w:val="21"/>
          <w:highlight w:val="none"/>
        </w:rPr>
      </w:pPr>
      <w:r>
        <w:rPr>
          <w:rFonts w:hint="eastAsia" w:ascii="宋体" w:hAnsi="宋体"/>
          <w:color w:val="auto"/>
          <w:kern w:val="0"/>
          <w:szCs w:val="21"/>
          <w:highlight w:val="none"/>
        </w:rPr>
        <w:br w:type="page"/>
      </w:r>
    </w:p>
    <w:p w14:paraId="366888E2">
      <w:pPr>
        <w:spacing w:line="20" w:lineRule="exact"/>
        <w:rPr>
          <w:rFonts w:hint="eastAsia" w:ascii="宋体" w:hAnsi="宋体"/>
          <w:color w:val="auto"/>
          <w:kern w:val="0"/>
          <w:szCs w:val="21"/>
          <w:highlight w:val="none"/>
        </w:rPr>
        <w:sectPr>
          <w:pgSz w:w="11907" w:h="16840"/>
          <w:pgMar w:top="1417" w:right="1417" w:bottom="1417" w:left="1417" w:header="851" w:footer="851" w:gutter="0"/>
          <w:pgNumType w:fmt="decimal"/>
          <w:cols w:space="425" w:num="1"/>
          <w:docGrid w:type="lines" w:linePitch="312" w:charSpace="0"/>
        </w:sectPr>
      </w:pPr>
    </w:p>
    <w:p w14:paraId="22FCDD8B">
      <w:pPr>
        <w:spacing w:line="20" w:lineRule="exact"/>
        <w:rPr>
          <w:color w:val="auto"/>
          <w:highlight w:val="none"/>
        </w:rPr>
      </w:pPr>
    </w:p>
    <w:p w14:paraId="54C34E95">
      <w:pPr>
        <w:adjustRightInd w:val="0"/>
        <w:snapToGrid w:val="0"/>
        <w:spacing w:line="360" w:lineRule="auto"/>
        <w:jc w:val="center"/>
        <w:outlineLvl w:val="0"/>
        <w:rPr>
          <w:rFonts w:ascii="黑体" w:hAnsi="黑体" w:eastAsia="黑体" w:cs="黑体"/>
          <w:bCs/>
          <w:color w:val="auto"/>
          <w:sz w:val="32"/>
          <w:szCs w:val="32"/>
          <w:highlight w:val="none"/>
        </w:rPr>
      </w:pPr>
      <w:bookmarkStart w:id="6496" w:name="_Toc19950"/>
      <w:bookmarkStart w:id="6497" w:name="_Toc4697"/>
      <w:bookmarkStart w:id="6498" w:name="_Toc20318"/>
      <w:bookmarkStart w:id="6499" w:name="_Toc13871"/>
      <w:bookmarkStart w:id="6500" w:name="_Toc24860"/>
      <w:bookmarkStart w:id="6501" w:name="_Toc10054"/>
      <w:r>
        <w:rPr>
          <w:rFonts w:hint="eastAsia" w:ascii="黑体" w:hAnsi="黑体" w:eastAsia="黑体" w:cs="黑体"/>
          <w:bCs/>
          <w:color w:val="auto"/>
          <w:sz w:val="32"/>
          <w:szCs w:val="32"/>
          <w:highlight w:val="none"/>
        </w:rPr>
        <w:t>第十章  担保书格式</w:t>
      </w:r>
      <w:bookmarkEnd w:id="6496"/>
      <w:bookmarkEnd w:id="6497"/>
      <w:bookmarkEnd w:id="6498"/>
      <w:bookmarkEnd w:id="6499"/>
      <w:bookmarkEnd w:id="6500"/>
      <w:bookmarkEnd w:id="6501"/>
    </w:p>
    <w:p w14:paraId="365F4D94">
      <w:pPr>
        <w:adjustRightInd w:val="0"/>
        <w:snapToGrid w:val="0"/>
        <w:spacing w:line="360" w:lineRule="auto"/>
        <w:jc w:val="center"/>
        <w:outlineLvl w:val="0"/>
        <w:rPr>
          <w:rFonts w:ascii="黑体" w:hAnsi="黑体" w:eastAsia="黑体" w:cs="黑体"/>
          <w:bCs/>
          <w:color w:val="auto"/>
          <w:sz w:val="32"/>
          <w:szCs w:val="32"/>
          <w:highlight w:val="none"/>
        </w:rPr>
      </w:pPr>
    </w:p>
    <w:p w14:paraId="0BCD2E99">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不可撤销支付保函</w:t>
      </w:r>
    </w:p>
    <w:p w14:paraId="62B07BE7">
      <w:pPr>
        <w:adjustRightInd w:val="0"/>
        <w:snapToGrid w:val="0"/>
        <w:spacing w:line="360" w:lineRule="auto"/>
        <w:ind w:firstLine="5460" w:firstLineChars="2600"/>
        <w:rPr>
          <w:rFonts w:ascii="宋体" w:hAnsi="宋体" w:eastAsia="宋体" w:cs="宋体"/>
          <w:color w:val="auto"/>
          <w:szCs w:val="21"/>
          <w:highlight w:val="none"/>
        </w:rPr>
      </w:pPr>
      <w:r>
        <w:rPr>
          <w:rFonts w:hint="eastAsia" w:ascii="宋体" w:hAnsi="宋体" w:eastAsia="宋体" w:cs="宋体"/>
          <w:color w:val="auto"/>
          <w:szCs w:val="21"/>
          <w:highlight w:val="none"/>
        </w:rPr>
        <w:t>保函编号：</w:t>
      </w:r>
      <w:r>
        <w:rPr>
          <w:rFonts w:hint="eastAsia" w:ascii="宋体" w:hAnsi="宋体" w:eastAsia="宋体" w:cs="宋体"/>
          <w:color w:val="auto"/>
          <w:szCs w:val="21"/>
          <w:highlight w:val="none"/>
          <w:u w:val="single"/>
        </w:rPr>
        <w:t xml:space="preserve">      </w:t>
      </w:r>
    </w:p>
    <w:p w14:paraId="6DE0462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（下称受益人）：</w:t>
      </w:r>
    </w:p>
    <w:p w14:paraId="0D89A37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鉴于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（下称被保证人）已与贵方签订了工程编号为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的</w:t>
      </w:r>
    </w:p>
    <w:p w14:paraId="53FFCA3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工程的施工合同（下称合同），工期自</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至</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。我方接受被保证人的委托，在此向受益人提供不可撤销的工程款支付保证：</w:t>
      </w:r>
    </w:p>
    <w:p w14:paraId="5775AF2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一、本保证担保的最高担保金额为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（币种）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元（小写）</w:t>
      </w:r>
    </w:p>
    <w:p w14:paraId="255DFD5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（大写）。</w:t>
      </w:r>
    </w:p>
    <w:p w14:paraId="65AEAD1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二、本保证担保的保证期间自</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至</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3D6A8D7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三、在本保证担保的保证期间内，我方将在收到受益人经法定代表人或其授权委托代理人签字并加盖公章的书面索赔通知后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个工作日内，不争辩、不挑剔、不可撤销地向受益人支付索赔款，直至本保证担保的最高担保金额。</w:t>
      </w:r>
    </w:p>
    <w:p w14:paraId="1197B56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四、索赔通知应当说明索赔理由，并必须在本保证担保的保证期间内送达我方。</w:t>
      </w:r>
    </w:p>
    <w:p w14:paraId="186DA0E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五、本保证担保项下的权利不得转让。</w:t>
      </w:r>
    </w:p>
    <w:p w14:paraId="1A5DBE0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六、我方提供本保证担保后，受益人与被保证人对合同进行修订的，应当将修订后的合同原件送我方备案。</w:t>
      </w:r>
    </w:p>
    <w:p w14:paraId="0924A1E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七、本保证担保的保证期间届满，或我方向受益人支付的索赔款已达本保证担保的最高担保金额，我方的保证责任免除。</w:t>
      </w:r>
    </w:p>
    <w:p w14:paraId="72BF57D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八、本保证担保适用中华人民共和国法律。</w:t>
      </w:r>
    </w:p>
    <w:p w14:paraId="20C2711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九、本保证担保以中文文本为准，涂改无效。</w:t>
      </w:r>
    </w:p>
    <w:p w14:paraId="4C571B84">
      <w:pPr>
        <w:adjustRightInd w:val="0"/>
        <w:snapToGrid w:val="0"/>
        <w:spacing w:line="360" w:lineRule="auto"/>
        <w:ind w:firstLine="420" w:firstLineChars="200"/>
        <w:rPr>
          <w:rFonts w:ascii="宋体" w:hAnsi="宋体" w:eastAsia="宋体" w:cs="宋体"/>
          <w:color w:val="auto"/>
          <w:szCs w:val="21"/>
          <w:highlight w:val="none"/>
        </w:rPr>
      </w:pPr>
    </w:p>
    <w:p w14:paraId="7F225B2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保证人：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（盖章）</w:t>
      </w:r>
    </w:p>
    <w:p w14:paraId="0757AC0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法定代表人或其授权委托代理人（签字或盖章）：</w:t>
      </w:r>
      <w:r>
        <w:rPr>
          <w:rFonts w:hint="eastAsia" w:ascii="宋体" w:hAnsi="宋体" w:eastAsia="宋体" w:cs="宋体"/>
          <w:color w:val="auto"/>
          <w:szCs w:val="21"/>
          <w:highlight w:val="none"/>
          <w:u w:val="single"/>
        </w:rPr>
        <w:t xml:space="preserve">      </w:t>
      </w:r>
    </w:p>
    <w:p w14:paraId="302C168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单位地址：</w:t>
      </w:r>
      <w:r>
        <w:rPr>
          <w:rFonts w:hint="eastAsia" w:ascii="宋体" w:hAnsi="宋体" w:eastAsia="宋体" w:cs="宋体"/>
          <w:color w:val="auto"/>
          <w:szCs w:val="21"/>
          <w:highlight w:val="none"/>
          <w:u w:val="single"/>
        </w:rPr>
        <w:t xml:space="preserve">      </w:t>
      </w:r>
    </w:p>
    <w:p w14:paraId="5DD1BF80">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电话：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传真：</w:t>
      </w:r>
      <w:r>
        <w:rPr>
          <w:rFonts w:hint="eastAsia" w:ascii="宋体" w:hAnsi="宋体" w:eastAsia="宋体" w:cs="宋体"/>
          <w:color w:val="auto"/>
          <w:szCs w:val="21"/>
          <w:highlight w:val="none"/>
          <w:u w:val="single"/>
        </w:rPr>
        <w:t xml:space="preserve">      </w:t>
      </w:r>
    </w:p>
    <w:p w14:paraId="4127D41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u w:val="single"/>
        </w:rPr>
        <w:t xml:space="preserve">      </w:t>
      </w:r>
    </w:p>
    <w:p w14:paraId="4DD18762">
      <w:pPr>
        <w:adjustRightInd w:val="0"/>
        <w:snapToGrid w:val="0"/>
        <w:spacing w:line="360" w:lineRule="auto"/>
        <w:ind w:firstLine="420" w:firstLineChars="200"/>
        <w:rPr>
          <w:rFonts w:ascii="宋体" w:hAnsi="宋体" w:eastAsia="宋体" w:cs="宋体"/>
          <w:color w:val="auto"/>
          <w:highlight w:val="none"/>
        </w:rPr>
      </w:pPr>
      <w:r>
        <w:rPr>
          <w:rFonts w:hint="eastAsia" w:ascii="宋体" w:hAnsi="宋体" w:eastAsia="宋体" w:cs="宋体"/>
          <w:color w:val="auto"/>
          <w:szCs w:val="21"/>
          <w:highlight w:val="none"/>
        </w:rPr>
        <w:t>（本保函失效后，请将原件退回我方注销）</w:t>
      </w:r>
      <w:r>
        <w:rPr>
          <w:rFonts w:hint="eastAsia" w:ascii="宋体" w:hAnsi="宋体" w:eastAsia="宋体" w:cs="宋体"/>
          <w:color w:val="auto"/>
          <w:highlight w:val="none"/>
        </w:rPr>
        <w:br w:type="page"/>
      </w:r>
    </w:p>
    <w:p w14:paraId="59836CDB">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不可撤销履约保函</w:t>
      </w:r>
    </w:p>
    <w:p w14:paraId="5CF0A0D5">
      <w:pPr>
        <w:adjustRightInd w:val="0"/>
        <w:snapToGrid w:val="0"/>
        <w:spacing w:line="360" w:lineRule="auto"/>
        <w:ind w:firstLine="5460" w:firstLineChars="2600"/>
        <w:rPr>
          <w:rFonts w:ascii="宋体" w:hAnsi="宋体" w:eastAsia="宋体" w:cs="宋体"/>
          <w:color w:val="auto"/>
          <w:szCs w:val="21"/>
          <w:highlight w:val="none"/>
        </w:rPr>
      </w:pPr>
      <w:r>
        <w:rPr>
          <w:rFonts w:hint="eastAsia" w:ascii="宋体" w:hAnsi="宋体" w:eastAsia="宋体" w:cs="宋体"/>
          <w:color w:val="auto"/>
          <w:szCs w:val="21"/>
          <w:highlight w:val="none"/>
        </w:rPr>
        <w:t>保函编号：</w:t>
      </w:r>
      <w:r>
        <w:rPr>
          <w:rFonts w:hint="eastAsia" w:ascii="宋体" w:hAnsi="宋体" w:eastAsia="宋体" w:cs="宋体"/>
          <w:bCs/>
          <w:color w:val="auto"/>
          <w:szCs w:val="21"/>
          <w:highlight w:val="none"/>
          <w:u w:val="single"/>
        </w:rPr>
        <w:t xml:space="preserve">      </w:t>
      </w:r>
    </w:p>
    <w:p w14:paraId="15952E13">
      <w:pPr>
        <w:adjustRightInd w:val="0"/>
        <w:snapToGrid w:val="0"/>
        <w:spacing w:line="440" w:lineRule="exact"/>
        <w:rPr>
          <w:rFonts w:ascii="宋体" w:hAnsi="宋体" w:eastAsia="宋体" w:cs="宋体"/>
          <w:color w:val="auto"/>
          <w:szCs w:val="21"/>
          <w:highlight w:val="none"/>
        </w:rPr>
      </w:pPr>
      <w:r>
        <w:rPr>
          <w:rFonts w:hint="eastAsia" w:ascii="宋体" w:hAnsi="宋体" w:eastAsia="宋体" w:cs="宋体"/>
          <w:color w:val="auto"/>
          <w:szCs w:val="21"/>
          <w:highlight w:val="none"/>
        </w:rPr>
        <w:t>致</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（下称受益人）：</w:t>
      </w:r>
    </w:p>
    <w:p w14:paraId="3328B78B">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鉴于</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（下称被保证人）已与贵方签订了工程编号为</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的</w:t>
      </w:r>
    </w:p>
    <w:p w14:paraId="21DE8EF7">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工程的施工合同（下称合同），工期自</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至</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。我方接受被保证人的委托，在此向受益人提供不可撤销的履约保证：</w:t>
      </w:r>
    </w:p>
    <w:p w14:paraId="3A46DD96">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一、本保证担保的最高担保金额为</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（币种）</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元（小写）</w:t>
      </w:r>
    </w:p>
    <w:p w14:paraId="136C7C69">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（大写）。</w:t>
      </w:r>
    </w:p>
    <w:p w14:paraId="3160FC44">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二、本保证担保的保证期间自</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至</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w:t>
      </w:r>
    </w:p>
    <w:p w14:paraId="48889E22">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三、在本保证担保的保证期间内，我方将在收到受益人、该工程监理公司（全称：</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）两方法定代表人或其授权委托代理人签字确认并加盖公章的书面索赔通知后</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个工作日内，不争辩、不挑剔、不可撤销地向受益人支付索赔款，直至本保证担保的最高担保金额。</w:t>
      </w:r>
    </w:p>
    <w:p w14:paraId="1C02B499">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四、索赔通知应当说明索赔理由、索赔款额的计算方法，并必须在本保证担保的保证期间内送达我方。</w:t>
      </w:r>
    </w:p>
    <w:p w14:paraId="687A28E6">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五、本保证担保项下的权利不得转让。</w:t>
      </w:r>
    </w:p>
    <w:p w14:paraId="2B879578">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六、我方提供本保证担保后，受益人与被保证人对合同进行修订的，应当将修订后的合同原件送我方备案。</w:t>
      </w:r>
    </w:p>
    <w:p w14:paraId="2080D0BC">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七、本保证担保的保证期间届满，或我方向受益人支付的索赔款已达本保证担保的最高担保金额，我方的保证责任免除。</w:t>
      </w:r>
    </w:p>
    <w:p w14:paraId="1336D64C">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八、本保证担保适用中华人民共和国法律。</w:t>
      </w:r>
    </w:p>
    <w:p w14:paraId="02E89C01">
      <w:pPr>
        <w:adjustRightInd w:val="0"/>
        <w:snapToGrid w:val="0"/>
        <w:spacing w:line="440" w:lineRule="exact"/>
        <w:ind w:firstLine="420" w:firstLineChars="200"/>
        <w:rPr>
          <w:rFonts w:ascii="宋体" w:hAnsi="宋体" w:eastAsia="宋体" w:cs="宋体"/>
          <w:b/>
          <w:bCs/>
          <w:color w:val="auto"/>
          <w:szCs w:val="21"/>
          <w:highlight w:val="none"/>
        </w:rPr>
      </w:pPr>
      <w:r>
        <w:rPr>
          <w:rFonts w:hint="eastAsia" w:ascii="宋体" w:hAnsi="宋体" w:eastAsia="宋体" w:cs="宋体"/>
          <w:color w:val="auto"/>
          <w:szCs w:val="21"/>
          <w:highlight w:val="none"/>
        </w:rPr>
        <w:t>九、本保证担保以中文文本为准，涂改无效。</w:t>
      </w:r>
    </w:p>
    <w:p w14:paraId="253888B5">
      <w:pPr>
        <w:adjustRightInd w:val="0"/>
        <w:snapToGrid w:val="0"/>
        <w:spacing w:line="440" w:lineRule="exact"/>
        <w:rPr>
          <w:rFonts w:ascii="宋体" w:hAnsi="宋体" w:eastAsia="宋体" w:cs="宋体"/>
          <w:color w:val="auto"/>
          <w:szCs w:val="21"/>
          <w:highlight w:val="none"/>
        </w:rPr>
      </w:pPr>
    </w:p>
    <w:p w14:paraId="1A1B461E">
      <w:pPr>
        <w:adjustRightInd w:val="0"/>
        <w:snapToGrid w:val="0"/>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保证人：</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（盖章）</w:t>
      </w:r>
    </w:p>
    <w:p w14:paraId="3BB52F30">
      <w:pPr>
        <w:adjustRightInd w:val="0"/>
        <w:snapToGrid w:val="0"/>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法定代表人或其授权委托代理人（签字或盖章）：</w:t>
      </w:r>
      <w:r>
        <w:rPr>
          <w:rFonts w:hint="eastAsia" w:ascii="宋体" w:hAnsi="宋体" w:eastAsia="宋体" w:cs="宋体"/>
          <w:bCs/>
          <w:color w:val="auto"/>
          <w:szCs w:val="21"/>
          <w:highlight w:val="none"/>
          <w:u w:val="single"/>
        </w:rPr>
        <w:t xml:space="preserve">      </w:t>
      </w:r>
    </w:p>
    <w:p w14:paraId="06990348">
      <w:pPr>
        <w:adjustRightInd w:val="0"/>
        <w:snapToGrid w:val="0"/>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单位地址：</w:t>
      </w:r>
      <w:r>
        <w:rPr>
          <w:rFonts w:hint="eastAsia" w:ascii="宋体" w:hAnsi="宋体" w:eastAsia="宋体" w:cs="宋体"/>
          <w:bCs/>
          <w:color w:val="auto"/>
          <w:szCs w:val="21"/>
          <w:highlight w:val="none"/>
          <w:u w:val="single"/>
        </w:rPr>
        <w:t xml:space="preserve">      </w:t>
      </w:r>
    </w:p>
    <w:p w14:paraId="431EC192">
      <w:pPr>
        <w:adjustRightInd w:val="0"/>
        <w:snapToGrid w:val="0"/>
        <w:spacing w:line="440" w:lineRule="exact"/>
        <w:ind w:firstLine="482"/>
        <w:rPr>
          <w:rFonts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电话：</w:t>
      </w:r>
      <w:r>
        <w:rPr>
          <w:rFonts w:hint="eastAsia" w:ascii="宋体" w:hAnsi="宋体" w:eastAsia="宋体" w:cs="宋体"/>
          <w:bCs/>
          <w:color w:val="auto"/>
          <w:szCs w:val="21"/>
          <w:highlight w:val="none"/>
          <w:u w:val="single"/>
        </w:rPr>
        <w:t xml:space="preserve">      </w:t>
      </w:r>
      <w:r>
        <w:rPr>
          <w:rFonts w:hint="eastAsia" w:ascii="宋体" w:hAnsi="宋体" w:eastAsia="宋体" w:cs="宋体"/>
          <w:color w:val="auto"/>
          <w:szCs w:val="21"/>
          <w:highlight w:val="none"/>
        </w:rPr>
        <w:t>传真：</w:t>
      </w:r>
      <w:r>
        <w:rPr>
          <w:rFonts w:hint="eastAsia" w:ascii="宋体" w:hAnsi="宋体" w:eastAsia="宋体" w:cs="宋体"/>
          <w:bCs/>
          <w:color w:val="auto"/>
          <w:szCs w:val="21"/>
          <w:highlight w:val="none"/>
          <w:u w:val="single"/>
        </w:rPr>
        <w:t xml:space="preserve">      </w:t>
      </w:r>
    </w:p>
    <w:p w14:paraId="1757C1AE">
      <w:pPr>
        <w:adjustRightInd w:val="0"/>
        <w:snapToGrid w:val="0"/>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日期：</w:t>
      </w:r>
      <w:r>
        <w:rPr>
          <w:rFonts w:hint="eastAsia" w:ascii="宋体" w:hAnsi="宋体" w:eastAsia="宋体" w:cs="宋体"/>
          <w:bCs/>
          <w:color w:val="auto"/>
          <w:szCs w:val="21"/>
          <w:highlight w:val="none"/>
          <w:u w:val="single"/>
        </w:rPr>
        <w:t xml:space="preserve">      </w:t>
      </w:r>
    </w:p>
    <w:p w14:paraId="78AE5EF8">
      <w:pPr>
        <w:adjustRightInd w:val="0"/>
        <w:snapToGrid w:val="0"/>
        <w:spacing w:line="44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（本保函失效后，请将原件退回我方注销）</w:t>
      </w:r>
    </w:p>
    <w:p w14:paraId="6CF30BD6">
      <w:pPr>
        <w:adjustRightInd w:val="0"/>
        <w:snapToGrid w:val="0"/>
        <w:spacing w:line="440" w:lineRule="exact"/>
        <w:ind w:firstLine="420" w:firstLineChars="200"/>
        <w:rPr>
          <w:rFonts w:ascii="宋体" w:hAnsi="宋体" w:eastAsia="宋体" w:cs="宋体"/>
          <w:color w:val="auto"/>
          <w:szCs w:val="21"/>
          <w:highlight w:val="none"/>
        </w:rPr>
      </w:pPr>
    </w:p>
    <w:p w14:paraId="7473A66A">
      <w:pPr>
        <w:spacing w:line="600" w:lineRule="exact"/>
        <w:rPr>
          <w:rFonts w:asciiTheme="minorEastAsia" w:hAnsiTheme="minorEastAsia"/>
          <w:b/>
          <w:color w:val="auto"/>
          <w:sz w:val="30"/>
          <w:szCs w:val="30"/>
          <w:highlight w:val="none"/>
        </w:rPr>
      </w:pPr>
    </w:p>
    <w:p w14:paraId="30F5BFE2">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建设工程施工合同履约保证保险保险凭证</w:t>
      </w:r>
    </w:p>
    <w:p w14:paraId="290BC428">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14:paraId="12F15F86">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14:paraId="3E03E4BE">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工程的施工合同，工期自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。我方已接受被保证人的请求，并出具《建设工程施工合同履约保证保险》保险单。   </w:t>
      </w:r>
    </w:p>
    <w:p w14:paraId="651E6558">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14:paraId="3A00C576">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4FA64582">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14:paraId="33919B76">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因自身原因未按照与招标人（被保险人）签订的《建设工程施工合同》（合同编号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）履行相关义务，导致工程竣工延误或工程质量不符合建设工程施工合同要求，给被保险人造成损失的，被保险人可向保险人提出索赔，保险人按照保险合同的约定承担损失赔偿责任。</w:t>
      </w:r>
    </w:p>
    <w:p w14:paraId="37081563">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14:paraId="4F41B54C">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14:paraId="0AA4CE97">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14:paraId="2A2DF3DB">
      <w:pPr>
        <w:numPr>
          <w:ilvl w:val="0"/>
          <w:numId w:val="4"/>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14:paraId="668BC41E">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14:paraId="079F16FF">
      <w:pPr>
        <w:widowControl/>
        <w:spacing w:line="360" w:lineRule="auto"/>
        <w:ind w:firstLine="420" w:firstLineChars="200"/>
        <w:jc w:val="left"/>
        <w:rPr>
          <w:rFonts w:ascii="宋体" w:hAnsi="宋体" w:eastAsia="宋体" w:cs="宋体"/>
          <w:color w:val="auto"/>
          <w:kern w:val="0"/>
          <w:szCs w:val="21"/>
          <w:highlight w:val="none"/>
        </w:rPr>
      </w:pPr>
    </w:p>
    <w:p w14:paraId="6AF1A75B">
      <w:pPr>
        <w:adjustRightInd w:val="0"/>
        <w:snapToGrid w:val="0"/>
        <w:spacing w:after="156"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XXX保险有限公司建设工程施工合同履约保证保险（X款）条款》及保单</w:t>
      </w:r>
    </w:p>
    <w:p w14:paraId="01093EF3">
      <w:pPr>
        <w:widowControl/>
        <w:spacing w:line="360" w:lineRule="auto"/>
        <w:ind w:firstLine="420" w:firstLineChars="200"/>
        <w:jc w:val="left"/>
        <w:rPr>
          <w:rFonts w:ascii="宋体" w:hAnsi="宋体" w:eastAsia="宋体" w:cs="宋体"/>
          <w:color w:val="auto"/>
          <w:kern w:val="0"/>
          <w:szCs w:val="21"/>
          <w:highlight w:val="none"/>
        </w:rPr>
      </w:pPr>
    </w:p>
    <w:p w14:paraId="183D0F3E">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14:paraId="52DE5B41">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14:paraId="38DEE38D">
      <w:pPr>
        <w:widowControl/>
        <w:spacing w:line="360" w:lineRule="auto"/>
        <w:ind w:firstLine="5250" w:firstLineChars="25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14:paraId="3C89EF71">
      <w:pPr>
        <w:rPr>
          <w:rFonts w:ascii="宋体" w:hAnsi="宋体" w:eastAsia="宋体" w:cs="宋体"/>
          <w:color w:val="auto"/>
          <w:szCs w:val="21"/>
          <w:highlight w:val="none"/>
        </w:rPr>
      </w:pPr>
    </w:p>
    <w:sectPr>
      <w:pgSz w:w="11907" w:h="16840"/>
      <w:pgMar w:top="1417" w:right="1417" w:bottom="1417" w:left="1417" w:header="851" w:footer="851"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细黑">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swiss"/>
    <w:pitch w:val="default"/>
    <w:sig w:usb0="80000287" w:usb1="2ACF3C50" w:usb2="00000016" w:usb3="00000000" w:csb0="0004001F" w:csb1="00000000"/>
  </w:font>
  <w:font w:name="方正书宋简体">
    <w:altName w:val="宋体"/>
    <w:panose1 w:val="00000000000000000000"/>
    <w:charset w:val="00"/>
    <w:family w:val="auto"/>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0B9E2">
    <w:pPr>
      <w:adjustRightInd w:val="0"/>
      <w:snapToGrid w:val="0"/>
      <w:ind w:firstLine="420" w:firstLineChars="200"/>
      <w:rPr>
        <w:rFonts w:hint="eastAsia" w:ascii="宋体" w:hAnsi="宋体" w:eastAsia="宋体" w:cs="宋体"/>
        <w:color w:val="000000" w:themeColor="text1"/>
        <w:szCs w:val="21"/>
        <w:lang w:val="en-US" w:eastAsia="zh-CN"/>
        <w14:textFill>
          <w14:solidFill>
            <w14:schemeClr w14:val="tx1"/>
          </w14:solidFill>
        </w14:textFill>
      </w:rPr>
    </w:pPr>
  </w:p>
  <w:p w14:paraId="64259959">
    <w:pPr>
      <w:pStyle w:val="25"/>
      <w:jc w:val="left"/>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04327E">
                          <w:pPr>
                            <w:pStyle w:val="25"/>
                          </w:pPr>
                          <w:r>
                            <w:fldChar w:fldCharType="begin"/>
                          </w:r>
                          <w:r>
                            <w:instrText xml:space="preserve"> PAGE  \* MERGEFORMAT </w:instrText>
                          </w:r>
                          <w:r>
                            <w:fldChar w:fldCharType="separate"/>
                          </w:r>
                          <w:r>
                            <w:t>１</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404327E">
                    <w:pPr>
                      <w:pStyle w:val="25"/>
                    </w:pPr>
                    <w:r>
                      <w:fldChar w:fldCharType="begin"/>
                    </w:r>
                    <w:r>
                      <w:instrText xml:space="preserve"> PAGE  \* MERGEFORMAT </w:instrText>
                    </w:r>
                    <w:r>
                      <w:fldChar w:fldCharType="separate"/>
                    </w:r>
                    <w:r>
                      <w:t>１</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6329"/>
                          </w:sdtPr>
                          <w:sdtContent>
                            <w:p w14:paraId="30F39793">
                              <w:pPr>
                                <w:pStyle w:val="25"/>
                                <w:jc w:val="left"/>
                              </w:pPr>
                            </w:p>
                          </w:sdtContent>
                        </w:sdt>
                        <w:p w14:paraId="4DEBD4D7"/>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147456329"/>
                    </w:sdtPr>
                    <w:sdtContent>
                      <w:p w14:paraId="30F39793">
                        <w:pPr>
                          <w:pStyle w:val="25"/>
                          <w:jc w:val="left"/>
                        </w:pPr>
                      </w:p>
                    </w:sdtContent>
                  </w:sdt>
                  <w:p w14:paraId="4DEBD4D7"/>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4E671">
    <w:pPr>
      <w:pStyle w:val="25"/>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131DD4">
                          <w:pPr>
                            <w:pStyle w:val="25"/>
                            <w:jc w:val="center"/>
                          </w:pPr>
                          <w:r>
                            <w:fldChar w:fldCharType="begin"/>
                          </w:r>
                          <w:r>
                            <w:instrText xml:space="preserve">PAGE   \* MERGEFORMAT</w:instrText>
                          </w:r>
                          <w:r>
                            <w:fldChar w:fldCharType="separate"/>
                          </w:r>
                          <w:r>
                            <w:rPr>
                              <w:lang w:val="zh-CN"/>
                            </w:rPr>
                            <w:t>-</w:t>
                          </w:r>
                          <w:r>
                            <w:t xml:space="preserve"> 10 -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05131DD4">
                    <w:pPr>
                      <w:pStyle w:val="25"/>
                      <w:jc w:val="center"/>
                    </w:pPr>
                    <w:r>
                      <w:fldChar w:fldCharType="begin"/>
                    </w:r>
                    <w:r>
                      <w:instrText xml:space="preserve">PAGE   \* MERGEFORMAT</w:instrText>
                    </w:r>
                    <w:r>
                      <w:fldChar w:fldCharType="separate"/>
                    </w:r>
                    <w:r>
                      <w:rPr>
                        <w:lang w:val="zh-CN"/>
                      </w:rPr>
                      <w:t>-</w:t>
                    </w:r>
                    <w:r>
                      <w:t xml:space="preserve"> 10 -</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2">
    <w:p>
      <w:r>
        <w:separator/>
      </w:r>
    </w:p>
  </w:footnote>
  <w:footnote w:type="continuationSeparator" w:id="23">
    <w:p>
      <w:r>
        <w:continuationSeparator/>
      </w:r>
    </w:p>
  </w:footnote>
  <w:footnote w:id="0">
    <w:p w14:paraId="0AEC8537">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14:paraId="52D55EF0">
      <w:pPr>
        <w:adjustRightInd w:val="0"/>
        <w:snapToGrid w:val="0"/>
        <w:ind w:firstLine="420" w:firstLineChars="200"/>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[2]的具体要求源自《深圳市人民政府关于进一步规范建设工程招标投标活动的通知》(深府规〔2024〕8号)第八条。</w:t>
      </w:r>
    </w:p>
    <w:p w14:paraId="29AC0347">
      <w:pPr>
        <w:pStyle w:val="29"/>
        <w:snapToGrid w:val="0"/>
      </w:pPr>
    </w:p>
  </w:footnote>
  <w:footnote w:id="2">
    <w:p w14:paraId="4A2F4DD8">
      <w:pPr>
        <w:adjustRightInd w:val="0"/>
        <w:snapToGrid w:val="0"/>
        <w:ind w:firstLine="420" w:firstLineChars="200"/>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[3]的具体要求源自《深圳市住房和建设局关于推行差异化缴纳投标保证金进一步降低招标投标交易成本的通知》（深建市场〔2023〕2号）第一条。</w:t>
      </w:r>
    </w:p>
    <w:p w14:paraId="3F0E811E">
      <w:pPr>
        <w:pStyle w:val="29"/>
        <w:snapToGrid w:val="0"/>
      </w:pPr>
    </w:p>
  </w:footnote>
  <w:footnote w:id="3">
    <w:p w14:paraId="78DC4528">
      <w:pPr>
        <w:adjustRightInd w:val="0"/>
        <w:snapToGrid w:val="0"/>
        <w:ind w:firstLine="420" w:firstLineChars="200"/>
        <w:rPr>
          <w:highlight w:val="none"/>
        </w:rPr>
      </w:pPr>
      <w:r>
        <w:rPr>
          <w:rFonts w:hint="eastAsia" w:ascii="宋体" w:hAnsi="宋体" w:eastAsia="宋体" w:cs="宋体"/>
          <w:color w:val="000000" w:themeColor="text1"/>
          <w:szCs w:val="21"/>
          <w:highlight w:val="none"/>
          <w:lang w:val="en-US" w:eastAsia="zh-CN"/>
          <w14:textFill>
            <w14:solidFill>
              <w14:schemeClr w14:val="tx1"/>
            </w14:solidFill>
          </w14:textFill>
        </w:rPr>
        <w:t>[4]、[5]的具体要求源自《深圳市人民政府关于进一步规范建设工程招标投标活动的通知》(深府规〔2024〕8号)第三、四条。</w:t>
      </w:r>
    </w:p>
  </w:footnote>
  <w:footnote w:id="4">
    <w:p w14:paraId="78D1593B">
      <w:pPr>
        <w:pStyle w:val="29"/>
        <w:snapToGrid w:val="0"/>
      </w:pPr>
    </w:p>
  </w:footnote>
  <w:footnote w:id="5">
    <w:p w14:paraId="4ED23240">
      <w:pPr>
        <w:adjustRightInd w:val="0"/>
        <w:snapToGrid w:val="0"/>
        <w:ind w:firstLine="420" w:firstLineChars="200"/>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[6]的具体要求源自《深圳市人民政府关于进一步规范建设工程招标投标活动的通知》(深府规〔2024〕8号)第七条。</w:t>
      </w:r>
    </w:p>
    <w:p w14:paraId="0A559779">
      <w:pPr>
        <w:pStyle w:val="29"/>
        <w:snapToGrid w:val="0"/>
      </w:pPr>
    </w:p>
  </w:footnote>
  <w:footnote w:id="6">
    <w:p w14:paraId="4F6E9194">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[7]的具体要求源自《深圳市住房和建设局关于进一步规范招标投标有关事宜的通知》（深建市场〔2022〕4号）第三条。</w:t>
      </w:r>
    </w:p>
    <w:p w14:paraId="0872660D">
      <w:pPr>
        <w:pStyle w:val="29"/>
        <w:snapToGrid w:val="0"/>
      </w:pPr>
    </w:p>
  </w:footnote>
  <w:footnote w:id="7">
    <w:p w14:paraId="2F06622A">
      <w:pPr>
        <w:adjustRightInd w:val="0"/>
        <w:snapToGrid w:val="0"/>
        <w:ind w:firstLine="400" w:firstLineChars="200"/>
        <w:rPr>
          <w:sz w:val="20"/>
          <w:szCs w:val="21"/>
        </w:rPr>
      </w:pPr>
      <w:r>
        <w:rPr>
          <w:rFonts w:hint="eastAsia" w:ascii="宋体" w:hAnsi="宋体" w:eastAsia="宋体" w:cs="宋体"/>
          <w:color w:val="000000" w:themeColor="text1"/>
          <w:sz w:val="20"/>
          <w:szCs w:val="20"/>
          <w:lang w:val="en-US" w:eastAsia="zh-CN"/>
          <w14:textFill>
            <w14:solidFill>
              <w14:schemeClr w14:val="tx1"/>
            </w14:solidFill>
          </w14:textFill>
        </w:rPr>
        <w:t>[8]的具体要求源自《深圳市人民政府关于进一步规范建设工程招标投标活动的通知》(深府规〔2024〕8号)第九条。</w:t>
      </w:r>
    </w:p>
  </w:footnote>
  <w:footnote w:id="8">
    <w:p w14:paraId="19485CFB">
      <w:pPr>
        <w:adjustRightInd w:val="0"/>
        <w:snapToGrid w:val="0"/>
        <w:ind w:firstLine="400" w:firstLineChars="200"/>
        <w:rPr>
          <w:rFonts w:hint="default" w:ascii="宋体" w:hAnsi="宋体" w:eastAsia="宋体" w:cs="宋体"/>
          <w:color w:val="000000" w:themeColor="text1"/>
          <w:sz w:val="20"/>
          <w:szCs w:val="20"/>
          <w:lang w:val="en-US" w:eastAsia="zh-CN"/>
          <w14:textFill>
            <w14:solidFill>
              <w14:schemeClr w14:val="tx1"/>
            </w14:solidFill>
          </w14:textFill>
        </w:rPr>
      </w:pPr>
      <w:r>
        <w:rPr>
          <w:rFonts w:hint="eastAsia" w:ascii="宋体" w:hAnsi="宋体" w:eastAsia="宋体" w:cs="宋体"/>
          <w:color w:val="000000" w:themeColor="text1"/>
          <w:sz w:val="20"/>
          <w:szCs w:val="20"/>
          <w:lang w:val="en-US" w:eastAsia="zh-CN"/>
          <w14:textFill>
            <w14:solidFill>
              <w14:schemeClr w14:val="tx1"/>
            </w14:solidFill>
          </w14:textFill>
        </w:rPr>
        <w:t>[9]-[11]的具体要求源自《深圳市人民政府关于进一步规范建设工程招标投标活动的通知》(深</w:t>
      </w:r>
    </w:p>
    <w:p w14:paraId="02C9EAFC">
      <w:pPr>
        <w:adjustRightInd w:val="0"/>
        <w:snapToGrid w:val="0"/>
        <w:ind w:firstLine="0" w:firstLineChars="0"/>
        <w:rPr>
          <w:rFonts w:hint="eastAsia" w:ascii="宋体" w:hAnsi="宋体" w:eastAsia="宋体" w:cs="宋体"/>
          <w:color w:val="000000" w:themeColor="text1"/>
          <w:sz w:val="20"/>
          <w:szCs w:val="20"/>
          <w:lang w:val="en-US" w:eastAsia="zh-CN"/>
          <w14:textFill>
            <w14:solidFill>
              <w14:schemeClr w14:val="tx1"/>
            </w14:solidFill>
          </w14:textFill>
        </w:rPr>
      </w:pPr>
      <w:r>
        <w:rPr>
          <w:rFonts w:hint="eastAsia" w:ascii="宋体" w:hAnsi="宋体" w:eastAsia="宋体" w:cs="宋体"/>
          <w:color w:val="000000" w:themeColor="text1"/>
          <w:sz w:val="20"/>
          <w:szCs w:val="20"/>
          <w:lang w:val="en-US" w:eastAsia="zh-CN"/>
          <w14:textFill>
            <w14:solidFill>
              <w14:schemeClr w14:val="tx1"/>
            </w14:solidFill>
          </w14:textFill>
        </w:rPr>
        <w:t>府规〔2024〕8号)第五、七、九条，以及《深圳市人民政府印发关于建设工程招标投标改革若干规</w:t>
      </w:r>
    </w:p>
    <w:p w14:paraId="40E1609F">
      <w:pPr>
        <w:adjustRightInd w:val="0"/>
        <w:snapToGrid w:val="0"/>
        <w:ind w:firstLine="0" w:firstLineChars="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 w:val="20"/>
          <w:szCs w:val="20"/>
          <w:lang w:val="en-US" w:eastAsia="zh-CN"/>
          <w14:textFill>
            <w14:solidFill>
              <w14:schemeClr w14:val="tx1"/>
            </w14:solidFill>
          </w14:textFill>
        </w:rPr>
        <w:t>定的通知》（深府〔2015〕73号）第四十七条。</w:t>
      </w:r>
    </w:p>
  </w:footnote>
  <w:footnote w:id="9">
    <w:p w14:paraId="3EC42B98">
      <w:pPr>
        <w:adjustRightInd w:val="0"/>
        <w:snapToGrid w:val="0"/>
        <w:ind w:firstLine="0" w:firstLineChars="0"/>
        <w:rPr>
          <w:rFonts w:hint="eastAsia" w:ascii="宋体" w:hAnsi="宋体" w:eastAsia="宋体" w:cs="宋体"/>
          <w:color w:val="000000" w:themeColor="text1"/>
          <w:szCs w:val="21"/>
          <w14:textFill>
            <w14:solidFill>
              <w14:schemeClr w14:val="tx1"/>
            </w14:solidFill>
          </w14:textFill>
        </w:rPr>
      </w:pPr>
    </w:p>
  </w:footnote>
  <w:footnote w:id="10">
    <w:p w14:paraId="763A8D16">
      <w:pPr>
        <w:pStyle w:val="29"/>
        <w:snapToGrid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352E6">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1492B">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7BF7C">
    <w:pPr>
      <w:pStyle w:val="2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2DB9B4"/>
    <w:multiLevelType w:val="singleLevel"/>
    <w:tmpl w:val="EE2DB9B4"/>
    <w:lvl w:ilvl="0" w:tentative="0">
      <w:start w:val="4"/>
      <w:numFmt w:val="chineseCounting"/>
      <w:suff w:val="nothing"/>
      <w:lvlText w:val="%1、"/>
      <w:lvlJc w:val="left"/>
      <w:rPr>
        <w:rFonts w:hint="eastAsia"/>
      </w:rPr>
    </w:lvl>
  </w:abstractNum>
  <w:abstractNum w:abstractNumId="1">
    <w:nsid w:val="22091C47"/>
    <w:multiLevelType w:val="singleLevel"/>
    <w:tmpl w:val="22091C47"/>
    <w:lvl w:ilvl="0" w:tentative="0">
      <w:start w:val="18"/>
      <w:numFmt w:val="decimal"/>
      <w:suff w:val="nothing"/>
      <w:lvlText w:val="%1、"/>
      <w:lvlJc w:val="left"/>
    </w:lvl>
  </w:abstractNum>
  <w:abstractNum w:abstractNumId="2">
    <w:nsid w:val="45C42C9A"/>
    <w:multiLevelType w:val="multilevel"/>
    <w:tmpl w:val="45C42C9A"/>
    <w:lvl w:ilvl="0" w:tentative="0">
      <w:start w:val="1"/>
      <w:numFmt w:val="decimal"/>
      <w:lvlText w:val="%1"/>
      <w:lvlJc w:val="left"/>
      <w:pPr>
        <w:tabs>
          <w:tab w:val="left" w:pos="4032"/>
        </w:tabs>
        <w:ind w:left="4032" w:hanging="432"/>
      </w:pPr>
    </w:lvl>
    <w:lvl w:ilvl="1" w:tentative="0">
      <w:start w:val="1"/>
      <w:numFmt w:val="decimal"/>
      <w:lvlText w:val="%1.%2"/>
      <w:lvlJc w:val="left"/>
      <w:pPr>
        <w:tabs>
          <w:tab w:val="left" w:pos="576"/>
        </w:tabs>
        <w:ind w:left="576" w:hanging="576"/>
      </w:pPr>
      <w:rPr>
        <w:strike w:val="0"/>
        <w:color w:val="auto"/>
      </w:rPr>
    </w:lvl>
    <w:lvl w:ilvl="2" w:tentative="0">
      <w:start w:val="1"/>
      <w:numFmt w:val="decimal"/>
      <w:lvlText w:val="%1.%2.%3"/>
      <w:lvlJc w:val="left"/>
      <w:pPr>
        <w:tabs>
          <w:tab w:val="left" w:pos="720"/>
        </w:tabs>
        <w:ind w:left="720" w:hanging="720"/>
      </w:p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footnotePr>
    <w:footnote w:id="22"/>
    <w:footnote w:id="23"/>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I2NDM1OGM4MWY0MTRkZjMwYzBiZTUwOWY0MmU3ZTEifQ=="/>
    <w:docVar w:name="KSO_WPS_MARK_KEY" w:val="54b5509e-139f-42dd-8581-25ef069bea78"/>
  </w:docVars>
  <w:rsids>
    <w:rsidRoot w:val="00172A27"/>
    <w:rsid w:val="00005A05"/>
    <w:rsid w:val="000437E3"/>
    <w:rsid w:val="000566C2"/>
    <w:rsid w:val="000B5DA1"/>
    <w:rsid w:val="000C2473"/>
    <w:rsid w:val="00166598"/>
    <w:rsid w:val="00172A27"/>
    <w:rsid w:val="00172FAD"/>
    <w:rsid w:val="002242AA"/>
    <w:rsid w:val="002A04EC"/>
    <w:rsid w:val="002D0A40"/>
    <w:rsid w:val="003047FA"/>
    <w:rsid w:val="003E55F7"/>
    <w:rsid w:val="0040553E"/>
    <w:rsid w:val="005651E2"/>
    <w:rsid w:val="00572956"/>
    <w:rsid w:val="005F00B1"/>
    <w:rsid w:val="006906B2"/>
    <w:rsid w:val="006F4B83"/>
    <w:rsid w:val="00743E1E"/>
    <w:rsid w:val="0085539A"/>
    <w:rsid w:val="008A73D1"/>
    <w:rsid w:val="0095694B"/>
    <w:rsid w:val="00977503"/>
    <w:rsid w:val="00A01960"/>
    <w:rsid w:val="00A235C6"/>
    <w:rsid w:val="00A51EB6"/>
    <w:rsid w:val="00A714A7"/>
    <w:rsid w:val="00B661C3"/>
    <w:rsid w:val="00BA24BC"/>
    <w:rsid w:val="00BB4731"/>
    <w:rsid w:val="00C42408"/>
    <w:rsid w:val="00C55466"/>
    <w:rsid w:val="00C6526C"/>
    <w:rsid w:val="00CC2F4C"/>
    <w:rsid w:val="00CE4FC5"/>
    <w:rsid w:val="00CE6753"/>
    <w:rsid w:val="00D80F4E"/>
    <w:rsid w:val="00DC3998"/>
    <w:rsid w:val="00DC4494"/>
    <w:rsid w:val="00DE537A"/>
    <w:rsid w:val="00DF73EB"/>
    <w:rsid w:val="00E1509A"/>
    <w:rsid w:val="00E70338"/>
    <w:rsid w:val="00E870A6"/>
    <w:rsid w:val="00F3646D"/>
    <w:rsid w:val="00FF2678"/>
    <w:rsid w:val="010D7DD7"/>
    <w:rsid w:val="01140B7E"/>
    <w:rsid w:val="01461121"/>
    <w:rsid w:val="018922E6"/>
    <w:rsid w:val="018A1C98"/>
    <w:rsid w:val="01976B6F"/>
    <w:rsid w:val="01976F9D"/>
    <w:rsid w:val="01AC2232"/>
    <w:rsid w:val="01F56E3F"/>
    <w:rsid w:val="0209750F"/>
    <w:rsid w:val="02355C61"/>
    <w:rsid w:val="02436620"/>
    <w:rsid w:val="025178BC"/>
    <w:rsid w:val="02617B60"/>
    <w:rsid w:val="026F3433"/>
    <w:rsid w:val="028A2DD8"/>
    <w:rsid w:val="029501E3"/>
    <w:rsid w:val="029D33DC"/>
    <w:rsid w:val="02C32E43"/>
    <w:rsid w:val="02DA018C"/>
    <w:rsid w:val="02E903CF"/>
    <w:rsid w:val="02F30791"/>
    <w:rsid w:val="03323413"/>
    <w:rsid w:val="03461F14"/>
    <w:rsid w:val="034C1B99"/>
    <w:rsid w:val="03682087"/>
    <w:rsid w:val="039B7AAF"/>
    <w:rsid w:val="03B37755"/>
    <w:rsid w:val="03CD1237"/>
    <w:rsid w:val="03D55BF5"/>
    <w:rsid w:val="03E07A24"/>
    <w:rsid w:val="03ED7303"/>
    <w:rsid w:val="04004BE4"/>
    <w:rsid w:val="043E5A69"/>
    <w:rsid w:val="044C50BA"/>
    <w:rsid w:val="044D4127"/>
    <w:rsid w:val="0450785F"/>
    <w:rsid w:val="049238FB"/>
    <w:rsid w:val="049A6784"/>
    <w:rsid w:val="04C658A8"/>
    <w:rsid w:val="04C93CBC"/>
    <w:rsid w:val="04CA305F"/>
    <w:rsid w:val="051300AE"/>
    <w:rsid w:val="051B6CA7"/>
    <w:rsid w:val="05AF5900"/>
    <w:rsid w:val="061170EC"/>
    <w:rsid w:val="06286C84"/>
    <w:rsid w:val="063E052E"/>
    <w:rsid w:val="06491FB0"/>
    <w:rsid w:val="06AB609C"/>
    <w:rsid w:val="06D94C3D"/>
    <w:rsid w:val="070F34A1"/>
    <w:rsid w:val="0750494E"/>
    <w:rsid w:val="07615C0D"/>
    <w:rsid w:val="0772426A"/>
    <w:rsid w:val="07BF3919"/>
    <w:rsid w:val="07C21D59"/>
    <w:rsid w:val="07CE6DE2"/>
    <w:rsid w:val="07DB4BD0"/>
    <w:rsid w:val="07E4566F"/>
    <w:rsid w:val="07EE3A1A"/>
    <w:rsid w:val="0815364B"/>
    <w:rsid w:val="082C5F73"/>
    <w:rsid w:val="08324F0A"/>
    <w:rsid w:val="08356D17"/>
    <w:rsid w:val="085F032A"/>
    <w:rsid w:val="088E3F38"/>
    <w:rsid w:val="08BB636A"/>
    <w:rsid w:val="09160E7D"/>
    <w:rsid w:val="09463445"/>
    <w:rsid w:val="09481CE7"/>
    <w:rsid w:val="095036F0"/>
    <w:rsid w:val="0970101E"/>
    <w:rsid w:val="097142C6"/>
    <w:rsid w:val="09825509"/>
    <w:rsid w:val="09836E38"/>
    <w:rsid w:val="098E7C10"/>
    <w:rsid w:val="099F7A3A"/>
    <w:rsid w:val="09BE73EA"/>
    <w:rsid w:val="09C01C5E"/>
    <w:rsid w:val="09CB68FE"/>
    <w:rsid w:val="09D253DD"/>
    <w:rsid w:val="09E4408E"/>
    <w:rsid w:val="09FB4338"/>
    <w:rsid w:val="0A2A19F9"/>
    <w:rsid w:val="0A3B3C06"/>
    <w:rsid w:val="0A6F39F4"/>
    <w:rsid w:val="0A7C2223"/>
    <w:rsid w:val="0A9925EA"/>
    <w:rsid w:val="0AA9774E"/>
    <w:rsid w:val="0ABF65E6"/>
    <w:rsid w:val="0AC172C9"/>
    <w:rsid w:val="0AE25CA4"/>
    <w:rsid w:val="0B0D03D6"/>
    <w:rsid w:val="0B372897"/>
    <w:rsid w:val="0B38066E"/>
    <w:rsid w:val="0B6F6F8A"/>
    <w:rsid w:val="0BBE268E"/>
    <w:rsid w:val="0BCC3C32"/>
    <w:rsid w:val="0BFA42A8"/>
    <w:rsid w:val="0C0E259A"/>
    <w:rsid w:val="0C7255AB"/>
    <w:rsid w:val="0C7A6358"/>
    <w:rsid w:val="0CBA669D"/>
    <w:rsid w:val="0CD611D6"/>
    <w:rsid w:val="0D145641"/>
    <w:rsid w:val="0D1A1613"/>
    <w:rsid w:val="0D1A285D"/>
    <w:rsid w:val="0D2D40C0"/>
    <w:rsid w:val="0D904269"/>
    <w:rsid w:val="0D9A0C44"/>
    <w:rsid w:val="0DA1511D"/>
    <w:rsid w:val="0DA63A8D"/>
    <w:rsid w:val="0DBB629A"/>
    <w:rsid w:val="0DD44DAA"/>
    <w:rsid w:val="0DDE6223"/>
    <w:rsid w:val="0DF44A78"/>
    <w:rsid w:val="0E027B39"/>
    <w:rsid w:val="0E0A4988"/>
    <w:rsid w:val="0E1E1875"/>
    <w:rsid w:val="0E27365D"/>
    <w:rsid w:val="0E2E5C98"/>
    <w:rsid w:val="0E564CA2"/>
    <w:rsid w:val="0E740472"/>
    <w:rsid w:val="0E9206A6"/>
    <w:rsid w:val="0E924011"/>
    <w:rsid w:val="0EA6783D"/>
    <w:rsid w:val="0EAD49F3"/>
    <w:rsid w:val="0EC24061"/>
    <w:rsid w:val="0ECF2B6F"/>
    <w:rsid w:val="0EED7DDA"/>
    <w:rsid w:val="0F137FFB"/>
    <w:rsid w:val="0F36499C"/>
    <w:rsid w:val="0F523506"/>
    <w:rsid w:val="0F890F70"/>
    <w:rsid w:val="0FE34B24"/>
    <w:rsid w:val="0FE97C61"/>
    <w:rsid w:val="0FEE19ED"/>
    <w:rsid w:val="0FF15984"/>
    <w:rsid w:val="1004651E"/>
    <w:rsid w:val="105E6F2F"/>
    <w:rsid w:val="107D490A"/>
    <w:rsid w:val="109B53FF"/>
    <w:rsid w:val="10C46F42"/>
    <w:rsid w:val="10E210C9"/>
    <w:rsid w:val="110E0962"/>
    <w:rsid w:val="111C79B0"/>
    <w:rsid w:val="113F0B6A"/>
    <w:rsid w:val="1148213C"/>
    <w:rsid w:val="11492BA1"/>
    <w:rsid w:val="1198193E"/>
    <w:rsid w:val="119D71B4"/>
    <w:rsid w:val="119E4004"/>
    <w:rsid w:val="11BA18B5"/>
    <w:rsid w:val="121B502E"/>
    <w:rsid w:val="12971C13"/>
    <w:rsid w:val="12B85D17"/>
    <w:rsid w:val="12EF18AF"/>
    <w:rsid w:val="13086525"/>
    <w:rsid w:val="133A3813"/>
    <w:rsid w:val="135D5B9B"/>
    <w:rsid w:val="136C6BDF"/>
    <w:rsid w:val="137A0DF2"/>
    <w:rsid w:val="139E4801"/>
    <w:rsid w:val="13AB5E31"/>
    <w:rsid w:val="13F74301"/>
    <w:rsid w:val="140C2617"/>
    <w:rsid w:val="141938DC"/>
    <w:rsid w:val="141F1EA3"/>
    <w:rsid w:val="14336BF5"/>
    <w:rsid w:val="1495096B"/>
    <w:rsid w:val="14D44BA1"/>
    <w:rsid w:val="14F10DAB"/>
    <w:rsid w:val="151E647C"/>
    <w:rsid w:val="15421DCB"/>
    <w:rsid w:val="15761F97"/>
    <w:rsid w:val="157E2C40"/>
    <w:rsid w:val="1594241D"/>
    <w:rsid w:val="15F72014"/>
    <w:rsid w:val="16084351"/>
    <w:rsid w:val="160A4023"/>
    <w:rsid w:val="161746E1"/>
    <w:rsid w:val="161C715F"/>
    <w:rsid w:val="1649379C"/>
    <w:rsid w:val="166E53B5"/>
    <w:rsid w:val="167800B5"/>
    <w:rsid w:val="16792604"/>
    <w:rsid w:val="16A426B5"/>
    <w:rsid w:val="16BF3D30"/>
    <w:rsid w:val="16DB7867"/>
    <w:rsid w:val="16FA0481"/>
    <w:rsid w:val="171657DF"/>
    <w:rsid w:val="17C3523B"/>
    <w:rsid w:val="17C6497F"/>
    <w:rsid w:val="17DA6BEB"/>
    <w:rsid w:val="17EC3CD3"/>
    <w:rsid w:val="17F32E73"/>
    <w:rsid w:val="17FBDF39"/>
    <w:rsid w:val="18100480"/>
    <w:rsid w:val="18104644"/>
    <w:rsid w:val="18292BCD"/>
    <w:rsid w:val="183F48C2"/>
    <w:rsid w:val="18400B20"/>
    <w:rsid w:val="189A1F0B"/>
    <w:rsid w:val="18B03A11"/>
    <w:rsid w:val="18CB5A3D"/>
    <w:rsid w:val="18DD49B1"/>
    <w:rsid w:val="18E214FB"/>
    <w:rsid w:val="19197809"/>
    <w:rsid w:val="192640FB"/>
    <w:rsid w:val="19314B52"/>
    <w:rsid w:val="19434886"/>
    <w:rsid w:val="19664A1B"/>
    <w:rsid w:val="19936DE4"/>
    <w:rsid w:val="199447DA"/>
    <w:rsid w:val="19B906A4"/>
    <w:rsid w:val="19CE5C9A"/>
    <w:rsid w:val="19D43730"/>
    <w:rsid w:val="19D61256"/>
    <w:rsid w:val="1A042A30"/>
    <w:rsid w:val="1A114259"/>
    <w:rsid w:val="1A274FFA"/>
    <w:rsid w:val="1A277F18"/>
    <w:rsid w:val="1A537DB8"/>
    <w:rsid w:val="1A5D700A"/>
    <w:rsid w:val="1A7EFF0F"/>
    <w:rsid w:val="1A82668D"/>
    <w:rsid w:val="1A88649F"/>
    <w:rsid w:val="1AA024D3"/>
    <w:rsid w:val="1AC35E60"/>
    <w:rsid w:val="1AC50222"/>
    <w:rsid w:val="1ACD08AB"/>
    <w:rsid w:val="1AE94FB9"/>
    <w:rsid w:val="1B09565B"/>
    <w:rsid w:val="1B8B45D4"/>
    <w:rsid w:val="1B926277"/>
    <w:rsid w:val="1BCB6ED2"/>
    <w:rsid w:val="1BE55780"/>
    <w:rsid w:val="1BEF177D"/>
    <w:rsid w:val="1BFB5186"/>
    <w:rsid w:val="1BFF5BC7"/>
    <w:rsid w:val="1C0C427F"/>
    <w:rsid w:val="1C1147C7"/>
    <w:rsid w:val="1C12025D"/>
    <w:rsid w:val="1C272F53"/>
    <w:rsid w:val="1C2A78F2"/>
    <w:rsid w:val="1C3630BE"/>
    <w:rsid w:val="1C5A0E01"/>
    <w:rsid w:val="1C5F1E78"/>
    <w:rsid w:val="1C7C46B6"/>
    <w:rsid w:val="1C81712F"/>
    <w:rsid w:val="1CA1494D"/>
    <w:rsid w:val="1CAC629E"/>
    <w:rsid w:val="1CC21806"/>
    <w:rsid w:val="1CFE4A96"/>
    <w:rsid w:val="1D0D31E0"/>
    <w:rsid w:val="1D156539"/>
    <w:rsid w:val="1D251D75"/>
    <w:rsid w:val="1D446615"/>
    <w:rsid w:val="1D62363A"/>
    <w:rsid w:val="1D657A0F"/>
    <w:rsid w:val="1D7348AC"/>
    <w:rsid w:val="1E0817C1"/>
    <w:rsid w:val="1E325A17"/>
    <w:rsid w:val="1E407D36"/>
    <w:rsid w:val="1E594203"/>
    <w:rsid w:val="1E7F2D4B"/>
    <w:rsid w:val="1E8B641B"/>
    <w:rsid w:val="1EDF4BC2"/>
    <w:rsid w:val="1EE933B9"/>
    <w:rsid w:val="1EF9536B"/>
    <w:rsid w:val="1F0C13AB"/>
    <w:rsid w:val="1F2936B5"/>
    <w:rsid w:val="1F2E743E"/>
    <w:rsid w:val="1F32379A"/>
    <w:rsid w:val="1F846356"/>
    <w:rsid w:val="1FA12306"/>
    <w:rsid w:val="1FAD1837"/>
    <w:rsid w:val="1FED7370"/>
    <w:rsid w:val="20057A01"/>
    <w:rsid w:val="20325EC0"/>
    <w:rsid w:val="20457135"/>
    <w:rsid w:val="20526627"/>
    <w:rsid w:val="2054286A"/>
    <w:rsid w:val="20743960"/>
    <w:rsid w:val="207F03EA"/>
    <w:rsid w:val="20954F3F"/>
    <w:rsid w:val="209E24B7"/>
    <w:rsid w:val="20BA3849"/>
    <w:rsid w:val="20D44015"/>
    <w:rsid w:val="20DF525D"/>
    <w:rsid w:val="20E57FD0"/>
    <w:rsid w:val="20F838B2"/>
    <w:rsid w:val="21000FF2"/>
    <w:rsid w:val="214B21A5"/>
    <w:rsid w:val="216B660D"/>
    <w:rsid w:val="216C24A0"/>
    <w:rsid w:val="217F273B"/>
    <w:rsid w:val="218422E4"/>
    <w:rsid w:val="21A460DD"/>
    <w:rsid w:val="21CE19D0"/>
    <w:rsid w:val="21F42BC1"/>
    <w:rsid w:val="220A1F47"/>
    <w:rsid w:val="22197F6A"/>
    <w:rsid w:val="22215EDD"/>
    <w:rsid w:val="22322DDE"/>
    <w:rsid w:val="223E3B2E"/>
    <w:rsid w:val="22473317"/>
    <w:rsid w:val="224A27E1"/>
    <w:rsid w:val="2250591D"/>
    <w:rsid w:val="22696DE5"/>
    <w:rsid w:val="22AE55CF"/>
    <w:rsid w:val="22DF491E"/>
    <w:rsid w:val="22FD63CE"/>
    <w:rsid w:val="23342EDF"/>
    <w:rsid w:val="2355768F"/>
    <w:rsid w:val="237C5F92"/>
    <w:rsid w:val="240E3AF8"/>
    <w:rsid w:val="2415201E"/>
    <w:rsid w:val="241B036A"/>
    <w:rsid w:val="2485631A"/>
    <w:rsid w:val="248D5CD9"/>
    <w:rsid w:val="24BC4213"/>
    <w:rsid w:val="24CA19B7"/>
    <w:rsid w:val="24D46CDA"/>
    <w:rsid w:val="24DE3063"/>
    <w:rsid w:val="24EF7670"/>
    <w:rsid w:val="252A2616"/>
    <w:rsid w:val="252B2EA9"/>
    <w:rsid w:val="252D4CAB"/>
    <w:rsid w:val="25315EDA"/>
    <w:rsid w:val="25401543"/>
    <w:rsid w:val="261738A3"/>
    <w:rsid w:val="262E63AD"/>
    <w:rsid w:val="266E11AF"/>
    <w:rsid w:val="26716A8E"/>
    <w:rsid w:val="26832765"/>
    <w:rsid w:val="26963338"/>
    <w:rsid w:val="26B14AD3"/>
    <w:rsid w:val="26B15ECB"/>
    <w:rsid w:val="27176EF9"/>
    <w:rsid w:val="27455C6D"/>
    <w:rsid w:val="27871DE1"/>
    <w:rsid w:val="27B34984"/>
    <w:rsid w:val="27B801ED"/>
    <w:rsid w:val="27D24D61"/>
    <w:rsid w:val="27E57993"/>
    <w:rsid w:val="280671AA"/>
    <w:rsid w:val="281049A4"/>
    <w:rsid w:val="281713B7"/>
    <w:rsid w:val="2818190D"/>
    <w:rsid w:val="281B36D9"/>
    <w:rsid w:val="2826133D"/>
    <w:rsid w:val="28311ADD"/>
    <w:rsid w:val="285370EA"/>
    <w:rsid w:val="285A12A4"/>
    <w:rsid w:val="286914E7"/>
    <w:rsid w:val="28B704A4"/>
    <w:rsid w:val="28EF7C3E"/>
    <w:rsid w:val="29115E06"/>
    <w:rsid w:val="29130717"/>
    <w:rsid w:val="291E643B"/>
    <w:rsid w:val="296874B9"/>
    <w:rsid w:val="296F1CD7"/>
    <w:rsid w:val="29902933"/>
    <w:rsid w:val="29916BD3"/>
    <w:rsid w:val="29C966E1"/>
    <w:rsid w:val="2A2A5EFE"/>
    <w:rsid w:val="2A2E677F"/>
    <w:rsid w:val="2A3864F7"/>
    <w:rsid w:val="2A4F59B8"/>
    <w:rsid w:val="2AB32EED"/>
    <w:rsid w:val="2AC82E3D"/>
    <w:rsid w:val="2AED28A3"/>
    <w:rsid w:val="2AF505D0"/>
    <w:rsid w:val="2B3C3F46"/>
    <w:rsid w:val="2B726905"/>
    <w:rsid w:val="2B8C5236"/>
    <w:rsid w:val="2B953A99"/>
    <w:rsid w:val="2BF92E4C"/>
    <w:rsid w:val="2BFB58D0"/>
    <w:rsid w:val="2C262A94"/>
    <w:rsid w:val="2C4D0C76"/>
    <w:rsid w:val="2C4E236D"/>
    <w:rsid w:val="2C700D67"/>
    <w:rsid w:val="2C805C39"/>
    <w:rsid w:val="2CA945A8"/>
    <w:rsid w:val="2CBE44F7"/>
    <w:rsid w:val="2CC73B34"/>
    <w:rsid w:val="2CCB7E29"/>
    <w:rsid w:val="2CF41AC6"/>
    <w:rsid w:val="2CFF4C74"/>
    <w:rsid w:val="2D187E6E"/>
    <w:rsid w:val="2DB476A8"/>
    <w:rsid w:val="2DCA4350"/>
    <w:rsid w:val="2DCD5785"/>
    <w:rsid w:val="2DFA2A99"/>
    <w:rsid w:val="2E0A3DAE"/>
    <w:rsid w:val="2E2F38A3"/>
    <w:rsid w:val="2E734E6D"/>
    <w:rsid w:val="2E924C57"/>
    <w:rsid w:val="2E9A30C2"/>
    <w:rsid w:val="2EC1207D"/>
    <w:rsid w:val="2EF06441"/>
    <w:rsid w:val="2EF32025"/>
    <w:rsid w:val="2F226F83"/>
    <w:rsid w:val="2F542EF1"/>
    <w:rsid w:val="2F613983"/>
    <w:rsid w:val="2F9A1FFC"/>
    <w:rsid w:val="2FB62759"/>
    <w:rsid w:val="2FE11BBB"/>
    <w:rsid w:val="2FE127DD"/>
    <w:rsid w:val="2FE204FD"/>
    <w:rsid w:val="2FE907EA"/>
    <w:rsid w:val="30222BBD"/>
    <w:rsid w:val="302C23C8"/>
    <w:rsid w:val="30311398"/>
    <w:rsid w:val="30462F67"/>
    <w:rsid w:val="305C7EB4"/>
    <w:rsid w:val="306D33F8"/>
    <w:rsid w:val="3072600F"/>
    <w:rsid w:val="3097123F"/>
    <w:rsid w:val="30D67594"/>
    <w:rsid w:val="31534274"/>
    <w:rsid w:val="3155021B"/>
    <w:rsid w:val="315C4A76"/>
    <w:rsid w:val="319770C5"/>
    <w:rsid w:val="31BF2E81"/>
    <w:rsid w:val="31C6045D"/>
    <w:rsid w:val="31E2246F"/>
    <w:rsid w:val="3203548E"/>
    <w:rsid w:val="320E76D0"/>
    <w:rsid w:val="321C37E8"/>
    <w:rsid w:val="3230145A"/>
    <w:rsid w:val="324D574B"/>
    <w:rsid w:val="32577A48"/>
    <w:rsid w:val="328C46E6"/>
    <w:rsid w:val="328C68A8"/>
    <w:rsid w:val="33055436"/>
    <w:rsid w:val="330E13A4"/>
    <w:rsid w:val="33661445"/>
    <w:rsid w:val="33947DCC"/>
    <w:rsid w:val="33F464DE"/>
    <w:rsid w:val="340422A7"/>
    <w:rsid w:val="34160775"/>
    <w:rsid w:val="34264730"/>
    <w:rsid w:val="342C7F98"/>
    <w:rsid w:val="34407838"/>
    <w:rsid w:val="348B41BE"/>
    <w:rsid w:val="34954B08"/>
    <w:rsid w:val="349F368E"/>
    <w:rsid w:val="352D670F"/>
    <w:rsid w:val="35633E2F"/>
    <w:rsid w:val="35956B7D"/>
    <w:rsid w:val="35A45588"/>
    <w:rsid w:val="35A46254"/>
    <w:rsid w:val="35B2788E"/>
    <w:rsid w:val="35F05311"/>
    <w:rsid w:val="3614429B"/>
    <w:rsid w:val="36277986"/>
    <w:rsid w:val="367114E0"/>
    <w:rsid w:val="3678231E"/>
    <w:rsid w:val="3679346B"/>
    <w:rsid w:val="370033CB"/>
    <w:rsid w:val="377F1E01"/>
    <w:rsid w:val="378B76CC"/>
    <w:rsid w:val="37D168FA"/>
    <w:rsid w:val="37DF5322"/>
    <w:rsid w:val="37F60FE9"/>
    <w:rsid w:val="37FF1CA0"/>
    <w:rsid w:val="386A4F0E"/>
    <w:rsid w:val="3886378E"/>
    <w:rsid w:val="38C567F6"/>
    <w:rsid w:val="38D03AA3"/>
    <w:rsid w:val="38F00061"/>
    <w:rsid w:val="38F11F24"/>
    <w:rsid w:val="38FF3BAA"/>
    <w:rsid w:val="39506D9D"/>
    <w:rsid w:val="397573A2"/>
    <w:rsid w:val="398A718D"/>
    <w:rsid w:val="39AD6EE2"/>
    <w:rsid w:val="39AE1450"/>
    <w:rsid w:val="39C54A80"/>
    <w:rsid w:val="39CA6EC6"/>
    <w:rsid w:val="39EE4921"/>
    <w:rsid w:val="3A0704AB"/>
    <w:rsid w:val="3A105C66"/>
    <w:rsid w:val="3A333EAD"/>
    <w:rsid w:val="3A7C08E8"/>
    <w:rsid w:val="3A8C79E3"/>
    <w:rsid w:val="3AB72586"/>
    <w:rsid w:val="3AC304FB"/>
    <w:rsid w:val="3AFB7815"/>
    <w:rsid w:val="3B2B1DF2"/>
    <w:rsid w:val="3B5441F0"/>
    <w:rsid w:val="3B8406BA"/>
    <w:rsid w:val="3B9D3C7E"/>
    <w:rsid w:val="3BED3F86"/>
    <w:rsid w:val="3BFA33C2"/>
    <w:rsid w:val="3C0A39AE"/>
    <w:rsid w:val="3C336FAE"/>
    <w:rsid w:val="3C396C88"/>
    <w:rsid w:val="3C5A58BF"/>
    <w:rsid w:val="3C6A44B1"/>
    <w:rsid w:val="3C72C7EF"/>
    <w:rsid w:val="3C8612EC"/>
    <w:rsid w:val="3CAB5E72"/>
    <w:rsid w:val="3CCE5AFB"/>
    <w:rsid w:val="3CD967E3"/>
    <w:rsid w:val="3CF8074C"/>
    <w:rsid w:val="3D5266A0"/>
    <w:rsid w:val="3D6B7851"/>
    <w:rsid w:val="3D7A6BFB"/>
    <w:rsid w:val="3D7C34EE"/>
    <w:rsid w:val="3DB771A5"/>
    <w:rsid w:val="3DCC50B9"/>
    <w:rsid w:val="3DD84CED"/>
    <w:rsid w:val="3E085E07"/>
    <w:rsid w:val="3E3059B2"/>
    <w:rsid w:val="3E481E73"/>
    <w:rsid w:val="3E4C6995"/>
    <w:rsid w:val="3E565B3D"/>
    <w:rsid w:val="3E9522AF"/>
    <w:rsid w:val="3EA47CEA"/>
    <w:rsid w:val="3EBE5DC6"/>
    <w:rsid w:val="3EDF719C"/>
    <w:rsid w:val="3F043B7A"/>
    <w:rsid w:val="3F074FE9"/>
    <w:rsid w:val="3F0B4C4E"/>
    <w:rsid w:val="3F0F3EA5"/>
    <w:rsid w:val="3F227BE2"/>
    <w:rsid w:val="3F2E2A49"/>
    <w:rsid w:val="3F3F5061"/>
    <w:rsid w:val="3F4C4DAE"/>
    <w:rsid w:val="3F953302"/>
    <w:rsid w:val="3F9A2B87"/>
    <w:rsid w:val="3FA00753"/>
    <w:rsid w:val="3FA621E7"/>
    <w:rsid w:val="3FB52ADC"/>
    <w:rsid w:val="3FBB3274"/>
    <w:rsid w:val="3FC30D60"/>
    <w:rsid w:val="3FFC69ED"/>
    <w:rsid w:val="3FFFAD4A"/>
    <w:rsid w:val="40424496"/>
    <w:rsid w:val="40525B09"/>
    <w:rsid w:val="4054107D"/>
    <w:rsid w:val="40542A66"/>
    <w:rsid w:val="406D317B"/>
    <w:rsid w:val="406E0E6B"/>
    <w:rsid w:val="407F76A2"/>
    <w:rsid w:val="40A8309D"/>
    <w:rsid w:val="40BE0DAC"/>
    <w:rsid w:val="40CC5A15"/>
    <w:rsid w:val="40D95DE4"/>
    <w:rsid w:val="40DE011C"/>
    <w:rsid w:val="40EB11DB"/>
    <w:rsid w:val="41247A28"/>
    <w:rsid w:val="412546ED"/>
    <w:rsid w:val="414508EB"/>
    <w:rsid w:val="41D56612"/>
    <w:rsid w:val="41E1555C"/>
    <w:rsid w:val="42467F67"/>
    <w:rsid w:val="425E287D"/>
    <w:rsid w:val="426D12D2"/>
    <w:rsid w:val="427063C3"/>
    <w:rsid w:val="42C23871"/>
    <w:rsid w:val="42D251E4"/>
    <w:rsid w:val="42D743BD"/>
    <w:rsid w:val="42FE6FA4"/>
    <w:rsid w:val="43341F66"/>
    <w:rsid w:val="434A52AA"/>
    <w:rsid w:val="434C2AE2"/>
    <w:rsid w:val="43787D7B"/>
    <w:rsid w:val="43895548"/>
    <w:rsid w:val="43A33313"/>
    <w:rsid w:val="43C41293"/>
    <w:rsid w:val="43D815DD"/>
    <w:rsid w:val="440C7115"/>
    <w:rsid w:val="442742D8"/>
    <w:rsid w:val="44441214"/>
    <w:rsid w:val="445B4EAF"/>
    <w:rsid w:val="44652850"/>
    <w:rsid w:val="44840FB9"/>
    <w:rsid w:val="44902013"/>
    <w:rsid w:val="449049E4"/>
    <w:rsid w:val="44B007B1"/>
    <w:rsid w:val="44D62F03"/>
    <w:rsid w:val="44DD0967"/>
    <w:rsid w:val="44E328F5"/>
    <w:rsid w:val="44E623E5"/>
    <w:rsid w:val="45031765"/>
    <w:rsid w:val="450B35E8"/>
    <w:rsid w:val="450B50C0"/>
    <w:rsid w:val="450D709C"/>
    <w:rsid w:val="451204A4"/>
    <w:rsid w:val="452B776E"/>
    <w:rsid w:val="45323980"/>
    <w:rsid w:val="456F23DB"/>
    <w:rsid w:val="45734BDC"/>
    <w:rsid w:val="45765517"/>
    <w:rsid w:val="45AD246B"/>
    <w:rsid w:val="45B10B6C"/>
    <w:rsid w:val="45D07F9D"/>
    <w:rsid w:val="45E03102"/>
    <w:rsid w:val="45E87A97"/>
    <w:rsid w:val="460C19D8"/>
    <w:rsid w:val="463E0334"/>
    <w:rsid w:val="464E3D9E"/>
    <w:rsid w:val="46612F50"/>
    <w:rsid w:val="46625A9C"/>
    <w:rsid w:val="466931C7"/>
    <w:rsid w:val="46956DE4"/>
    <w:rsid w:val="46CD53A0"/>
    <w:rsid w:val="46D559CF"/>
    <w:rsid w:val="472C7B08"/>
    <w:rsid w:val="47840359"/>
    <w:rsid w:val="47A0687C"/>
    <w:rsid w:val="47AE24AF"/>
    <w:rsid w:val="47C104A9"/>
    <w:rsid w:val="47FE3E4D"/>
    <w:rsid w:val="4817163E"/>
    <w:rsid w:val="481C6889"/>
    <w:rsid w:val="48390A7E"/>
    <w:rsid w:val="48480CC1"/>
    <w:rsid w:val="48807FB7"/>
    <w:rsid w:val="488F50E1"/>
    <w:rsid w:val="48C47039"/>
    <w:rsid w:val="48CE5B46"/>
    <w:rsid w:val="491D5918"/>
    <w:rsid w:val="49366D6C"/>
    <w:rsid w:val="49651F36"/>
    <w:rsid w:val="496626B7"/>
    <w:rsid w:val="498C3FC4"/>
    <w:rsid w:val="49AD5666"/>
    <w:rsid w:val="49D239FC"/>
    <w:rsid w:val="49D81FE8"/>
    <w:rsid w:val="49E82D66"/>
    <w:rsid w:val="49F2622A"/>
    <w:rsid w:val="4A0065AD"/>
    <w:rsid w:val="4A583773"/>
    <w:rsid w:val="4A632324"/>
    <w:rsid w:val="4A7142E8"/>
    <w:rsid w:val="4A7D6156"/>
    <w:rsid w:val="4A7E09CA"/>
    <w:rsid w:val="4A7E1C85"/>
    <w:rsid w:val="4A93629D"/>
    <w:rsid w:val="4AAB216E"/>
    <w:rsid w:val="4AC078AE"/>
    <w:rsid w:val="4AC62BC0"/>
    <w:rsid w:val="4AC7629A"/>
    <w:rsid w:val="4AEE5B50"/>
    <w:rsid w:val="4B0372DA"/>
    <w:rsid w:val="4B7FFABB"/>
    <w:rsid w:val="4BA16207"/>
    <w:rsid w:val="4BDE3E16"/>
    <w:rsid w:val="4BE020B6"/>
    <w:rsid w:val="4C300CB9"/>
    <w:rsid w:val="4C616EE1"/>
    <w:rsid w:val="4C7F2566"/>
    <w:rsid w:val="4C895736"/>
    <w:rsid w:val="4CA22024"/>
    <w:rsid w:val="4CA90414"/>
    <w:rsid w:val="4CC144F9"/>
    <w:rsid w:val="4D023454"/>
    <w:rsid w:val="4D1B0CBC"/>
    <w:rsid w:val="4D4279BA"/>
    <w:rsid w:val="4D4934F5"/>
    <w:rsid w:val="4D5325E2"/>
    <w:rsid w:val="4D58437F"/>
    <w:rsid w:val="4DAA59D6"/>
    <w:rsid w:val="4DAC274C"/>
    <w:rsid w:val="4DE97FDF"/>
    <w:rsid w:val="4DEB0F27"/>
    <w:rsid w:val="4DFA3178"/>
    <w:rsid w:val="4E1213C3"/>
    <w:rsid w:val="4E1E674C"/>
    <w:rsid w:val="4E540359"/>
    <w:rsid w:val="4E5C7274"/>
    <w:rsid w:val="4E636855"/>
    <w:rsid w:val="4E7775F6"/>
    <w:rsid w:val="4EBB45F9"/>
    <w:rsid w:val="4EDC52DF"/>
    <w:rsid w:val="4EEA3E4F"/>
    <w:rsid w:val="4EFF315F"/>
    <w:rsid w:val="4F2401F2"/>
    <w:rsid w:val="4F310701"/>
    <w:rsid w:val="4F94394C"/>
    <w:rsid w:val="4FB370C6"/>
    <w:rsid w:val="4FD334F0"/>
    <w:rsid w:val="4FD47AE7"/>
    <w:rsid w:val="4FDF4EFA"/>
    <w:rsid w:val="500D205E"/>
    <w:rsid w:val="5035297F"/>
    <w:rsid w:val="50566671"/>
    <w:rsid w:val="50635071"/>
    <w:rsid w:val="508947C0"/>
    <w:rsid w:val="50A045B3"/>
    <w:rsid w:val="50B138A7"/>
    <w:rsid w:val="50F96C53"/>
    <w:rsid w:val="5139564B"/>
    <w:rsid w:val="513B4BB2"/>
    <w:rsid w:val="515254C7"/>
    <w:rsid w:val="516665D2"/>
    <w:rsid w:val="517C698E"/>
    <w:rsid w:val="51816E8F"/>
    <w:rsid w:val="518D4C8D"/>
    <w:rsid w:val="51B24DEB"/>
    <w:rsid w:val="51D14E4E"/>
    <w:rsid w:val="51D169A5"/>
    <w:rsid w:val="51F13A71"/>
    <w:rsid w:val="520A6523"/>
    <w:rsid w:val="523E7D99"/>
    <w:rsid w:val="52667708"/>
    <w:rsid w:val="52754DA9"/>
    <w:rsid w:val="52F451C8"/>
    <w:rsid w:val="532A44BF"/>
    <w:rsid w:val="535C1148"/>
    <w:rsid w:val="535F2819"/>
    <w:rsid w:val="53647D73"/>
    <w:rsid w:val="53807561"/>
    <w:rsid w:val="53AA4A52"/>
    <w:rsid w:val="53E44745"/>
    <w:rsid w:val="53ED1419"/>
    <w:rsid w:val="543A0058"/>
    <w:rsid w:val="543F11CA"/>
    <w:rsid w:val="54596975"/>
    <w:rsid w:val="545C3AE1"/>
    <w:rsid w:val="545F186C"/>
    <w:rsid w:val="547F60BF"/>
    <w:rsid w:val="550D12C8"/>
    <w:rsid w:val="55266256"/>
    <w:rsid w:val="552739D6"/>
    <w:rsid w:val="552B2255"/>
    <w:rsid w:val="553F3638"/>
    <w:rsid w:val="555320AF"/>
    <w:rsid w:val="55624EAE"/>
    <w:rsid w:val="558A14E6"/>
    <w:rsid w:val="55E9386B"/>
    <w:rsid w:val="55F2238E"/>
    <w:rsid w:val="55F63D2B"/>
    <w:rsid w:val="55FA5A26"/>
    <w:rsid w:val="56274002"/>
    <w:rsid w:val="562B5EAA"/>
    <w:rsid w:val="56355871"/>
    <w:rsid w:val="56466840"/>
    <w:rsid w:val="567B1BC0"/>
    <w:rsid w:val="568C6483"/>
    <w:rsid w:val="56A4002C"/>
    <w:rsid w:val="56BF76F4"/>
    <w:rsid w:val="56CB3090"/>
    <w:rsid w:val="56DE778F"/>
    <w:rsid w:val="56EF6FF2"/>
    <w:rsid w:val="572A7F10"/>
    <w:rsid w:val="5738773E"/>
    <w:rsid w:val="574D0586"/>
    <w:rsid w:val="57835872"/>
    <w:rsid w:val="57DB745C"/>
    <w:rsid w:val="57EF662B"/>
    <w:rsid w:val="57F35A67"/>
    <w:rsid w:val="57F7487B"/>
    <w:rsid w:val="57F97599"/>
    <w:rsid w:val="57FA697D"/>
    <w:rsid w:val="58457365"/>
    <w:rsid w:val="58524FB0"/>
    <w:rsid w:val="5873383F"/>
    <w:rsid w:val="589D4DFF"/>
    <w:rsid w:val="58A23BE3"/>
    <w:rsid w:val="58DB417A"/>
    <w:rsid w:val="58DE45DD"/>
    <w:rsid w:val="59162881"/>
    <w:rsid w:val="591E1186"/>
    <w:rsid w:val="59275315"/>
    <w:rsid w:val="59306CDC"/>
    <w:rsid w:val="594E11CF"/>
    <w:rsid w:val="59B570E5"/>
    <w:rsid w:val="59BB5797"/>
    <w:rsid w:val="59BF6BB7"/>
    <w:rsid w:val="59D16E7F"/>
    <w:rsid w:val="59E52814"/>
    <w:rsid w:val="59ED3476"/>
    <w:rsid w:val="59FB3737"/>
    <w:rsid w:val="5A0D113D"/>
    <w:rsid w:val="5A1F57EA"/>
    <w:rsid w:val="5A272C1B"/>
    <w:rsid w:val="5A4F72BC"/>
    <w:rsid w:val="5A560F28"/>
    <w:rsid w:val="5A717777"/>
    <w:rsid w:val="5A897B09"/>
    <w:rsid w:val="5A8A42B8"/>
    <w:rsid w:val="5AA5183D"/>
    <w:rsid w:val="5AE2331B"/>
    <w:rsid w:val="5B1F3B03"/>
    <w:rsid w:val="5B3841D2"/>
    <w:rsid w:val="5B3F0314"/>
    <w:rsid w:val="5B607711"/>
    <w:rsid w:val="5B90055D"/>
    <w:rsid w:val="5B9F052D"/>
    <w:rsid w:val="5BB11832"/>
    <w:rsid w:val="5BD94EAB"/>
    <w:rsid w:val="5BDE8098"/>
    <w:rsid w:val="5BED3C02"/>
    <w:rsid w:val="5BF5D4BF"/>
    <w:rsid w:val="5C472EC2"/>
    <w:rsid w:val="5C512216"/>
    <w:rsid w:val="5C6003F8"/>
    <w:rsid w:val="5C6C44E3"/>
    <w:rsid w:val="5C7A5696"/>
    <w:rsid w:val="5C7B40D3"/>
    <w:rsid w:val="5C7F5B00"/>
    <w:rsid w:val="5C9D76D9"/>
    <w:rsid w:val="5CBB0364"/>
    <w:rsid w:val="5CBB055D"/>
    <w:rsid w:val="5CC365B9"/>
    <w:rsid w:val="5CE6401F"/>
    <w:rsid w:val="5D2B2E6F"/>
    <w:rsid w:val="5D4360AF"/>
    <w:rsid w:val="5D6B1282"/>
    <w:rsid w:val="5D702069"/>
    <w:rsid w:val="5DCF3690"/>
    <w:rsid w:val="5DE17E9F"/>
    <w:rsid w:val="5DEA0C4B"/>
    <w:rsid w:val="5E3B379D"/>
    <w:rsid w:val="5E4B70D3"/>
    <w:rsid w:val="5E6A4C3B"/>
    <w:rsid w:val="5E7833BE"/>
    <w:rsid w:val="5E7F5C4A"/>
    <w:rsid w:val="5E8E6FD6"/>
    <w:rsid w:val="5EE52F14"/>
    <w:rsid w:val="5EF318B9"/>
    <w:rsid w:val="5EF61EC8"/>
    <w:rsid w:val="5F00021A"/>
    <w:rsid w:val="5F030830"/>
    <w:rsid w:val="5F0674B4"/>
    <w:rsid w:val="5F2711D9"/>
    <w:rsid w:val="5F496BD7"/>
    <w:rsid w:val="5F73007F"/>
    <w:rsid w:val="5F896AA6"/>
    <w:rsid w:val="5F976E27"/>
    <w:rsid w:val="5F9A5869"/>
    <w:rsid w:val="5FA83300"/>
    <w:rsid w:val="5FAF18FA"/>
    <w:rsid w:val="5FC658EF"/>
    <w:rsid w:val="5FDF66CA"/>
    <w:rsid w:val="5FFF3127"/>
    <w:rsid w:val="600739C7"/>
    <w:rsid w:val="60146320"/>
    <w:rsid w:val="602D5997"/>
    <w:rsid w:val="608B73CF"/>
    <w:rsid w:val="60965B1F"/>
    <w:rsid w:val="610B3822"/>
    <w:rsid w:val="61250D22"/>
    <w:rsid w:val="613958CE"/>
    <w:rsid w:val="61400C90"/>
    <w:rsid w:val="618B0D89"/>
    <w:rsid w:val="61C40340"/>
    <w:rsid w:val="61C55405"/>
    <w:rsid w:val="61DFB1D3"/>
    <w:rsid w:val="61E3588B"/>
    <w:rsid w:val="622D0305"/>
    <w:rsid w:val="6240065E"/>
    <w:rsid w:val="62431503"/>
    <w:rsid w:val="624F2A51"/>
    <w:rsid w:val="62B17F61"/>
    <w:rsid w:val="62C42828"/>
    <w:rsid w:val="62E306B6"/>
    <w:rsid w:val="630F0D31"/>
    <w:rsid w:val="63330FFD"/>
    <w:rsid w:val="63585BC8"/>
    <w:rsid w:val="635A392B"/>
    <w:rsid w:val="635B58F5"/>
    <w:rsid w:val="636E5628"/>
    <w:rsid w:val="63D96148"/>
    <w:rsid w:val="63DE65AD"/>
    <w:rsid w:val="63FE517A"/>
    <w:rsid w:val="641E4D72"/>
    <w:rsid w:val="644E500A"/>
    <w:rsid w:val="645046EA"/>
    <w:rsid w:val="648275DD"/>
    <w:rsid w:val="64AB045C"/>
    <w:rsid w:val="64DD02EE"/>
    <w:rsid w:val="64E605D2"/>
    <w:rsid w:val="64F16511"/>
    <w:rsid w:val="65071890"/>
    <w:rsid w:val="651D718B"/>
    <w:rsid w:val="657A6B85"/>
    <w:rsid w:val="65B80DDC"/>
    <w:rsid w:val="65F77A0A"/>
    <w:rsid w:val="65FB0B6F"/>
    <w:rsid w:val="661B7E6F"/>
    <w:rsid w:val="662D17CA"/>
    <w:rsid w:val="664F7993"/>
    <w:rsid w:val="66826F90"/>
    <w:rsid w:val="66A62A76"/>
    <w:rsid w:val="66D57047"/>
    <w:rsid w:val="670375C4"/>
    <w:rsid w:val="67390C13"/>
    <w:rsid w:val="67445AE1"/>
    <w:rsid w:val="676A47D3"/>
    <w:rsid w:val="67774CB6"/>
    <w:rsid w:val="67A37331"/>
    <w:rsid w:val="67BC2E06"/>
    <w:rsid w:val="67CE63F2"/>
    <w:rsid w:val="67E9057B"/>
    <w:rsid w:val="67EB04CB"/>
    <w:rsid w:val="67F73609"/>
    <w:rsid w:val="67FF12D2"/>
    <w:rsid w:val="680F45AC"/>
    <w:rsid w:val="68264B39"/>
    <w:rsid w:val="685A7E7B"/>
    <w:rsid w:val="68620F9E"/>
    <w:rsid w:val="68721717"/>
    <w:rsid w:val="68757459"/>
    <w:rsid w:val="687B40BB"/>
    <w:rsid w:val="687E0F07"/>
    <w:rsid w:val="68835638"/>
    <w:rsid w:val="68AB4C28"/>
    <w:rsid w:val="68BA4A5A"/>
    <w:rsid w:val="68C77CB4"/>
    <w:rsid w:val="68E5037D"/>
    <w:rsid w:val="691B37EA"/>
    <w:rsid w:val="69212641"/>
    <w:rsid w:val="69501F9D"/>
    <w:rsid w:val="69526A95"/>
    <w:rsid w:val="696B101F"/>
    <w:rsid w:val="69787F3C"/>
    <w:rsid w:val="698A2F37"/>
    <w:rsid w:val="6992318D"/>
    <w:rsid w:val="699D1260"/>
    <w:rsid w:val="69A000B1"/>
    <w:rsid w:val="69CE0BCF"/>
    <w:rsid w:val="69D56D6D"/>
    <w:rsid w:val="6A2F646E"/>
    <w:rsid w:val="6A357864"/>
    <w:rsid w:val="6A372C18"/>
    <w:rsid w:val="6A3A3016"/>
    <w:rsid w:val="6A8E65B0"/>
    <w:rsid w:val="6A93051A"/>
    <w:rsid w:val="6A995680"/>
    <w:rsid w:val="6B424146"/>
    <w:rsid w:val="6B5477F9"/>
    <w:rsid w:val="6B5B627C"/>
    <w:rsid w:val="6B8A6D77"/>
    <w:rsid w:val="6BDA50C7"/>
    <w:rsid w:val="6BE071F2"/>
    <w:rsid w:val="6BE45C10"/>
    <w:rsid w:val="6BEF0421"/>
    <w:rsid w:val="6BF03018"/>
    <w:rsid w:val="6C0C1173"/>
    <w:rsid w:val="6C20045E"/>
    <w:rsid w:val="6C5172C5"/>
    <w:rsid w:val="6C7800AB"/>
    <w:rsid w:val="6C85495B"/>
    <w:rsid w:val="6C994AB5"/>
    <w:rsid w:val="6C9A1DC5"/>
    <w:rsid w:val="6CAF3ECE"/>
    <w:rsid w:val="6CD233A2"/>
    <w:rsid w:val="6CE73E85"/>
    <w:rsid w:val="6CE8644B"/>
    <w:rsid w:val="6D101512"/>
    <w:rsid w:val="6D461C71"/>
    <w:rsid w:val="6D96027F"/>
    <w:rsid w:val="6D9E0895"/>
    <w:rsid w:val="6DB602F7"/>
    <w:rsid w:val="6DD615C2"/>
    <w:rsid w:val="6DDB7AFB"/>
    <w:rsid w:val="6DED394A"/>
    <w:rsid w:val="6E0D7171"/>
    <w:rsid w:val="6E272FA3"/>
    <w:rsid w:val="6E3B0D05"/>
    <w:rsid w:val="6E4331B0"/>
    <w:rsid w:val="6E8403F6"/>
    <w:rsid w:val="6E8946B1"/>
    <w:rsid w:val="6E8C2E06"/>
    <w:rsid w:val="6E990CC2"/>
    <w:rsid w:val="6EB524F6"/>
    <w:rsid w:val="6F165CDC"/>
    <w:rsid w:val="6F2D580C"/>
    <w:rsid w:val="6F3516F0"/>
    <w:rsid w:val="6F375468"/>
    <w:rsid w:val="6F437D66"/>
    <w:rsid w:val="6F5A5A96"/>
    <w:rsid w:val="6F6B6EC0"/>
    <w:rsid w:val="6F6D34B7"/>
    <w:rsid w:val="6F7467D2"/>
    <w:rsid w:val="6F924BE8"/>
    <w:rsid w:val="6F9E39D8"/>
    <w:rsid w:val="6FBE1176"/>
    <w:rsid w:val="6FC3632F"/>
    <w:rsid w:val="6FC7680C"/>
    <w:rsid w:val="6FE86762"/>
    <w:rsid w:val="7023779A"/>
    <w:rsid w:val="70263CEC"/>
    <w:rsid w:val="70712387"/>
    <w:rsid w:val="707B2A75"/>
    <w:rsid w:val="70F11AA2"/>
    <w:rsid w:val="70F33FC7"/>
    <w:rsid w:val="71105F71"/>
    <w:rsid w:val="711D2771"/>
    <w:rsid w:val="715B7722"/>
    <w:rsid w:val="71761AC1"/>
    <w:rsid w:val="718B5C17"/>
    <w:rsid w:val="719855A4"/>
    <w:rsid w:val="719C7804"/>
    <w:rsid w:val="719E357C"/>
    <w:rsid w:val="71E665A2"/>
    <w:rsid w:val="71EA56F1"/>
    <w:rsid w:val="71FC02A3"/>
    <w:rsid w:val="720C498A"/>
    <w:rsid w:val="72167BCC"/>
    <w:rsid w:val="722A4E10"/>
    <w:rsid w:val="729D4A70"/>
    <w:rsid w:val="72D35F3E"/>
    <w:rsid w:val="7320549F"/>
    <w:rsid w:val="7339278B"/>
    <w:rsid w:val="733A73BE"/>
    <w:rsid w:val="733C5B10"/>
    <w:rsid w:val="734212B5"/>
    <w:rsid w:val="734B14EC"/>
    <w:rsid w:val="734B3290"/>
    <w:rsid w:val="73536105"/>
    <w:rsid w:val="73742B86"/>
    <w:rsid w:val="73782FDA"/>
    <w:rsid w:val="738549F4"/>
    <w:rsid w:val="7386251A"/>
    <w:rsid w:val="73EF43E7"/>
    <w:rsid w:val="73F45B3F"/>
    <w:rsid w:val="742B392C"/>
    <w:rsid w:val="74310977"/>
    <w:rsid w:val="746959DD"/>
    <w:rsid w:val="746960C4"/>
    <w:rsid w:val="747B4B56"/>
    <w:rsid w:val="748005A0"/>
    <w:rsid w:val="748144D9"/>
    <w:rsid w:val="748B539F"/>
    <w:rsid w:val="749C4C03"/>
    <w:rsid w:val="74E02B7D"/>
    <w:rsid w:val="74ED2619"/>
    <w:rsid w:val="74F040EF"/>
    <w:rsid w:val="7557416E"/>
    <w:rsid w:val="75872BE3"/>
    <w:rsid w:val="758E3908"/>
    <w:rsid w:val="758F6280"/>
    <w:rsid w:val="75C17239"/>
    <w:rsid w:val="75C17839"/>
    <w:rsid w:val="75D4368B"/>
    <w:rsid w:val="763C2050"/>
    <w:rsid w:val="764C1E75"/>
    <w:rsid w:val="76533A8D"/>
    <w:rsid w:val="766C15EB"/>
    <w:rsid w:val="766F3F6E"/>
    <w:rsid w:val="7671171A"/>
    <w:rsid w:val="767659EC"/>
    <w:rsid w:val="76767CB4"/>
    <w:rsid w:val="76921EA0"/>
    <w:rsid w:val="769629FC"/>
    <w:rsid w:val="769AD1B1"/>
    <w:rsid w:val="76BA2238"/>
    <w:rsid w:val="76CE760F"/>
    <w:rsid w:val="772C321F"/>
    <w:rsid w:val="772F38AF"/>
    <w:rsid w:val="775739FD"/>
    <w:rsid w:val="776675AD"/>
    <w:rsid w:val="776E0238"/>
    <w:rsid w:val="778244CA"/>
    <w:rsid w:val="77BC29AE"/>
    <w:rsid w:val="77C00385"/>
    <w:rsid w:val="77D347C5"/>
    <w:rsid w:val="77DB069D"/>
    <w:rsid w:val="77F33DE0"/>
    <w:rsid w:val="781B44A5"/>
    <w:rsid w:val="78226B1D"/>
    <w:rsid w:val="786F2C57"/>
    <w:rsid w:val="786F7A21"/>
    <w:rsid w:val="7893036A"/>
    <w:rsid w:val="78A22EC5"/>
    <w:rsid w:val="795C61F7"/>
    <w:rsid w:val="797823BC"/>
    <w:rsid w:val="79B95FCE"/>
    <w:rsid w:val="79E5020B"/>
    <w:rsid w:val="79FB7A95"/>
    <w:rsid w:val="79FC3536"/>
    <w:rsid w:val="7A0D5743"/>
    <w:rsid w:val="7A1E2B0D"/>
    <w:rsid w:val="7A2A7C69"/>
    <w:rsid w:val="7A307C99"/>
    <w:rsid w:val="7A41575F"/>
    <w:rsid w:val="7A6922EE"/>
    <w:rsid w:val="7A754F04"/>
    <w:rsid w:val="7A835A05"/>
    <w:rsid w:val="7A92797C"/>
    <w:rsid w:val="7A96757C"/>
    <w:rsid w:val="7AA87312"/>
    <w:rsid w:val="7AC34EAD"/>
    <w:rsid w:val="7AF00FB6"/>
    <w:rsid w:val="7AFD437D"/>
    <w:rsid w:val="7B022D7E"/>
    <w:rsid w:val="7B193091"/>
    <w:rsid w:val="7B243FFA"/>
    <w:rsid w:val="7B294AE0"/>
    <w:rsid w:val="7B705BD1"/>
    <w:rsid w:val="7B81739D"/>
    <w:rsid w:val="7B8B0A14"/>
    <w:rsid w:val="7BD83B2F"/>
    <w:rsid w:val="7BEA7C1D"/>
    <w:rsid w:val="7BF5096A"/>
    <w:rsid w:val="7BFE1246"/>
    <w:rsid w:val="7C446751"/>
    <w:rsid w:val="7C483CF1"/>
    <w:rsid w:val="7C7E7A0B"/>
    <w:rsid w:val="7C8735D6"/>
    <w:rsid w:val="7C8B30E4"/>
    <w:rsid w:val="7C8D4989"/>
    <w:rsid w:val="7CB40407"/>
    <w:rsid w:val="7CC876FF"/>
    <w:rsid w:val="7CC9653E"/>
    <w:rsid w:val="7CFFB006"/>
    <w:rsid w:val="7D5E0064"/>
    <w:rsid w:val="7DB223A6"/>
    <w:rsid w:val="7DFD676A"/>
    <w:rsid w:val="7E043B92"/>
    <w:rsid w:val="7E152AB0"/>
    <w:rsid w:val="7E3F39F1"/>
    <w:rsid w:val="7E433943"/>
    <w:rsid w:val="7E57717E"/>
    <w:rsid w:val="7E8F3772"/>
    <w:rsid w:val="7EF22A12"/>
    <w:rsid w:val="7F372BCA"/>
    <w:rsid w:val="7F4A74CC"/>
    <w:rsid w:val="7F537FF4"/>
    <w:rsid w:val="7F6F69B9"/>
    <w:rsid w:val="7F8B7CC9"/>
    <w:rsid w:val="7FB06469"/>
    <w:rsid w:val="7FC43F12"/>
    <w:rsid w:val="7FC70AC0"/>
    <w:rsid w:val="7FC7340B"/>
    <w:rsid w:val="7FD250FB"/>
    <w:rsid w:val="7FD30895"/>
    <w:rsid w:val="7FD91071"/>
    <w:rsid w:val="7FFB67DC"/>
    <w:rsid w:val="8CE75E2E"/>
    <w:rsid w:val="9DFF67BB"/>
    <w:rsid w:val="9EFF0E4F"/>
    <w:rsid w:val="A9FD584C"/>
    <w:rsid w:val="AB1B48D2"/>
    <w:rsid w:val="ABFA8B79"/>
    <w:rsid w:val="AFDF796E"/>
    <w:rsid w:val="AFE6326F"/>
    <w:rsid w:val="BF572A0A"/>
    <w:rsid w:val="BF69C393"/>
    <w:rsid w:val="BFBFA16D"/>
    <w:rsid w:val="BFFF8741"/>
    <w:rsid w:val="C5AF70D1"/>
    <w:rsid w:val="CE3BD64C"/>
    <w:rsid w:val="D65FE300"/>
    <w:rsid w:val="DAFFDE1C"/>
    <w:rsid w:val="DE2B7ADB"/>
    <w:rsid w:val="DFD5520C"/>
    <w:rsid w:val="DFD78673"/>
    <w:rsid w:val="DFF63062"/>
    <w:rsid w:val="EF5F626F"/>
    <w:rsid w:val="F120FA11"/>
    <w:rsid w:val="F177FF05"/>
    <w:rsid w:val="F5C9F663"/>
    <w:rsid w:val="F74D3948"/>
    <w:rsid w:val="F97F102B"/>
    <w:rsid w:val="FBBF3A0C"/>
    <w:rsid w:val="FD6F3694"/>
    <w:rsid w:val="FDBF44BA"/>
    <w:rsid w:val="FDEFD271"/>
    <w:rsid w:val="FDFE1CCF"/>
    <w:rsid w:val="FE8FE5C1"/>
    <w:rsid w:val="FED93BFC"/>
    <w:rsid w:val="FFAD3DAA"/>
    <w:rsid w:val="FFB73613"/>
    <w:rsid w:val="FFD703C1"/>
    <w:rsid w:val="FFFE5F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qFormat="1"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1"/>
    <w:qFormat/>
    <w:uiPriority w:val="0"/>
    <w:pPr>
      <w:keepNext/>
      <w:keepLines/>
      <w:widowControl/>
      <w:spacing w:before="340" w:after="330"/>
      <w:jc w:val="left"/>
      <w:outlineLvl w:val="0"/>
    </w:pPr>
    <w:rPr>
      <w:rFonts w:ascii="华文细黑" w:hAnsi="宋体" w:eastAsia="宋体" w:cs="宋体"/>
      <w:b/>
      <w:bCs/>
      <w:snapToGrid w:val="0"/>
      <w:kern w:val="0"/>
      <w:sz w:val="28"/>
      <w:szCs w:val="44"/>
      <w:lang w:val="zh-CN"/>
    </w:rPr>
  </w:style>
  <w:style w:type="paragraph" w:styleId="3">
    <w:name w:val="heading 2"/>
    <w:basedOn w:val="1"/>
    <w:link w:val="52"/>
    <w:qFormat/>
    <w:uiPriority w:val="0"/>
    <w:pPr>
      <w:widowControl/>
      <w:spacing w:before="260" w:after="260"/>
      <w:jc w:val="center"/>
      <w:outlineLvl w:val="1"/>
    </w:pPr>
    <w:rPr>
      <w:rFonts w:ascii="华文细黑" w:hAnsi="Arial" w:eastAsia="宋体" w:cs="宋体"/>
      <w:b/>
      <w:bCs/>
      <w:kern w:val="0"/>
      <w:sz w:val="44"/>
      <w:szCs w:val="32"/>
      <w:lang w:val="zh-CN"/>
    </w:rPr>
  </w:style>
  <w:style w:type="paragraph" w:styleId="4">
    <w:name w:val="heading 3"/>
    <w:basedOn w:val="5"/>
    <w:next w:val="5"/>
    <w:link w:val="53"/>
    <w:qFormat/>
    <w:uiPriority w:val="0"/>
    <w:pPr>
      <w:keepNext/>
      <w:keepLines/>
      <w:widowControl/>
      <w:spacing w:before="260" w:after="260" w:line="416" w:lineRule="auto"/>
      <w:jc w:val="left"/>
      <w:outlineLvl w:val="2"/>
    </w:pPr>
    <w:rPr>
      <w:rFonts w:ascii="宋体" w:hAnsi="宋体" w:eastAsia="华文细黑" w:cs="宋体"/>
      <w:bCs/>
      <w:kern w:val="0"/>
      <w:sz w:val="36"/>
      <w:szCs w:val="32"/>
      <w:lang w:val="zh-CN"/>
    </w:rPr>
  </w:style>
  <w:style w:type="paragraph" w:styleId="6">
    <w:name w:val="heading 4"/>
    <w:basedOn w:val="1"/>
    <w:next w:val="1"/>
    <w:link w:val="54"/>
    <w:qFormat/>
    <w:uiPriority w:val="0"/>
    <w:pPr>
      <w:keepNext/>
      <w:keepLines/>
      <w:widowControl/>
      <w:spacing w:before="280" w:after="290" w:line="376" w:lineRule="auto"/>
      <w:jc w:val="left"/>
      <w:outlineLvl w:val="3"/>
    </w:pPr>
    <w:rPr>
      <w:rFonts w:ascii="Arial" w:hAnsi="Arial" w:eastAsia="黑体" w:cs="宋体"/>
      <w:b/>
      <w:bCs/>
      <w:kern w:val="0"/>
      <w:sz w:val="28"/>
      <w:szCs w:val="28"/>
      <w:lang w:val="zh-CN"/>
    </w:rPr>
  </w:style>
  <w:style w:type="paragraph" w:styleId="7">
    <w:name w:val="heading 5"/>
    <w:basedOn w:val="1"/>
    <w:next w:val="1"/>
    <w:link w:val="55"/>
    <w:qFormat/>
    <w:uiPriority w:val="0"/>
    <w:pPr>
      <w:keepNext/>
      <w:keepLines/>
      <w:widowControl/>
      <w:spacing w:before="280" w:after="290" w:line="376" w:lineRule="auto"/>
      <w:jc w:val="left"/>
      <w:outlineLvl w:val="4"/>
    </w:pPr>
    <w:rPr>
      <w:rFonts w:ascii="宋体" w:hAnsi="宋体" w:eastAsia="宋体" w:cs="宋体"/>
      <w:b/>
      <w:bCs/>
      <w:kern w:val="0"/>
      <w:sz w:val="28"/>
      <w:szCs w:val="28"/>
      <w:lang w:val="zh-CN"/>
    </w:rPr>
  </w:style>
  <w:style w:type="paragraph" w:styleId="8">
    <w:name w:val="heading 6"/>
    <w:basedOn w:val="1"/>
    <w:next w:val="1"/>
    <w:link w:val="56"/>
    <w:qFormat/>
    <w:uiPriority w:val="0"/>
    <w:pPr>
      <w:keepNext/>
      <w:keepLines/>
      <w:widowControl/>
      <w:spacing w:before="240" w:after="64" w:line="320" w:lineRule="auto"/>
      <w:jc w:val="left"/>
      <w:outlineLvl w:val="5"/>
    </w:pPr>
    <w:rPr>
      <w:rFonts w:ascii="Arial" w:hAnsi="Arial" w:eastAsia="黑体" w:cs="宋体"/>
      <w:b/>
      <w:bCs/>
      <w:kern w:val="0"/>
      <w:sz w:val="24"/>
      <w:szCs w:val="24"/>
      <w:lang w:val="zh-CN"/>
    </w:rPr>
  </w:style>
  <w:style w:type="paragraph" w:styleId="9">
    <w:name w:val="heading 7"/>
    <w:basedOn w:val="1"/>
    <w:next w:val="1"/>
    <w:link w:val="57"/>
    <w:qFormat/>
    <w:uiPriority w:val="0"/>
    <w:pPr>
      <w:keepNext/>
      <w:keepLines/>
      <w:widowControl/>
      <w:spacing w:before="240" w:after="64" w:line="320" w:lineRule="auto"/>
      <w:jc w:val="left"/>
      <w:outlineLvl w:val="6"/>
    </w:pPr>
    <w:rPr>
      <w:rFonts w:ascii="宋体" w:hAnsi="宋体" w:eastAsia="宋体" w:cs="宋体"/>
      <w:b/>
      <w:bCs/>
      <w:kern w:val="0"/>
      <w:sz w:val="24"/>
      <w:szCs w:val="24"/>
      <w:lang w:val="zh-CN"/>
    </w:rPr>
  </w:style>
  <w:style w:type="paragraph" w:styleId="10">
    <w:name w:val="heading 8"/>
    <w:basedOn w:val="1"/>
    <w:next w:val="1"/>
    <w:link w:val="58"/>
    <w:qFormat/>
    <w:uiPriority w:val="0"/>
    <w:pPr>
      <w:keepNext/>
      <w:keepLines/>
      <w:widowControl/>
      <w:spacing w:before="240" w:after="64" w:line="320" w:lineRule="auto"/>
      <w:jc w:val="left"/>
      <w:outlineLvl w:val="7"/>
    </w:pPr>
    <w:rPr>
      <w:rFonts w:ascii="Arial" w:hAnsi="Arial" w:eastAsia="黑体" w:cs="宋体"/>
      <w:kern w:val="0"/>
      <w:sz w:val="24"/>
      <w:szCs w:val="24"/>
      <w:lang w:val="zh-CN"/>
    </w:rPr>
  </w:style>
  <w:style w:type="paragraph" w:styleId="11">
    <w:name w:val="heading 9"/>
    <w:basedOn w:val="1"/>
    <w:next w:val="1"/>
    <w:link w:val="59"/>
    <w:qFormat/>
    <w:uiPriority w:val="0"/>
    <w:pPr>
      <w:keepNext/>
      <w:keepLines/>
      <w:widowControl/>
      <w:spacing w:before="240" w:after="64" w:line="320" w:lineRule="auto"/>
      <w:jc w:val="left"/>
      <w:outlineLvl w:val="8"/>
    </w:pPr>
    <w:rPr>
      <w:rFonts w:ascii="Arial" w:hAnsi="Arial" w:eastAsia="黑体" w:cs="宋体"/>
      <w:kern w:val="0"/>
      <w:sz w:val="24"/>
      <w:szCs w:val="21"/>
      <w:lang w:val="zh-CN"/>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unhideWhenUsed/>
    <w:qFormat/>
    <w:uiPriority w:val="99"/>
    <w:pPr>
      <w:ind w:left="200" w:leftChars="200"/>
    </w:pPr>
  </w:style>
  <w:style w:type="paragraph" w:styleId="12">
    <w:name w:val="toc 7"/>
    <w:basedOn w:val="1"/>
    <w:next w:val="1"/>
    <w:qFormat/>
    <w:uiPriority w:val="39"/>
    <w:pPr>
      <w:widowControl/>
      <w:ind w:left="1440"/>
      <w:jc w:val="left"/>
    </w:pPr>
    <w:rPr>
      <w:rFonts w:ascii="宋体" w:hAnsi="宋体" w:eastAsia="宋体" w:cs="宋体"/>
      <w:kern w:val="0"/>
      <w:sz w:val="18"/>
      <w:szCs w:val="18"/>
    </w:rPr>
  </w:style>
  <w:style w:type="paragraph" w:styleId="13">
    <w:name w:val="Normal Indent"/>
    <w:basedOn w:val="1"/>
    <w:qFormat/>
    <w:uiPriority w:val="0"/>
    <w:pPr>
      <w:widowControl/>
      <w:ind w:firstLine="420"/>
      <w:jc w:val="left"/>
    </w:pPr>
    <w:rPr>
      <w:rFonts w:ascii="宋体" w:hAnsi="宋体" w:eastAsia="宋体" w:cs="宋体"/>
      <w:kern w:val="0"/>
      <w:sz w:val="24"/>
      <w:szCs w:val="20"/>
    </w:rPr>
  </w:style>
  <w:style w:type="paragraph" w:styleId="14">
    <w:name w:val="Document Map"/>
    <w:basedOn w:val="1"/>
    <w:link w:val="64"/>
    <w:qFormat/>
    <w:uiPriority w:val="0"/>
    <w:pPr>
      <w:widowControl/>
      <w:shd w:val="clear" w:color="auto" w:fill="000080"/>
      <w:jc w:val="left"/>
    </w:pPr>
    <w:rPr>
      <w:rFonts w:ascii="Times New Roman" w:hAnsi="Times New Roman"/>
      <w:sz w:val="24"/>
      <w:szCs w:val="24"/>
    </w:rPr>
  </w:style>
  <w:style w:type="paragraph" w:styleId="15">
    <w:name w:val="annotation text"/>
    <w:basedOn w:val="1"/>
    <w:link w:val="60"/>
    <w:qFormat/>
    <w:uiPriority w:val="0"/>
    <w:pPr>
      <w:widowControl/>
      <w:jc w:val="left"/>
    </w:pPr>
    <w:rPr>
      <w:rFonts w:ascii="Times New Roman" w:hAnsi="Times New Roman"/>
      <w:szCs w:val="24"/>
    </w:rPr>
  </w:style>
  <w:style w:type="paragraph" w:styleId="16">
    <w:name w:val="Body Text"/>
    <w:basedOn w:val="1"/>
    <w:link w:val="74"/>
    <w:qFormat/>
    <w:uiPriority w:val="0"/>
    <w:pPr>
      <w:widowControl/>
      <w:spacing w:line="320" w:lineRule="exact"/>
      <w:jc w:val="left"/>
    </w:pPr>
    <w:rPr>
      <w:rFonts w:ascii="宋体" w:hAnsi="宋体" w:eastAsia="宋体" w:cs="宋体"/>
      <w:b/>
      <w:bCs/>
      <w:kern w:val="0"/>
      <w:sz w:val="24"/>
      <w:szCs w:val="24"/>
    </w:rPr>
  </w:style>
  <w:style w:type="paragraph" w:styleId="17">
    <w:name w:val="Body Text Indent"/>
    <w:basedOn w:val="1"/>
    <w:link w:val="76"/>
    <w:qFormat/>
    <w:uiPriority w:val="0"/>
    <w:pPr>
      <w:widowControl/>
      <w:spacing w:line="360" w:lineRule="auto"/>
      <w:ind w:firstLine="630"/>
      <w:jc w:val="left"/>
    </w:pPr>
    <w:rPr>
      <w:rFonts w:ascii="宋体" w:hAnsi="宋体" w:eastAsia="宋体" w:cs="宋体"/>
      <w:kern w:val="0"/>
      <w:sz w:val="24"/>
      <w:szCs w:val="20"/>
    </w:rPr>
  </w:style>
  <w:style w:type="paragraph" w:styleId="18">
    <w:name w:val="toc 5"/>
    <w:basedOn w:val="1"/>
    <w:next w:val="1"/>
    <w:qFormat/>
    <w:uiPriority w:val="39"/>
    <w:pPr>
      <w:widowControl/>
      <w:ind w:left="960"/>
      <w:jc w:val="left"/>
    </w:pPr>
    <w:rPr>
      <w:rFonts w:ascii="宋体" w:hAnsi="宋体" w:eastAsia="宋体" w:cs="宋体"/>
      <w:kern w:val="0"/>
      <w:sz w:val="18"/>
      <w:szCs w:val="18"/>
    </w:rPr>
  </w:style>
  <w:style w:type="paragraph" w:styleId="19">
    <w:name w:val="toc 3"/>
    <w:basedOn w:val="1"/>
    <w:next w:val="1"/>
    <w:qFormat/>
    <w:uiPriority w:val="39"/>
    <w:pPr>
      <w:widowControl/>
      <w:ind w:left="480"/>
      <w:jc w:val="left"/>
    </w:pPr>
    <w:rPr>
      <w:rFonts w:ascii="宋体" w:hAnsi="宋体" w:eastAsia="宋体" w:cs="宋体"/>
      <w:i/>
      <w:iCs/>
      <w:kern w:val="0"/>
      <w:sz w:val="20"/>
      <w:szCs w:val="20"/>
    </w:rPr>
  </w:style>
  <w:style w:type="paragraph" w:styleId="20">
    <w:name w:val="Plain Text"/>
    <w:basedOn w:val="1"/>
    <w:link w:val="73"/>
    <w:qFormat/>
    <w:uiPriority w:val="0"/>
    <w:pPr>
      <w:widowControl/>
      <w:jc w:val="left"/>
    </w:pPr>
    <w:rPr>
      <w:rFonts w:ascii="宋体" w:hAnsi="Courier New" w:eastAsia="宋体" w:cs="Courier New"/>
      <w:kern w:val="0"/>
      <w:sz w:val="24"/>
      <w:szCs w:val="21"/>
    </w:rPr>
  </w:style>
  <w:style w:type="paragraph" w:styleId="21">
    <w:name w:val="toc 8"/>
    <w:basedOn w:val="1"/>
    <w:next w:val="1"/>
    <w:qFormat/>
    <w:uiPriority w:val="39"/>
    <w:pPr>
      <w:widowControl/>
      <w:ind w:left="1680"/>
      <w:jc w:val="left"/>
    </w:pPr>
    <w:rPr>
      <w:rFonts w:ascii="宋体" w:hAnsi="宋体" w:eastAsia="宋体" w:cs="宋体"/>
      <w:kern w:val="0"/>
      <w:sz w:val="18"/>
      <w:szCs w:val="18"/>
    </w:rPr>
  </w:style>
  <w:style w:type="paragraph" w:styleId="22">
    <w:name w:val="Date"/>
    <w:basedOn w:val="1"/>
    <w:next w:val="1"/>
    <w:link w:val="79"/>
    <w:qFormat/>
    <w:uiPriority w:val="0"/>
    <w:pPr>
      <w:widowControl/>
      <w:ind w:left="100" w:leftChars="2500"/>
      <w:jc w:val="left"/>
    </w:pPr>
    <w:rPr>
      <w:szCs w:val="24"/>
    </w:rPr>
  </w:style>
  <w:style w:type="paragraph" w:styleId="23">
    <w:name w:val="Body Text Indent 2"/>
    <w:basedOn w:val="1"/>
    <w:link w:val="75"/>
    <w:qFormat/>
    <w:uiPriority w:val="0"/>
    <w:pPr>
      <w:widowControl/>
      <w:ind w:firstLine="640" w:firstLineChars="200"/>
      <w:jc w:val="left"/>
    </w:pPr>
    <w:rPr>
      <w:rFonts w:ascii="宋体" w:hAnsi="宋体" w:eastAsia="仿宋_GB2312" w:cs="宋体"/>
      <w:kern w:val="0"/>
      <w:sz w:val="32"/>
      <w:szCs w:val="24"/>
    </w:rPr>
  </w:style>
  <w:style w:type="paragraph" w:styleId="24">
    <w:name w:val="Balloon Text"/>
    <w:basedOn w:val="1"/>
    <w:link w:val="63"/>
    <w:qFormat/>
    <w:uiPriority w:val="0"/>
    <w:pPr>
      <w:widowControl/>
      <w:jc w:val="left"/>
    </w:pPr>
    <w:rPr>
      <w:rFonts w:ascii="宋体" w:hAnsi="宋体" w:eastAsia="宋体" w:cs="宋体"/>
      <w:kern w:val="0"/>
      <w:sz w:val="18"/>
      <w:szCs w:val="18"/>
      <w:lang w:val="zh-CN"/>
    </w:rPr>
  </w:style>
  <w:style w:type="paragraph" w:styleId="25">
    <w:name w:val="footer"/>
    <w:basedOn w:val="1"/>
    <w:link w:val="69"/>
    <w:unhideWhenUsed/>
    <w:qFormat/>
    <w:uiPriority w:val="99"/>
    <w:pPr>
      <w:widowControl/>
      <w:tabs>
        <w:tab w:val="center" w:pos="4153"/>
        <w:tab w:val="right" w:pos="8306"/>
      </w:tabs>
      <w:snapToGrid w:val="0"/>
      <w:jc w:val="left"/>
    </w:pPr>
    <w:rPr>
      <w:rFonts w:ascii="宋体" w:hAnsi="宋体" w:eastAsia="宋体" w:cs="宋体"/>
      <w:kern w:val="0"/>
      <w:sz w:val="18"/>
      <w:szCs w:val="18"/>
    </w:rPr>
  </w:style>
  <w:style w:type="paragraph" w:styleId="26">
    <w:name w:val="header"/>
    <w:basedOn w:val="1"/>
    <w:link w:val="67"/>
    <w:unhideWhenUsed/>
    <w:qFormat/>
    <w:uiPriority w:val="0"/>
    <w:pPr>
      <w:widowControl/>
      <w:pBdr>
        <w:bottom w:val="single" w:color="auto" w:sz="6" w:space="1"/>
      </w:pBdr>
      <w:tabs>
        <w:tab w:val="center" w:pos="4153"/>
        <w:tab w:val="right" w:pos="8306"/>
      </w:tabs>
      <w:snapToGrid w:val="0"/>
      <w:jc w:val="center"/>
    </w:pPr>
    <w:rPr>
      <w:rFonts w:ascii="宋体" w:hAnsi="宋体" w:eastAsia="宋体" w:cs="宋体"/>
      <w:kern w:val="0"/>
      <w:sz w:val="18"/>
      <w:szCs w:val="18"/>
    </w:rPr>
  </w:style>
  <w:style w:type="paragraph" w:styleId="27">
    <w:name w:val="toc 1"/>
    <w:basedOn w:val="1"/>
    <w:next w:val="1"/>
    <w:qFormat/>
    <w:uiPriority w:val="39"/>
    <w:pPr>
      <w:widowControl/>
      <w:spacing w:before="120" w:after="120"/>
      <w:jc w:val="left"/>
    </w:pPr>
    <w:rPr>
      <w:rFonts w:ascii="宋体" w:hAnsi="宋体" w:eastAsia="宋体" w:cs="宋体"/>
      <w:b/>
      <w:bCs/>
      <w:caps/>
      <w:kern w:val="0"/>
      <w:sz w:val="20"/>
      <w:szCs w:val="20"/>
    </w:rPr>
  </w:style>
  <w:style w:type="paragraph" w:styleId="28">
    <w:name w:val="toc 4"/>
    <w:basedOn w:val="1"/>
    <w:next w:val="1"/>
    <w:qFormat/>
    <w:uiPriority w:val="39"/>
    <w:pPr>
      <w:widowControl/>
      <w:ind w:left="720"/>
      <w:jc w:val="left"/>
    </w:pPr>
    <w:rPr>
      <w:rFonts w:ascii="宋体" w:hAnsi="宋体" w:eastAsia="宋体" w:cs="宋体"/>
      <w:kern w:val="0"/>
      <w:sz w:val="18"/>
      <w:szCs w:val="18"/>
    </w:rPr>
  </w:style>
  <w:style w:type="paragraph" w:styleId="29">
    <w:name w:val="footnote text"/>
    <w:basedOn w:val="1"/>
    <w:qFormat/>
    <w:uiPriority w:val="0"/>
    <w:pPr>
      <w:snapToGrid w:val="0"/>
      <w:jc w:val="left"/>
    </w:pPr>
    <w:rPr>
      <w:rFonts w:ascii="Times New Roman" w:hAnsi="Times New Roman" w:cs="Times New Roman"/>
      <w:sz w:val="18"/>
    </w:rPr>
  </w:style>
  <w:style w:type="paragraph" w:styleId="30">
    <w:name w:val="toc 6"/>
    <w:basedOn w:val="1"/>
    <w:next w:val="1"/>
    <w:qFormat/>
    <w:uiPriority w:val="39"/>
    <w:pPr>
      <w:widowControl/>
      <w:ind w:left="1200"/>
      <w:jc w:val="left"/>
    </w:pPr>
    <w:rPr>
      <w:rFonts w:ascii="宋体" w:hAnsi="宋体" w:eastAsia="宋体" w:cs="宋体"/>
      <w:kern w:val="0"/>
      <w:sz w:val="18"/>
      <w:szCs w:val="18"/>
    </w:rPr>
  </w:style>
  <w:style w:type="paragraph" w:styleId="31">
    <w:name w:val="List 5"/>
    <w:basedOn w:val="1"/>
    <w:qFormat/>
    <w:uiPriority w:val="0"/>
    <w:pPr>
      <w:widowControl/>
      <w:ind w:left="2100" w:hanging="420"/>
      <w:jc w:val="left"/>
    </w:pPr>
    <w:rPr>
      <w:rFonts w:ascii="宋体" w:hAnsi="宋体" w:eastAsia="宋体" w:cs="宋体"/>
      <w:kern w:val="0"/>
      <w:sz w:val="24"/>
      <w:szCs w:val="20"/>
    </w:rPr>
  </w:style>
  <w:style w:type="paragraph" w:styleId="32">
    <w:name w:val="Body Text Indent 3"/>
    <w:basedOn w:val="1"/>
    <w:link w:val="77"/>
    <w:qFormat/>
    <w:uiPriority w:val="0"/>
    <w:pPr>
      <w:widowControl/>
      <w:spacing w:line="400" w:lineRule="exact"/>
      <w:ind w:firstLine="630"/>
      <w:jc w:val="left"/>
    </w:pPr>
    <w:rPr>
      <w:rFonts w:ascii="宋体" w:hAnsi="宋体" w:eastAsia="宋体" w:cs="宋体"/>
      <w:kern w:val="0"/>
      <w:sz w:val="24"/>
      <w:szCs w:val="24"/>
    </w:rPr>
  </w:style>
  <w:style w:type="paragraph" w:styleId="33">
    <w:name w:val="toc 2"/>
    <w:basedOn w:val="1"/>
    <w:next w:val="1"/>
    <w:qFormat/>
    <w:uiPriority w:val="39"/>
    <w:pPr>
      <w:widowControl/>
      <w:ind w:left="240"/>
      <w:jc w:val="left"/>
    </w:pPr>
    <w:rPr>
      <w:rFonts w:ascii="宋体" w:hAnsi="宋体" w:eastAsia="宋体" w:cs="宋体"/>
      <w:smallCaps/>
      <w:kern w:val="0"/>
      <w:sz w:val="20"/>
      <w:szCs w:val="20"/>
    </w:rPr>
  </w:style>
  <w:style w:type="paragraph" w:styleId="34">
    <w:name w:val="toc 9"/>
    <w:basedOn w:val="1"/>
    <w:next w:val="1"/>
    <w:qFormat/>
    <w:uiPriority w:val="39"/>
    <w:pPr>
      <w:widowControl/>
      <w:ind w:left="1920"/>
      <w:jc w:val="left"/>
    </w:pPr>
    <w:rPr>
      <w:rFonts w:ascii="宋体" w:hAnsi="宋体" w:eastAsia="宋体" w:cs="宋体"/>
      <w:kern w:val="0"/>
      <w:sz w:val="18"/>
      <w:szCs w:val="18"/>
    </w:rPr>
  </w:style>
  <w:style w:type="paragraph" w:styleId="35">
    <w:name w:val="Body Text 2"/>
    <w:basedOn w:val="1"/>
    <w:link w:val="78"/>
    <w:qFormat/>
    <w:uiPriority w:val="0"/>
    <w:pPr>
      <w:widowControl/>
      <w:jc w:val="left"/>
    </w:pPr>
    <w:rPr>
      <w:rFonts w:ascii="楷体_GB2312" w:hAnsi="宋体" w:eastAsia="楷体_GB2312" w:cs="宋体"/>
      <w:color w:val="000000"/>
      <w:kern w:val="0"/>
      <w:sz w:val="24"/>
      <w:szCs w:val="21"/>
    </w:rPr>
  </w:style>
  <w:style w:type="paragraph" w:styleId="36">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37">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styleId="38">
    <w:name w:val="index 1"/>
    <w:basedOn w:val="1"/>
    <w:next w:val="1"/>
    <w:qFormat/>
    <w:uiPriority w:val="0"/>
    <w:pPr>
      <w:widowControl/>
      <w:spacing w:line="360" w:lineRule="auto"/>
      <w:jc w:val="left"/>
    </w:pPr>
    <w:rPr>
      <w:rFonts w:ascii="宋体" w:hAnsi="宋体" w:eastAsia="宋体" w:cs="宋体"/>
      <w:b/>
      <w:color w:val="0000FF"/>
      <w:kern w:val="0"/>
      <w:sz w:val="24"/>
      <w:szCs w:val="24"/>
    </w:rPr>
  </w:style>
  <w:style w:type="paragraph" w:styleId="39">
    <w:name w:val="Title"/>
    <w:basedOn w:val="1"/>
    <w:next w:val="1"/>
    <w:link w:val="87"/>
    <w:qFormat/>
    <w:uiPriority w:val="0"/>
    <w:pPr>
      <w:widowControl/>
      <w:spacing w:before="240" w:after="60"/>
      <w:jc w:val="center"/>
      <w:outlineLvl w:val="0"/>
    </w:pPr>
    <w:rPr>
      <w:rFonts w:ascii="Cambria" w:hAnsi="Cambria" w:eastAsia="宋体" w:cs="宋体"/>
      <w:b/>
      <w:bCs/>
      <w:kern w:val="0"/>
      <w:sz w:val="32"/>
      <w:szCs w:val="32"/>
    </w:rPr>
  </w:style>
  <w:style w:type="paragraph" w:styleId="40">
    <w:name w:val="annotation subject"/>
    <w:basedOn w:val="15"/>
    <w:next w:val="15"/>
    <w:link w:val="70"/>
    <w:unhideWhenUsed/>
    <w:qFormat/>
    <w:uiPriority w:val="0"/>
    <w:rPr>
      <w:b/>
      <w:bCs/>
    </w:rPr>
  </w:style>
  <w:style w:type="table" w:styleId="42">
    <w:name w:val="Table Grid"/>
    <w:basedOn w:val="4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qFormat/>
    <w:uiPriority w:val="0"/>
    <w:rPr>
      <w:b/>
      <w:bCs/>
    </w:rPr>
  </w:style>
  <w:style w:type="character" w:styleId="45">
    <w:name w:val="page number"/>
    <w:basedOn w:val="43"/>
    <w:qFormat/>
    <w:uiPriority w:val="0"/>
  </w:style>
  <w:style w:type="character" w:styleId="46">
    <w:name w:val="FollowedHyperlink"/>
    <w:unhideWhenUsed/>
    <w:qFormat/>
    <w:uiPriority w:val="99"/>
    <w:rPr>
      <w:color w:val="800080"/>
      <w:u w:val="single"/>
    </w:rPr>
  </w:style>
  <w:style w:type="character" w:styleId="47">
    <w:name w:val="Emphasis"/>
    <w:basedOn w:val="43"/>
    <w:qFormat/>
    <w:uiPriority w:val="20"/>
    <w:rPr>
      <w:i/>
    </w:rPr>
  </w:style>
  <w:style w:type="character" w:styleId="48">
    <w:name w:val="Hyperlink"/>
    <w:qFormat/>
    <w:uiPriority w:val="99"/>
    <w:rPr>
      <w:color w:val="0000FF"/>
      <w:u w:val="single"/>
    </w:rPr>
  </w:style>
  <w:style w:type="character" w:styleId="49">
    <w:name w:val="annotation reference"/>
    <w:unhideWhenUsed/>
    <w:qFormat/>
    <w:uiPriority w:val="99"/>
    <w:rPr>
      <w:sz w:val="21"/>
      <w:szCs w:val="21"/>
    </w:rPr>
  </w:style>
  <w:style w:type="character" w:styleId="50">
    <w:name w:val="footnote reference"/>
    <w:basedOn w:val="43"/>
    <w:semiHidden/>
    <w:unhideWhenUsed/>
    <w:qFormat/>
    <w:uiPriority w:val="99"/>
    <w:rPr>
      <w:vertAlign w:val="superscript"/>
    </w:rPr>
  </w:style>
  <w:style w:type="character" w:customStyle="1" w:styleId="51">
    <w:name w:val="标题 1 字符"/>
    <w:basedOn w:val="43"/>
    <w:link w:val="2"/>
    <w:qFormat/>
    <w:uiPriority w:val="0"/>
    <w:rPr>
      <w:rFonts w:ascii="华文细黑" w:hAnsi="宋体" w:eastAsia="宋体" w:cs="宋体"/>
      <w:b/>
      <w:bCs/>
      <w:snapToGrid w:val="0"/>
      <w:kern w:val="0"/>
      <w:sz w:val="28"/>
      <w:szCs w:val="44"/>
      <w:lang w:val="zh-CN" w:eastAsia="zh-CN"/>
    </w:rPr>
  </w:style>
  <w:style w:type="character" w:customStyle="1" w:styleId="52">
    <w:name w:val="标题 2 字符"/>
    <w:basedOn w:val="43"/>
    <w:link w:val="3"/>
    <w:qFormat/>
    <w:uiPriority w:val="0"/>
    <w:rPr>
      <w:rFonts w:ascii="华文细黑" w:hAnsi="Arial" w:eastAsia="宋体" w:cs="宋体"/>
      <w:b/>
      <w:bCs/>
      <w:kern w:val="0"/>
      <w:sz w:val="44"/>
      <w:szCs w:val="32"/>
      <w:lang w:val="zh-CN" w:eastAsia="zh-CN"/>
    </w:rPr>
  </w:style>
  <w:style w:type="character" w:customStyle="1" w:styleId="53">
    <w:name w:val="标题 3 字符"/>
    <w:basedOn w:val="43"/>
    <w:link w:val="4"/>
    <w:qFormat/>
    <w:uiPriority w:val="0"/>
    <w:rPr>
      <w:rFonts w:ascii="宋体" w:hAnsi="宋体" w:eastAsia="华文细黑" w:cs="宋体"/>
      <w:bCs/>
      <w:kern w:val="0"/>
      <w:sz w:val="36"/>
      <w:szCs w:val="32"/>
      <w:lang w:val="zh-CN" w:eastAsia="zh-CN"/>
    </w:rPr>
  </w:style>
  <w:style w:type="character" w:customStyle="1" w:styleId="54">
    <w:name w:val="标题 4 字符"/>
    <w:basedOn w:val="43"/>
    <w:link w:val="6"/>
    <w:qFormat/>
    <w:uiPriority w:val="0"/>
    <w:rPr>
      <w:rFonts w:ascii="Arial" w:hAnsi="Arial" w:eastAsia="黑体" w:cs="宋体"/>
      <w:b/>
      <w:bCs/>
      <w:kern w:val="0"/>
      <w:sz w:val="28"/>
      <w:szCs w:val="28"/>
      <w:lang w:val="zh-CN" w:eastAsia="zh-CN"/>
    </w:rPr>
  </w:style>
  <w:style w:type="character" w:customStyle="1" w:styleId="55">
    <w:name w:val="标题 5 字符"/>
    <w:basedOn w:val="43"/>
    <w:link w:val="7"/>
    <w:qFormat/>
    <w:uiPriority w:val="0"/>
    <w:rPr>
      <w:rFonts w:ascii="宋体" w:hAnsi="宋体" w:eastAsia="宋体" w:cs="宋体"/>
      <w:b/>
      <w:bCs/>
      <w:kern w:val="0"/>
      <w:sz w:val="28"/>
      <w:szCs w:val="28"/>
      <w:lang w:val="zh-CN" w:eastAsia="zh-CN"/>
    </w:rPr>
  </w:style>
  <w:style w:type="character" w:customStyle="1" w:styleId="56">
    <w:name w:val="标题 6 字符"/>
    <w:basedOn w:val="43"/>
    <w:link w:val="8"/>
    <w:qFormat/>
    <w:uiPriority w:val="0"/>
    <w:rPr>
      <w:rFonts w:ascii="Arial" w:hAnsi="Arial" w:eastAsia="黑体" w:cs="宋体"/>
      <w:b/>
      <w:bCs/>
      <w:kern w:val="0"/>
      <w:sz w:val="24"/>
      <w:szCs w:val="24"/>
      <w:lang w:val="zh-CN" w:eastAsia="zh-CN"/>
    </w:rPr>
  </w:style>
  <w:style w:type="character" w:customStyle="1" w:styleId="57">
    <w:name w:val="标题 7 字符"/>
    <w:basedOn w:val="43"/>
    <w:link w:val="9"/>
    <w:qFormat/>
    <w:uiPriority w:val="0"/>
    <w:rPr>
      <w:rFonts w:ascii="宋体" w:hAnsi="宋体" w:eastAsia="宋体" w:cs="宋体"/>
      <w:b/>
      <w:bCs/>
      <w:kern w:val="0"/>
      <w:sz w:val="24"/>
      <w:szCs w:val="24"/>
      <w:lang w:val="zh-CN" w:eastAsia="zh-CN"/>
    </w:rPr>
  </w:style>
  <w:style w:type="character" w:customStyle="1" w:styleId="58">
    <w:name w:val="标题 8 字符"/>
    <w:basedOn w:val="43"/>
    <w:link w:val="10"/>
    <w:qFormat/>
    <w:uiPriority w:val="0"/>
    <w:rPr>
      <w:rFonts w:ascii="Arial" w:hAnsi="Arial" w:eastAsia="黑体" w:cs="宋体"/>
      <w:kern w:val="0"/>
      <w:sz w:val="24"/>
      <w:szCs w:val="24"/>
      <w:lang w:val="zh-CN" w:eastAsia="zh-CN"/>
    </w:rPr>
  </w:style>
  <w:style w:type="character" w:customStyle="1" w:styleId="59">
    <w:name w:val="标题 9 字符"/>
    <w:basedOn w:val="43"/>
    <w:link w:val="11"/>
    <w:qFormat/>
    <w:uiPriority w:val="0"/>
    <w:rPr>
      <w:rFonts w:ascii="Arial" w:hAnsi="Arial" w:eastAsia="黑体" w:cs="宋体"/>
      <w:kern w:val="0"/>
      <w:sz w:val="24"/>
      <w:szCs w:val="21"/>
      <w:lang w:val="zh-CN" w:eastAsia="zh-CN"/>
    </w:rPr>
  </w:style>
  <w:style w:type="character" w:customStyle="1" w:styleId="60">
    <w:name w:val="批注文字 字符"/>
    <w:link w:val="15"/>
    <w:qFormat/>
    <w:uiPriority w:val="0"/>
    <w:rPr>
      <w:rFonts w:ascii="Times New Roman" w:hAnsi="Times New Roman"/>
      <w:szCs w:val="24"/>
    </w:rPr>
  </w:style>
  <w:style w:type="character" w:customStyle="1" w:styleId="61">
    <w:name w:val="批注文字 字符1"/>
    <w:basedOn w:val="43"/>
    <w:semiHidden/>
    <w:qFormat/>
    <w:uiPriority w:val="99"/>
  </w:style>
  <w:style w:type="character" w:customStyle="1" w:styleId="62">
    <w:name w:val="批注文字 Char1"/>
    <w:basedOn w:val="43"/>
    <w:qFormat/>
    <w:uiPriority w:val="0"/>
    <w:rPr>
      <w:rFonts w:ascii="Times New Roman" w:hAnsi="Times New Roman" w:eastAsia="宋体" w:cs="Times New Roman"/>
      <w:szCs w:val="24"/>
    </w:rPr>
  </w:style>
  <w:style w:type="character" w:customStyle="1" w:styleId="63">
    <w:name w:val="批注框文本 字符"/>
    <w:basedOn w:val="43"/>
    <w:link w:val="24"/>
    <w:qFormat/>
    <w:uiPriority w:val="0"/>
    <w:rPr>
      <w:rFonts w:ascii="宋体" w:hAnsi="宋体" w:eastAsia="宋体" w:cs="宋体"/>
      <w:kern w:val="0"/>
      <w:sz w:val="18"/>
      <w:szCs w:val="18"/>
      <w:lang w:val="zh-CN" w:eastAsia="zh-CN"/>
    </w:rPr>
  </w:style>
  <w:style w:type="character" w:customStyle="1" w:styleId="64">
    <w:name w:val="文档结构图 字符"/>
    <w:link w:val="14"/>
    <w:qFormat/>
    <w:uiPriority w:val="0"/>
    <w:rPr>
      <w:rFonts w:ascii="Times New Roman" w:hAnsi="Times New Roman"/>
      <w:sz w:val="24"/>
      <w:szCs w:val="24"/>
      <w:shd w:val="clear" w:color="auto" w:fill="000080"/>
    </w:rPr>
  </w:style>
  <w:style w:type="character" w:customStyle="1" w:styleId="65">
    <w:name w:val="文档结构图 字符1"/>
    <w:basedOn w:val="43"/>
    <w:semiHidden/>
    <w:qFormat/>
    <w:uiPriority w:val="99"/>
    <w:rPr>
      <w:rFonts w:ascii="Microsoft YaHei UI" w:eastAsia="Microsoft YaHei UI"/>
      <w:sz w:val="18"/>
      <w:szCs w:val="18"/>
    </w:rPr>
  </w:style>
  <w:style w:type="character" w:customStyle="1" w:styleId="66">
    <w:name w:val="文档结构图 Char1"/>
    <w:basedOn w:val="43"/>
    <w:qFormat/>
    <w:uiPriority w:val="0"/>
    <w:rPr>
      <w:rFonts w:ascii="宋体" w:hAnsi="Times New Roman" w:eastAsia="宋体" w:cs="Times New Roman"/>
      <w:sz w:val="18"/>
      <w:szCs w:val="18"/>
    </w:rPr>
  </w:style>
  <w:style w:type="character" w:customStyle="1" w:styleId="67">
    <w:name w:val="页眉 字符"/>
    <w:basedOn w:val="43"/>
    <w:link w:val="26"/>
    <w:qFormat/>
    <w:uiPriority w:val="0"/>
    <w:rPr>
      <w:rFonts w:ascii="宋体" w:hAnsi="宋体" w:eastAsia="宋体" w:cs="宋体"/>
      <w:kern w:val="0"/>
      <w:sz w:val="18"/>
      <w:szCs w:val="18"/>
    </w:rPr>
  </w:style>
  <w:style w:type="character" w:customStyle="1" w:styleId="68">
    <w:name w:val="日期 Char1"/>
    <w:basedOn w:val="43"/>
    <w:qFormat/>
    <w:uiPriority w:val="0"/>
    <w:rPr>
      <w:rFonts w:ascii="Times New Roman" w:hAnsi="Times New Roman" w:eastAsia="宋体" w:cs="Times New Roman"/>
      <w:szCs w:val="24"/>
    </w:rPr>
  </w:style>
  <w:style w:type="character" w:customStyle="1" w:styleId="69">
    <w:name w:val="页脚 字符"/>
    <w:basedOn w:val="43"/>
    <w:link w:val="25"/>
    <w:qFormat/>
    <w:uiPriority w:val="99"/>
    <w:rPr>
      <w:rFonts w:ascii="宋体" w:hAnsi="宋体" w:eastAsia="宋体" w:cs="宋体"/>
      <w:kern w:val="0"/>
      <w:sz w:val="18"/>
      <w:szCs w:val="18"/>
    </w:rPr>
  </w:style>
  <w:style w:type="character" w:customStyle="1" w:styleId="70">
    <w:name w:val="批注主题 字符"/>
    <w:basedOn w:val="61"/>
    <w:link w:val="40"/>
    <w:qFormat/>
    <w:uiPriority w:val="0"/>
    <w:rPr>
      <w:rFonts w:ascii="Times New Roman" w:hAnsi="Times New Roman"/>
      <w:b/>
      <w:bCs/>
      <w:szCs w:val="24"/>
    </w:rPr>
  </w:style>
  <w:style w:type="paragraph" w:customStyle="1" w:styleId="71">
    <w:name w:val="修订1"/>
    <w:hidden/>
    <w:qFormat/>
    <w:uiPriority w:val="71"/>
    <w:rPr>
      <w:rFonts w:ascii="Times New Roman" w:hAnsi="Times New Roman" w:eastAsia="宋体" w:cs="Times New Roman"/>
      <w:kern w:val="2"/>
      <w:sz w:val="21"/>
      <w:szCs w:val="24"/>
      <w:lang w:val="en-US" w:eastAsia="zh-CN" w:bidi="ar-SA"/>
    </w:rPr>
  </w:style>
  <w:style w:type="paragraph" w:customStyle="1" w:styleId="72">
    <w:name w:val="彩色底纹 - 强调文字颜色 11"/>
    <w:hidden/>
    <w:semiHidden/>
    <w:qFormat/>
    <w:uiPriority w:val="99"/>
    <w:rPr>
      <w:rFonts w:ascii="Times New Roman" w:hAnsi="Times New Roman" w:eastAsia="宋体" w:cs="Times New Roman"/>
      <w:kern w:val="2"/>
      <w:sz w:val="21"/>
      <w:szCs w:val="24"/>
      <w:lang w:val="en-US" w:eastAsia="zh-CN" w:bidi="ar-SA"/>
    </w:rPr>
  </w:style>
  <w:style w:type="character" w:customStyle="1" w:styleId="73">
    <w:name w:val="纯文本 字符"/>
    <w:basedOn w:val="43"/>
    <w:link w:val="20"/>
    <w:qFormat/>
    <w:uiPriority w:val="0"/>
    <w:rPr>
      <w:rFonts w:ascii="宋体" w:hAnsi="Courier New" w:eastAsia="宋体" w:cs="Courier New"/>
      <w:kern w:val="0"/>
      <w:sz w:val="24"/>
      <w:szCs w:val="21"/>
    </w:rPr>
  </w:style>
  <w:style w:type="character" w:customStyle="1" w:styleId="74">
    <w:name w:val="正文文本 字符"/>
    <w:basedOn w:val="43"/>
    <w:link w:val="16"/>
    <w:qFormat/>
    <w:uiPriority w:val="0"/>
    <w:rPr>
      <w:rFonts w:ascii="宋体" w:hAnsi="宋体" w:eastAsia="宋体" w:cs="宋体"/>
      <w:b/>
      <w:bCs/>
      <w:kern w:val="0"/>
      <w:sz w:val="24"/>
      <w:szCs w:val="24"/>
    </w:rPr>
  </w:style>
  <w:style w:type="character" w:customStyle="1" w:styleId="75">
    <w:name w:val="正文文本缩进 2 字符"/>
    <w:basedOn w:val="43"/>
    <w:link w:val="23"/>
    <w:qFormat/>
    <w:uiPriority w:val="0"/>
    <w:rPr>
      <w:rFonts w:ascii="宋体" w:hAnsi="宋体" w:eastAsia="仿宋_GB2312" w:cs="宋体"/>
      <w:kern w:val="0"/>
      <w:sz w:val="32"/>
      <w:szCs w:val="24"/>
    </w:rPr>
  </w:style>
  <w:style w:type="character" w:customStyle="1" w:styleId="76">
    <w:name w:val="正文文本缩进 字符"/>
    <w:basedOn w:val="43"/>
    <w:link w:val="17"/>
    <w:qFormat/>
    <w:uiPriority w:val="0"/>
    <w:rPr>
      <w:rFonts w:ascii="宋体" w:hAnsi="宋体" w:eastAsia="宋体" w:cs="宋体"/>
      <w:kern w:val="0"/>
      <w:sz w:val="24"/>
      <w:szCs w:val="20"/>
    </w:rPr>
  </w:style>
  <w:style w:type="character" w:customStyle="1" w:styleId="77">
    <w:name w:val="正文文本缩进 3 字符"/>
    <w:basedOn w:val="43"/>
    <w:link w:val="32"/>
    <w:qFormat/>
    <w:uiPriority w:val="0"/>
    <w:rPr>
      <w:rFonts w:ascii="宋体" w:hAnsi="宋体" w:eastAsia="宋体" w:cs="宋体"/>
      <w:kern w:val="0"/>
      <w:sz w:val="24"/>
      <w:szCs w:val="24"/>
    </w:rPr>
  </w:style>
  <w:style w:type="character" w:customStyle="1" w:styleId="78">
    <w:name w:val="正文文本 2 字符"/>
    <w:basedOn w:val="43"/>
    <w:link w:val="35"/>
    <w:qFormat/>
    <w:uiPriority w:val="0"/>
    <w:rPr>
      <w:rFonts w:ascii="楷体_GB2312" w:hAnsi="宋体" w:eastAsia="楷体_GB2312" w:cs="宋体"/>
      <w:color w:val="000000"/>
      <w:kern w:val="0"/>
      <w:sz w:val="24"/>
      <w:szCs w:val="21"/>
    </w:rPr>
  </w:style>
  <w:style w:type="character" w:customStyle="1" w:styleId="79">
    <w:name w:val="日期 字符"/>
    <w:link w:val="22"/>
    <w:qFormat/>
    <w:uiPriority w:val="0"/>
    <w:rPr>
      <w:szCs w:val="24"/>
    </w:rPr>
  </w:style>
  <w:style w:type="character" w:customStyle="1" w:styleId="80">
    <w:name w:val="日期 字符1"/>
    <w:basedOn w:val="43"/>
    <w:semiHidden/>
    <w:qFormat/>
    <w:uiPriority w:val="99"/>
  </w:style>
  <w:style w:type="character" w:customStyle="1" w:styleId="81">
    <w:name w:val="日期 Char2"/>
    <w:basedOn w:val="43"/>
    <w:semiHidden/>
    <w:qFormat/>
    <w:uiPriority w:val="0"/>
    <w:rPr>
      <w:rFonts w:ascii="Times New Roman" w:hAnsi="Times New Roman" w:eastAsia="宋体" w:cs="Times New Roman"/>
      <w:szCs w:val="24"/>
    </w:rPr>
  </w:style>
  <w:style w:type="paragraph" w:customStyle="1" w:styleId="82">
    <w:name w:val="Char"/>
    <w:basedOn w:val="1"/>
    <w:qFormat/>
    <w:uiPriority w:val="0"/>
    <w:pPr>
      <w:widowControl/>
      <w:tabs>
        <w:tab w:val="left" w:pos="360"/>
      </w:tabs>
      <w:jc w:val="left"/>
    </w:pPr>
    <w:rPr>
      <w:rFonts w:ascii="宋体" w:hAnsi="宋体" w:eastAsia="宋体" w:cs="宋体"/>
      <w:kern w:val="0"/>
      <w:sz w:val="24"/>
      <w:szCs w:val="24"/>
    </w:rPr>
  </w:style>
  <w:style w:type="paragraph" w:customStyle="1" w:styleId="83">
    <w:name w:val="彩色列表 - 强调文字颜色 11"/>
    <w:basedOn w:val="1"/>
    <w:qFormat/>
    <w:uiPriority w:val="0"/>
    <w:pPr>
      <w:widowControl/>
      <w:ind w:firstLine="420" w:firstLineChars="200"/>
      <w:jc w:val="left"/>
    </w:pPr>
    <w:rPr>
      <w:rFonts w:ascii="Calibri" w:hAnsi="Calibri" w:eastAsia="宋体" w:cs="宋体"/>
      <w:kern w:val="0"/>
      <w:sz w:val="24"/>
    </w:rPr>
  </w:style>
  <w:style w:type="paragraph" w:customStyle="1" w:styleId="84">
    <w:name w:val="Char Char Char Char"/>
    <w:basedOn w:val="1"/>
    <w:qFormat/>
    <w:uiPriority w:val="0"/>
    <w:pPr>
      <w:widowControl/>
      <w:tabs>
        <w:tab w:val="left" w:pos="360"/>
      </w:tabs>
      <w:jc w:val="left"/>
    </w:pPr>
    <w:rPr>
      <w:rFonts w:ascii="宋体" w:hAnsi="宋体" w:eastAsia="宋体" w:cs="宋体"/>
      <w:kern w:val="0"/>
      <w:sz w:val="24"/>
      <w:szCs w:val="24"/>
    </w:rPr>
  </w:style>
  <w:style w:type="paragraph" w:customStyle="1" w:styleId="85">
    <w:name w:val="Char1"/>
    <w:basedOn w:val="1"/>
    <w:qFormat/>
    <w:uiPriority w:val="0"/>
    <w:pPr>
      <w:widowControl/>
      <w:tabs>
        <w:tab w:val="left" w:pos="360"/>
      </w:tabs>
      <w:jc w:val="left"/>
    </w:pPr>
    <w:rPr>
      <w:rFonts w:ascii="宋体" w:hAnsi="宋体" w:eastAsia="宋体" w:cs="宋体"/>
      <w:kern w:val="0"/>
      <w:sz w:val="24"/>
      <w:szCs w:val="24"/>
    </w:rPr>
  </w:style>
  <w:style w:type="character" w:customStyle="1" w:styleId="86">
    <w:name w:val="defaultfont1"/>
    <w:basedOn w:val="43"/>
    <w:qFormat/>
    <w:uiPriority w:val="0"/>
  </w:style>
  <w:style w:type="character" w:customStyle="1" w:styleId="87">
    <w:name w:val="标题 字符"/>
    <w:basedOn w:val="43"/>
    <w:link w:val="39"/>
    <w:qFormat/>
    <w:uiPriority w:val="0"/>
    <w:rPr>
      <w:rFonts w:ascii="Cambria" w:hAnsi="Cambria" w:eastAsia="宋体" w:cs="宋体"/>
      <w:b/>
      <w:bCs/>
      <w:kern w:val="0"/>
      <w:sz w:val="32"/>
      <w:szCs w:val="32"/>
    </w:rPr>
  </w:style>
  <w:style w:type="character" w:customStyle="1" w:styleId="88">
    <w:name w:val="Char Char16"/>
    <w:qFormat/>
    <w:uiPriority w:val="0"/>
    <w:rPr>
      <w:rFonts w:ascii="华文细黑" w:hAnsi="Arial" w:eastAsia="宋体"/>
      <w:b/>
      <w:bCs/>
      <w:sz w:val="44"/>
      <w:szCs w:val="32"/>
      <w:lang w:val="en-US" w:eastAsia="zh-CN" w:bidi="ar-SA"/>
    </w:rPr>
  </w:style>
  <w:style w:type="character" w:customStyle="1" w:styleId="89">
    <w:name w:val="正文文本 (32) + 10.5 pt5"/>
    <w:qFormat/>
    <w:uiPriority w:val="99"/>
    <w:rPr>
      <w:rFonts w:ascii="MingLiU" w:eastAsia="MingLiU" w:cs="MingLiU"/>
      <w:sz w:val="21"/>
      <w:szCs w:val="21"/>
      <w:u w:val="none"/>
    </w:rPr>
  </w:style>
  <w:style w:type="character" w:customStyle="1" w:styleId="90">
    <w:name w:val="正文文本 (2)_"/>
    <w:link w:val="91"/>
    <w:qFormat/>
    <w:uiPriority w:val="99"/>
    <w:rPr>
      <w:rFonts w:ascii="MingLiU" w:eastAsia="MingLiU" w:cs="MingLiU"/>
      <w:spacing w:val="20"/>
      <w:sz w:val="19"/>
      <w:szCs w:val="19"/>
      <w:shd w:val="clear" w:color="auto" w:fill="FFFFFF"/>
    </w:rPr>
  </w:style>
  <w:style w:type="paragraph" w:customStyle="1" w:styleId="91">
    <w:name w:val="正文文本 (2)1"/>
    <w:basedOn w:val="1"/>
    <w:link w:val="90"/>
    <w:qFormat/>
    <w:uiPriority w:val="99"/>
    <w:pPr>
      <w:widowControl/>
      <w:shd w:val="clear" w:color="auto" w:fill="FFFFFF"/>
      <w:spacing w:after="1320" w:line="240" w:lineRule="atLeast"/>
      <w:jc w:val="left"/>
    </w:pPr>
    <w:rPr>
      <w:rFonts w:ascii="MingLiU" w:eastAsia="MingLiU" w:cs="MingLiU"/>
      <w:spacing w:val="20"/>
      <w:sz w:val="19"/>
      <w:szCs w:val="19"/>
    </w:rPr>
  </w:style>
  <w:style w:type="character" w:customStyle="1" w:styleId="92">
    <w:name w:val="正文文本 (32) + 10.5 pt"/>
    <w:qFormat/>
    <w:uiPriority w:val="99"/>
    <w:rPr>
      <w:rFonts w:ascii="MingLiU" w:eastAsia="MingLiU" w:cs="MingLiU"/>
      <w:sz w:val="21"/>
      <w:szCs w:val="21"/>
      <w:u w:val="none"/>
    </w:rPr>
  </w:style>
  <w:style w:type="character" w:customStyle="1" w:styleId="93">
    <w:name w:val="正文文本 (2) + 6 pt"/>
    <w:qFormat/>
    <w:uiPriority w:val="99"/>
    <w:rPr>
      <w:rFonts w:ascii="MingLiU" w:eastAsia="MingLiU" w:cs="MingLiU"/>
      <w:spacing w:val="0"/>
      <w:sz w:val="12"/>
      <w:szCs w:val="12"/>
      <w:u w:val="none"/>
      <w:shd w:val="clear" w:color="auto" w:fill="FFFFFF"/>
    </w:rPr>
  </w:style>
  <w:style w:type="paragraph" w:customStyle="1" w:styleId="9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95">
    <w:name w:val="reader-word-layer reader-word-s1-4"/>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6">
    <w:name w:val="reader-word-layer reader-word-s1-6"/>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7">
    <w:name w:val="reader-word-layer reader-word-s1-7"/>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8">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9">
    <w:name w:val="TOC 标题1"/>
    <w:basedOn w:val="2"/>
    <w:next w:val="1"/>
    <w:qFormat/>
    <w:uiPriority w:val="39"/>
    <w:pPr>
      <w:widowControl/>
      <w:spacing w:before="480" w:line="276" w:lineRule="auto"/>
      <w:jc w:val="left"/>
      <w:outlineLvl w:val="9"/>
    </w:pPr>
    <w:rPr>
      <w:rFonts w:ascii="Cambria" w:hAnsi="Cambria"/>
      <w:bCs w:val="0"/>
      <w:color w:val="365F91"/>
      <w:sz w:val="28"/>
      <w:szCs w:val="28"/>
    </w:rPr>
  </w:style>
  <w:style w:type="paragraph" w:customStyle="1" w:styleId="100">
    <w:name w:val="样式 标题 2第一编标题 2 Char Char Char Char1 CharH2h:2h:2appT2Ah2..."/>
    <w:basedOn w:val="3"/>
    <w:qFormat/>
    <w:uiPriority w:val="0"/>
    <w:pPr>
      <w:spacing w:line="240" w:lineRule="auto"/>
    </w:pPr>
    <w:rPr>
      <w:rFonts w:ascii="宋体" w:hAnsi="宋体" w:cs="宋体"/>
      <w:bCs w:val="0"/>
      <w:sz w:val="30"/>
    </w:rPr>
  </w:style>
  <w:style w:type="paragraph" w:customStyle="1" w:styleId="101">
    <w:name w:val="列出段落1"/>
    <w:basedOn w:val="1"/>
    <w:qFormat/>
    <w:uiPriority w:val="0"/>
    <w:pPr>
      <w:ind w:firstLine="420"/>
    </w:pPr>
  </w:style>
  <w:style w:type="paragraph" w:customStyle="1" w:styleId="102">
    <w:name w:val="样式111"/>
    <w:basedOn w:val="1"/>
    <w:qFormat/>
    <w:uiPriority w:val="0"/>
    <w:pPr>
      <w:ind w:left="550" w:leftChars="550"/>
    </w:pPr>
  </w:style>
  <w:style w:type="paragraph" w:customStyle="1" w:styleId="103">
    <w:name w:val="列出段落2"/>
    <w:basedOn w:val="1"/>
    <w:qFormat/>
    <w:uiPriority w:val="34"/>
    <w:pPr>
      <w:ind w:firstLine="420" w:firstLineChars="200"/>
    </w:pPr>
  </w:style>
  <w:style w:type="paragraph" w:customStyle="1" w:styleId="104">
    <w:name w:val="样式222"/>
    <w:basedOn w:val="1"/>
    <w:qFormat/>
    <w:uiPriority w:val="0"/>
    <w:pPr>
      <w:ind w:left="650" w:leftChars="650"/>
      <w:jc w:val="left"/>
    </w:pPr>
  </w:style>
  <w:style w:type="paragraph" w:styleId="105">
    <w:name w:val="List Paragraph"/>
    <w:basedOn w:val="1"/>
    <w:unhideWhenUsed/>
    <w:qFormat/>
    <w:uiPriority w:val="99"/>
    <w:pPr>
      <w:ind w:firstLine="420" w:firstLineChars="200"/>
    </w:pPr>
  </w:style>
  <w:style w:type="paragraph" w:customStyle="1" w:styleId="106">
    <w:name w:val="列出段落4"/>
    <w:basedOn w:val="1"/>
    <w:unhideWhenUsed/>
    <w:qFormat/>
    <w:uiPriority w:val="99"/>
    <w:pPr>
      <w:ind w:firstLine="420" w:firstLineChars="200"/>
    </w:pPr>
  </w:style>
  <w:style w:type="paragraph" w:customStyle="1" w:styleId="107">
    <w:name w:val="Table Text"/>
    <w:basedOn w:val="1"/>
    <w:semiHidden/>
    <w:qFormat/>
    <w:uiPriority w:val="0"/>
    <w:rPr>
      <w:rFonts w:ascii="宋体" w:hAnsi="宋体" w:eastAsia="宋体" w:cs="宋体"/>
      <w:sz w:val="21"/>
      <w:szCs w:val="21"/>
      <w:lang w:val="en-US" w:eastAsia="en-US" w:bidi="ar-SA"/>
    </w:rPr>
  </w:style>
  <w:style w:type="table" w:customStyle="1" w:styleId="108">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3.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204</Pages>
  <Words>22085</Words>
  <Characters>23623</Characters>
  <Lines>1047</Lines>
  <Paragraphs>294</Paragraphs>
  <TotalTime>19</TotalTime>
  <ScaleCrop>false</ScaleCrop>
  <LinksUpToDate>false</LinksUpToDate>
  <CharactersWithSpaces>24379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2021-11-05T00:06:00Z</dcterms:created>
  <dc:creator>靳 欢</dc:creator>
  <cp:lastModifiedBy>LINHENG</cp:lastModifiedBy>
  <cp:lastPrinted>2025-12-23T08:21:00Z</cp:lastPrinted>
  <dcterms:modified xsi:type="dcterms:W3CDTF">2025-12-23T08:37:02Z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87189F7C6F164319A49942336A76FC4B_13</vt:lpwstr>
  </property>
  <property fmtid="{D5CDD505-2E9C-101B-9397-08002B2CF9AE}" pid="4" name="KSOTemplateDocerSaveRecord">
    <vt:lpwstr>eyJoZGlkIjoiMjgxNDIzNjM1OWU4NDRiM2NkZjUzMDIwMzcyZjAzYmEiLCJ1c2VySWQiOiIzMTY4Njk4MDUifQ==</vt:lpwstr>
  </property>
</Properties>
</file>