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center"/>
        <w:rPr>
          <w:rFonts w:hint="eastAsia" w:ascii="宋体" w:hAnsi="宋体" w:eastAsia="宋体" w:cs="Times New Roman"/>
          <w:b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宋体" w:hAnsi="宋体" w:cs="Times New Roman"/>
          <w:b/>
          <w:kern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Times New Roman"/>
          <w:b/>
          <w:kern w:val="0"/>
          <w:sz w:val="44"/>
          <w:szCs w:val="44"/>
          <w:lang w:eastAsia="zh-CN"/>
        </w:rPr>
        <w:t>建设工程</w:t>
      </w:r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合同</w:t>
      </w:r>
      <w:r>
        <w:rPr>
          <w:rFonts w:hint="eastAsia" w:ascii="宋体" w:hAnsi="宋体" w:cs="Times New Roman"/>
          <w:b/>
          <w:kern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Times New Roman"/>
          <w:b/>
          <w:kern w:val="0"/>
          <w:sz w:val="44"/>
          <w:szCs w:val="44"/>
        </w:rPr>
        <w:t>风险提示</w:t>
      </w:r>
    </w:p>
    <w:p>
      <w:pPr>
        <w:snapToGrid w:val="0"/>
        <w:spacing w:line="300" w:lineRule="auto"/>
        <w:jc w:val="center"/>
        <w:rPr>
          <w:rFonts w:hint="eastAsia" w:ascii="宋体" w:hAnsi="宋体" w:eastAsia="宋体" w:cs="Times New Roman"/>
          <w:b/>
          <w:kern w:val="0"/>
          <w:sz w:val="44"/>
          <w:szCs w:val="44"/>
        </w:rPr>
      </w:pPr>
    </w:p>
    <w:p>
      <w:pPr>
        <w:snapToGrid w:val="0"/>
        <w:spacing w:line="324" w:lineRule="auto"/>
        <w:jc w:val="left"/>
        <w:rPr>
          <w:rFonts w:hint="eastAsia" w:ascii="仿宋_GB2312" w:hAnsi="仿宋_GB2312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各投标人：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我单位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u w:val="single"/>
        </w:rPr>
        <w:t xml:space="preserve">                               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工程名称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项目已具备在深圳市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公共资源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交易服务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</w:rPr>
        <w:t>进行招标的基本条件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。根据《深圳市建设工程合同管理办法》（深建规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〔202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</w:rPr>
        <w:t>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highlight w:val="none"/>
          <w:lang w:val="en-US" w:eastAsia="zh-CN"/>
        </w:rPr>
        <w:t>16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号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eastAsia="zh-CN"/>
        </w:rPr>
        <w:t>）相关规定，请投标人根据本项目招标文件及合同风险提示（详见下表）等，充分评估合同风险，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风险提示存在异议的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在规定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</w:t>
      </w:r>
      <w:r>
        <w:rPr>
          <w:rFonts w:hint="eastAsia" w:ascii="仿宋_GB2312" w:hAnsi="仿宋_GB2312" w:eastAsia="仿宋_GB2312" w:cs="仿宋_GB2312"/>
          <w:sz w:val="32"/>
          <w:szCs w:val="32"/>
        </w:rPr>
        <w:t>限内提出</w:t>
      </w: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。</w:t>
      </w:r>
    </w:p>
    <w:tbl>
      <w:tblPr>
        <w:tblStyle w:val="4"/>
        <w:tblW w:w="10052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69"/>
        <w:gridCol w:w="4996"/>
        <w:gridCol w:w="726"/>
        <w:gridCol w:w="1971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291" w:type="dxa"/>
            <w:gridSpan w:val="3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合同风险提示点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对应合同条款</w:t>
            </w:r>
          </w:p>
          <w:p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位置与序号（</w:t>
            </w: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必填</w:t>
            </w: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eastAsia="zh-CN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9" w:type="dxa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法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性</w:t>
            </w: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合同按规定与招标文件工程范围、建设工期、工程质量、工程价款等实质性内容一致。   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b w:val="0"/>
                <w:bCs w:val="0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合同未违反规定指定由承包人采购的用于工程的建筑材料、建筑构配件和设备品牌或者指定生产厂、供应商。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合同按规定明确约定工程质量、安全控制责任及保障措施。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合同按规定明确约定项目实施需符合的国家、行业、省市颁布的相关规范、标准、规程等。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合同按规定明确约定建筑行业相关管理要求，例如绿色建造、BIM技术应用、建筑废弃物处置、产业工人职业训练、施工过程结算等。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Times New Roman"/>
                <w:b w:val="0"/>
                <w:bCs w:val="0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合同按规定设置合理的合同工期。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合同按规定设置专业工程暂估价。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楷体_GB2312" w:eastAsia="楷体_GB2312"/>
                <w:bCs/>
                <w:sz w:val="22"/>
                <w:lang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按规定明确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约定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预付款、进度款、结算款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以及工人工资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等支付条件、时间及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计算方法等。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合同按规定未要求承包人垫资建设，且未设置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非承包方原因的进度款支付限制条件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合同按规定未要求承包人缴纳除投标保证金、履约保证金、工程质量保证金、农民工工资保证金外的其他保证金，例如预付款担保等。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楷体_GB2312" w:eastAsia="楷体_GB2312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合同按规定明确约定各类保证金的担保方式、数额（比例）、返还方式及返还时间等内容。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Times New Roman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69" w:type="dxa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整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确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性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用词准确、严谨，重要条款突出、醒目，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合同选用价格形式、组成文件及其解释顺序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明确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合理。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69" w:type="dxa"/>
            <w:vMerge w:val="continue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sz w:val="24"/>
                <w:szCs w:val="24"/>
                <w:highlight w:val="none"/>
                <w:lang w:val="en-US" w:eastAsia="zh-CN"/>
              </w:rPr>
              <w:t>合同明确约定工程概况、承包（服务）范围、合同工期（服务期限）、合同主体权利与义务、工程质量安全、合同价格确定与调整、支付与结算、违约责任与索赔、保险、合同解除与终止、争议解决、档案管理、履约评价等主要内容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合同明确约定合同价格可调整情形及调整方式，包括工程量清单缺陷、暂列金额、暂估价、总承包服务费、计日工、物价变化、法律法规及政策性变化、工程变更、工程索赔等。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合同明确约定可调差人工、材料及机械使用的种类、价格变化风险幅度以及超出幅度后的调整方法、支付方式等。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合同明确约定工程变更的范围、程序和时限，以及工程变更价款的确定方法、确定程序和时限、支付方式和相应违约责任等内容。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合同明确约定因发包人要求提前竣工（赶工）的相关补偿条款。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楷体_GB2312" w:eastAsia="楷体_GB2312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合同明确约定因发包人或承包人原因导致工期延误和（或）费用增加的责任承担方式。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合同如有约定费用包干的情形，明确约定费用包干的风险范围以及范围外的费用计取方式，例如包干范围是否包括工程变更等。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合同明确约定合同双方的违约责任、赔偿范围、违约金额或违约金计算方式、违约金上限等内容。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合同明确约定不可抗力事件的范围及因此造成损失的承担方式。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合同明确约定承包人与发包人依法发包专业工程承包单位在质量、安全、工期、费用等方面的管理责任与义务。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楷体_GB2312" w:eastAsia="楷体_GB2312"/>
                <w:bCs/>
                <w:sz w:val="22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合同明确约定合同解除的情形、程序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以及合同解除后的结算和清理。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合同明确约定履约评价的依据、内容、方法，以及结果影响、异议解决方式等内容。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合同明确约定争议的解决方式，包括协商和解、争议评审、机构调解、申请仲裁、提起诉讼等方式。</w:t>
            </w:r>
          </w:p>
        </w:tc>
        <w:tc>
          <w:tcPr>
            <w:tcW w:w="726" w:type="dxa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69" w:type="dxa"/>
            <w:vMerge w:val="restart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  <w:t>风险合理性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合同明确约定建设工程计量与计价的风险内容及其范围。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合同未设置与“人工、材料及机械使用的价格一律不予调差”相同或意思相近的条款。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合同未设置与“因发包人原因造成工期延误和费用增加的，工期不予顺延或仅顺延工期，不予任何经济赔偿”相同或意思相近的条款。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合同未设置与“XX费包干，且结算时不因任何因素调整”相同或意思相近的条款，例如措施费等。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69" w:type="dxa"/>
            <w:vMerge w:val="continue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合同未设置“因不可抗力事件造成的损失全部由一方承担的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相同或意思相近的条款。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snapToGrid w:val="0"/>
              <w:spacing w:line="324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bCs/>
                <w:sz w:val="22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是</w:t>
            </w:r>
          </w:p>
          <w:p>
            <w:pPr>
              <w:jc w:val="both"/>
              <w:rPr>
                <w:rFonts w:hint="eastAsia" w:ascii="楷体_GB2312" w:eastAsia="楷体_GB2312" w:hAnsiTheme="minorHAnsi" w:cstheme="minorBidi"/>
                <w:bCs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楷体_GB2312" w:eastAsia="楷体_GB2312"/>
                <w:bCs/>
                <w:sz w:val="22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0" w:type="dxa"/>
            <w:vAlign w:val="center"/>
          </w:tcPr>
          <w:p>
            <w:pPr>
              <w:snapToGrid w:val="0"/>
              <w:spacing w:line="324" w:lineRule="auto"/>
              <w:jc w:val="center"/>
              <w:rPr>
                <w:rFonts w:hint="default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kern w:val="0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56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lang w:eastAsia="zh-CN"/>
              </w:rPr>
              <w:t>其他</w:t>
            </w:r>
          </w:p>
        </w:tc>
        <w:tc>
          <w:tcPr>
            <w:tcW w:w="4996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合同其他特别约定或需要提示的事项。</w:t>
            </w:r>
          </w:p>
        </w:tc>
        <w:tc>
          <w:tcPr>
            <w:tcW w:w="72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eastAsia="楷体_GB2312"/>
                <w:bCs/>
                <w:sz w:val="22"/>
                <w:lang w:val="en-US" w:eastAsia="zh-CN"/>
              </w:rPr>
            </w:pPr>
          </w:p>
        </w:tc>
        <w:tc>
          <w:tcPr>
            <w:tcW w:w="1971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 w:val="0"/>
        <w:spacing w:line="324" w:lineRule="auto"/>
        <w:ind w:firstLine="640" w:firstLineChars="200"/>
        <w:jc w:val="left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</w:p>
    <w:p>
      <w:pPr>
        <w:snapToGrid w:val="0"/>
        <w:spacing w:line="324" w:lineRule="auto"/>
        <w:ind w:firstLine="4480" w:firstLineChars="1400"/>
        <w:jc w:val="left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招标单位（盖章）:</w:t>
      </w:r>
    </w:p>
    <w:p>
      <w:pPr>
        <w:snapToGrid w:val="0"/>
        <w:spacing w:line="324" w:lineRule="auto"/>
        <w:ind w:firstLine="1920" w:firstLineChars="600"/>
        <w:jc w:val="right"/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Times New Roman"/>
          <w:kern w:val="0"/>
          <w:sz w:val="32"/>
          <w:szCs w:val="32"/>
          <w:lang w:val="en-US" w:eastAsia="zh-CN"/>
        </w:rPr>
        <w:t>年  月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33CC2"/>
    <w:rsid w:val="03DA5D12"/>
    <w:rsid w:val="04D04F7A"/>
    <w:rsid w:val="059C7E2E"/>
    <w:rsid w:val="07A11279"/>
    <w:rsid w:val="0B971551"/>
    <w:rsid w:val="0C8B19C7"/>
    <w:rsid w:val="0F256A9D"/>
    <w:rsid w:val="12835EEB"/>
    <w:rsid w:val="13A5155E"/>
    <w:rsid w:val="15794F7B"/>
    <w:rsid w:val="17C3523B"/>
    <w:rsid w:val="1B253785"/>
    <w:rsid w:val="1B8264F8"/>
    <w:rsid w:val="1BFC2ACA"/>
    <w:rsid w:val="1D790876"/>
    <w:rsid w:val="1FAA4D2A"/>
    <w:rsid w:val="220A5222"/>
    <w:rsid w:val="2314651D"/>
    <w:rsid w:val="245C2C9F"/>
    <w:rsid w:val="266A4EB4"/>
    <w:rsid w:val="27932534"/>
    <w:rsid w:val="2C2E0A7D"/>
    <w:rsid w:val="2E7E4EC9"/>
    <w:rsid w:val="316D57F9"/>
    <w:rsid w:val="32F0549E"/>
    <w:rsid w:val="35BC70FA"/>
    <w:rsid w:val="375F005D"/>
    <w:rsid w:val="38CD6ED0"/>
    <w:rsid w:val="3B0073B6"/>
    <w:rsid w:val="3B0669D9"/>
    <w:rsid w:val="3C817577"/>
    <w:rsid w:val="3FB5734B"/>
    <w:rsid w:val="436239D7"/>
    <w:rsid w:val="43B37141"/>
    <w:rsid w:val="44BE78A6"/>
    <w:rsid w:val="477D5C22"/>
    <w:rsid w:val="4AC7411F"/>
    <w:rsid w:val="4B820516"/>
    <w:rsid w:val="4D42062E"/>
    <w:rsid w:val="4F293BF4"/>
    <w:rsid w:val="507A5724"/>
    <w:rsid w:val="56382E81"/>
    <w:rsid w:val="59473C3E"/>
    <w:rsid w:val="5A617942"/>
    <w:rsid w:val="5AB63322"/>
    <w:rsid w:val="5B662F18"/>
    <w:rsid w:val="5C4F6903"/>
    <w:rsid w:val="5CE83FBB"/>
    <w:rsid w:val="5DDD2180"/>
    <w:rsid w:val="5E0844C4"/>
    <w:rsid w:val="5E7E94F7"/>
    <w:rsid w:val="5EFB63F7"/>
    <w:rsid w:val="61EC2FA9"/>
    <w:rsid w:val="631877B6"/>
    <w:rsid w:val="657A78D9"/>
    <w:rsid w:val="65C13624"/>
    <w:rsid w:val="66676CAC"/>
    <w:rsid w:val="67380427"/>
    <w:rsid w:val="67F05CAF"/>
    <w:rsid w:val="69DD675B"/>
    <w:rsid w:val="6D001554"/>
    <w:rsid w:val="6ECFE907"/>
    <w:rsid w:val="6F4F2658"/>
    <w:rsid w:val="6FDC16FD"/>
    <w:rsid w:val="6FFFBD51"/>
    <w:rsid w:val="70C91424"/>
    <w:rsid w:val="722E4EBA"/>
    <w:rsid w:val="731358A4"/>
    <w:rsid w:val="73A573A1"/>
    <w:rsid w:val="73EC0DDF"/>
    <w:rsid w:val="745DBA2D"/>
    <w:rsid w:val="77F2EF60"/>
    <w:rsid w:val="7AE40A80"/>
    <w:rsid w:val="7BEE03E2"/>
    <w:rsid w:val="7EEA6724"/>
    <w:rsid w:val="7F275AAA"/>
    <w:rsid w:val="7FDEA219"/>
    <w:rsid w:val="7FF97427"/>
    <w:rsid w:val="B53C46A5"/>
    <w:rsid w:val="BFBFB431"/>
    <w:rsid w:val="CFE9BBE2"/>
    <w:rsid w:val="D7DDB0F9"/>
    <w:rsid w:val="DFDF6AF8"/>
    <w:rsid w:val="FEE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2202</Words>
  <Characters>2249</Characters>
  <Lines>0</Lines>
  <Paragraphs>0</Paragraphs>
  <TotalTime>89</TotalTime>
  <ScaleCrop>false</ScaleCrop>
  <LinksUpToDate>false</LinksUpToDate>
  <CharactersWithSpaces>2298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2024-12-09T19:28:00Z</dcterms:created>
  <dc:creator>guoy</dc:creator>
  <cp:lastModifiedBy>Administrator</cp:lastModifiedBy>
  <cp:lastPrinted>2025-12-17T11:47:00Z</cp:lastPrinted>
  <dcterms:modified xsi:type="dcterms:W3CDTF">2025-12-24T02:12:36Z</dcterms:modified>
  <dc:title>关于发布《深圳市建设工程材料设备询价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D7B536CACCF249999D120E0487EB60F4_13</vt:lpwstr>
  </property>
  <property fmtid="{D5CDD505-2E9C-101B-9397-08002B2CF9AE}" pid="4" name="KSOTemplateDocerSaveRecord">
    <vt:lpwstr>eyJoZGlkIjoiYmYwNTcyODQzNGEyYmU3MDhjMzNkMTllNDY1YmIyNjYiLCJ1c2VySWQiOiI1MzYzNjAxMDUifQ==</vt:lpwstr>
  </property>
</Properties>
</file>