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outlineLvl w:val="9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spacing w:line="720" w:lineRule="auto"/>
        <w:jc w:val="center"/>
        <w:outlineLvl w:val="9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spacing w:line="720" w:lineRule="auto"/>
        <w:jc w:val="center"/>
        <w:outlineLvl w:val="9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深圳市物业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专项维修资金管理系统操作手册</w:t>
      </w:r>
    </w:p>
    <w:p>
      <w:pPr>
        <w:jc w:val="center"/>
        <w:outlineLvl w:val="9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lang w:val="en-US" w:eastAsia="zh-CN"/>
        </w:rPr>
        <w:t>专户行篇）</w:t>
      </w:r>
      <w:bookmarkStart w:id="11" w:name="_GoBack"/>
      <w:bookmarkEnd w:id="11"/>
    </w:p>
    <w:p>
      <w:pPr>
        <w:bidi w:val="0"/>
        <w:jc w:val="center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bidi w:val="0"/>
        <w:jc w:val="center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bidi w:val="0"/>
        <w:jc w:val="center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  <w:id w:val="147477836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Cs/>
          <w:kern w:val="2"/>
          <w:sz w:val="28"/>
          <w:szCs w:val="4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32"/>
              <w:szCs w:val="40"/>
            </w:rPr>
            <w:t>目录</w:t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/>
              <w:bCs/>
              <w:sz w:val="44"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/>
              <w:bCs/>
              <w:sz w:val="44"/>
              <w:szCs w:val="44"/>
              <w:lang w:val="en-US" w:eastAsia="zh-CN"/>
            </w:rPr>
            <w:instrText xml:space="preserve">TOC \o "1-3" \h \u </w:instrText>
          </w:r>
          <w:r>
            <w:rPr>
              <w:rFonts w:hint="eastAsia" w:ascii="仿宋" w:hAnsi="仿宋" w:eastAsia="仿宋" w:cs="仿宋"/>
              <w:b/>
              <w:bCs/>
              <w:sz w:val="44"/>
              <w:szCs w:val="44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_Toc680250842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1. </w:t>
          </w:r>
          <w:r>
            <w:rPr>
              <w:rFonts w:hint="eastAsia" w:ascii="仿宋" w:hAnsi="仿宋" w:eastAsia="仿宋" w:cs="仿宋"/>
              <w:lang w:val="en-US" w:eastAsia="zh-CN"/>
            </w:rPr>
            <w:t>竞存报价申请</w:t>
          </w:r>
          <w:r>
            <w:tab/>
          </w:r>
          <w:r>
            <w:fldChar w:fldCharType="begin"/>
          </w:r>
          <w:r>
            <w:instrText xml:space="preserve"> PAGEREF _Toc680250842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_Toc1691109242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1.1. </w:t>
          </w:r>
          <w:r>
            <w:rPr>
              <w:rFonts w:hint="eastAsia" w:ascii="仿宋" w:hAnsi="仿宋" w:eastAsia="仿宋" w:cs="仿宋"/>
              <w:lang w:val="en-US" w:eastAsia="zh-CN"/>
            </w:rPr>
            <w:t>新增申请</w:t>
          </w:r>
          <w:r>
            <w:tab/>
          </w:r>
          <w:r>
            <w:fldChar w:fldCharType="begin"/>
          </w:r>
          <w:r>
            <w:instrText xml:space="preserve"> PAGEREF _Toc1691109242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_Toc1668288531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1.2. </w:t>
          </w:r>
          <w:r>
            <w:rPr>
              <w:rFonts w:hint="eastAsia" w:ascii="仿宋" w:hAnsi="仿宋" w:eastAsia="仿宋" w:cs="仿宋"/>
              <w:lang w:val="en-US" w:eastAsia="zh-CN"/>
            </w:rPr>
            <w:t>确认报价</w:t>
          </w:r>
          <w:r>
            <w:tab/>
          </w:r>
          <w:r>
            <w:fldChar w:fldCharType="begin"/>
          </w:r>
          <w:r>
            <w:instrText xml:space="preserve"> PAGEREF _Toc1668288531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_Toc854762457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1.4. </w:t>
          </w:r>
          <w:r>
            <w:rPr>
              <w:rFonts w:hint="eastAsia" w:ascii="仿宋" w:hAnsi="仿宋" w:eastAsia="仿宋" w:cs="仿宋"/>
              <w:lang w:val="en-US" w:eastAsia="zh-CN"/>
            </w:rPr>
            <w:t>编辑申请信息</w:t>
          </w:r>
          <w:r>
            <w:tab/>
          </w:r>
          <w:r>
            <w:fldChar w:fldCharType="begin"/>
          </w:r>
          <w:r>
            <w:instrText xml:space="preserve"> PAGEREF _Toc854762457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_Toc1025366287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1.5. </w:t>
          </w:r>
          <w:r>
            <w:rPr>
              <w:rFonts w:hint="eastAsia" w:ascii="仿宋" w:hAnsi="仿宋" w:eastAsia="仿宋" w:cs="仿宋"/>
              <w:kern w:val="2"/>
              <w:szCs w:val="24"/>
              <w:lang w:val="en-US" w:eastAsia="zh-CN" w:bidi="ar-SA"/>
            </w:rPr>
            <w:t>删除申请信息</w:t>
          </w:r>
          <w:r>
            <w:tab/>
          </w:r>
          <w:r>
            <w:fldChar w:fldCharType="begin"/>
          </w:r>
          <w:r>
            <w:instrText xml:space="preserve"> PAGEREF _Toc1025366287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_Toc590021912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1.6. </w:t>
          </w:r>
          <w:r>
            <w:rPr>
              <w:rFonts w:hint="eastAsia" w:ascii="仿宋" w:hAnsi="仿宋" w:eastAsia="仿宋" w:cs="仿宋"/>
              <w:lang w:val="en-US" w:eastAsia="zh-CN"/>
            </w:rPr>
            <w:t>查看详情</w:t>
          </w:r>
          <w:r>
            <w:tab/>
          </w:r>
          <w:r>
            <w:fldChar w:fldCharType="begin"/>
          </w:r>
          <w:r>
            <w:instrText xml:space="preserve"> PAGEREF _Toc590021912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_Toc1254539840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lang w:val="en-US" w:eastAsia="zh-CN"/>
            </w:rPr>
            <w:t xml:space="preserve">2. </w:t>
          </w:r>
          <w:r>
            <w:rPr>
              <w:rFonts w:hint="eastAsia" w:ascii="仿宋" w:hAnsi="仿宋" w:eastAsia="仿宋" w:cs="仿宋"/>
              <w:lang w:val="en-US" w:eastAsia="zh-CN"/>
            </w:rPr>
            <w:t>资金增值申请</w:t>
          </w:r>
          <w:r>
            <w:tab/>
          </w:r>
          <w:r>
            <w:fldChar w:fldCharType="begin"/>
          </w:r>
          <w:r>
            <w:instrText xml:space="preserve"> PAGEREF _Toc1254539840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_Toc1003169312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kern w:val="44"/>
              <w:szCs w:val="24"/>
              <w:lang w:val="en-US" w:eastAsia="zh-CN" w:bidi="ar-SA"/>
            </w:rPr>
            <w:t xml:space="preserve">3. </w:t>
          </w:r>
          <w:r>
            <w:rPr>
              <w:rFonts w:hint="eastAsia" w:ascii="仿宋" w:hAnsi="仿宋" w:cs="仿宋"/>
              <w:kern w:val="44"/>
              <w:szCs w:val="24"/>
              <w:lang w:val="en-US" w:eastAsia="zh-CN" w:bidi="ar-SA"/>
            </w:rPr>
            <w:t>造价审核申请查看</w:t>
          </w:r>
          <w:r>
            <w:tab/>
          </w:r>
          <w:r>
            <w:fldChar w:fldCharType="begin"/>
          </w:r>
          <w:r>
            <w:instrText xml:space="preserve"> PAGEREF _Toc1003169312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_Toc1701216212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4. </w:t>
          </w:r>
          <w:r>
            <w:rPr>
              <w:rFonts w:hint="eastAsia" w:ascii="仿宋" w:hAnsi="仿宋" w:eastAsia="仿宋" w:cs="仿宋"/>
              <w:lang w:val="en-US" w:eastAsia="zh-CN"/>
            </w:rPr>
            <w:t>审价</w:t>
          </w:r>
          <w:r>
            <w:rPr>
              <w:rFonts w:hint="eastAsia" w:ascii="仿宋" w:hAnsi="仿宋" w:cs="仿宋"/>
              <w:lang w:val="en-US" w:eastAsia="zh-CN"/>
            </w:rPr>
            <w:t>项目完成情况统计表查看</w:t>
          </w:r>
          <w:r>
            <w:tab/>
          </w:r>
          <w:r>
            <w:fldChar w:fldCharType="begin"/>
          </w:r>
          <w:r>
            <w:instrText xml:space="preserve"> PAGEREF _Toc1701216212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_Toc1368370266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5. </w:t>
          </w:r>
          <w:r>
            <w:rPr>
              <w:rFonts w:hint="eastAsia"/>
              <w:lang w:val="en-US" w:eastAsia="zh-CN"/>
            </w:rPr>
            <w:t>审价情况统计表</w:t>
          </w:r>
          <w:r>
            <w:tab/>
          </w:r>
          <w:r>
            <w:fldChar w:fldCharType="begin"/>
          </w:r>
          <w:r>
            <w:instrText xml:space="preserve"> PAGEREF _Toc1368370266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instrText xml:space="preserve"> HYPERLINK \l _Toc536194368 </w:instrText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6. </w:t>
          </w:r>
          <w:r>
            <w:rPr>
              <w:rFonts w:hint="eastAsia"/>
              <w:lang w:val="en-US" w:eastAsia="zh-CN"/>
            </w:rPr>
            <w:t>添加专户行经办人</w:t>
          </w:r>
          <w:r>
            <w:tab/>
          </w:r>
          <w:r>
            <w:fldChar w:fldCharType="begin"/>
          </w:r>
          <w:r>
            <w:instrText xml:space="preserve"> PAGEREF _Toc536194368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  <w:p>
          <w:pPr>
            <w:bidi w:val="0"/>
            <w:ind w:firstLine="560" w:firstLineChars="200"/>
            <w:jc w:val="center"/>
            <w:outlineLvl w:val="9"/>
            <w:rPr>
              <w:rFonts w:hint="eastAsia" w:ascii="仿宋" w:hAnsi="仿宋" w:eastAsia="仿宋" w:cs="仿宋"/>
              <w:b/>
              <w:bCs/>
              <w:sz w:val="44"/>
              <w:szCs w:val="44"/>
              <w:lang w:val="en-US" w:eastAsia="zh-CN"/>
            </w:rPr>
          </w:pPr>
          <w:r>
            <w:rPr>
              <w:rFonts w:hint="eastAsia" w:ascii="仿宋" w:hAnsi="仿宋" w:eastAsia="仿宋" w:cs="仿宋"/>
              <w:bCs/>
              <w:szCs w:val="44"/>
              <w:lang w:val="en-US" w:eastAsia="zh-CN"/>
            </w:rPr>
            <w:fldChar w:fldCharType="end"/>
          </w:r>
        </w:p>
      </w:sdtContent>
    </w:sdt>
    <w:p>
      <w:pPr>
        <w:pStyle w:val="3"/>
        <w:numPr>
          <w:ilvl w:val="0"/>
          <w:numId w:val="0"/>
        </w:numPr>
        <w:bidi w:val="0"/>
        <w:ind w:left="280" w:leftChars="0"/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bidi w:val="0"/>
        <w:ind w:left="705" w:leftChars="0" w:hanging="425" w:firstLineChars="0"/>
        <w:rPr>
          <w:rFonts w:hint="eastAsia" w:ascii="仿宋" w:hAnsi="仿宋" w:eastAsia="仿宋" w:cs="仿宋"/>
          <w:lang w:val="en-US" w:eastAsia="zh-CN"/>
        </w:rPr>
      </w:pPr>
      <w:bookmarkStart w:id="0" w:name="_Toc680250842"/>
      <w:r>
        <w:rPr>
          <w:rFonts w:hint="eastAsia" w:ascii="仿宋" w:hAnsi="仿宋" w:eastAsia="仿宋" w:cs="仿宋"/>
          <w:lang w:val="en-US" w:eastAsia="zh-CN"/>
        </w:rPr>
        <w:t>竞存报价申请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点击系统左侧菜单：“维修金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管”-“财务管理”-“竞存报价申请”，进入竞存报价申请列表页面。页面基础功能包含：新增、编辑、删除、查看详情、确认报价、打印。当前业务状态下不允许操作的按钮置灰显示。如下图所示：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4785" cy="1584960"/>
            <wp:effectExtent l="0" t="0" r="12065" b="15240"/>
            <wp:docPr id="18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2"/>
        </w:numPr>
        <w:bidi w:val="0"/>
        <w:ind w:left="847" w:leftChars="0" w:hanging="567" w:firstLineChars="0"/>
        <w:rPr>
          <w:rFonts w:hint="eastAsia" w:ascii="仿宋" w:hAnsi="仿宋" w:eastAsia="仿宋" w:cs="仿宋"/>
          <w:lang w:val="en-US" w:eastAsia="zh-CN"/>
        </w:rPr>
      </w:pPr>
      <w:bookmarkStart w:id="1" w:name="_Toc1691109242"/>
      <w:r>
        <w:rPr>
          <w:rFonts w:hint="eastAsia" w:ascii="仿宋" w:hAnsi="仿宋" w:eastAsia="仿宋" w:cs="仿宋"/>
          <w:lang w:val="en-US" w:eastAsia="zh-CN"/>
        </w:rPr>
        <w:t>新增申请</w:t>
      </w:r>
      <w:bookmarkEnd w:id="1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资金竞存开始后，请点击“新增”按钮进入新增报价页面，填写竞存名称、银行所属类型、报价利率（%）、报价额度（万元）、报价有效期、合同约定利率、附件信息。</w:t>
      </w:r>
    </w:p>
    <w:p>
      <w:pPr>
        <w:ind w:firstLine="56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要件上带*号为必传，点击“下载模板”文案下载报价单线下进行盖章后点击“上传”按钮进行上传附件，附件上传完毕后，确认无误点击“提交”按钮进行提交。提交后由专户行领导确认报价，如下图所示：</w:t>
      </w:r>
    </w:p>
    <w:p>
      <w:pPr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3515" cy="2554605"/>
            <wp:effectExtent l="0" t="0" r="13335" b="1714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2"/>
        </w:numPr>
        <w:bidi w:val="0"/>
        <w:ind w:left="847" w:leftChars="0" w:hanging="567" w:firstLineChars="0"/>
        <w:rPr>
          <w:rFonts w:hint="eastAsia" w:ascii="仿宋" w:hAnsi="仿宋" w:eastAsia="仿宋" w:cs="仿宋"/>
          <w:lang w:val="en-US" w:eastAsia="zh-CN"/>
        </w:rPr>
      </w:pPr>
      <w:bookmarkStart w:id="2" w:name="_Toc1668288531"/>
      <w:r>
        <w:rPr>
          <w:rFonts w:hint="eastAsia" w:ascii="仿宋" w:hAnsi="仿宋" w:eastAsia="仿宋" w:cs="仿宋"/>
          <w:lang w:val="en-US" w:eastAsia="zh-CN"/>
        </w:rPr>
        <w:t>确认报价</w:t>
      </w:r>
      <w:bookmarkEnd w:id="2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报价申请须由专户银行领导确认无误后点击“确认报价”按钮，确认后报价信息进入资金竞存报价排名，如需修改点击“退回修改”按钮进行退回经办人重新修改报价信息，如下图所示：</w:t>
      </w:r>
    </w:p>
    <w:p>
      <w:pPr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2405" cy="2934335"/>
            <wp:effectExtent l="0" t="0" r="4445" b="18415"/>
            <wp:docPr id="11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2"/>
        </w:numPr>
        <w:ind w:left="847" w:leftChars="0" w:hanging="567" w:firstLineChars="0"/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打印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可打印申请的文书类型包含：银行报价单。如下图所示：</w:t>
      </w:r>
    </w:p>
    <w:p>
      <w:pPr>
        <w:ind w:firstLine="0" w:firstLineChars="0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271770" cy="926465"/>
            <wp:effectExtent l="0" t="0" r="5080" b="6985"/>
            <wp:docPr id="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2"/>
        </w:numPr>
        <w:bidi w:val="0"/>
        <w:ind w:left="847" w:leftChars="0" w:hanging="567" w:firstLineChars="0"/>
        <w:rPr>
          <w:rFonts w:hint="eastAsia" w:ascii="仿宋" w:hAnsi="仿宋" w:eastAsia="仿宋" w:cs="仿宋"/>
          <w:lang w:val="en-US" w:eastAsia="zh-CN"/>
        </w:rPr>
      </w:pPr>
      <w:bookmarkStart w:id="3" w:name="_Toc854762457"/>
      <w:r>
        <w:rPr>
          <w:rFonts w:hint="eastAsia" w:ascii="仿宋" w:hAnsi="仿宋" w:eastAsia="仿宋" w:cs="仿宋"/>
          <w:lang w:val="en-US" w:eastAsia="zh-CN"/>
        </w:rPr>
        <w:t>编辑申请信息</w:t>
      </w:r>
      <w:bookmarkEnd w:id="3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报价申请在竞存任务截止之前可以对报价信息进行编辑，编辑报价后需要专户行领导进行再次确认，已确认的才能参与报价汇总排名。如下图所示：</w:t>
      </w:r>
    </w:p>
    <w:p>
      <w:pPr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4785" cy="2542540"/>
            <wp:effectExtent l="0" t="0" r="12065" b="10160"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2"/>
        </w:numPr>
        <w:bidi w:val="0"/>
        <w:ind w:left="847" w:leftChars="0" w:hanging="567" w:firstLineChars="0"/>
        <w:rPr>
          <w:rFonts w:hint="eastAsia" w:ascii="仿宋" w:hAnsi="仿宋" w:eastAsia="仿宋" w:cs="仿宋"/>
          <w:lang w:val="en-US" w:eastAsia="zh-CN"/>
        </w:rPr>
      </w:pPr>
      <w:bookmarkStart w:id="4" w:name="_Toc1025366287"/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删除申请信息</w:t>
      </w:r>
      <w:bookmarkEnd w:id="4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报价信息在竞存任务截止之前均可进行删除。如下图所示：</w:t>
      </w:r>
    </w:p>
    <w:p>
      <w:pPr>
        <w:pStyle w:val="2"/>
        <w:rPr>
          <w:rFonts w:hint="eastAsia"/>
        </w:rPr>
      </w:pPr>
      <w:r>
        <w:drawing>
          <wp:inline distT="0" distB="0" distL="114300" distR="114300">
            <wp:extent cx="5271770" cy="1287780"/>
            <wp:effectExtent l="0" t="0" r="5080" b="7620"/>
            <wp:docPr id="5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2"/>
        </w:numPr>
        <w:bidi w:val="0"/>
        <w:ind w:left="847" w:leftChars="0" w:hanging="567" w:firstLineChars="0"/>
        <w:rPr>
          <w:rFonts w:hint="eastAsia" w:ascii="仿宋" w:hAnsi="仿宋" w:eastAsia="仿宋" w:cs="仿宋"/>
          <w:lang w:val="en-US" w:eastAsia="zh-CN"/>
        </w:rPr>
      </w:pPr>
      <w:bookmarkStart w:id="5" w:name="_Toc590021912"/>
      <w:r>
        <w:rPr>
          <w:rFonts w:hint="eastAsia" w:ascii="仿宋" w:hAnsi="仿宋" w:eastAsia="仿宋" w:cs="仿宋"/>
          <w:lang w:val="en-US" w:eastAsia="zh-CN"/>
        </w:rPr>
        <w:t>查看详情</w:t>
      </w:r>
      <w:bookmarkEnd w:id="5"/>
    </w:p>
    <w:p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查看详情时竞存任务已经结束可以查看到报价结果，如果未确认或者竞存任务未结束则无法查看到竞存报价结果。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如下图所示：</w:t>
      </w:r>
    </w:p>
    <w:p>
      <w:pPr>
        <w:ind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109845" cy="4413250"/>
            <wp:effectExtent l="0" t="0" r="0" b="0"/>
            <wp:docPr id="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true"/>
                    </pic:cNvPicPr>
                  </pic:nvPicPr>
                  <pic:blipFill>
                    <a:blip r:embed="rId11"/>
                    <a:srcRect l="2071" t="3336" r="1036" b="1641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705" w:leftChars="0" w:hanging="425" w:firstLineChars="0"/>
        <w:rPr>
          <w:rFonts w:hint="eastAsia" w:ascii="仿宋" w:hAnsi="仿宋" w:eastAsia="仿宋" w:cs="仿宋"/>
          <w:lang w:val="en-US" w:eastAsia="zh-CN"/>
        </w:rPr>
      </w:pPr>
      <w:bookmarkStart w:id="6" w:name="_Toc1254539840"/>
      <w:r>
        <w:rPr>
          <w:rFonts w:hint="eastAsia" w:ascii="仿宋" w:hAnsi="仿宋" w:eastAsia="仿宋" w:cs="仿宋"/>
          <w:lang w:val="en-US" w:eastAsia="zh-CN"/>
        </w:rPr>
        <w:t>资金增值申请</w:t>
      </w:r>
      <w:bookmarkEnd w:id="6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点击系统左侧菜单：“维修金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管”-“财务管理”-“资金增值管理”-“资金增值申请”，进入资金增值申请列表页面。页面基础功能包含：新增、编辑、删除、查看详情、打印。当前业务状态下不允许操作的按钮置灰显示。如下图所示：</w:t>
      </w:r>
    </w:p>
    <w:p>
      <w:pPr>
        <w:ind w:firstLine="0" w:firstLineChars="0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266690" cy="2392045"/>
            <wp:effectExtent l="0" t="0" r="10160" b="8255"/>
            <wp:docPr id="19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点击“新增”按钮，输入增值信息后发起增值。填写增值信息后</w:t>
      </w:r>
      <w:r>
        <w:rPr>
          <w:rFonts w:hint="eastAsia" w:ascii="仿宋" w:hAnsi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点击“提交”按钮，进行提交</w:t>
      </w:r>
      <w:r>
        <w:rPr>
          <w:rFonts w:hint="eastAsia" w:ascii="仿宋" w:hAnsi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等待财务部门审核。如下图所示：</w:t>
      </w:r>
    </w:p>
    <w:p>
      <w:pPr>
        <w:ind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52720" cy="1939925"/>
            <wp:effectExtent l="0" t="0" r="0" b="0"/>
            <wp:docPr id="17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true"/>
                    </pic:cNvPicPr>
                  </pic:nvPicPr>
                  <pic:blipFill>
                    <a:blip r:embed="rId13"/>
                    <a:srcRect t="1789" r="301" b="2353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705" w:leftChars="0" w:hanging="425" w:firstLineChars="0"/>
        <w:rPr>
          <w:rFonts w:hint="eastAsia" w:ascii="仿宋" w:hAnsi="仿宋" w:eastAsia="仿宋" w:cs="仿宋"/>
          <w:b/>
          <w:kern w:val="44"/>
          <w:sz w:val="44"/>
          <w:szCs w:val="24"/>
          <w:lang w:val="en-US" w:eastAsia="zh-CN" w:bidi="ar-SA"/>
        </w:rPr>
      </w:pPr>
      <w:bookmarkStart w:id="7" w:name="_Toc1003169312"/>
      <w:r>
        <w:rPr>
          <w:rFonts w:hint="eastAsia" w:ascii="仿宋" w:hAnsi="仿宋" w:cs="仿宋"/>
          <w:b/>
          <w:kern w:val="44"/>
          <w:sz w:val="44"/>
          <w:szCs w:val="24"/>
          <w:lang w:val="en-US" w:eastAsia="zh-CN" w:bidi="ar-SA"/>
        </w:rPr>
        <w:t>造价审核申请查看</w:t>
      </w:r>
      <w:bookmarkEnd w:id="7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点击系统左侧菜单：“造价审核管理”-“</w:t>
      </w:r>
      <w:r>
        <w:rPr>
          <w:rFonts w:hint="eastAsia" w:ascii="仿宋" w:hAnsi="仿宋" w:cs="仿宋"/>
          <w:sz w:val="28"/>
          <w:szCs w:val="28"/>
          <w:lang w:val="en-US" w:eastAsia="zh-CN"/>
        </w:rPr>
        <w:t>造价审核申请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”，专户行可以查看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到专户行所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关联审价单位的审价业务。如下图所示：</w:t>
      </w:r>
      <w:r>
        <w:drawing>
          <wp:inline distT="0" distB="0" distL="114300" distR="114300">
            <wp:extent cx="5266690" cy="2576195"/>
            <wp:effectExtent l="9525" t="9525" r="19685" b="24130"/>
            <wp:docPr id="20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true"/>
                    </pic:cNvPicPr>
                  </pic:nvPicPr>
                  <pic:blipFill>
                    <a:blip r:embed="rId14"/>
                    <a:srcRect t="1038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6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705" w:leftChars="0" w:hanging="425" w:firstLineChars="0"/>
        <w:rPr>
          <w:rFonts w:hint="default"/>
          <w:lang w:val="en-US" w:eastAsia="zh-CN"/>
        </w:rPr>
      </w:pPr>
      <w:bookmarkStart w:id="8" w:name="_Toc1701216212"/>
      <w:r>
        <w:rPr>
          <w:rFonts w:hint="eastAsia" w:ascii="仿宋" w:hAnsi="仿宋" w:eastAsia="仿宋" w:cs="仿宋"/>
          <w:lang w:val="en-US" w:eastAsia="zh-CN"/>
        </w:rPr>
        <w:t>审价</w:t>
      </w:r>
      <w:r>
        <w:rPr>
          <w:rFonts w:hint="eastAsia" w:ascii="仿宋" w:hAnsi="仿宋" w:cs="仿宋"/>
          <w:lang w:val="en-US" w:eastAsia="zh-CN"/>
        </w:rPr>
        <w:t>项目完成情况统计表查看</w:t>
      </w:r>
      <w:bookmarkEnd w:id="8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点击系统左侧菜单：“造价审核管理”-“审价项目完成情况统计表”，可以查看到专户行下的审价机构已完成的审价记录。如下图所示：</w:t>
      </w:r>
    </w:p>
    <w:p>
      <w:pPr>
        <w:ind w:firstLine="0" w:firstLineChars="0"/>
      </w:pPr>
      <w:r>
        <w:drawing>
          <wp:inline distT="0" distB="0" distL="114300" distR="114300">
            <wp:extent cx="5262245" cy="1725295"/>
            <wp:effectExtent l="0" t="0" r="14605" b="8255"/>
            <wp:docPr id="6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705" w:leftChars="0" w:hanging="425" w:firstLineChars="0"/>
        <w:rPr>
          <w:rFonts w:hint="eastAsia"/>
          <w:lang w:val="en-US" w:eastAsia="zh-CN"/>
        </w:rPr>
      </w:pPr>
      <w:bookmarkStart w:id="9" w:name="_Toc1368370266"/>
      <w:r>
        <w:rPr>
          <w:rFonts w:hint="eastAsia"/>
          <w:lang w:val="en-US" w:eastAsia="zh-CN"/>
        </w:rPr>
        <w:t>审价情况统计表</w:t>
      </w:r>
      <w:bookmarkEnd w:id="9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点击系统左侧菜单：“造价审核管理”-“审价情况统计表”，可以查看到专户行下的审价机构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不同业务单状态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业务数量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。如下图所示：</w:t>
      </w:r>
    </w:p>
    <w:p>
      <w:pPr>
        <w:ind w:firstLine="560" w:firstLineChars="200"/>
      </w:pPr>
      <w:r>
        <w:drawing>
          <wp:inline distT="0" distB="0" distL="114300" distR="114300">
            <wp:extent cx="5271770" cy="2325370"/>
            <wp:effectExtent l="0" t="0" r="5080" b="17780"/>
            <wp:docPr id="9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ind w:left="705" w:leftChars="0" w:hanging="425" w:firstLineChars="0"/>
        <w:rPr>
          <w:rFonts w:hint="eastAsia"/>
          <w:lang w:val="en-US" w:eastAsia="zh-CN"/>
        </w:rPr>
      </w:pPr>
      <w:bookmarkStart w:id="10" w:name="_Toc536194368"/>
      <w:r>
        <w:rPr>
          <w:rFonts w:hint="eastAsia"/>
          <w:lang w:val="en-US" w:eastAsia="zh-CN"/>
        </w:rPr>
        <w:t>添加专户行经办人</w:t>
      </w:r>
      <w:bookmarkEnd w:id="1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点击系统左侧菜单：“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基础数据管理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”-“</w:t>
      </w:r>
      <w:r>
        <w:rPr>
          <w:rFonts w:hint="eastAsia" w:ascii="仿宋" w:hAnsi="仿宋" w:cs="仿宋"/>
          <w:sz w:val="28"/>
          <w:szCs w:val="28"/>
          <w:lang w:val="en-US" w:eastAsia="zh-CN"/>
        </w:rPr>
        <w:t>组织机构管理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cs="仿宋"/>
          <w:sz w:val="28"/>
          <w:szCs w:val="28"/>
          <w:lang w:val="en-US" w:eastAsia="zh-CN"/>
        </w:rPr>
        <w:t>-“专户行管理”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专户行领导账号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可以查看到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所属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专户行</w:t>
      </w:r>
      <w:r>
        <w:rPr>
          <w:rFonts w:hint="eastAsia" w:ascii="仿宋" w:hAnsi="仿宋" w:cs="仿宋"/>
          <w:sz w:val="28"/>
          <w:szCs w:val="28"/>
          <w:lang w:val="en-US" w:eastAsia="zh-CN"/>
        </w:rPr>
        <w:t>的信息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。如下图所示：</w:t>
      </w:r>
    </w:p>
    <w:p>
      <w:pPr>
        <w:pStyle w:val="2"/>
      </w:pPr>
      <w:r>
        <w:drawing>
          <wp:inline distT="0" distB="0" distL="114300" distR="114300">
            <wp:extent cx="5264150" cy="1184910"/>
            <wp:effectExtent l="0" t="0" r="12700" b="15240"/>
            <wp:docPr id="1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点击“人员列表”按钮打开经办人员列表，显示该专户行下所有的经办人员信息。如下图所示：</w:t>
      </w:r>
    </w:p>
    <w:p>
      <w:pPr>
        <w:pStyle w:val="2"/>
        <w:jc w:val="both"/>
      </w:pPr>
      <w:r>
        <w:drawing>
          <wp:inline distT="0" distB="0" distL="114300" distR="114300">
            <wp:extent cx="5271135" cy="2004060"/>
            <wp:effectExtent l="0" t="0" r="5715" b="15240"/>
            <wp:docPr id="1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户行领导可以对人员列表进行新增人员和删除人员。点击“新增经办人”按钮，显示新增经办人员弹窗。姓名、性别、证件类型、证件号码、手机号码为必填项，办公电话、电子邮箱、地址和备注信息为非必填项。如下图所示：</w:t>
      </w:r>
    </w:p>
    <w:p>
      <w:pPr>
        <w:pStyle w:val="2"/>
        <w:jc w:val="both"/>
      </w:pPr>
      <w:r>
        <w:drawing>
          <wp:inline distT="0" distB="0" distL="114300" distR="114300">
            <wp:extent cx="5268595" cy="1769110"/>
            <wp:effectExtent l="0" t="0" r="8255" b="2540"/>
            <wp:docPr id="14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选中专户行经办人数据，点击“删除”按钮，显示二次确认弹窗。如下图所示：</w:t>
      </w:r>
    </w:p>
    <w:p>
      <w:pPr>
        <w:pStyle w:val="2"/>
        <w:jc w:val="both"/>
      </w:pPr>
      <w:r>
        <w:drawing>
          <wp:inline distT="0" distB="0" distL="114300" distR="114300">
            <wp:extent cx="3924300" cy="1333500"/>
            <wp:effectExtent l="0" t="0" r="0" b="0"/>
            <wp:docPr id="15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点击“确定”按钮后，专户行经办人员列表不显示删除后的人员信息。删除后的专户行经办人员不能继续登录维修金系统；专户行经办人自行解除关联后该用户也不显示在经办人员列表中；</w:t>
      </w:r>
    </w:p>
    <w:p>
      <w:pPr>
        <w:pStyle w:val="2"/>
        <w:ind w:firstLine="560" w:firstLineChars="200"/>
        <w:jc w:val="both"/>
        <w:rPr>
          <w:rFonts w:hint="default" w:eastAsia="仿宋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备注：专户行下最多可添加两位经办人。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02589"/>
    <w:multiLevelType w:val="multilevel"/>
    <w:tmpl w:val="8DF02589"/>
    <w:lvl w:ilvl="0" w:tentative="0">
      <w:start w:val="1"/>
      <w:numFmt w:val="decimal"/>
      <w:pStyle w:val="3"/>
      <w:lvlText w:val="%1."/>
      <w:lvlJc w:val="left"/>
      <w:pPr>
        <w:ind w:left="705" w:hanging="425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733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234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289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333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7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51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05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5488" w:hanging="1448"/>
      </w:pPr>
      <w:rPr>
        <w:rFonts w:hint="default"/>
      </w:rPr>
    </w:lvl>
  </w:abstractNum>
  <w:abstractNum w:abstractNumId="1">
    <w:nsid w:val="CE00FFFE"/>
    <w:multiLevelType w:val="multilevel"/>
    <w:tmpl w:val="CE00FF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4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Y1NTM1NDQ1NTA2ODcyOTdjNWZjMGRiNzhlNWMifQ=="/>
  </w:docVars>
  <w:rsids>
    <w:rsidRoot w:val="53036E37"/>
    <w:rsid w:val="03975CF0"/>
    <w:rsid w:val="080B044A"/>
    <w:rsid w:val="08A16908"/>
    <w:rsid w:val="09C5420B"/>
    <w:rsid w:val="0BE1433A"/>
    <w:rsid w:val="0CF70766"/>
    <w:rsid w:val="0EB3B477"/>
    <w:rsid w:val="12B74046"/>
    <w:rsid w:val="19F67B09"/>
    <w:rsid w:val="1A9D7FC6"/>
    <w:rsid w:val="1BF279CC"/>
    <w:rsid w:val="1D201A8B"/>
    <w:rsid w:val="2168668A"/>
    <w:rsid w:val="238050E5"/>
    <w:rsid w:val="24070EDF"/>
    <w:rsid w:val="256059E5"/>
    <w:rsid w:val="26E72954"/>
    <w:rsid w:val="2BBD710F"/>
    <w:rsid w:val="2F9FFE8B"/>
    <w:rsid w:val="303D099F"/>
    <w:rsid w:val="31CF353E"/>
    <w:rsid w:val="330A2382"/>
    <w:rsid w:val="35CA4423"/>
    <w:rsid w:val="37D955E9"/>
    <w:rsid w:val="39627FB8"/>
    <w:rsid w:val="39A67B9E"/>
    <w:rsid w:val="3B2A75F2"/>
    <w:rsid w:val="3E2B3503"/>
    <w:rsid w:val="41DE664A"/>
    <w:rsid w:val="4B381D67"/>
    <w:rsid w:val="4ED1053C"/>
    <w:rsid w:val="4EDC07A9"/>
    <w:rsid w:val="4EFF3AB7"/>
    <w:rsid w:val="4FA26143"/>
    <w:rsid w:val="524644C3"/>
    <w:rsid w:val="52FFC284"/>
    <w:rsid w:val="53036E37"/>
    <w:rsid w:val="53C5125C"/>
    <w:rsid w:val="54B509A9"/>
    <w:rsid w:val="565FB4AE"/>
    <w:rsid w:val="58510280"/>
    <w:rsid w:val="59084281"/>
    <w:rsid w:val="5F4B3119"/>
    <w:rsid w:val="5FA55D24"/>
    <w:rsid w:val="610D5B34"/>
    <w:rsid w:val="65470284"/>
    <w:rsid w:val="6AF7B31E"/>
    <w:rsid w:val="6FFA0CA8"/>
    <w:rsid w:val="709027A3"/>
    <w:rsid w:val="76324266"/>
    <w:rsid w:val="769FE6A5"/>
    <w:rsid w:val="777F42B6"/>
    <w:rsid w:val="77BA8D73"/>
    <w:rsid w:val="77FB2E0E"/>
    <w:rsid w:val="79B2718D"/>
    <w:rsid w:val="79DE20F5"/>
    <w:rsid w:val="7BB74944"/>
    <w:rsid w:val="7BBF14AA"/>
    <w:rsid w:val="7D9B56EA"/>
    <w:rsid w:val="7E1B0A1A"/>
    <w:rsid w:val="7F337D41"/>
    <w:rsid w:val="7FBE53AE"/>
    <w:rsid w:val="7FF1F014"/>
    <w:rsid w:val="7FFB2516"/>
    <w:rsid w:val="85EC8F88"/>
    <w:rsid w:val="ACFEEE68"/>
    <w:rsid w:val="B6AA227E"/>
    <w:rsid w:val="BAFB096E"/>
    <w:rsid w:val="BBDFEB5E"/>
    <w:rsid w:val="BDF62645"/>
    <w:rsid w:val="BFFFED1C"/>
    <w:rsid w:val="D7E3ACEA"/>
    <w:rsid w:val="DDEE8E68"/>
    <w:rsid w:val="DEFBBD82"/>
    <w:rsid w:val="DF7E4496"/>
    <w:rsid w:val="DFFD73A2"/>
    <w:rsid w:val="E5D7CE1C"/>
    <w:rsid w:val="E6D12FF8"/>
    <w:rsid w:val="EEBF7275"/>
    <w:rsid w:val="EEF70261"/>
    <w:rsid w:val="EFEFB1F7"/>
    <w:rsid w:val="F4CE7292"/>
    <w:rsid w:val="F7BD716A"/>
    <w:rsid w:val="FE78CB54"/>
    <w:rsid w:val="FE8FC7E2"/>
    <w:rsid w:val="FEFEE20D"/>
    <w:rsid w:val="FF5D1FF3"/>
    <w:rsid w:val="FFEE55FE"/>
    <w:rsid w:val="FFFE29E1"/>
    <w:rsid w:val="FFFFD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850" w:hanging="453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08" w:hanging="708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053" w:hanging="853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character" w:customStyle="1" w:styleId="15">
    <w:name w:val="标题 2 Char"/>
    <w:link w:val="4"/>
    <w:qFormat/>
    <w:uiPriority w:val="0"/>
    <w:rPr>
      <w:rFonts w:ascii="Arial" w:hAnsi="Arial" w:eastAsia="黑体"/>
      <w:b/>
      <w:sz w:val="32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1404</Words>
  <Characters>1425</Characters>
  <Lines>0</Lines>
  <Paragraphs>0</Paragraphs>
  <TotalTime>2</TotalTime>
  <ScaleCrop>false</ScaleCrop>
  <LinksUpToDate>false</LinksUpToDate>
  <CharactersWithSpaces>1447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2023-02-02T01:06:00Z</dcterms:created>
  <dc:creator>球星</dc:creator>
  <cp:lastModifiedBy>heyj</cp:lastModifiedBy>
  <dcterms:modified xsi:type="dcterms:W3CDTF">2025-12-30T18:03:39Z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A7F1B53391A2442AAB43B3EFD923A90B_13</vt:lpwstr>
  </property>
  <property fmtid="{D5CDD505-2E9C-101B-9397-08002B2CF9AE}" pid="4" name="KSOTemplateDocerSaveRecord">
    <vt:lpwstr>eyJoZGlkIjoiYTEwYjY1NTM1NDQ1NTA2ODcyOTdjNWZjMGRiNzhlNWMiLCJ1c2VySWQiOiIxMTQ4MjUwODU2In0=</vt:lpwstr>
  </property>
</Properties>
</file>