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auto"/>
        <w:jc w:val="center"/>
        <w:outlineLvl w:val="9"/>
        <w:rPr>
          <w:rFonts w:hint="eastAsia" w:ascii="宋体" w:hAnsi="宋体" w:eastAsia="宋体" w:cs="宋体"/>
          <w:b/>
          <w:bCs/>
          <w:sz w:val="52"/>
          <w:szCs w:val="52"/>
        </w:rPr>
      </w:pPr>
    </w:p>
    <w:p>
      <w:pPr>
        <w:spacing w:line="720" w:lineRule="auto"/>
        <w:jc w:val="center"/>
        <w:outlineLvl w:val="9"/>
        <w:rPr>
          <w:rFonts w:hint="eastAsia" w:ascii="宋体" w:hAnsi="宋体" w:eastAsia="宋体" w:cs="宋体"/>
          <w:b/>
          <w:bCs/>
          <w:sz w:val="52"/>
          <w:szCs w:val="52"/>
        </w:rPr>
      </w:pPr>
    </w:p>
    <w:p>
      <w:pPr>
        <w:spacing w:line="720" w:lineRule="auto"/>
        <w:jc w:val="center"/>
        <w:outlineLvl w:val="9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52"/>
          <w:szCs w:val="52"/>
        </w:rPr>
        <w:t>深圳市物业</w:t>
      </w: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专项维修资金管理系统操作手册</w:t>
      </w:r>
    </w:p>
    <w:p>
      <w:pPr>
        <w:jc w:val="center"/>
        <w:outlineLvl w:val="9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（</w:t>
      </w:r>
      <w:r>
        <w:rPr>
          <w:rFonts w:hint="eastAsia" w:ascii="宋体" w:hAnsi="宋体" w:eastAsia="宋体" w:cs="宋体"/>
          <w:b/>
          <w:bCs/>
          <w:color w:val="auto"/>
          <w:sz w:val="52"/>
          <w:szCs w:val="52"/>
          <w:lang w:val="en-US" w:eastAsia="zh-CN"/>
        </w:rPr>
        <w:t>审价单位篇）</w:t>
      </w:r>
    </w:p>
    <w:p>
      <w:pPr>
        <w:bidi w:val="0"/>
        <w:jc w:val="both"/>
        <w:outlineLvl w:val="9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bookmarkStart w:id="17" w:name="_GoBack"/>
      <w:bookmarkEnd w:id="17"/>
    </w:p>
    <w:sdt>
      <w:sdtPr>
        <w:rPr>
          <w:rFonts w:hint="eastAsia" w:ascii="仿宋" w:hAnsi="仿宋" w:eastAsia="仿宋" w:cs="仿宋"/>
          <w:kern w:val="2"/>
          <w:sz w:val="36"/>
          <w:szCs w:val="36"/>
          <w:lang w:val="en-US" w:eastAsia="zh-CN" w:bidi="ar-SA"/>
        </w:rPr>
        <w:id w:val="147477836"/>
        <w15:color w:val="DBDBDB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bCs/>
          <w:kern w:val="2"/>
          <w:sz w:val="28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36"/>
              <w:szCs w:val="36"/>
            </w:rPr>
          </w:pPr>
          <w:r>
            <w:rPr>
              <w:rFonts w:ascii="宋体" w:hAnsi="宋体" w:eastAsia="宋体"/>
              <w:b/>
              <w:bCs/>
              <w:sz w:val="36"/>
              <w:szCs w:val="36"/>
            </w:rPr>
            <w:t>目录</w:t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/>
              <w:bCs/>
              <w:sz w:val="44"/>
              <w:szCs w:val="4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44"/>
              <w:szCs w:val="44"/>
              <w:lang w:val="en-US" w:eastAsia="zh-CN"/>
            </w:rPr>
            <w:instrText xml:space="preserve">TOC \o "1-3" \h \u </w:instrText>
          </w:r>
          <w:r>
            <w:rPr>
              <w:rFonts w:hint="eastAsia" w:ascii="仿宋" w:hAnsi="仿宋" w:eastAsia="仿宋" w:cs="仿宋"/>
              <w:b/>
              <w:bCs/>
              <w:sz w:val="44"/>
              <w:szCs w:val="44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instrText xml:space="preserve"> HYPERLINK \l _Toc2302 </w:instrText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separate"/>
          </w:r>
          <w:r>
            <w:rPr>
              <w:rFonts w:hint="default" w:ascii="仿宋" w:hAnsi="仿宋" w:eastAsia="仿宋" w:cs="仿宋"/>
              <w:lang w:val="en-US" w:eastAsia="zh-CN"/>
            </w:rPr>
            <w:t xml:space="preserve">1. </w:t>
          </w:r>
          <w:r>
            <w:rPr>
              <w:rFonts w:hint="eastAsia" w:ascii="仿宋" w:hAnsi="仿宋" w:eastAsia="仿宋" w:cs="仿宋"/>
              <w:lang w:val="en-US" w:eastAsia="zh-CN"/>
            </w:rPr>
            <w:t>造价</w:t>
          </w:r>
          <w:r>
            <w:rPr>
              <w:rFonts w:hint="eastAsia" w:ascii="仿宋" w:hAnsi="仿宋" w:cs="仿宋"/>
              <w:lang w:val="en-US" w:eastAsia="zh-CN"/>
            </w:rPr>
            <w:t>信息审核</w:t>
          </w:r>
          <w:r>
            <w:tab/>
          </w:r>
          <w:r>
            <w:fldChar w:fldCharType="begin"/>
          </w:r>
          <w:r>
            <w:instrText xml:space="preserve"> PAGEREF _Toc2302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instrText xml:space="preserve"> HYPERLINK \l _Toc13654 </w:instrText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1.1. </w:t>
          </w:r>
          <w:r>
            <w:rPr>
              <w:rFonts w:hint="eastAsia" w:ascii="仿宋" w:hAnsi="仿宋" w:eastAsia="仿宋" w:cs="仿宋"/>
              <w:lang w:val="en-US" w:eastAsia="zh-CN"/>
            </w:rPr>
            <w:t>预审</w:t>
          </w:r>
          <w:r>
            <w:tab/>
          </w:r>
          <w:r>
            <w:fldChar w:fldCharType="begin"/>
          </w:r>
          <w:r>
            <w:instrText xml:space="preserve"> PAGEREF _Toc13654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instrText xml:space="preserve"> HYPERLINK \l _Toc1185 </w:instrText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1.2. </w:t>
          </w:r>
          <w:r>
            <w:rPr>
              <w:rFonts w:hint="eastAsia" w:ascii="仿宋" w:hAnsi="仿宋" w:eastAsia="仿宋" w:cs="仿宋"/>
              <w:lang w:val="en-US" w:eastAsia="zh-CN"/>
            </w:rPr>
            <w:t>收件</w:t>
          </w:r>
          <w:r>
            <w:tab/>
          </w:r>
          <w:r>
            <w:fldChar w:fldCharType="begin"/>
          </w:r>
          <w:r>
            <w:instrText xml:space="preserve"> PAGEREF _Toc1185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instrText xml:space="preserve"> HYPERLINK \l _Toc27063 </w:instrText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1.3. </w:t>
          </w:r>
          <w:r>
            <w:rPr>
              <w:rFonts w:hint="eastAsia" w:ascii="仿宋" w:hAnsi="仿宋" w:eastAsia="仿宋" w:cs="仿宋"/>
              <w:lang w:val="en-US" w:eastAsia="zh-CN"/>
            </w:rPr>
            <w:t>受理</w:t>
          </w:r>
          <w:r>
            <w:tab/>
          </w:r>
          <w:r>
            <w:fldChar w:fldCharType="begin"/>
          </w:r>
          <w:r>
            <w:instrText xml:space="preserve"> PAGEREF _Toc27063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instrText xml:space="preserve"> HYPERLINK \l _Toc4547 </w:instrText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1.3.1. </w:t>
          </w:r>
          <w:r>
            <w:rPr>
              <w:rFonts w:hint="eastAsia" w:ascii="仿宋" w:hAnsi="仿宋" w:eastAsia="仿宋" w:cs="仿宋"/>
              <w:lang w:val="en-US" w:eastAsia="zh-CN"/>
            </w:rPr>
            <w:t>补正补件</w:t>
          </w:r>
          <w:r>
            <w:tab/>
          </w:r>
          <w:r>
            <w:fldChar w:fldCharType="begin"/>
          </w:r>
          <w:r>
            <w:instrText xml:space="preserve"> PAGEREF _Toc4547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instrText xml:space="preserve"> HYPERLINK \l _Toc25385 </w:instrText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1.3.2. </w:t>
          </w:r>
          <w:r>
            <w:rPr>
              <w:rFonts w:hint="eastAsia" w:ascii="仿宋" w:hAnsi="仿宋" w:eastAsia="仿宋" w:cs="仿宋"/>
              <w:lang w:val="en-US" w:eastAsia="zh-CN"/>
            </w:rPr>
            <w:t>补正受理</w:t>
          </w:r>
          <w:r>
            <w:tab/>
          </w:r>
          <w:r>
            <w:fldChar w:fldCharType="begin"/>
          </w:r>
          <w:r>
            <w:instrText xml:space="preserve"> PAGEREF _Toc25385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instrText xml:space="preserve"> HYPERLINK \l _Toc25613 </w:instrText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1.3.3. </w:t>
          </w:r>
          <w:r>
            <w:rPr>
              <w:rFonts w:hint="eastAsia" w:ascii="仿宋" w:hAnsi="仿宋" w:eastAsia="仿宋" w:cs="仿宋"/>
              <w:lang w:val="en-US" w:eastAsia="zh-CN"/>
            </w:rPr>
            <w:t>延期</w:t>
          </w:r>
          <w:r>
            <w:tab/>
          </w:r>
          <w:r>
            <w:fldChar w:fldCharType="begin"/>
          </w:r>
          <w:r>
            <w:instrText xml:space="preserve"> PAGEREF _Toc25613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instrText xml:space="preserve"> HYPERLINK \l _Toc19726 </w:instrText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1.4. </w:t>
          </w:r>
          <w:r>
            <w:rPr>
              <w:rFonts w:hint="eastAsia" w:ascii="仿宋" w:hAnsi="仿宋" w:eastAsia="仿宋" w:cs="仿宋"/>
              <w:lang w:val="en-US" w:eastAsia="zh-CN"/>
            </w:rPr>
            <w:t>已完结</w:t>
          </w:r>
          <w:r>
            <w:tab/>
          </w:r>
          <w:r>
            <w:fldChar w:fldCharType="begin"/>
          </w:r>
          <w:r>
            <w:instrText xml:space="preserve"> PAGEREF _Toc19726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instrText xml:space="preserve"> HYPERLINK \l _Toc11823 </w:instrText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separate"/>
          </w:r>
          <w:r>
            <w:rPr>
              <w:rFonts w:hint="default" w:ascii="仿宋" w:hAnsi="仿宋" w:eastAsia="仿宋" w:cs="仿宋"/>
              <w:lang w:val="en-US" w:eastAsia="zh-CN"/>
            </w:rPr>
            <w:t xml:space="preserve">2. </w:t>
          </w:r>
          <w:r>
            <w:rPr>
              <w:rFonts w:hint="eastAsia" w:ascii="仿宋" w:hAnsi="仿宋" w:eastAsia="仿宋" w:cs="仿宋"/>
              <w:lang w:val="en-US" w:eastAsia="zh-CN"/>
            </w:rPr>
            <w:t>审价</w:t>
          </w:r>
          <w:r>
            <w:rPr>
              <w:rFonts w:hint="eastAsia" w:ascii="仿宋" w:hAnsi="仿宋" w:cs="仿宋"/>
              <w:lang w:val="en-US" w:eastAsia="zh-CN"/>
            </w:rPr>
            <w:t>项目完成情况统计表查看</w:t>
          </w:r>
          <w:r>
            <w:tab/>
          </w:r>
          <w:r>
            <w:fldChar w:fldCharType="begin"/>
          </w:r>
          <w:r>
            <w:instrText xml:space="preserve"> PAGEREF _Toc11823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end"/>
          </w:r>
        </w:p>
        <w:p>
          <w:pPr>
            <w:bidi w:val="0"/>
            <w:ind w:firstLine="560" w:firstLineChars="200"/>
            <w:jc w:val="center"/>
            <w:outlineLvl w:val="9"/>
            <w:rPr>
              <w:rFonts w:hint="eastAsia" w:ascii="仿宋" w:hAnsi="仿宋" w:eastAsia="仿宋" w:cs="仿宋"/>
              <w:b/>
              <w:bCs/>
              <w:sz w:val="44"/>
              <w:szCs w:val="44"/>
              <w:lang w:val="en-US" w:eastAsia="zh-CN"/>
            </w:rPr>
          </w:pPr>
          <w:r>
            <w:rPr>
              <w:rFonts w:hint="eastAsia" w:ascii="仿宋" w:hAnsi="仿宋" w:eastAsia="仿宋" w:cs="仿宋"/>
              <w:bCs/>
              <w:szCs w:val="44"/>
              <w:lang w:val="en-US" w:eastAsia="zh-CN"/>
            </w:rPr>
            <w:fldChar w:fldCharType="end"/>
          </w:r>
        </w:p>
      </w:sdtContent>
    </w:sdt>
    <w:p>
      <w:pPr>
        <w:pStyle w:val="3"/>
        <w:numPr>
          <w:ilvl w:val="0"/>
          <w:numId w:val="0"/>
        </w:numPr>
        <w:bidi w:val="0"/>
        <w:ind w:left="280" w:leftChars="0"/>
        <w:rPr>
          <w:rFonts w:hint="eastAsia" w:ascii="仿宋" w:hAnsi="仿宋" w:eastAsia="仿宋" w:cs="仿宋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3"/>
        <w:bidi w:val="0"/>
        <w:ind w:left="705" w:leftChars="0" w:hanging="425" w:firstLineChars="0"/>
        <w:rPr>
          <w:rFonts w:hint="eastAsia" w:ascii="仿宋" w:hAnsi="仿宋" w:eastAsia="仿宋" w:cs="仿宋"/>
          <w:lang w:val="en-US" w:eastAsia="zh-CN"/>
        </w:rPr>
      </w:pPr>
      <w:bookmarkStart w:id="0" w:name="_Toc13368"/>
      <w:bookmarkStart w:id="1" w:name="_Toc2302"/>
      <w:r>
        <w:rPr>
          <w:rFonts w:hint="eastAsia" w:ascii="仿宋" w:hAnsi="仿宋" w:eastAsia="仿宋" w:cs="仿宋"/>
          <w:lang w:val="en-US" w:eastAsia="zh-CN"/>
        </w:rPr>
        <w:t>造价</w:t>
      </w:r>
      <w:r>
        <w:rPr>
          <w:rFonts w:hint="eastAsia" w:ascii="仿宋" w:hAnsi="仿宋" w:cs="仿宋"/>
          <w:lang w:val="en-US" w:eastAsia="zh-CN"/>
        </w:rPr>
        <w:t>信息审核</w:t>
      </w:r>
      <w:bookmarkEnd w:id="0"/>
      <w:bookmarkEnd w:id="1"/>
    </w:p>
    <w:p>
      <w:pPr>
        <w:ind w:firstLine="562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办理流程：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申请人提交→区中心</w:t>
      </w:r>
      <w:r>
        <w:rPr>
          <w:rFonts w:hint="eastAsia" w:ascii="仿宋" w:hAnsi="仿宋" w:cs="仿宋"/>
          <w:sz w:val="28"/>
          <w:szCs w:val="28"/>
          <w:lang w:val="en-US" w:eastAsia="zh-CN"/>
        </w:rPr>
        <w:t>分配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→审价单位</w:t>
      </w:r>
      <w:r>
        <w:rPr>
          <w:rFonts w:hint="eastAsia" w:ascii="仿宋" w:hAnsi="仿宋" w:cs="仿宋"/>
          <w:sz w:val="28"/>
          <w:szCs w:val="28"/>
          <w:lang w:val="en-US" w:eastAsia="zh-CN"/>
        </w:rPr>
        <w:t>预审、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收件、受理→审价单位办结。</w:t>
      </w:r>
    </w:p>
    <w:p>
      <w:pPr>
        <w:pStyle w:val="4"/>
        <w:rPr>
          <w:rFonts w:hint="default"/>
          <w:lang w:val="en-US" w:eastAsia="zh-CN"/>
        </w:rPr>
      </w:pPr>
      <w:bookmarkStart w:id="2" w:name="_Toc13654"/>
      <w:bookmarkStart w:id="3" w:name="_Toc9747"/>
      <w:r>
        <w:rPr>
          <w:rFonts w:hint="eastAsia" w:ascii="仿宋" w:hAnsi="仿宋" w:eastAsia="仿宋" w:cs="仿宋"/>
          <w:lang w:val="en-US" w:eastAsia="zh-CN"/>
        </w:rPr>
        <w:t>预审</w:t>
      </w:r>
      <w:bookmarkEnd w:id="2"/>
    </w:p>
    <w:p>
      <w:pPr>
        <w:ind w:firstLine="560" w:firstLineChars="200"/>
        <w:rPr>
          <w:rFonts w:hint="eastAsia" w:ascii="仿宋" w:hAnsi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区中心分配后，由审价机构经办人进行预审，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在系统首页的待办列表中可找到该申请单</w:t>
      </w:r>
      <w:r>
        <w:rPr>
          <w:rFonts w:hint="eastAsia" w:ascii="仿宋" w:hAnsi="仿宋" w:cs="仿宋"/>
          <w:b w:val="0"/>
          <w:bCs w:val="0"/>
          <w:sz w:val="28"/>
          <w:szCs w:val="28"/>
          <w:lang w:val="en-US" w:eastAsia="zh-CN"/>
        </w:rPr>
        <w:t>，点击进入预审页面。预审页面有“转办申请人修改”、“退回”、“审核通过”按钮。如下图所示：</w:t>
      </w:r>
    </w:p>
    <w:p>
      <w:pPr>
        <w:ind w:firstLine="0" w:firstLineChars="0"/>
      </w:pPr>
      <w:r>
        <w:drawing>
          <wp:inline distT="0" distB="0" distL="114300" distR="114300">
            <wp:extent cx="5271135" cy="1555115"/>
            <wp:effectExtent l="0" t="0" r="5715" b="698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如果申请人提交的申请资料不全，审价单位人员可以点击“转办申请人修改”按钮，申请单会显示在申请人的待办事项中，由申请人修改成功后再转给审价单位人员继续审核。如下图所示：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4019550" cy="1400175"/>
            <wp:effectExtent l="0" t="0" r="0" b="9525"/>
            <wp:docPr id="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信息确认无误后，审价单位人员可以点击“审核通过”按钮，如需退文可以点击“退回”按钮。如下图所示：</w:t>
      </w:r>
    </w:p>
    <w:p>
      <w:pPr>
        <w:ind w:firstLine="0" w:firstLineChars="0"/>
      </w:pPr>
      <w:r>
        <w:drawing>
          <wp:inline distT="0" distB="0" distL="114300" distR="114300">
            <wp:extent cx="5261610" cy="1545590"/>
            <wp:effectExtent l="0" t="0" r="15240" b="16510"/>
            <wp:docPr id="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审核通过后，申请单状态显示“待收文”。如下图所示：</w:t>
      </w:r>
    </w:p>
    <w:p>
      <w:pPr>
        <w:ind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878205"/>
            <wp:effectExtent l="0" t="0" r="14605" b="17145"/>
            <wp:docPr id="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>
      <w:pPr>
        <w:pStyle w:val="4"/>
        <w:ind w:left="733" w:hanging="453"/>
        <w:rPr>
          <w:rFonts w:hint="default"/>
          <w:lang w:val="en-US" w:eastAsia="zh-CN"/>
        </w:rPr>
      </w:pPr>
      <w:bookmarkStart w:id="4" w:name="_Toc1185"/>
      <w:r>
        <w:rPr>
          <w:rFonts w:hint="eastAsia" w:ascii="仿宋" w:hAnsi="仿宋" w:eastAsia="仿宋" w:cs="仿宋"/>
          <w:lang w:val="en-US" w:eastAsia="zh-CN"/>
        </w:rPr>
        <w:t>收件</w:t>
      </w:r>
      <w:bookmarkEnd w:id="4"/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预审通过后，由审价机构经办人进行收文，在系统首页的待办列表中可找到该申请单，点击进入收件页面。进入收件页面后，勾选对应的收件材料，点击收件材料名称后“查看”按钮，可下载电子附件进行查看，点击“审价申请记录”按钮，可以查看到该小区以往申请的所有审价记录。如下图所示：</w:t>
      </w:r>
    </w:p>
    <w:p>
      <w:pPr>
        <w:numPr>
          <w:ilvl w:val="0"/>
          <w:numId w:val="0"/>
        </w:numPr>
        <w:ind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1610" cy="2604135"/>
            <wp:effectExtent l="0" t="0" r="15240" b="5715"/>
            <wp:docPr id="21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审价申请记录页面，如下图所示：</w:t>
      </w:r>
    </w:p>
    <w:p>
      <w:pPr>
        <w:numPr>
          <w:ilvl w:val="0"/>
          <w:numId w:val="0"/>
        </w:numPr>
        <w:ind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68595" cy="2115820"/>
            <wp:effectExtent l="0" t="0" r="8255" b="17780"/>
            <wp:docPr id="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确认信息无误后可点击“收文”按钮，如需退文点击“退件”按钮。如下图所示：</w:t>
      </w:r>
    </w:p>
    <w:p>
      <w:pPr>
        <w:numPr>
          <w:ilvl w:val="0"/>
          <w:numId w:val="0"/>
        </w:numPr>
        <w:ind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0500" cy="2632075"/>
            <wp:effectExtent l="0" t="0" r="6350" b="15875"/>
            <wp:docPr id="23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33" w:leftChars="0" w:hanging="453" w:firstLineChars="0"/>
        <w:rPr>
          <w:rFonts w:hint="eastAsia" w:ascii="仿宋" w:hAnsi="仿宋" w:eastAsia="仿宋" w:cs="仿宋"/>
          <w:lang w:val="en-US" w:eastAsia="zh-CN"/>
        </w:rPr>
      </w:pPr>
      <w:bookmarkStart w:id="5" w:name="_Toc8171"/>
      <w:bookmarkStart w:id="6" w:name="_Toc27063"/>
      <w:r>
        <w:rPr>
          <w:rFonts w:hint="eastAsia" w:ascii="仿宋" w:hAnsi="仿宋" w:eastAsia="仿宋" w:cs="仿宋"/>
          <w:lang w:val="en-US" w:eastAsia="zh-CN"/>
        </w:rPr>
        <w:t>受理</w:t>
      </w:r>
      <w:bookmarkEnd w:id="5"/>
      <w:bookmarkEnd w:id="6"/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经办人确认信息无误后，点击“受理”按钮进行受理或不予受理。如下图所示：</w:t>
      </w:r>
    </w:p>
    <w:p>
      <w:pPr>
        <w:numPr>
          <w:ilvl w:val="0"/>
          <w:numId w:val="0"/>
        </w:numPr>
        <w:ind w:leftChars="0" w:firstLine="0" w:firstLineChars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71135" cy="2444115"/>
            <wp:effectExtent l="0" t="0" r="5715" b="13335"/>
            <wp:docPr id="1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点击“受理”按钮进行受理，该业务状态办理进度为“审核中”状态。如下图所示：</w:t>
      </w:r>
    </w:p>
    <w:p>
      <w:pPr>
        <w:numPr>
          <w:ilvl w:val="0"/>
          <w:numId w:val="0"/>
        </w:numPr>
        <w:ind w:leftChars="0" w:firstLine="0" w:firstLineChars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0500" cy="1838325"/>
            <wp:effectExtent l="0" t="0" r="6350" b="9525"/>
            <wp:docPr id="9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点击“不予受理”按钮，则不予受理，该业务状态办理进度为“审核退文”状态。如下图所示：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64785" cy="1812290"/>
            <wp:effectExtent l="0" t="0" r="12065" b="16510"/>
            <wp:docPr id="10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733" w:leftChars="0" w:hanging="453" w:firstLineChars="0"/>
        <w:rPr>
          <w:rFonts w:hint="eastAsia" w:ascii="仿宋" w:hAnsi="仿宋" w:eastAsia="仿宋" w:cs="仿宋"/>
          <w:lang w:val="en-US" w:eastAsia="zh-CN"/>
        </w:rPr>
      </w:pPr>
      <w:bookmarkStart w:id="7" w:name="_Toc4547"/>
      <w:bookmarkStart w:id="8" w:name="_Toc276"/>
      <w:r>
        <w:rPr>
          <w:rFonts w:hint="eastAsia" w:ascii="仿宋" w:hAnsi="仿宋" w:eastAsia="仿宋" w:cs="仿宋"/>
          <w:lang w:val="en-US" w:eastAsia="zh-CN"/>
        </w:rPr>
        <w:t>补正补件</w:t>
      </w:r>
      <w:bookmarkEnd w:id="7"/>
      <w:bookmarkEnd w:id="8"/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如需补充材料，可点击“补正补件”按钮，进入补正补件材料列表页面。如下图所示：</w:t>
      </w:r>
    </w:p>
    <w:p>
      <w:pPr>
        <w:numPr>
          <w:ilvl w:val="0"/>
          <w:numId w:val="0"/>
        </w:numPr>
        <w:ind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7960" cy="2654935"/>
            <wp:effectExtent l="0" t="0" r="8890" b="12065"/>
            <wp:docPr id="36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在补正补件的列表页面，点击“新增”按钮新增材料信息，选择材料名称填写所属份数，确认无误后点击“确定”按钮。如下图所示：</w:t>
      </w:r>
    </w:p>
    <w:p>
      <w:pPr>
        <w:numPr>
          <w:ilvl w:val="0"/>
          <w:numId w:val="0"/>
        </w:numPr>
        <w:ind w:leftChars="0" w:firstLine="0" w:firstLineChars="0"/>
        <w:jc w:val="center"/>
        <w:rPr>
          <w:rFonts w:hint="eastAsia" w:ascii="仿宋" w:hAnsi="仿宋" w:eastAsia="仿宋" w:cs="仿宋"/>
        </w:rPr>
      </w:pPr>
    </w:p>
    <w:p>
      <w:pPr>
        <w:numPr>
          <w:ilvl w:val="0"/>
          <w:numId w:val="0"/>
        </w:numPr>
        <w:ind w:leftChars="0" w:firstLine="0" w:firstLineChars="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15255" cy="1156335"/>
            <wp:effectExtent l="0" t="0" r="0" b="0"/>
            <wp:docPr id="29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true"/>
                    </pic:cNvPicPr>
                  </pic:nvPicPr>
                  <pic:blipFill>
                    <a:blip r:embed="rId16"/>
                    <a:srcRect l="615" t="29971" r="314" b="29025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如需修改点击“编辑”按钮修改编辑材料信息，如需删除点击“删除”按钮删除材料信息，填写备注信息，确认信息无误后点击“送出”按钮</w:t>
      </w:r>
      <w:r>
        <w:rPr>
          <w:rFonts w:hint="eastAsia" w:ascii="仿宋" w:hAnsi="仿宋" w:cs="仿宋"/>
          <w:b w:val="0"/>
          <w:bCs w:val="0"/>
          <w:sz w:val="28"/>
          <w:szCs w:val="28"/>
          <w:lang w:val="en-US"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该业务的办理进度为“挂起”状态。如下图所示：</w:t>
      </w:r>
    </w:p>
    <w:p>
      <w:pPr>
        <w:numPr>
          <w:ilvl w:val="-1"/>
          <w:numId w:val="0"/>
        </w:numPr>
        <w:ind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3675" cy="2814955"/>
            <wp:effectExtent l="0" t="0" r="3175" b="4445"/>
            <wp:docPr id="31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在业务申请的列表页，该申请单的办理进度为“挂起”状态，如下图所示：</w:t>
      </w:r>
    </w:p>
    <w:p>
      <w:pPr>
        <w:numPr>
          <w:ilvl w:val="0"/>
          <w:numId w:val="0"/>
        </w:numPr>
        <w:ind w:leftChars="0" w:firstLine="0" w:firstLineChars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7960" cy="1622425"/>
            <wp:effectExtent l="0" t="0" r="8890" b="15875"/>
            <wp:docPr id="11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Chars="0" w:firstLine="562" w:firstLineChars="200"/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eastAsia="zh-CN"/>
        </w:rPr>
        <w:t>注意：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挂起30日内未进行补交材料系统自动退文。</w:t>
      </w:r>
    </w:p>
    <w:p>
      <w:pPr>
        <w:pStyle w:val="5"/>
        <w:bidi w:val="0"/>
        <w:ind w:left="733" w:leftChars="0" w:hanging="453" w:firstLineChars="0"/>
        <w:rPr>
          <w:rFonts w:hint="eastAsia" w:ascii="仿宋" w:hAnsi="仿宋" w:eastAsia="仿宋" w:cs="仿宋"/>
          <w:lang w:val="en-US" w:eastAsia="zh-CN"/>
        </w:rPr>
      </w:pPr>
      <w:bookmarkStart w:id="9" w:name="_Toc31417"/>
      <w:bookmarkStart w:id="10" w:name="_Toc25385"/>
      <w:r>
        <w:rPr>
          <w:rFonts w:hint="eastAsia" w:ascii="仿宋" w:hAnsi="仿宋" w:eastAsia="仿宋" w:cs="仿宋"/>
          <w:lang w:val="en-US" w:eastAsia="zh-CN"/>
        </w:rPr>
        <w:t>补正受理</w:t>
      </w:r>
      <w:bookmarkEnd w:id="9"/>
      <w:bookmarkEnd w:id="10"/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材料信息补齐确认无误后，点击“补正受理”按钮，该业务的办理进度为“待受理”状态，如下图所示：</w:t>
      </w:r>
    </w:p>
    <w:p>
      <w:pPr>
        <w:numPr>
          <w:ilvl w:val="0"/>
          <w:numId w:val="0"/>
        </w:numPr>
        <w:ind w:leftChars="0"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2245" cy="2639060"/>
            <wp:effectExtent l="0" t="0" r="14605" b="8890"/>
            <wp:docPr id="37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0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在业务申请列表页，该申请单的办理进度为“待受理”，如下图所示：</w:t>
      </w:r>
    </w:p>
    <w:p>
      <w:pPr>
        <w:numPr>
          <w:ilvl w:val="0"/>
          <w:numId w:val="0"/>
        </w:numPr>
        <w:ind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65420" cy="1593850"/>
            <wp:effectExtent l="0" t="0" r="11430" b="6350"/>
            <wp:docPr id="12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ind w:left="733" w:leftChars="0" w:hanging="453" w:firstLineChars="0"/>
        <w:rPr>
          <w:rFonts w:hint="eastAsia" w:ascii="仿宋" w:hAnsi="仿宋" w:eastAsia="仿宋" w:cs="仿宋"/>
          <w:lang w:val="en-US" w:eastAsia="zh-CN"/>
        </w:rPr>
      </w:pPr>
      <w:bookmarkStart w:id="11" w:name="_Toc23264"/>
      <w:bookmarkStart w:id="12" w:name="_Toc25613"/>
      <w:r>
        <w:rPr>
          <w:rFonts w:hint="eastAsia" w:ascii="仿宋" w:hAnsi="仿宋" w:eastAsia="仿宋" w:cs="仿宋"/>
          <w:lang w:val="en-US" w:eastAsia="zh-CN"/>
        </w:rPr>
        <w:t>延期</w:t>
      </w:r>
      <w:bookmarkEnd w:id="11"/>
      <w:bookmarkEnd w:id="12"/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根据业务实际情况，可对造价审核业务进行延期。点击“申请延期”按钮进行延期，延期天数在原有办理时限的基础上新增一倍，如之前办理时限为5个工作日，延期后办理时限增加5个工作日，总办理时限为10个工作日，确认信息无误后点击“提交”按钮，提交后由区中心人员进行审批。如下图示：</w:t>
      </w:r>
    </w:p>
    <w:p>
      <w:pPr>
        <w:ind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1610" cy="2645410"/>
            <wp:effectExtent l="0" t="0" r="15240" b="2540"/>
            <wp:docPr id="40" name="图片 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3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延期申请页面，如下图所示：</w:t>
      </w:r>
    </w:p>
    <w:p>
      <w:pPr>
        <w:ind w:firstLine="0" w:firstLineChars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73675" cy="1815465"/>
            <wp:effectExtent l="0" t="0" r="3175" b="13335"/>
            <wp:docPr id="43" name="图片 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6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审批通过后该业务的办理时限（工作日）由原来的5个工作日变为10个工作日，延期天数在原有办理基础上新增一倍。如下图所示：</w:t>
      </w:r>
    </w:p>
    <w:p>
      <w:pPr>
        <w:ind w:firstLine="0" w:firstLineChars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6055" cy="1583055"/>
            <wp:effectExtent l="0" t="0" r="10795" b="17145"/>
            <wp:docPr id="13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延期申请通过后的办理时限，如下图所示：</w:t>
      </w:r>
    </w:p>
    <w:p>
      <w:pPr>
        <w:ind w:firstLine="0" w:firstLineChars="0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69230" cy="1574165"/>
            <wp:effectExtent l="0" t="0" r="7620" b="6985"/>
            <wp:docPr id="14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33" w:leftChars="0" w:hanging="453" w:firstLineChars="0"/>
        <w:rPr>
          <w:rFonts w:hint="eastAsia" w:ascii="仿宋" w:hAnsi="仿宋" w:eastAsia="仿宋" w:cs="仿宋"/>
          <w:lang w:val="en-US" w:eastAsia="zh-CN"/>
        </w:rPr>
      </w:pPr>
      <w:bookmarkStart w:id="13" w:name="_Toc9691"/>
      <w:bookmarkStart w:id="14" w:name="_Toc19726"/>
      <w:r>
        <w:rPr>
          <w:rFonts w:hint="eastAsia" w:ascii="仿宋" w:hAnsi="仿宋" w:eastAsia="仿宋" w:cs="仿宋"/>
          <w:lang w:val="en-US" w:eastAsia="zh-CN"/>
        </w:rPr>
        <w:t>已完结</w:t>
      </w:r>
      <w:bookmarkEnd w:id="13"/>
      <w:bookmarkEnd w:id="14"/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审价完</w:t>
      </w:r>
      <w:r>
        <w:rPr>
          <w:rFonts w:hint="eastAsia" w:ascii="仿宋" w:hAnsi="仿宋" w:cs="仿宋"/>
          <w:sz w:val="28"/>
          <w:szCs w:val="28"/>
          <w:lang w:val="en-US" w:eastAsia="zh-CN"/>
        </w:rPr>
        <w:t>成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后需填写审价结果信息，上传对应的电子附件，确认信息无误后点击“办结”按钮，可进行办结或退文。如下图所示：</w:t>
      </w:r>
    </w:p>
    <w:p>
      <w:pPr>
        <w:numPr>
          <w:ilvl w:val="0"/>
          <w:numId w:val="0"/>
        </w:numPr>
        <w:ind w:leftChars="0" w:firstLine="0" w:firstLineChars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7960" cy="2640330"/>
            <wp:effectExtent l="0" t="0" r="8890" b="7620"/>
            <wp:docPr id="15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点击办结下</w:t>
      </w:r>
      <w:r>
        <w:rPr>
          <w:rFonts w:hint="eastAsia" w:ascii="仿宋" w:hAnsi="仿宋" w:cs="仿宋"/>
          <w:sz w:val="28"/>
          <w:szCs w:val="28"/>
          <w:lang w:val="en-US" w:eastAsia="zh-CN"/>
        </w:rPr>
        <w:t>拉选项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的“办结完成”按钮后，该业务的办理进度为“已完结”状态。如下图所示：</w:t>
      </w:r>
    </w:p>
    <w:p>
      <w:pPr>
        <w:numPr>
          <w:ilvl w:val="0"/>
          <w:numId w:val="0"/>
        </w:numPr>
        <w:ind w:leftChars="0" w:firstLine="0" w:firstLineChars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74310" cy="1882140"/>
            <wp:effectExtent l="0" t="0" r="2540" b="3810"/>
            <wp:docPr id="16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点击办结下</w:t>
      </w:r>
      <w:r>
        <w:rPr>
          <w:rFonts w:hint="eastAsia" w:ascii="仿宋" w:hAnsi="仿宋" w:cs="仿宋"/>
          <w:sz w:val="28"/>
          <w:szCs w:val="28"/>
          <w:lang w:val="en-US" w:eastAsia="zh-CN"/>
        </w:rPr>
        <w:t>拉选项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的“退文”按钮，该业务的办理进度为“审核退文”状态。如下图所示：</w:t>
      </w:r>
    </w:p>
    <w:p>
      <w:pPr>
        <w:numPr>
          <w:ilvl w:val="0"/>
          <w:numId w:val="0"/>
        </w:numPr>
        <w:ind w:leftChars="0" w:firstLine="0" w:firstLineChars="0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264150" cy="1832610"/>
            <wp:effectExtent l="0" t="0" r="12700" b="15240"/>
            <wp:docPr id="17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ind w:left="705" w:leftChars="0" w:hanging="425" w:firstLineChars="0"/>
        <w:rPr>
          <w:rFonts w:hint="eastAsia" w:ascii="仿宋" w:hAnsi="仿宋" w:eastAsia="仿宋" w:cs="仿宋"/>
          <w:lang w:val="en-US" w:eastAsia="zh-CN"/>
        </w:rPr>
      </w:pPr>
      <w:bookmarkStart w:id="15" w:name="_Toc19078"/>
      <w:bookmarkStart w:id="16" w:name="_Toc11823"/>
      <w:r>
        <w:rPr>
          <w:rFonts w:hint="eastAsia" w:ascii="仿宋" w:hAnsi="仿宋" w:eastAsia="仿宋" w:cs="仿宋"/>
          <w:lang w:val="en-US" w:eastAsia="zh-CN"/>
        </w:rPr>
        <w:t>审价</w:t>
      </w:r>
      <w:r>
        <w:rPr>
          <w:rFonts w:hint="eastAsia" w:ascii="仿宋" w:hAnsi="仿宋" w:cs="仿宋"/>
          <w:lang w:val="en-US" w:eastAsia="zh-CN"/>
        </w:rPr>
        <w:t>项目完成情况统计表查看</w:t>
      </w:r>
      <w:bookmarkEnd w:id="15"/>
      <w:bookmarkEnd w:id="16"/>
    </w:p>
    <w:p>
      <w:pPr>
        <w:numPr>
          <w:ilvl w:val="-1"/>
          <w:numId w:val="0"/>
        </w:numPr>
        <w:ind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点击系统左侧菜单：“造价审核管理”-“审价项目完成情况统计表”，可以查看到审价机构已完成的审价记录。如下图所示：</w:t>
      </w:r>
    </w:p>
    <w:p>
      <w:pPr>
        <w:ind w:firstLine="0" w:firstLineChars="0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74310" cy="1376045"/>
            <wp:effectExtent l="0" t="0" r="2540" b="14605"/>
            <wp:docPr id="7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Microsoft YaHei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LNJWO7QAAAABQEAAA8AAAAAAAAAAQAgAAAAOAAAAGRycy9kb3ducmV2LnhtbFBLAQIUABQA&#10;AAAIAIdO4kA8FiLyGwIAACkEAAAOAAAAAAAAAAEAIAAAADU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F02589"/>
    <w:multiLevelType w:val="multilevel"/>
    <w:tmpl w:val="8DF02589"/>
    <w:lvl w:ilvl="0" w:tentative="0">
      <w:start w:val="1"/>
      <w:numFmt w:val="decimal"/>
      <w:pStyle w:val="3"/>
      <w:lvlText w:val="%1."/>
      <w:lvlJc w:val="left"/>
      <w:pPr>
        <w:ind w:left="705" w:hanging="425"/>
      </w:pPr>
      <w:rPr>
        <w:rFonts w:hint="default"/>
      </w:rPr>
    </w:lvl>
    <w:lvl w:ilvl="1" w:tentative="0">
      <w:start w:val="1"/>
      <w:numFmt w:val="decimal"/>
      <w:pStyle w:val="4"/>
      <w:lvlText w:val="%1.%2."/>
      <w:lvlJc w:val="left"/>
      <w:pPr>
        <w:ind w:left="733" w:hanging="453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5"/>
      <w:lvlText w:val="%1.%2.%3."/>
      <w:lvlJc w:val="left"/>
      <w:pPr>
        <w:ind w:left="2348" w:hanging="708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6"/>
      <w:lvlText w:val="%1.%2.%3.%4."/>
      <w:lvlJc w:val="left"/>
      <w:pPr>
        <w:ind w:left="2893" w:hanging="853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."/>
      <w:lvlJc w:val="left"/>
      <w:pPr>
        <w:ind w:left="333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97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451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505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5488" w:hanging="144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true"/>
  <w:embedSystemFonts/>
  <w:bordersDoNotSurroundHeader w:val="false"/>
  <w:bordersDoNotSurroundFooter w:val="false"/>
  <w:trackRevisions w:val="tru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EwYjY1NTM1NDQ1NTA2ODcyOTdjNWZjMGRiNzhlNWMifQ=="/>
  </w:docVars>
  <w:rsids>
    <w:rsidRoot w:val="53036E37"/>
    <w:rsid w:val="02915EE9"/>
    <w:rsid w:val="02972D9F"/>
    <w:rsid w:val="080B044A"/>
    <w:rsid w:val="08A16908"/>
    <w:rsid w:val="0BE1433A"/>
    <w:rsid w:val="0EB3B477"/>
    <w:rsid w:val="12825656"/>
    <w:rsid w:val="12B74046"/>
    <w:rsid w:val="166F74AF"/>
    <w:rsid w:val="19F67B09"/>
    <w:rsid w:val="1A4A5CAA"/>
    <w:rsid w:val="1AE2239D"/>
    <w:rsid w:val="1BF279CC"/>
    <w:rsid w:val="1D201A8B"/>
    <w:rsid w:val="2168668A"/>
    <w:rsid w:val="24070EDF"/>
    <w:rsid w:val="256059E5"/>
    <w:rsid w:val="2BBD710F"/>
    <w:rsid w:val="303D099F"/>
    <w:rsid w:val="304940D8"/>
    <w:rsid w:val="31CF353E"/>
    <w:rsid w:val="330A2382"/>
    <w:rsid w:val="33D571B6"/>
    <w:rsid w:val="39627FB8"/>
    <w:rsid w:val="41DE664A"/>
    <w:rsid w:val="43053628"/>
    <w:rsid w:val="4B381D67"/>
    <w:rsid w:val="4EDC07A9"/>
    <w:rsid w:val="4FA26143"/>
    <w:rsid w:val="53036E37"/>
    <w:rsid w:val="53C5125C"/>
    <w:rsid w:val="54B509A9"/>
    <w:rsid w:val="55770F5A"/>
    <w:rsid w:val="58510280"/>
    <w:rsid w:val="59084281"/>
    <w:rsid w:val="5D844816"/>
    <w:rsid w:val="5F4B3119"/>
    <w:rsid w:val="5FA55D24"/>
    <w:rsid w:val="65470284"/>
    <w:rsid w:val="67CB27C0"/>
    <w:rsid w:val="6AF7B31E"/>
    <w:rsid w:val="6CD27A01"/>
    <w:rsid w:val="700C5673"/>
    <w:rsid w:val="709027A3"/>
    <w:rsid w:val="74EB7663"/>
    <w:rsid w:val="76324266"/>
    <w:rsid w:val="777F42B6"/>
    <w:rsid w:val="77BA8D73"/>
    <w:rsid w:val="7D9B56EA"/>
    <w:rsid w:val="7F5E057A"/>
    <w:rsid w:val="7FBE7B04"/>
    <w:rsid w:val="D7E3ACEA"/>
    <w:rsid w:val="DFFD73A2"/>
    <w:rsid w:val="E5D7CE1C"/>
    <w:rsid w:val="EF5F40FD"/>
    <w:rsid w:val="F4CE7292"/>
    <w:rsid w:val="F7FBEE55"/>
    <w:rsid w:val="FFDD0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28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25" w:hanging="425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link w:val="15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850" w:hanging="453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1508" w:hanging="708"/>
      <w:outlineLvl w:val="2"/>
    </w:pPr>
    <w:rPr>
      <w:b/>
      <w:sz w:val="3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2053" w:hanging="853"/>
      <w:outlineLvl w:val="3"/>
    </w:pPr>
    <w:rPr>
      <w:rFonts w:ascii="Arial" w:hAnsi="Arial" w:eastAsia="黑体"/>
      <w:b/>
      <w:sz w:val="28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eastAsia="仿宋"/>
    </w:rPr>
  </w:style>
  <w:style w:type="paragraph" w:styleId="7">
    <w:name w:val="annotation text"/>
    <w:basedOn w:val="1"/>
    <w:qFormat/>
    <w:uiPriority w:val="0"/>
    <w:pPr>
      <w:jc w:val="left"/>
    </w:pPr>
  </w:style>
  <w:style w:type="paragraph" w:styleId="8">
    <w:name w:val="toc 3"/>
    <w:basedOn w:val="1"/>
    <w:next w:val="1"/>
    <w:qFormat/>
    <w:uiPriority w:val="0"/>
    <w:pPr>
      <w:ind w:left="840" w:leftChars="400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character" w:customStyle="1" w:styleId="15">
    <w:name w:val="标题 2 Char"/>
    <w:link w:val="4"/>
    <w:qFormat/>
    <w:uiPriority w:val="0"/>
    <w:rPr>
      <w:rFonts w:ascii="Arial" w:hAnsi="Arial" w:eastAsia="黑体"/>
      <w:b/>
      <w:sz w:val="32"/>
    </w:rPr>
  </w:style>
  <w:style w:type="paragraph" w:customStyle="1" w:styleId="1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8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1483</Words>
  <Characters>1545</Characters>
  <Lines>0</Lines>
  <Paragraphs>0</Paragraphs>
  <TotalTime>296</TotalTime>
  <ScaleCrop>false</ScaleCrop>
  <LinksUpToDate>false</LinksUpToDate>
  <CharactersWithSpaces>1579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2023-02-01T17:06:00Z</dcterms:created>
  <dc:creator>球星</dc:creator>
  <cp:lastModifiedBy>heyj</cp:lastModifiedBy>
  <dcterms:modified xsi:type="dcterms:W3CDTF">2025-12-30T18:03:17Z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ECDAF847EA864A74A32DBCCC4EEE8BCB_13</vt:lpwstr>
  </property>
  <property fmtid="{D5CDD505-2E9C-101B-9397-08002B2CF9AE}" pid="4" name="KSOTemplateDocerSaveRecord">
    <vt:lpwstr>eyJoZGlkIjoiYTEwYjY1NTM1NDQ1NTA2ODcyOTdjNWZjMGRiNzhlNWMiLCJ1c2VySWQiOiIxMTQ4MjUwODU2In0=</vt:lpwstr>
  </property>
</Properties>
</file>