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jc w:val="both"/>
        <w:outlineLvl w:val="9"/>
        <w:rPr>
          <w:rFonts w:hint="eastAsia" w:ascii="宋体" w:hAnsi="宋体" w:eastAsia="宋体" w:cs="宋体"/>
          <w:b/>
          <w:bCs/>
          <w:sz w:val="52"/>
          <w:szCs w:val="52"/>
        </w:rPr>
      </w:pPr>
    </w:p>
    <w:p>
      <w:pPr>
        <w:spacing w:line="720" w:lineRule="auto"/>
        <w:jc w:val="center"/>
        <w:outlineLvl w:val="9"/>
        <w:rPr>
          <w:rFonts w:hint="eastAsia" w:ascii="宋体" w:hAnsi="宋体" w:eastAsia="宋体" w:cs="宋体"/>
          <w:b/>
          <w:bCs/>
          <w:sz w:val="52"/>
          <w:szCs w:val="52"/>
        </w:rPr>
      </w:pPr>
    </w:p>
    <w:p>
      <w:pPr>
        <w:spacing w:line="720" w:lineRule="auto"/>
        <w:jc w:val="center"/>
        <w:outlineLvl w:val="9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深圳市物业</w:t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专项维修资金管理系统操作手册</w:t>
      </w:r>
    </w:p>
    <w:p>
      <w:pPr>
        <w:jc w:val="center"/>
        <w:outlineLvl w:val="9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（</w:t>
      </w:r>
      <w:r>
        <w:rPr>
          <w:rFonts w:hint="eastAsia" w:ascii="宋体" w:hAnsi="宋体" w:eastAsia="宋体" w:cs="宋体"/>
          <w:b/>
          <w:bCs/>
          <w:color w:val="auto"/>
          <w:sz w:val="52"/>
          <w:szCs w:val="52"/>
          <w:lang w:val="en-US" w:eastAsia="zh-CN"/>
        </w:rPr>
        <w:t>棚改实施主体篇）</w:t>
      </w:r>
      <w:bookmarkStart w:id="27" w:name="_GoBack"/>
      <w:bookmarkEnd w:id="27"/>
    </w:p>
    <w:p>
      <w:pP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br w:type="page"/>
      </w:r>
    </w:p>
    <w:sdt>
      <w:sdtPr>
        <w:rPr>
          <w:rFonts w:ascii="宋体" w:hAnsi="宋体" w:eastAsia="宋体" w:cstheme="minorBidi"/>
          <w:kern w:val="2"/>
          <w:sz w:val="36"/>
          <w:szCs w:val="36"/>
          <w:lang w:val="en-US" w:eastAsia="zh-CN" w:bidi="ar-SA"/>
        </w:rPr>
        <w:id w:val="147450927"/>
        <w15:color w:val="DBDBDB"/>
        <w:docPartObj>
          <w:docPartGallery w:val="Table of Contents"/>
          <w:docPartUnique/>
        </w:docPartObj>
      </w:sdtPr>
      <w:sdtEndPr>
        <w:rPr>
          <w:rFonts w:hint="eastAsia" w:eastAsia="仿宋" w:asciiTheme="minorAscii" w:hAnsiTheme="minorAscii" w:cstheme="minorBidi"/>
          <w:kern w:val="2"/>
          <w:sz w:val="28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36"/>
              <w:szCs w:val="36"/>
            </w:rPr>
          </w:pPr>
          <w:r>
            <w:rPr>
              <w:rFonts w:ascii="宋体" w:hAnsi="宋体" w:eastAsia="宋体"/>
              <w:b/>
              <w:bCs/>
              <w:sz w:val="36"/>
              <w:szCs w:val="36"/>
            </w:rPr>
            <w:t>目录</w:t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"1-3"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_Toc2102051105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eastAsia="仿宋" w:asciiTheme="minorAscii" w:hAnsiTheme="minorAscii" w:cstheme="minorBidi"/>
              <w:kern w:val="44"/>
              <w:szCs w:val="24"/>
              <w:lang w:val="en-US" w:eastAsia="zh-CN" w:bidi="ar-SA"/>
            </w:rPr>
            <w:t xml:space="preserve">1. </w:t>
          </w:r>
          <w:r>
            <w:rPr>
              <w:rFonts w:hint="eastAsia" w:cstheme="minorBidi"/>
              <w:kern w:val="44"/>
              <w:szCs w:val="24"/>
              <w:lang w:val="en-US" w:eastAsia="zh-CN" w:bidi="ar-SA"/>
            </w:rPr>
            <w:t>灭失退还申请</w:t>
          </w:r>
          <w:r>
            <w:tab/>
          </w:r>
          <w:r>
            <w:fldChar w:fldCharType="begin"/>
          </w:r>
          <w:r>
            <w:instrText xml:space="preserve"> PAGEREF _Toc2102051105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_Toc1180942627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1.1 </w:t>
          </w:r>
          <w:r>
            <w:rPr>
              <w:rFonts w:hint="eastAsia"/>
              <w:lang w:val="en-US" w:eastAsia="zh-CN"/>
            </w:rPr>
            <w:t>新增申请</w:t>
          </w:r>
          <w:r>
            <w:tab/>
          </w:r>
          <w:r>
            <w:fldChar w:fldCharType="begin"/>
          </w:r>
          <w:r>
            <w:instrText xml:space="preserve"> PAGEREF _Toc1180942627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_Toc1376001178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1.2 </w:t>
          </w:r>
          <w:r>
            <w:rPr>
              <w:rFonts w:hint="eastAsia"/>
              <w:lang w:val="en-US" w:eastAsia="zh-CN"/>
            </w:rPr>
            <w:t>编辑申请</w:t>
          </w:r>
          <w:r>
            <w:tab/>
          </w:r>
          <w:r>
            <w:fldChar w:fldCharType="begin"/>
          </w:r>
          <w:r>
            <w:instrText xml:space="preserve"> PAGEREF _Toc1376001178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_Toc1577465504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1.3 </w:t>
          </w:r>
          <w:r>
            <w:rPr>
              <w:rFonts w:hint="eastAsia"/>
              <w:lang w:val="en-US" w:eastAsia="zh-CN"/>
            </w:rPr>
            <w:t>删除申请</w:t>
          </w:r>
          <w:r>
            <w:tab/>
          </w:r>
          <w:r>
            <w:fldChar w:fldCharType="begin"/>
          </w:r>
          <w:r>
            <w:instrText xml:space="preserve"> PAGEREF _Toc1577465504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_Toc1437709394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1.4 </w:t>
          </w:r>
          <w:r>
            <w:rPr>
              <w:rFonts w:hint="eastAsia"/>
              <w:lang w:val="en-US" w:eastAsia="zh-CN"/>
            </w:rPr>
            <w:t>查看详情</w:t>
          </w:r>
          <w:r>
            <w:tab/>
          </w:r>
          <w:r>
            <w:fldChar w:fldCharType="begin"/>
          </w:r>
          <w:r>
            <w:instrText xml:space="preserve"> PAGEREF _Toc1437709394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_Toc1835158158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1.5 </w:t>
          </w:r>
          <w:r>
            <w:rPr>
              <w:rFonts w:hint="eastAsia"/>
              <w:lang w:val="en-US" w:eastAsia="zh-CN"/>
            </w:rPr>
            <w:t>打印文书</w:t>
          </w:r>
          <w:r>
            <w:tab/>
          </w:r>
          <w:r>
            <w:fldChar w:fldCharType="begin"/>
          </w:r>
          <w:r>
            <w:instrText xml:space="preserve"> PAGEREF _Toc1835158158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_Toc531082657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1.6 </w:t>
          </w:r>
          <w:r>
            <w:rPr>
              <w:rFonts w:hint="eastAsia"/>
              <w:lang w:val="en-US" w:eastAsia="zh-CN"/>
            </w:rPr>
            <w:t>录入退还信息</w:t>
          </w:r>
          <w:r>
            <w:tab/>
          </w:r>
          <w:r>
            <w:fldChar w:fldCharType="begin"/>
          </w:r>
          <w:r>
            <w:instrText xml:space="preserve"> PAGEREF _Toc531082657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"/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  <w:r>
        <w:br w:type="page"/>
      </w:r>
    </w:p>
    <w:p>
      <w:pPr>
        <w:pStyle w:val="3"/>
        <w:bidi w:val="0"/>
        <w:rPr>
          <w:rFonts w:hint="eastAsia" w:eastAsia="仿宋" w:asciiTheme="minorAscii" w:hAnsiTheme="minorAscii" w:cstheme="minorBidi"/>
          <w:b/>
          <w:kern w:val="44"/>
          <w:sz w:val="44"/>
          <w:szCs w:val="24"/>
          <w:lang w:val="en-US" w:eastAsia="zh-CN" w:bidi="ar-SA"/>
        </w:rPr>
      </w:pPr>
      <w:bookmarkStart w:id="0" w:name="_Toc1327854445"/>
      <w:bookmarkStart w:id="1" w:name="_Toc2102051105"/>
      <w:bookmarkStart w:id="2" w:name="_Toc2115356957"/>
      <w:bookmarkStart w:id="3" w:name="_Toc10333"/>
      <w:r>
        <w:rPr>
          <w:rFonts w:hint="eastAsia" w:cstheme="minorBidi"/>
          <w:b/>
          <w:kern w:val="44"/>
          <w:sz w:val="44"/>
          <w:szCs w:val="24"/>
          <w:lang w:val="en-US" w:eastAsia="zh-CN" w:bidi="ar-SA"/>
        </w:rPr>
        <w:t>灭失退还申请</w:t>
      </w:r>
      <w:bookmarkEnd w:id="0"/>
      <w:bookmarkEnd w:id="1"/>
      <w:bookmarkEnd w:id="2"/>
    </w:p>
    <w:p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点击系统左侧菜单：“维修资金</w:t>
      </w:r>
      <w:r>
        <w:rPr>
          <w:rFonts w:hint="eastAsia" w:ascii="仿宋" w:hAnsi="仿宋" w:cs="仿宋"/>
          <w:sz w:val="28"/>
          <w:szCs w:val="28"/>
          <w:lang w:val="en-US" w:eastAsia="zh-CN"/>
        </w:rPr>
        <w:t>代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管”-“退款管理”-“物业灭失退还”，进入列表页面。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4" w:name="_Toc678141881"/>
      <w:bookmarkStart w:id="5" w:name="_Toc1180942627"/>
      <w:bookmarkStart w:id="6" w:name="_Toc2083156022"/>
      <w:r>
        <w:rPr>
          <w:rFonts w:hint="eastAsia"/>
          <w:lang w:val="en-US" w:eastAsia="zh-CN"/>
        </w:rPr>
        <w:t>新增申请</w:t>
      </w:r>
      <w:bookmarkEnd w:id="3"/>
      <w:bookmarkEnd w:id="4"/>
      <w:bookmarkEnd w:id="5"/>
      <w:bookmarkEnd w:id="6"/>
    </w:p>
    <w:p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点击“新增”按钮，进入新增页面。如下图所示：</w:t>
      </w:r>
    </w:p>
    <w:p>
      <w:r>
        <w:drawing>
          <wp:inline distT="0" distB="0" distL="114300" distR="114300">
            <wp:extent cx="5274310" cy="2661285"/>
            <wp:effectExtent l="9525" t="9525" r="12065" b="15240"/>
            <wp:docPr id="3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rcRect l="-301" t="7740" r="157" b="11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第一步：填写申请信息。</w:t>
      </w:r>
    </w:p>
    <w:p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（1）申请人信息：需填写委托代理人相关信息，所有字段均为必填。如下图所示：</w:t>
      </w:r>
    </w:p>
    <w:p>
      <w:pPr>
        <w:jc w:val="center"/>
      </w:pPr>
      <w:r>
        <w:drawing>
          <wp:inline distT="0" distB="0" distL="114300" distR="114300">
            <wp:extent cx="5274310" cy="1136650"/>
            <wp:effectExtent l="9525" t="9525" r="12065" b="15875"/>
            <wp:docPr id="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6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（2）物业灭失情况：可以选择要申请灭失退还的物业区域，可选择全市任一物业区域；业委会可选择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关联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的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物业区域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；</w:t>
      </w:r>
      <w:r>
        <w:rPr>
          <w:rFonts w:hint="eastAsia" w:ascii="仿宋" w:hAnsi="仿宋" w:cs="仿宋"/>
          <w:sz w:val="28"/>
          <w:szCs w:val="28"/>
          <w:lang w:val="en-US" w:eastAsia="zh-Hans"/>
        </w:rPr>
        <w:t>建设单位可选择全市</w:t>
      </w:r>
      <w:r>
        <w:rPr>
          <w:rFonts w:hint="eastAsia" w:ascii="仿宋" w:hAnsi="仿宋" w:cs="仿宋"/>
          <w:sz w:val="28"/>
          <w:szCs w:val="28"/>
          <w:lang w:val="en-US" w:eastAsia="zh-CN"/>
        </w:rPr>
        <w:t>任一</w:t>
      </w:r>
      <w:r>
        <w:rPr>
          <w:rFonts w:hint="eastAsia" w:ascii="仿宋" w:hAnsi="仿宋" w:cs="仿宋"/>
          <w:sz w:val="28"/>
          <w:szCs w:val="28"/>
          <w:lang w:val="en-US" w:eastAsia="zh-Hans"/>
        </w:rPr>
        <w:t>物业区域；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区中心可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选择本辖区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内的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物业区域。如下图所示：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4594225" cy="2320290"/>
            <wp:effectExtent l="0" t="0" r="15875" b="3810"/>
            <wp:docPr id="37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rcRect l="12720" t="7262" r="48" b="36001"/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灭失范围：可针对整个物业区域发起灭失，或针对部分项目栋发起灭失。选择“部分栋”时，需要选择具体的项目栋。如下图所示：</w:t>
      </w:r>
    </w:p>
    <w:p>
      <w:pPr>
        <w:pStyle w:val="2"/>
        <w:jc w:val="center"/>
      </w:pPr>
      <w:r>
        <w:drawing>
          <wp:inline distT="0" distB="0" distL="114300" distR="114300">
            <wp:extent cx="2695575" cy="1200150"/>
            <wp:effectExtent l="0" t="0" r="9525" b="0"/>
            <wp:docPr id="16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（3）上传退款房号清单：点击“下载退款房号清单”按钮，则会下载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Hans"/>
        </w:rPr>
        <w:t>所选择灭失范围内的分户清单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。如下图所示：</w:t>
      </w:r>
    </w:p>
    <w:p>
      <w:pPr>
        <w:jc w:val="center"/>
      </w:pPr>
      <w:r>
        <w:drawing>
          <wp:inline distT="0" distB="0" distL="114300" distR="114300">
            <wp:extent cx="4561205" cy="1033780"/>
            <wp:effectExtent l="9525" t="9525" r="20320" b="23495"/>
            <wp:docPr id="39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rcRect l="12816" t="19326" r="579" b="41782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1033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若分户可退还余额为0，则无</w:t>
      </w:r>
      <w:r>
        <w:rPr>
          <w:rFonts w:hint="eastAsia" w:ascii="仿宋" w:hAnsi="仿宋" w:cs="仿宋"/>
          <w:sz w:val="28"/>
          <w:szCs w:val="28"/>
          <w:lang w:val="en-US" w:eastAsia="zh-CN"/>
        </w:rPr>
        <w:t>须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填写该分户退款账号信息，模板不会导出该分户。模板</w:t>
      </w:r>
      <w:r>
        <w:rPr>
          <w:rFonts w:hint="eastAsia" w:ascii="仿宋" w:hAnsi="仿宋" w:cs="仿宋"/>
          <w:sz w:val="28"/>
          <w:szCs w:val="28"/>
          <w:lang w:val="en-US" w:eastAsia="zh-CN"/>
        </w:rPr>
        <w:t>如下图所示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：</w:t>
      </w:r>
    </w:p>
    <w:p>
      <w:pPr>
        <w:pStyle w:val="2"/>
      </w:pPr>
      <w:r>
        <w:drawing>
          <wp:inline distT="0" distB="0" distL="114300" distR="114300">
            <wp:extent cx="5269865" cy="2219325"/>
            <wp:effectExtent l="9525" t="9525" r="16510" b="19050"/>
            <wp:docPr id="40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19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好各分户的退款信息后导入，只需导入有退款信息的分户。分户的“退款账号、户名、开户行”信息都需进行填写，不能为空。若分户暂无退款账号信息，可将该部分分户删除后再导入。如此处只填写3个分户的退款账号信息，房号为“1栋104”的分户暂无退款账号信息，删除该行之后再录入。如下图所示：</w:t>
      </w:r>
    </w:p>
    <w:p>
      <w:pPr>
        <w:pStyle w:val="2"/>
      </w:pPr>
      <w:r>
        <w:drawing>
          <wp:inline distT="0" distB="0" distL="114300" distR="114300">
            <wp:extent cx="5269865" cy="2219325"/>
            <wp:effectExtent l="9525" t="9525" r="16510" b="19050"/>
            <wp:docPr id="42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19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点击“上传”的图标，选择文件上传。如下图所示：</w:t>
      </w:r>
    </w:p>
    <w:p>
      <w:pPr>
        <w:jc w:val="center"/>
      </w:pPr>
      <w:r>
        <w:drawing>
          <wp:inline distT="0" distB="0" distL="114300" distR="114300">
            <wp:extent cx="4545330" cy="791845"/>
            <wp:effectExtent l="9525" t="9525" r="17145" b="17780"/>
            <wp:docPr id="41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true"/>
                    </pic:cNvPicPr>
                  </pic:nvPicPr>
                  <pic:blipFill>
                    <a:blip r:embed="rId12"/>
                    <a:srcRect l="13540" t="30506" r="157" b="39704"/>
                    <a:stretch>
                      <a:fillRect/>
                    </a:stretch>
                  </pic:blipFill>
                  <pic:spPr>
                    <a:xfrm>
                      <a:off x="0" y="0"/>
                      <a:ext cx="4545330" cy="791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选择要导入的表格文件，如下图所示：</w:t>
      </w:r>
    </w:p>
    <w:p>
      <w:pPr>
        <w:pStyle w:val="2"/>
        <w:jc w:val="center"/>
      </w:pPr>
      <w:r>
        <w:drawing>
          <wp:inline distT="0" distB="0" distL="114300" distR="114300">
            <wp:extent cx="3541395" cy="1788795"/>
            <wp:effectExtent l="0" t="0" r="1905" b="1905"/>
            <wp:docPr id="43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true"/>
                    </pic:cNvPicPr>
                  </pic:nvPicPr>
                  <pic:blipFill>
                    <a:blip r:embed="rId13"/>
                    <a:srcRect l="35556" t="24439" r="22583" b="21596"/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上传完后，页面自动带出灭失明细。如下图所示：</w:t>
      </w:r>
    </w:p>
    <w:p>
      <w:pPr>
        <w:pStyle w:val="2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1325245"/>
            <wp:effectExtent l="0" t="0" r="14605" b="8255"/>
            <wp:docPr id="2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第二步：上传业务要件。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根据要求上传对应的材料即可。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点击“暂存”按钮，可保存当前录入的业务信息，列表的办理进度为“待提交”。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如下图所示：</w:t>
      </w:r>
    </w:p>
    <w:p>
      <w:pPr>
        <w:jc w:val="center"/>
      </w:pPr>
      <w:r>
        <w:drawing>
          <wp:inline distT="0" distB="0" distL="114300" distR="114300">
            <wp:extent cx="4545330" cy="999490"/>
            <wp:effectExtent l="9525" t="9525" r="17145" b="19685"/>
            <wp:docPr id="45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true"/>
                    </pic:cNvPicPr>
                  </pic:nvPicPr>
                  <pic:blipFill>
                    <a:blip r:embed="rId15"/>
                    <a:srcRect l="13130" t="49952" r="567" b="12446"/>
                    <a:stretch>
                      <a:fillRect/>
                    </a:stretch>
                  </pic:blipFill>
                  <pic:spPr>
                    <a:xfrm>
                      <a:off x="0" y="0"/>
                      <a:ext cx="4545330" cy="999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在申请列表页面，可点击“编辑”按钮对申请单再次进行编辑。如下图所示：</w:t>
      </w:r>
    </w:p>
    <w:p>
      <w:pPr>
        <w:jc w:val="center"/>
      </w:pPr>
      <w:r>
        <w:drawing>
          <wp:inline distT="0" distB="0" distL="114300" distR="114300">
            <wp:extent cx="4556125" cy="2299335"/>
            <wp:effectExtent l="9525" t="9525" r="25400" b="15240"/>
            <wp:docPr id="47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3"/>
                    <pic:cNvPicPr>
                      <a:picLocks noChangeAspect="true"/>
                    </pic:cNvPicPr>
                  </pic:nvPicPr>
                  <pic:blipFill>
                    <a:blip r:embed="rId16"/>
                    <a:srcRect l="13648" t="7788" r="-157" b="11443"/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2299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第三步：业务信息概览。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点击申请页右下角的“下一步”按钮，则进入业务信息概览页面。如下图所示：</w:t>
      </w:r>
    </w:p>
    <w:p>
      <w:pPr>
        <w:jc w:val="center"/>
      </w:pPr>
      <w:r>
        <w:drawing>
          <wp:inline distT="0" distB="0" distL="114300" distR="114300">
            <wp:extent cx="4594225" cy="1020445"/>
            <wp:effectExtent l="9525" t="9525" r="25400" b="17780"/>
            <wp:docPr id="48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4"/>
                    <pic:cNvPicPr>
                      <a:picLocks noChangeAspect="true"/>
                    </pic:cNvPicPr>
                  </pic:nvPicPr>
                  <pic:blipFill>
                    <a:blip r:embed="rId17"/>
                    <a:srcRect l="12202" t="49522" r="567" b="12088"/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1020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可对申请表进行预览，确认信息是否正确，如需修改，可点击右下角的“上一步”按钮，返回申请页</w:t>
      </w:r>
      <w:r>
        <w:rPr>
          <w:rFonts w:hint="eastAsia" w:ascii="仿宋" w:hAnsi="仿宋" w:cs="仿宋"/>
          <w:sz w:val="28"/>
          <w:szCs w:val="28"/>
          <w:lang w:val="en-US" w:eastAsia="zh-CN"/>
        </w:rPr>
        <w:t>面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进行修改。如下图所示：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566920" cy="2306320"/>
            <wp:effectExtent l="9525" t="9525" r="14605" b="27305"/>
            <wp:docPr id="49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5"/>
                    <pic:cNvPicPr>
                      <a:picLocks noChangeAspect="true"/>
                    </pic:cNvPicPr>
                  </pic:nvPicPr>
                  <pic:blipFill>
                    <a:blip r:embed="rId18"/>
                    <a:srcRect l="13238" t="8218" r="48" b="11419"/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2306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点击左上角的“其他信息”标签页，可切换查看其他信息。如下图所示：</w:t>
      </w:r>
    </w:p>
    <w:p>
      <w:pPr>
        <w:jc w:val="center"/>
      </w:pPr>
      <w:r>
        <w:drawing>
          <wp:inline distT="0" distB="0" distL="114300" distR="114300">
            <wp:extent cx="4577715" cy="2312035"/>
            <wp:effectExtent l="9525" t="9525" r="22860" b="21590"/>
            <wp:docPr id="50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true"/>
                    </pic:cNvPicPr>
                  </pic:nvPicPr>
                  <pic:blipFill>
                    <a:blip r:embed="rId19"/>
                    <a:srcRect l="12925" t="7692" r="157" b="12016"/>
                    <a:stretch>
                      <a:fillRect/>
                    </a:stretch>
                  </pic:blipFill>
                  <pic:spPr>
                    <a:xfrm>
                      <a:off x="0" y="0"/>
                      <a:ext cx="4577715" cy="2312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其他信息中，可查看材料清册，</w:t>
      </w:r>
      <w:r>
        <w:rPr>
          <w:rFonts w:hint="eastAsia" w:ascii="仿宋" w:hAnsi="仿宋" w:cs="仿宋"/>
          <w:sz w:val="28"/>
          <w:szCs w:val="28"/>
          <w:lang w:val="en-US" w:eastAsia="zh-CN"/>
        </w:rPr>
        <w:t>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窗口</w:t>
      </w:r>
      <w:r>
        <w:rPr>
          <w:rFonts w:hint="eastAsia" w:ascii="仿宋" w:hAnsi="仿宋" w:cs="仿宋"/>
          <w:sz w:val="28"/>
          <w:szCs w:val="28"/>
          <w:lang w:val="en-US" w:eastAsia="zh-CN"/>
        </w:rPr>
        <w:t>进行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交件时需准备好以下材料。如下图所示：</w:t>
      </w:r>
    </w:p>
    <w:p>
      <w:pPr>
        <w:jc w:val="center"/>
      </w:pPr>
      <w:r>
        <w:drawing>
          <wp:inline distT="0" distB="0" distL="114300" distR="114300">
            <wp:extent cx="5260975" cy="2497455"/>
            <wp:effectExtent l="0" t="0" r="15875" b="17145"/>
            <wp:docPr id="21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2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第四步：提交申请。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点击“提交”按钮，完成提交。如下图所示：</w:t>
      </w:r>
    </w:p>
    <w:p>
      <w:pPr>
        <w:jc w:val="center"/>
      </w:pPr>
      <w:r>
        <w:drawing>
          <wp:inline distT="0" distB="0" distL="114300" distR="114300">
            <wp:extent cx="4561205" cy="2301875"/>
            <wp:effectExtent l="9525" t="9525" r="20320" b="12700"/>
            <wp:docPr id="52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8"/>
                    <pic:cNvPicPr>
                      <a:picLocks noChangeAspect="true"/>
                    </pic:cNvPicPr>
                  </pic:nvPicPr>
                  <pic:blipFill>
                    <a:blip r:embed="rId21"/>
                    <a:srcRect l="13238" t="8242" r="157" b="11562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2301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提交后，可查看窗口办理地址和咨询电话。如下图所示：</w:t>
      </w:r>
    </w:p>
    <w:p>
      <w:pPr>
        <w:jc w:val="center"/>
      </w:pPr>
      <w:r>
        <w:drawing>
          <wp:inline distT="0" distB="0" distL="114300" distR="114300">
            <wp:extent cx="4057650" cy="2457450"/>
            <wp:effectExtent l="0" t="0" r="0" b="0"/>
            <wp:docPr id="17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true"/>
                    </pic:cNvPicPr>
                  </pic:nvPicPr>
                  <pic:blipFill>
                    <a:blip r:embed="rId22"/>
                    <a:srcRect t="1938" b="1938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申请列表中可查看到该条申请单办理进度变为“待收文”。如下图所示：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572000" cy="2306955"/>
            <wp:effectExtent l="9525" t="9525" r="9525" b="26670"/>
            <wp:docPr id="54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0"/>
                    <pic:cNvPicPr>
                      <a:picLocks noChangeAspect="true"/>
                    </pic:cNvPicPr>
                  </pic:nvPicPr>
                  <pic:blipFill>
                    <a:blip r:embed="rId23"/>
                    <a:srcRect l="13130" t="7597" r="60" b="121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06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7" w:name="_Toc16294"/>
      <w:bookmarkStart w:id="8" w:name="_Toc1271458895"/>
      <w:bookmarkStart w:id="9" w:name="_Toc1840374947"/>
      <w:bookmarkStart w:id="10" w:name="_Toc1376001178"/>
      <w:r>
        <w:rPr>
          <w:rFonts w:hint="eastAsia"/>
          <w:lang w:val="en-US" w:eastAsia="zh-CN"/>
        </w:rPr>
        <w:t>编辑申请</w:t>
      </w:r>
      <w:bookmarkEnd w:id="7"/>
      <w:bookmarkEnd w:id="8"/>
      <w:bookmarkEnd w:id="9"/>
      <w:bookmarkEnd w:id="10"/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仅当办理进度为“待提交/待修改”时，可对申请单进行编辑。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（1）待提交：在填写申请时，进行暂存，暂不提交，则办理进度为“待提交”。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（2）待修改：申请单在审核中时，若审核人进行解锁，则办理进度变为“待修改”。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在申请列表页，点击操作列的“编辑”按钮。如下图所示：</w:t>
      </w:r>
    </w:p>
    <w:p>
      <w:pPr>
        <w:jc w:val="center"/>
      </w:pPr>
      <w:r>
        <w:drawing>
          <wp:inline distT="0" distB="0" distL="114300" distR="114300">
            <wp:extent cx="4566920" cy="2304415"/>
            <wp:effectExtent l="9525" t="9525" r="14605" b="10160"/>
            <wp:docPr id="55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1"/>
                    <pic:cNvPicPr>
                      <a:picLocks noChangeAspect="true"/>
                    </pic:cNvPicPr>
                  </pic:nvPicPr>
                  <pic:blipFill>
                    <a:blip r:embed="rId24"/>
                    <a:srcRect l="13130" t="7095" r="157" b="12088"/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2304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进入对申请单的编辑页面。如下图所示：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572000" cy="2308860"/>
            <wp:effectExtent l="9525" t="9525" r="9525" b="24765"/>
            <wp:docPr id="56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2"/>
                    <pic:cNvPicPr>
                      <a:picLocks noChangeAspect="true"/>
                    </pic:cNvPicPr>
                  </pic:nvPicPr>
                  <pic:blipFill>
                    <a:blip r:embed="rId25"/>
                    <a:srcRect l="12816" t="7047" r="374" b="113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08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1" w:name="_Toc565553885"/>
      <w:bookmarkStart w:id="12" w:name="_Toc49587850"/>
      <w:bookmarkStart w:id="13" w:name="_Toc1577465504"/>
      <w:bookmarkStart w:id="14" w:name="_Toc31692"/>
      <w:r>
        <w:rPr>
          <w:rFonts w:hint="eastAsia"/>
          <w:lang w:val="en-US" w:eastAsia="zh-CN"/>
        </w:rPr>
        <w:t>删除申请</w:t>
      </w:r>
      <w:bookmarkEnd w:id="11"/>
      <w:bookmarkEnd w:id="12"/>
      <w:bookmarkEnd w:id="13"/>
      <w:bookmarkEnd w:id="14"/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仅当办理进度为“待提交”时，可删除申请单。点击操作列的“删除”按钮，如下图所示：</w:t>
      </w:r>
    </w:p>
    <w:p>
      <w:pPr>
        <w:jc w:val="center"/>
      </w:pPr>
      <w:r>
        <w:drawing>
          <wp:inline distT="0" distB="0" distL="114300" distR="114300">
            <wp:extent cx="4588510" cy="2315210"/>
            <wp:effectExtent l="9525" t="9525" r="12065" b="18415"/>
            <wp:docPr id="57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3"/>
                    <pic:cNvPicPr>
                      <a:picLocks noChangeAspect="true"/>
                    </pic:cNvPicPr>
                  </pic:nvPicPr>
                  <pic:blipFill>
                    <a:blip r:embed="rId26"/>
                    <a:srcRect l="12925" t="6808" r="-48" b="11467"/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2315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系统会出现二次确认的弹窗，点击“确定”，即可删除该申请。如下图所示：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993515" cy="1400175"/>
            <wp:effectExtent l="0" t="0" r="0" b="0"/>
            <wp:docPr id="1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true"/>
                    </pic:cNvPicPr>
                  </pic:nvPicPr>
                  <pic:blipFill>
                    <a:blip r:embed="rId27"/>
                    <a:srcRect l="1059" r="981"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5" w:name="_Toc1912373954"/>
      <w:bookmarkStart w:id="16" w:name="_Toc713401002"/>
      <w:bookmarkStart w:id="17" w:name="_Toc1437709394"/>
      <w:bookmarkStart w:id="18" w:name="_Toc21446"/>
      <w:r>
        <w:rPr>
          <w:rFonts w:hint="eastAsia"/>
          <w:lang w:val="en-US" w:eastAsia="zh-CN"/>
        </w:rPr>
        <w:t>查看详情</w:t>
      </w:r>
      <w:bookmarkEnd w:id="15"/>
      <w:bookmarkEnd w:id="16"/>
      <w:bookmarkEnd w:id="17"/>
      <w:bookmarkEnd w:id="18"/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在申请列表页，点击操作列的“查看详情”按钮，可查看申请单的详情。如下图所示：</w:t>
      </w:r>
    </w:p>
    <w:p>
      <w:pPr>
        <w:jc w:val="center"/>
      </w:pPr>
      <w:r>
        <w:drawing>
          <wp:inline distT="0" distB="0" distL="114300" distR="114300">
            <wp:extent cx="4577715" cy="2310130"/>
            <wp:effectExtent l="9525" t="9525" r="22860" b="23495"/>
            <wp:docPr id="59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5"/>
                    <pic:cNvPicPr>
                      <a:picLocks noChangeAspect="true"/>
                    </pic:cNvPicPr>
                  </pic:nvPicPr>
                  <pic:blipFill>
                    <a:blip r:embed="rId28"/>
                    <a:srcRect l="13021" t="6402" r="60" b="11491"/>
                    <a:stretch>
                      <a:fillRect/>
                    </a:stretch>
                  </pic:blipFill>
                  <pic:spPr>
                    <a:xfrm>
                      <a:off x="0" y="0"/>
                      <a:ext cx="4577715" cy="2310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详情页面如下图所示：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820285" cy="3239135"/>
            <wp:effectExtent l="0" t="0" r="18415" b="18415"/>
            <wp:docPr id="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19" w:name="_Toc810915088"/>
      <w:bookmarkStart w:id="20" w:name="_Toc2058918107"/>
      <w:bookmarkStart w:id="21" w:name="_Toc12104"/>
      <w:bookmarkStart w:id="22" w:name="_Toc1835158158"/>
      <w:r>
        <w:rPr>
          <w:rFonts w:hint="eastAsia"/>
          <w:lang w:val="en-US" w:eastAsia="zh-CN"/>
        </w:rPr>
        <w:t>打印</w:t>
      </w:r>
      <w:bookmarkEnd w:id="19"/>
      <w:bookmarkEnd w:id="20"/>
      <w:bookmarkEnd w:id="21"/>
      <w:r>
        <w:rPr>
          <w:rFonts w:hint="eastAsia"/>
          <w:lang w:val="en-US" w:eastAsia="zh-CN"/>
        </w:rPr>
        <w:t>文书</w:t>
      </w:r>
      <w:bookmarkEnd w:id="22"/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在申请列表页，点击操作列的“打印”按钮，可选择要打印的文书。如下图所示：</w:t>
      </w:r>
    </w:p>
    <w:p>
      <w:pPr>
        <w:pStyle w:val="2"/>
        <w:jc w:val="center"/>
        <w:rPr>
          <w:rFonts w:hint="default" w:ascii="仿宋" w:hAnsi="仿宋" w:cs="仿宋"/>
          <w:lang w:val="en-US" w:eastAsia="zh-CN"/>
        </w:rPr>
      </w:pPr>
      <w:r>
        <w:drawing>
          <wp:inline distT="0" distB="0" distL="114300" distR="114300">
            <wp:extent cx="5261610" cy="1014730"/>
            <wp:effectExtent l="9525" t="9525" r="24765" b="23495"/>
            <wp:docPr id="1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014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可打印申请业务单的文书类型包含：</w:t>
      </w:r>
      <w:r>
        <w:rPr>
          <w:rFonts w:hint="eastAsia" w:ascii="仿宋" w:hAnsi="仿宋" w:eastAsia="仿宋" w:cs="仿宋"/>
          <w:color w:val="auto"/>
        </w:rPr>
        <w:t>材料清册、申请表、收件回执、补正补件通知书、受理通知书、不予受理通知、退文通知</w:t>
      </w:r>
      <w:r>
        <w:rPr>
          <w:rFonts w:hint="eastAsia" w:ascii="仿宋" w:hAnsi="仿宋" w:cs="仿宋"/>
          <w:color w:val="auto"/>
          <w:lang w:val="en-US" w:eastAsia="zh-CN"/>
        </w:rPr>
        <w:t>书</w:t>
      </w:r>
      <w:r>
        <w:rPr>
          <w:rFonts w:hint="eastAsia" w:ascii="仿宋" w:hAnsi="仿宋" w:eastAsia="仿宋" w:cs="仿宋"/>
          <w:color w:val="auto"/>
        </w:rPr>
        <w:t>、</w:t>
      </w:r>
      <w:r>
        <w:rPr>
          <w:rFonts w:hint="eastAsia" w:ascii="仿宋" w:hAnsi="仿宋" w:eastAsia="仿宋" w:cs="仿宋"/>
          <w:color w:val="auto"/>
          <w:lang w:val="en-US" w:eastAsia="zh-CN"/>
        </w:rPr>
        <w:t>退还通知书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审批各环节支持打印的文书：</w:t>
      </w:r>
    </w:p>
    <w:tbl>
      <w:tblPr>
        <w:tblStyle w:val="19"/>
        <w:tblW w:w="85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1"/>
        <w:gridCol w:w="6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48" w:type="dxa"/>
            <w:shd w:val="clear" w:color="auto" w:fill="E7E6E6" w:themeFill="background2"/>
            <w:vAlign w:val="top"/>
          </w:tcPr>
          <w:p>
            <w:pPr>
              <w:pStyle w:val="2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操作环节</w:t>
            </w:r>
          </w:p>
        </w:tc>
        <w:tc>
          <w:tcPr>
            <w:tcW w:w="5788" w:type="dxa"/>
            <w:shd w:val="clear" w:color="auto" w:fill="E7E6E6" w:themeFill="background2"/>
            <w:vAlign w:val="top"/>
          </w:tcPr>
          <w:p>
            <w:pPr>
              <w:pStyle w:val="2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可打印的文书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48" w:type="dxa"/>
            <w:vAlign w:val="top"/>
          </w:tcPr>
          <w:p>
            <w:pPr>
              <w:pStyle w:val="2"/>
              <w:jc w:val="left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任意环节</w:t>
            </w:r>
          </w:p>
        </w:tc>
        <w:tc>
          <w:tcPr>
            <w:tcW w:w="5788" w:type="dxa"/>
            <w:vAlign w:val="top"/>
          </w:tcPr>
          <w:p>
            <w:pPr>
              <w:pStyle w:val="2"/>
              <w:jc w:val="left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材料清册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48" w:type="dxa"/>
            <w:vAlign w:val="top"/>
          </w:tcPr>
          <w:p>
            <w:pPr>
              <w:pStyle w:val="2"/>
              <w:jc w:val="left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提交后</w:t>
            </w:r>
          </w:p>
        </w:tc>
        <w:tc>
          <w:tcPr>
            <w:tcW w:w="5788" w:type="dxa"/>
            <w:vAlign w:val="top"/>
          </w:tcPr>
          <w:p>
            <w:pPr>
              <w:pStyle w:val="2"/>
              <w:jc w:val="left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申请表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48" w:type="dxa"/>
            <w:vAlign w:val="top"/>
          </w:tcPr>
          <w:p>
            <w:pPr>
              <w:pStyle w:val="2"/>
              <w:jc w:val="left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收件后</w:t>
            </w:r>
          </w:p>
        </w:tc>
        <w:tc>
          <w:tcPr>
            <w:tcW w:w="5788" w:type="dxa"/>
            <w:vAlign w:val="top"/>
          </w:tcPr>
          <w:p>
            <w:pPr>
              <w:pStyle w:val="2"/>
              <w:jc w:val="left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收件回执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48" w:type="dxa"/>
            <w:vAlign w:val="top"/>
          </w:tcPr>
          <w:p>
            <w:pPr>
              <w:pStyle w:val="2"/>
              <w:jc w:val="left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退件后</w:t>
            </w:r>
          </w:p>
        </w:tc>
        <w:tc>
          <w:tcPr>
            <w:tcW w:w="5788" w:type="dxa"/>
            <w:vAlign w:val="top"/>
          </w:tcPr>
          <w:p>
            <w:pPr>
              <w:pStyle w:val="2"/>
              <w:jc w:val="left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退件通知书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48" w:type="dxa"/>
            <w:vAlign w:val="top"/>
          </w:tcPr>
          <w:p>
            <w:pPr>
              <w:pStyle w:val="2"/>
              <w:jc w:val="left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受理后</w:t>
            </w:r>
          </w:p>
        </w:tc>
        <w:tc>
          <w:tcPr>
            <w:tcW w:w="5788" w:type="dxa"/>
            <w:vAlign w:val="top"/>
          </w:tcPr>
          <w:p>
            <w:pPr>
              <w:pStyle w:val="2"/>
              <w:jc w:val="left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受理通知书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48" w:type="dxa"/>
            <w:vAlign w:val="top"/>
          </w:tcPr>
          <w:p>
            <w:pPr>
              <w:pStyle w:val="2"/>
              <w:jc w:val="left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不予受理后</w:t>
            </w:r>
          </w:p>
        </w:tc>
        <w:tc>
          <w:tcPr>
            <w:tcW w:w="5788" w:type="dxa"/>
            <w:vAlign w:val="top"/>
          </w:tcPr>
          <w:p>
            <w:pPr>
              <w:pStyle w:val="2"/>
              <w:jc w:val="left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不予受理通知书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48" w:type="dxa"/>
            <w:vAlign w:val="top"/>
          </w:tcPr>
          <w:p>
            <w:pPr>
              <w:pStyle w:val="2"/>
              <w:jc w:val="left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补正补件后</w:t>
            </w:r>
          </w:p>
        </w:tc>
        <w:tc>
          <w:tcPr>
            <w:tcW w:w="5788" w:type="dxa"/>
            <w:vAlign w:val="top"/>
          </w:tcPr>
          <w:p>
            <w:pPr>
              <w:pStyle w:val="2"/>
              <w:jc w:val="left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补正补件通知书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48" w:type="dxa"/>
            <w:vAlign w:val="top"/>
          </w:tcPr>
          <w:p>
            <w:pPr>
              <w:pStyle w:val="2"/>
              <w:jc w:val="left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退文后</w:t>
            </w:r>
          </w:p>
        </w:tc>
        <w:tc>
          <w:tcPr>
            <w:tcW w:w="5788" w:type="dxa"/>
            <w:vAlign w:val="top"/>
          </w:tcPr>
          <w:p>
            <w:pPr>
              <w:pStyle w:val="2"/>
              <w:jc w:val="left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退文通知书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48" w:type="dxa"/>
            <w:vAlign w:val="top"/>
          </w:tcPr>
          <w:p>
            <w:pPr>
              <w:pStyle w:val="2"/>
              <w:jc w:val="left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cs="仿宋"/>
                <w:color w:val="auto"/>
                <w:sz w:val="28"/>
                <w:szCs w:val="28"/>
                <w:lang w:val="en-US" w:eastAsia="zh-CN"/>
              </w:rPr>
              <w:t>审核通过后</w:t>
            </w:r>
          </w:p>
        </w:tc>
        <w:tc>
          <w:tcPr>
            <w:tcW w:w="5788" w:type="dxa"/>
            <w:vAlign w:val="top"/>
          </w:tcPr>
          <w:p>
            <w:pPr>
              <w:pStyle w:val="2"/>
              <w:jc w:val="left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cs="仿宋"/>
                <w:color w:val="auto"/>
                <w:sz w:val="28"/>
                <w:szCs w:val="28"/>
                <w:lang w:val="en-US" w:eastAsia="zh-CN"/>
              </w:rPr>
              <w:t>退还通知书</w:t>
            </w:r>
          </w:p>
        </w:tc>
      </w:tr>
    </w:tbl>
    <w:p>
      <w:pPr>
        <w:ind w:firstLine="562" w:firstLineChars="200"/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提示：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操作产生的文书在后续的环节都可以打印。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23" w:name="_Toc6240"/>
      <w:bookmarkStart w:id="24" w:name="_Toc624132785"/>
      <w:bookmarkStart w:id="25" w:name="_Toc1627178452"/>
      <w:bookmarkStart w:id="26" w:name="_Toc531082657"/>
      <w:r>
        <w:rPr>
          <w:rFonts w:hint="eastAsia"/>
          <w:lang w:val="en-US" w:eastAsia="zh-CN"/>
        </w:rPr>
        <w:t>录入退还信息</w:t>
      </w:r>
      <w:bookmarkEnd w:id="23"/>
      <w:bookmarkEnd w:id="24"/>
      <w:bookmarkEnd w:id="25"/>
      <w:bookmarkEnd w:id="26"/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第一笔拨付申请审核通过后，若存在之前未录入退还信息的分户/第一笔拨付存在拨付失败的分户，则可以针对该部分分户补充录入退还信息。银行付款后，点击申请列表页操作列的“录入退还信息”按钮，进入录入退还信息页面。如下图所示：</w:t>
      </w:r>
    </w:p>
    <w:p>
      <w:pPr>
        <w:pStyle w:val="2"/>
        <w:jc w:val="center"/>
      </w:pPr>
      <w:r>
        <w:drawing>
          <wp:inline distT="0" distB="0" distL="114300" distR="114300">
            <wp:extent cx="4572000" cy="2306955"/>
            <wp:effectExtent l="9525" t="9525" r="9525" b="2667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31"/>
                    <a:srcRect l="13021" t="7119" r="169" b="122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06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录入退还页面，左侧列表可看到所有未录入退还信息、及拨付失败的分户，红色的分户为拨付失败的分户。如下图所示：</w:t>
      </w:r>
    </w:p>
    <w:p>
      <w:pPr>
        <w:pStyle w:val="2"/>
        <w:jc w:val="center"/>
      </w:pPr>
      <w:r>
        <w:drawing>
          <wp:inline distT="0" distB="0" distL="114300" distR="114300">
            <wp:extent cx="5265420" cy="2553335"/>
            <wp:effectExtent l="0" t="0" r="11430" b="18415"/>
            <wp:docPr id="22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点击操作列的“编辑”按钮，可编辑单个分户的退还信息。如下图所示：</w:t>
      </w:r>
    </w:p>
    <w:p>
      <w:pPr>
        <w:pStyle w:val="2"/>
        <w:jc w:val="center"/>
      </w:pPr>
      <w:r>
        <w:drawing>
          <wp:inline distT="0" distB="0" distL="114300" distR="114300">
            <wp:extent cx="5264785" cy="2567940"/>
            <wp:effectExtent l="0" t="0" r="12065" b="3810"/>
            <wp:docPr id="23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编辑退还信息的页面，如下图所示：</w:t>
      </w:r>
    </w:p>
    <w:p>
      <w:pPr>
        <w:pStyle w:val="2"/>
        <w:jc w:val="center"/>
      </w:pPr>
      <w:r>
        <w:drawing>
          <wp:inline distT="0" distB="0" distL="114300" distR="114300">
            <wp:extent cx="4815205" cy="2432050"/>
            <wp:effectExtent l="0" t="0" r="4445" b="635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34"/>
                    <a:srcRect l="18397" t="33528" r="18399" b="33875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修改完退还信息后，点击“提交”按钮，进行保存。如下图所示：</w:t>
      </w:r>
    </w:p>
    <w:p>
      <w:pPr>
        <w:pStyle w:val="2"/>
        <w:jc w:val="center"/>
      </w:pPr>
      <w:r>
        <w:drawing>
          <wp:inline distT="0" distB="0" distL="114300" distR="114300">
            <wp:extent cx="5093335" cy="1306195"/>
            <wp:effectExtent l="0" t="0" r="12065" b="8255"/>
            <wp:docPr id="1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勾选左侧列表的数据，点击中间的“添加”按钮，添加至右侧已选择列表中。如下图所示：</w:t>
      </w:r>
    </w:p>
    <w:p>
      <w:pPr>
        <w:pStyle w:val="2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584450"/>
            <wp:effectExtent l="0" t="0" r="3810" b="6350"/>
            <wp:docPr id="24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也可下载分户退款房号清单模板，批量修改分户退款信息，再进行导入。点击“下载模板”按钮。如下图所示：</w:t>
      </w:r>
    </w:p>
    <w:p>
      <w:pPr>
        <w:pStyle w:val="2"/>
        <w:jc w:val="center"/>
      </w:pPr>
      <w:r>
        <w:drawing>
          <wp:inline distT="0" distB="0" distL="114300" distR="114300">
            <wp:extent cx="5273040" cy="2555240"/>
            <wp:effectExtent l="0" t="0" r="3810" b="16510"/>
            <wp:docPr id="25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模板会导出所有未录入退还信息及拨付失败的分户，可补充、修改退款信息。如下图所示：</w:t>
      </w:r>
    </w:p>
    <w:p>
      <w:pPr>
        <w:pStyle w:val="2"/>
      </w:pPr>
      <w:r>
        <w:drawing>
          <wp:inline distT="0" distB="0" distL="114300" distR="114300">
            <wp:extent cx="5271135" cy="2475865"/>
            <wp:effectExtent l="0" t="0" r="5715" b="635"/>
            <wp:docPr id="26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文件填写完</w:t>
      </w:r>
      <w:r>
        <w:rPr>
          <w:rFonts w:hint="eastAsia" w:ascii="仿宋" w:hAnsi="仿宋" w:cs="仿宋"/>
          <w:sz w:val="28"/>
          <w:szCs w:val="28"/>
          <w:lang w:val="en-US" w:eastAsia="zh-CN"/>
        </w:rPr>
        <w:t>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后，点击左上角的“导入退还信息”按钮，导入文件。如下图所示：</w:t>
      </w:r>
    </w:p>
    <w:p>
      <w:pPr>
        <w:pStyle w:val="2"/>
        <w:jc w:val="center"/>
      </w:pPr>
      <w:r>
        <w:drawing>
          <wp:inline distT="0" distB="0" distL="114300" distR="114300">
            <wp:extent cx="5273675" cy="2592070"/>
            <wp:effectExtent l="0" t="0" r="3175" b="17780"/>
            <wp:docPr id="27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导入文件后，数据自动展示在右侧列表。点击“上传附件”按钮，至少上传一个附件。点击“确定”按钮，提交申请至区中心审批。如下图所示：</w:t>
      </w:r>
    </w:p>
    <w:p>
      <w:pPr>
        <w:pStyle w:val="2"/>
        <w:jc w:val="center"/>
      </w:pPr>
      <w:r>
        <w:drawing>
          <wp:inline distT="0" distB="0" distL="114300" distR="114300">
            <wp:extent cx="5269230" cy="2548890"/>
            <wp:effectExtent l="0" t="0" r="7620" b="3810"/>
            <wp:docPr id="28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区中心审核通过后，第二次拨付的办理进度变为“待拨付签章”。如下图所示：</w:t>
      </w:r>
    </w:p>
    <w:p>
      <w:pPr>
        <w:pStyle w:val="2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879725"/>
            <wp:effectExtent l="0" t="0" r="6985" b="15875"/>
            <wp:docPr id="29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Microsoft YaHei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s0CioRwCAAAr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63E67CE"/>
    <w:multiLevelType w:val="multilevel"/>
    <w:tmpl w:val="663E67CE"/>
    <w:lvl w:ilvl="0" w:tentative="0">
      <w:start w:val="1"/>
      <w:numFmt w:val="decimal"/>
      <w:pStyle w:val="3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ind w:left="575" w:hanging="575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  <w:rPr>
        <w:rFonts w:hint="default" w:ascii="宋体" w:hAnsi="宋体" w:eastAsia="宋体" w:cs="宋体"/>
      </w:rPr>
    </w:lvl>
    <w:lvl w:ilvl="4" w:tentative="0">
      <w:start w:val="1"/>
      <w:numFmt w:val="decimal"/>
      <w:pStyle w:val="7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true"/>
  <w:embedSystemFonts/>
  <w:bordersDoNotSurroundHeader w:val="false"/>
  <w:bordersDoNotSurroundFooter w:val="false"/>
  <w:trackRevisions w:val="tru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EwYjY1NTM1NDQ1NTA2ODcyOTdjNWZjMGRiNzhlNWMifQ=="/>
  </w:docVars>
  <w:rsids>
    <w:rsidRoot w:val="00000000"/>
    <w:rsid w:val="00493E50"/>
    <w:rsid w:val="02825085"/>
    <w:rsid w:val="059C44E1"/>
    <w:rsid w:val="05B52917"/>
    <w:rsid w:val="071B39A9"/>
    <w:rsid w:val="086D6916"/>
    <w:rsid w:val="087E6BAC"/>
    <w:rsid w:val="091555B1"/>
    <w:rsid w:val="097651B6"/>
    <w:rsid w:val="0E474C6F"/>
    <w:rsid w:val="0F7F6F9E"/>
    <w:rsid w:val="0FAC3289"/>
    <w:rsid w:val="10444515"/>
    <w:rsid w:val="104F6A24"/>
    <w:rsid w:val="122E603C"/>
    <w:rsid w:val="13FB3DEE"/>
    <w:rsid w:val="1696259C"/>
    <w:rsid w:val="16C043B7"/>
    <w:rsid w:val="17D36984"/>
    <w:rsid w:val="186E533E"/>
    <w:rsid w:val="18814EDA"/>
    <w:rsid w:val="19DD3E88"/>
    <w:rsid w:val="1CAA0778"/>
    <w:rsid w:val="1CE472D0"/>
    <w:rsid w:val="1D1232E8"/>
    <w:rsid w:val="1F72081D"/>
    <w:rsid w:val="1FFF7533"/>
    <w:rsid w:val="20A13473"/>
    <w:rsid w:val="20F05100"/>
    <w:rsid w:val="21267BF8"/>
    <w:rsid w:val="22367D9B"/>
    <w:rsid w:val="23F747FC"/>
    <w:rsid w:val="241D391B"/>
    <w:rsid w:val="26DB0FF6"/>
    <w:rsid w:val="272A2BE1"/>
    <w:rsid w:val="27F42F5A"/>
    <w:rsid w:val="2C8965FC"/>
    <w:rsid w:val="2CB9353A"/>
    <w:rsid w:val="2CDF6CCB"/>
    <w:rsid w:val="2CF256CF"/>
    <w:rsid w:val="2D4905A2"/>
    <w:rsid w:val="2E22796C"/>
    <w:rsid w:val="2E532A1D"/>
    <w:rsid w:val="2E8B0409"/>
    <w:rsid w:val="2F9E09B1"/>
    <w:rsid w:val="2FF22215"/>
    <w:rsid w:val="307819CD"/>
    <w:rsid w:val="31DE346D"/>
    <w:rsid w:val="335763ED"/>
    <w:rsid w:val="35CE67BA"/>
    <w:rsid w:val="388E7474"/>
    <w:rsid w:val="39292CF8"/>
    <w:rsid w:val="394F4D11"/>
    <w:rsid w:val="3AA02EDE"/>
    <w:rsid w:val="3B253CDF"/>
    <w:rsid w:val="3C3E2998"/>
    <w:rsid w:val="3C924053"/>
    <w:rsid w:val="3CFC6412"/>
    <w:rsid w:val="3DE66F41"/>
    <w:rsid w:val="3E765DFE"/>
    <w:rsid w:val="3F361456"/>
    <w:rsid w:val="3FD20F60"/>
    <w:rsid w:val="4135710D"/>
    <w:rsid w:val="42D53BFE"/>
    <w:rsid w:val="4442554B"/>
    <w:rsid w:val="447A67CD"/>
    <w:rsid w:val="450142F9"/>
    <w:rsid w:val="453A418A"/>
    <w:rsid w:val="479D7445"/>
    <w:rsid w:val="47DB13DC"/>
    <w:rsid w:val="48403BBB"/>
    <w:rsid w:val="4A473FC6"/>
    <w:rsid w:val="4ADC325C"/>
    <w:rsid w:val="4E510157"/>
    <w:rsid w:val="4FF75703"/>
    <w:rsid w:val="505C75ED"/>
    <w:rsid w:val="51F10A82"/>
    <w:rsid w:val="53872A59"/>
    <w:rsid w:val="54802590"/>
    <w:rsid w:val="554C6DD9"/>
    <w:rsid w:val="55CC67FD"/>
    <w:rsid w:val="55EF32F0"/>
    <w:rsid w:val="566C02FE"/>
    <w:rsid w:val="56C32944"/>
    <w:rsid w:val="57079E2A"/>
    <w:rsid w:val="58867DC6"/>
    <w:rsid w:val="5A222688"/>
    <w:rsid w:val="5B353327"/>
    <w:rsid w:val="5CD070C2"/>
    <w:rsid w:val="5CFD4F56"/>
    <w:rsid w:val="5F552FDB"/>
    <w:rsid w:val="5F5A0B29"/>
    <w:rsid w:val="5FFAED4B"/>
    <w:rsid w:val="60C452CD"/>
    <w:rsid w:val="62601BB3"/>
    <w:rsid w:val="650174E1"/>
    <w:rsid w:val="67AC4971"/>
    <w:rsid w:val="67F56CEE"/>
    <w:rsid w:val="67FF0BEE"/>
    <w:rsid w:val="68371CFA"/>
    <w:rsid w:val="683E65AF"/>
    <w:rsid w:val="69EB7E84"/>
    <w:rsid w:val="6AB2083F"/>
    <w:rsid w:val="6BAD08A7"/>
    <w:rsid w:val="6CCF57DC"/>
    <w:rsid w:val="70AA196E"/>
    <w:rsid w:val="73552752"/>
    <w:rsid w:val="73AC0BEB"/>
    <w:rsid w:val="7AB77F7C"/>
    <w:rsid w:val="7B8B0682"/>
    <w:rsid w:val="7D0F1D0F"/>
    <w:rsid w:val="7DC46119"/>
    <w:rsid w:val="7DF71B9E"/>
    <w:rsid w:val="7FBFDC57"/>
    <w:rsid w:val="7FFF12EA"/>
    <w:rsid w:val="B0D7197D"/>
    <w:rsid w:val="B577BE2E"/>
    <w:rsid w:val="BBBF1A9C"/>
    <w:rsid w:val="EEEB8C4A"/>
    <w:rsid w:val="F5EC3B0B"/>
    <w:rsid w:val="FDCB800C"/>
    <w:rsid w:val="FFF6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仿宋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20">
    <w:name w:val="Default Paragraph Font"/>
    <w:semiHidden/>
    <w:qFormat/>
    <w:uiPriority w:val="0"/>
  </w:style>
  <w:style w:type="table" w:default="1" w:styleId="1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eastAsia="仿宋"/>
    </w:rPr>
  </w:style>
  <w:style w:type="paragraph" w:styleId="12">
    <w:name w:val="annotation text"/>
    <w:basedOn w:val="1"/>
    <w:qFormat/>
    <w:uiPriority w:val="0"/>
    <w:pPr>
      <w:jc w:val="left"/>
    </w:p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toc 1"/>
    <w:basedOn w:val="1"/>
    <w:next w:val="1"/>
    <w:qFormat/>
    <w:uiPriority w:val="0"/>
  </w:style>
  <w:style w:type="paragraph" w:styleId="16">
    <w:name w:val="toc 2"/>
    <w:basedOn w:val="1"/>
    <w:next w:val="1"/>
    <w:qFormat/>
    <w:uiPriority w:val="0"/>
    <w:pPr>
      <w:ind w:left="420" w:leftChars="200"/>
    </w:pPr>
  </w:style>
  <w:style w:type="paragraph" w:styleId="1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9">
    <w:name w:val="Table Grid"/>
    <w:basedOn w:val="18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2014</Words>
  <Characters>2032</Characters>
  <Lines>0</Lines>
  <Paragraphs>0</Paragraphs>
  <TotalTime>41</TotalTime>
  <ScaleCrop>false</ScaleCrop>
  <LinksUpToDate>false</LinksUpToDate>
  <CharactersWithSpaces>2046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2023-01-31T07:25:00Z</dcterms:created>
  <dc:creator>lixiaoru</dc:creator>
  <cp:lastModifiedBy>heyj</cp:lastModifiedBy>
  <dcterms:modified xsi:type="dcterms:W3CDTF">2025-12-30T18:02:54Z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62D616E1DA0A43BC8AB80B9BF8EA887D_13</vt:lpwstr>
  </property>
  <property fmtid="{D5CDD505-2E9C-101B-9397-08002B2CF9AE}" pid="4" name="KSOTemplateDocerSaveRecord">
    <vt:lpwstr>eyJoZGlkIjoiYTEwYjY1NTM1NDQ1NTA2ODcyOTdjNWZjMGRiNzhlNWMiLCJ1c2VySWQiOiIxMTQ4MjUwODU2In0=</vt:lpwstr>
  </property>
</Properties>
</file>