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720" w:lineRule="auto"/>
        <w:jc w:val="both"/>
        <w:outlineLvl w:val="9"/>
        <w:rPr>
          <w:rFonts w:hint="eastAsia" w:ascii="宋体" w:hAnsi="宋体" w:eastAsia="宋体" w:cs="宋体"/>
          <w:b/>
          <w:bCs/>
          <w:sz w:val="52"/>
          <w:szCs w:val="52"/>
        </w:rPr>
      </w:pPr>
    </w:p>
    <w:p>
      <w:pPr>
        <w:spacing w:line="720" w:lineRule="auto"/>
        <w:jc w:val="center"/>
        <w:outlineLvl w:val="9"/>
        <w:rPr>
          <w:rFonts w:hint="eastAsia" w:ascii="宋体" w:hAnsi="宋体" w:eastAsia="宋体" w:cs="宋体"/>
          <w:b/>
          <w:bCs/>
          <w:sz w:val="52"/>
          <w:szCs w:val="52"/>
        </w:rPr>
      </w:pPr>
    </w:p>
    <w:p>
      <w:pPr>
        <w:spacing w:line="720" w:lineRule="auto"/>
        <w:jc w:val="center"/>
        <w:outlineLvl w:val="9"/>
        <w:rPr>
          <w:rFonts w:hint="eastAsia" w:ascii="宋体" w:hAnsi="宋体" w:eastAsia="宋体" w:cs="宋体"/>
          <w:b/>
          <w:bCs/>
          <w:sz w:val="52"/>
          <w:szCs w:val="5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52"/>
          <w:szCs w:val="52"/>
        </w:rPr>
        <w:t>深圳市物业</w:t>
      </w:r>
      <w:r>
        <w:rPr>
          <w:rFonts w:hint="eastAsia" w:ascii="宋体" w:hAnsi="宋体" w:eastAsia="宋体" w:cs="宋体"/>
          <w:b/>
          <w:bCs/>
          <w:sz w:val="52"/>
          <w:szCs w:val="52"/>
          <w:lang w:val="en-US" w:eastAsia="zh-CN"/>
        </w:rPr>
        <w:t>专项维修资金管理系统操作手册</w:t>
      </w:r>
    </w:p>
    <w:p>
      <w:pPr>
        <w:jc w:val="center"/>
        <w:outlineLvl w:val="9"/>
        <w:rPr>
          <w:rFonts w:hint="eastAsia" w:ascii="宋体" w:hAnsi="宋体" w:eastAsia="宋体" w:cs="宋体"/>
          <w:b/>
          <w:bCs/>
          <w:sz w:val="52"/>
          <w:szCs w:val="5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52"/>
          <w:szCs w:val="52"/>
          <w:lang w:val="en-US" w:eastAsia="zh-CN"/>
        </w:rPr>
        <w:t>（</w:t>
      </w:r>
      <w:r>
        <w:rPr>
          <w:rFonts w:hint="eastAsia" w:ascii="宋体" w:hAnsi="宋体" w:eastAsia="宋体" w:cs="宋体"/>
          <w:b/>
          <w:bCs/>
          <w:color w:val="auto"/>
          <w:sz w:val="52"/>
          <w:szCs w:val="52"/>
          <w:lang w:val="en-US" w:eastAsia="zh-CN"/>
        </w:rPr>
        <w:t>建设单位篇</w:t>
      </w:r>
      <w:bookmarkStart w:id="81" w:name="_GoBack"/>
      <w:bookmarkEnd w:id="81"/>
      <w:r>
        <w:rPr>
          <w:rFonts w:hint="eastAsia" w:ascii="宋体" w:hAnsi="宋体" w:eastAsia="宋体" w:cs="宋体"/>
          <w:b/>
          <w:bCs/>
          <w:color w:val="auto"/>
          <w:sz w:val="52"/>
          <w:szCs w:val="52"/>
          <w:lang w:val="en-US" w:eastAsia="zh-CN"/>
        </w:rPr>
        <w:t>）</w:t>
      </w:r>
    </w:p>
    <w:p>
      <w:pPr>
        <w:rPr>
          <w:rFonts w:hint="eastAsia" w:ascii="宋体" w:hAnsi="宋体" w:eastAsia="宋体" w:cs="宋体"/>
          <w:b/>
          <w:bCs/>
          <w:sz w:val="52"/>
          <w:szCs w:val="5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52"/>
          <w:szCs w:val="52"/>
          <w:lang w:val="en-US" w:eastAsia="zh-CN"/>
        </w:rPr>
        <w:br w:type="page"/>
      </w:r>
    </w:p>
    <w:sdt>
      <w:sdtPr>
        <w:rPr>
          <w:rFonts w:ascii="宋体" w:hAnsi="宋体" w:eastAsia="宋体" w:cstheme="minorBidi"/>
          <w:kern w:val="2"/>
          <w:sz w:val="36"/>
          <w:szCs w:val="36"/>
          <w:lang w:val="en-US" w:eastAsia="zh-CN" w:bidi="ar-SA"/>
        </w:rPr>
        <w:id w:val="147451058"/>
        <w15:color w:val="DBDBDB"/>
        <w:docPartObj>
          <w:docPartGallery w:val="Table of Contents"/>
          <w:docPartUnique/>
        </w:docPartObj>
      </w:sdtPr>
      <w:sdtEndPr>
        <w:rPr>
          <w:rFonts w:hint="eastAsia" w:eastAsia="仿宋" w:asciiTheme="minorAscii" w:hAnsiTheme="minorAscii" w:cstheme="minorBidi"/>
          <w:kern w:val="2"/>
          <w:sz w:val="28"/>
          <w:szCs w:val="24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</w:pPr>
          <w:r>
            <w:rPr>
              <w:rFonts w:ascii="宋体" w:hAnsi="宋体" w:eastAsia="宋体"/>
              <w:sz w:val="21"/>
            </w:rPr>
            <w:t>目录</w:t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TOC \o "1-3" \h \u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_Toc372388946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1. </w:t>
          </w:r>
          <w:r>
            <w:rPr>
              <w:rFonts w:hint="eastAsia"/>
              <w:lang w:val="en-US" w:eastAsia="zh-CN"/>
            </w:rPr>
            <w:t>首期缴交</w:t>
          </w:r>
          <w:r>
            <w:tab/>
          </w:r>
          <w:r>
            <w:fldChar w:fldCharType="begin"/>
          </w:r>
          <w:r>
            <w:instrText xml:space="preserve"> PAGEREF _Toc372388946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_Toc727973664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1.1 </w:t>
          </w:r>
          <w:r>
            <w:rPr>
              <w:rFonts w:hint="eastAsia"/>
              <w:lang w:val="en-US" w:eastAsia="zh-CN"/>
            </w:rPr>
            <w:t>新增申请</w:t>
          </w:r>
          <w:r>
            <w:tab/>
          </w:r>
          <w:r>
            <w:fldChar w:fldCharType="begin"/>
          </w:r>
          <w:r>
            <w:instrText xml:space="preserve"> PAGEREF _Toc727973664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3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_Toc1192343172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1.1.1 </w:t>
          </w:r>
          <w:r>
            <w:rPr>
              <w:rFonts w:hint="eastAsia"/>
              <w:lang w:val="en-US" w:eastAsia="zh-CN"/>
            </w:rPr>
            <w:t>首期新盘</w:t>
          </w:r>
          <w:r>
            <w:tab/>
          </w:r>
          <w:r>
            <w:fldChar w:fldCharType="begin"/>
          </w:r>
          <w:r>
            <w:instrText xml:space="preserve"> PAGEREF _Toc1192343172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3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_Toc945325040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kern w:val="2"/>
              <w:szCs w:val="24"/>
              <w:lang w:val="en-US" w:eastAsia="zh-CN" w:bidi="ar-SA"/>
            </w:rPr>
            <w:t xml:space="preserve">1.1.2 </w:t>
          </w:r>
          <w:r>
            <w:rPr>
              <w:rFonts w:hint="eastAsia" w:cstheme="minorBidi"/>
              <w:kern w:val="2"/>
              <w:szCs w:val="24"/>
              <w:lang w:val="en-US" w:eastAsia="zh-CN" w:bidi="ar-SA"/>
            </w:rPr>
            <w:t>历史违建</w:t>
          </w:r>
          <w:r>
            <w:tab/>
          </w:r>
          <w:r>
            <w:fldChar w:fldCharType="begin"/>
          </w:r>
          <w:r>
            <w:instrText xml:space="preserve"> PAGEREF _Toc945325040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3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_Toc256842466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kern w:val="2"/>
              <w:szCs w:val="24"/>
              <w:lang w:val="en-US" w:eastAsia="zh-CN" w:bidi="ar-SA"/>
            </w:rPr>
            <w:t xml:space="preserve">1.1.3 </w:t>
          </w:r>
          <w:r>
            <w:rPr>
              <w:rFonts w:hint="eastAsia" w:cstheme="minorBidi"/>
              <w:kern w:val="2"/>
              <w:szCs w:val="24"/>
              <w:lang w:val="en-US" w:eastAsia="zh-CN" w:bidi="ar-SA"/>
            </w:rPr>
            <w:t>单一产权性质变更</w:t>
          </w:r>
          <w:r>
            <w:tab/>
          </w:r>
          <w:r>
            <w:fldChar w:fldCharType="begin"/>
          </w:r>
          <w:r>
            <w:instrText xml:space="preserve"> PAGEREF _Toc256842466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3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_Toc1036302714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1.1.4 </w:t>
          </w:r>
          <w:r>
            <w:rPr>
              <w:rFonts w:hint="eastAsia"/>
              <w:lang w:val="en-US" w:eastAsia="zh-CN"/>
            </w:rPr>
            <w:t>首期追缴及深汕特别合作区首期缴交</w:t>
          </w:r>
          <w:r>
            <w:tab/>
          </w:r>
          <w:r>
            <w:fldChar w:fldCharType="begin"/>
          </w:r>
          <w:r>
            <w:instrText xml:space="preserve"> PAGEREF _Toc1036302714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_Toc1598473007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1.2 </w:t>
          </w:r>
          <w:r>
            <w:rPr>
              <w:rFonts w:hint="eastAsia"/>
              <w:lang w:val="en-US" w:eastAsia="zh-CN"/>
            </w:rPr>
            <w:t>编辑申请</w:t>
          </w:r>
          <w:r>
            <w:tab/>
          </w:r>
          <w:r>
            <w:fldChar w:fldCharType="begin"/>
          </w:r>
          <w:r>
            <w:instrText xml:space="preserve"> PAGEREF _Toc1598473007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_Toc375124835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1.3 </w:t>
          </w:r>
          <w:r>
            <w:rPr>
              <w:rFonts w:hint="eastAsia"/>
              <w:lang w:val="en-US" w:eastAsia="zh-CN"/>
            </w:rPr>
            <w:t>删除申请</w:t>
          </w:r>
          <w:r>
            <w:tab/>
          </w:r>
          <w:r>
            <w:fldChar w:fldCharType="begin"/>
          </w:r>
          <w:r>
            <w:instrText xml:space="preserve"> PAGEREF _Toc375124835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_Toc898448479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1.4 </w:t>
          </w:r>
          <w:r>
            <w:rPr>
              <w:rFonts w:hint="eastAsia"/>
              <w:lang w:val="en-US" w:eastAsia="zh-CN"/>
            </w:rPr>
            <w:t>查看详情</w:t>
          </w:r>
          <w:r>
            <w:tab/>
          </w:r>
          <w:r>
            <w:fldChar w:fldCharType="begin"/>
          </w:r>
          <w:r>
            <w:instrText xml:space="preserve"> PAGEREF _Toc898448479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_Toc1218308729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1.5 </w:t>
          </w:r>
          <w:r>
            <w:rPr>
              <w:rFonts w:hint="eastAsia"/>
              <w:lang w:val="en-US" w:eastAsia="zh-CN"/>
            </w:rPr>
            <w:t>打印</w:t>
          </w:r>
          <w:r>
            <w:tab/>
          </w:r>
          <w:r>
            <w:fldChar w:fldCharType="begin"/>
          </w:r>
          <w:r>
            <w:instrText xml:space="preserve"> PAGEREF _Toc1218308729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_Toc1642435119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1.6 </w:t>
          </w:r>
          <w:r>
            <w:rPr>
              <w:rFonts w:hint="eastAsia"/>
              <w:lang w:val="en-US" w:eastAsia="zh-CN"/>
            </w:rPr>
            <w:t>核发首期缴交证明</w:t>
          </w:r>
          <w:r>
            <w:tab/>
          </w:r>
          <w:r>
            <w:fldChar w:fldCharType="begin"/>
          </w:r>
          <w:r>
            <w:instrText xml:space="preserve"> PAGEREF _Toc1642435119 </w:instrText>
          </w:r>
          <w:r>
            <w:fldChar w:fldCharType="separate"/>
          </w:r>
          <w:r>
            <w:t>56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_Toc1115394910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2. </w:t>
          </w:r>
          <w:r>
            <w:rPr>
              <w:rFonts w:hint="eastAsia"/>
              <w:lang w:val="en-US" w:eastAsia="zh-CN"/>
            </w:rPr>
            <w:t>业务流水关联</w:t>
          </w:r>
          <w:r>
            <w:tab/>
          </w:r>
          <w:r>
            <w:fldChar w:fldCharType="begin"/>
          </w:r>
          <w:r>
            <w:instrText xml:space="preserve"> PAGEREF _Toc1115394910 </w:instrText>
          </w:r>
          <w:r>
            <w:fldChar w:fldCharType="separate"/>
          </w:r>
          <w:r>
            <w:t>57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_Toc277004629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2.1 </w:t>
          </w:r>
          <w:r>
            <w:rPr>
              <w:rFonts w:hint="eastAsia"/>
              <w:lang w:val="en-US" w:eastAsia="zh-CN"/>
            </w:rPr>
            <w:t>录入转款信息</w:t>
          </w:r>
          <w:r>
            <w:tab/>
          </w:r>
          <w:r>
            <w:fldChar w:fldCharType="begin"/>
          </w:r>
          <w:r>
            <w:instrText xml:space="preserve"> PAGEREF _Toc277004629 </w:instrText>
          </w:r>
          <w:r>
            <w:fldChar w:fldCharType="separate"/>
          </w:r>
          <w:r>
            <w:t>57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_Toc175985200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/>
              <w:lang w:val="en-US" w:eastAsia="zh-CN"/>
            </w:rPr>
            <w:t xml:space="preserve">3. </w:t>
          </w:r>
          <w:r>
            <w:rPr>
              <w:rFonts w:hint="eastAsia"/>
              <w:lang w:val="en-US" w:eastAsia="zh-CN"/>
            </w:rPr>
            <w:t>电子票据管理</w:t>
          </w:r>
          <w:r>
            <w:tab/>
          </w:r>
          <w:r>
            <w:fldChar w:fldCharType="begin"/>
          </w:r>
          <w:r>
            <w:instrText xml:space="preserve"> PAGEREF _Toc175985200 </w:instrText>
          </w:r>
          <w:r>
            <w:fldChar w:fldCharType="separate"/>
          </w:r>
          <w:r>
            <w:t>58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_Toc611981540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3.1 </w:t>
          </w:r>
          <w:r>
            <w:rPr>
              <w:rFonts w:hint="eastAsia"/>
              <w:lang w:val="en-US" w:eastAsia="zh-CN"/>
            </w:rPr>
            <w:t>打印电子票据</w:t>
          </w:r>
          <w:r>
            <w:tab/>
          </w:r>
          <w:r>
            <w:fldChar w:fldCharType="begin"/>
          </w:r>
          <w:r>
            <w:instrText xml:space="preserve"> PAGEREF _Toc611981540 </w:instrText>
          </w:r>
          <w:r>
            <w:fldChar w:fldCharType="separate"/>
          </w:r>
          <w:r>
            <w:t>59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_Toc1615812157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3.2 </w:t>
          </w:r>
          <w:r>
            <w:rPr>
              <w:rFonts w:hint="eastAsia"/>
              <w:lang w:val="en-US" w:eastAsia="zh-CN"/>
            </w:rPr>
            <w:t>汇总票冲红</w:t>
          </w:r>
          <w:r>
            <w:tab/>
          </w:r>
          <w:r>
            <w:fldChar w:fldCharType="begin"/>
          </w:r>
          <w:r>
            <w:instrText xml:space="preserve"> PAGEREF _Toc1615812157 </w:instrText>
          </w:r>
          <w:r>
            <w:fldChar w:fldCharType="separate"/>
          </w:r>
          <w:r>
            <w:t>60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_Toc931560056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3.3 </w:t>
          </w:r>
          <w:r>
            <w:rPr>
              <w:rFonts w:hint="eastAsia"/>
              <w:lang w:val="en-US" w:eastAsia="zh-CN"/>
            </w:rPr>
            <w:t>冲红申请管理</w:t>
          </w:r>
          <w:r>
            <w:tab/>
          </w:r>
          <w:r>
            <w:fldChar w:fldCharType="begin"/>
          </w:r>
          <w:r>
            <w:instrText xml:space="preserve"> PAGEREF _Toc931560056 </w:instrText>
          </w:r>
          <w:r>
            <w:fldChar w:fldCharType="separate"/>
          </w:r>
          <w:r>
            <w:t>62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_Toc1289822719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3.4 </w:t>
          </w:r>
          <w:r>
            <w:rPr>
              <w:rFonts w:hint="eastAsia"/>
              <w:lang w:val="en-US" w:eastAsia="zh-CN"/>
            </w:rPr>
            <w:t>开票失败重试</w:t>
          </w:r>
          <w:r>
            <w:tab/>
          </w:r>
          <w:r>
            <w:fldChar w:fldCharType="begin"/>
          </w:r>
          <w:r>
            <w:instrText xml:space="preserve"> PAGEREF _Toc1289822719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6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_Toc974326541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eastAsia="仿宋" w:asciiTheme="minorAscii" w:hAnsiTheme="minorAscii" w:cstheme="minorBidi"/>
              <w:kern w:val="44"/>
              <w:szCs w:val="24"/>
              <w:lang w:val="en-US" w:eastAsia="zh-CN" w:bidi="ar-SA"/>
            </w:rPr>
            <w:t xml:space="preserve">4. </w:t>
          </w:r>
          <w:r>
            <w:rPr>
              <w:rFonts w:hint="eastAsia"/>
              <w:lang w:val="en-US" w:eastAsia="zh-CN"/>
            </w:rPr>
            <w:t>灭失退还申请</w:t>
          </w:r>
          <w:r>
            <w:tab/>
          </w:r>
          <w:r>
            <w:fldChar w:fldCharType="begin"/>
          </w:r>
          <w:r>
            <w:instrText xml:space="preserve"> PAGEREF _Toc974326541 </w:instrText>
          </w:r>
          <w:r>
            <w:fldChar w:fldCharType="separate"/>
          </w:r>
          <w:r>
            <w:t>64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_Toc398017898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4.1 </w:t>
          </w:r>
          <w:r>
            <w:rPr>
              <w:rFonts w:hint="eastAsia"/>
              <w:lang w:val="en-US" w:eastAsia="zh-CN"/>
            </w:rPr>
            <w:t>新增申请</w:t>
          </w:r>
          <w:r>
            <w:tab/>
          </w:r>
          <w:r>
            <w:fldChar w:fldCharType="begin"/>
          </w:r>
          <w:r>
            <w:instrText xml:space="preserve"> PAGEREF _Toc398017898 </w:instrText>
          </w:r>
          <w:r>
            <w:fldChar w:fldCharType="separate"/>
          </w:r>
          <w:r>
            <w:t>64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_Toc1848599618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4.2 </w:t>
          </w:r>
          <w:r>
            <w:rPr>
              <w:rFonts w:hint="eastAsia"/>
              <w:lang w:val="en-US" w:eastAsia="zh-CN"/>
            </w:rPr>
            <w:t>编辑申请</w:t>
          </w:r>
          <w:r>
            <w:tab/>
          </w:r>
          <w:r>
            <w:fldChar w:fldCharType="begin"/>
          </w:r>
          <w:r>
            <w:instrText xml:space="preserve"> PAGEREF _Toc1848599618 </w:instrText>
          </w:r>
          <w:r>
            <w:fldChar w:fldCharType="separate"/>
          </w:r>
          <w:r>
            <w:t>70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_Toc971342744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4.3 </w:t>
          </w:r>
          <w:r>
            <w:rPr>
              <w:rFonts w:hint="eastAsia"/>
              <w:lang w:val="en-US" w:eastAsia="zh-CN"/>
            </w:rPr>
            <w:t>删除申请</w:t>
          </w:r>
          <w:r>
            <w:tab/>
          </w:r>
          <w:r>
            <w:fldChar w:fldCharType="begin"/>
          </w:r>
          <w:r>
            <w:instrText xml:space="preserve"> PAGEREF _Toc971342744 </w:instrText>
          </w:r>
          <w:r>
            <w:fldChar w:fldCharType="separate"/>
          </w:r>
          <w:r>
            <w:t>71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_Toc812341918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4.4 </w:t>
          </w:r>
          <w:r>
            <w:rPr>
              <w:rFonts w:hint="eastAsia"/>
              <w:lang w:val="en-US" w:eastAsia="zh-CN"/>
            </w:rPr>
            <w:t>查看详情</w:t>
          </w:r>
          <w:r>
            <w:tab/>
          </w:r>
          <w:r>
            <w:fldChar w:fldCharType="begin"/>
          </w:r>
          <w:r>
            <w:instrText xml:space="preserve"> PAGEREF _Toc812341918 </w:instrText>
          </w:r>
          <w:r>
            <w:fldChar w:fldCharType="separate"/>
          </w:r>
          <w:r>
            <w:t>72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_Toc1930615478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4.5 </w:t>
          </w:r>
          <w:r>
            <w:rPr>
              <w:rFonts w:hint="eastAsia"/>
              <w:lang w:val="en-US" w:eastAsia="zh-CN"/>
            </w:rPr>
            <w:t>打印文书</w:t>
          </w:r>
          <w:r>
            <w:tab/>
          </w:r>
          <w:r>
            <w:fldChar w:fldCharType="begin"/>
          </w:r>
          <w:r>
            <w:instrText xml:space="preserve"> PAGEREF _Toc1930615478 </w:instrText>
          </w:r>
          <w:r>
            <w:fldChar w:fldCharType="separate"/>
          </w:r>
          <w:r>
            <w:t>73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17"/>
            <w:tabs>
              <w:tab w:val="right" w:leader="dot" w:pos="8306"/>
            </w:tabs>
          </w:pPr>
          <w:r>
            <w:rPr>
              <w:rFonts w:hint="eastAsia"/>
              <w:lang w:val="en-US" w:eastAsia="zh-CN"/>
            </w:rPr>
            <w:fldChar w:fldCharType="begin"/>
          </w:r>
          <w:r>
            <w:rPr>
              <w:rFonts w:hint="eastAsia"/>
              <w:lang w:val="en-US" w:eastAsia="zh-CN"/>
            </w:rPr>
            <w:instrText xml:space="preserve"> HYPERLINK \l _Toc1038186455 </w:instrText>
          </w:r>
          <w:r>
            <w:rPr>
              <w:rFonts w:hint="eastAsia"/>
              <w:lang w:val="en-US" w:eastAsia="zh-CN"/>
            </w:rPr>
            <w:fldChar w:fldCharType="separate"/>
          </w:r>
          <w:r>
            <w:rPr>
              <w:rFonts w:hint="default" w:ascii="宋体" w:hAnsi="宋体" w:eastAsia="宋体" w:cs="宋体"/>
              <w:lang w:val="en-US" w:eastAsia="zh-CN"/>
            </w:rPr>
            <w:t xml:space="preserve">4.6 </w:t>
          </w:r>
          <w:r>
            <w:rPr>
              <w:rFonts w:hint="eastAsia"/>
              <w:lang w:val="en-US" w:eastAsia="zh-CN"/>
            </w:rPr>
            <w:t>录入退还信息</w:t>
          </w:r>
          <w:r>
            <w:tab/>
          </w:r>
          <w:r>
            <w:fldChar w:fldCharType="begin"/>
          </w:r>
          <w:r>
            <w:instrText xml:space="preserve"> PAGEREF _Toc1038186455 </w:instrText>
          </w:r>
          <w:r>
            <w:fldChar w:fldCharType="separate"/>
          </w:r>
          <w:r>
            <w:t>74</w:t>
          </w:r>
          <w:r>
            <w:fldChar w:fldCharType="end"/>
          </w:r>
          <w:r>
            <w:rPr>
              <w:rFonts w:hint="eastAsia"/>
              <w:lang w:val="en-US" w:eastAsia="zh-CN"/>
            </w:rPr>
            <w:fldChar w:fldCharType="end"/>
          </w:r>
        </w:p>
        <w:p>
          <w:pPr>
            <w:pStyle w:val="2"/>
            <w:rPr>
              <w:rFonts w:hint="eastAsia"/>
              <w:lang w:val="en-US" w:eastAsia="zh-CN"/>
            </w:rPr>
          </w:pPr>
          <w:r>
            <w:rPr>
              <w:rFonts w:hint="eastAsia"/>
              <w:lang w:val="en-US" w:eastAsia="zh-CN"/>
            </w:rPr>
            <w:fldChar w:fldCharType="end"/>
          </w:r>
        </w:p>
      </w:sdtContent>
    </w:sdt>
    <w:p>
      <w:pPr>
        <w:rPr>
          <w:rFonts w:hint="eastAsia"/>
          <w:lang w:val="en-US" w:eastAsia="zh-CN"/>
        </w:rPr>
      </w:pPr>
      <w:r>
        <w:br w:type="page"/>
      </w:r>
    </w:p>
    <w:p>
      <w:pPr>
        <w:pStyle w:val="3"/>
        <w:bidi w:val="0"/>
        <w:ind w:left="432" w:leftChars="0" w:hanging="432" w:firstLineChars="0"/>
        <w:rPr>
          <w:rFonts w:hint="eastAsia"/>
          <w:lang w:val="en-US" w:eastAsia="zh-CN"/>
        </w:rPr>
      </w:pPr>
      <w:bookmarkStart w:id="0" w:name="_Toc1397"/>
      <w:bookmarkStart w:id="1" w:name="_Toc206049996"/>
      <w:bookmarkStart w:id="2" w:name="_Toc372388946"/>
      <w:r>
        <w:rPr>
          <w:rFonts w:hint="eastAsia"/>
          <w:lang w:val="en-US" w:eastAsia="zh-CN"/>
        </w:rPr>
        <w:t>首期缴交</w:t>
      </w:r>
      <w:bookmarkEnd w:id="0"/>
      <w:bookmarkEnd w:id="1"/>
      <w:bookmarkEnd w:id="2"/>
    </w:p>
    <w:p>
      <w:pPr>
        <w:pStyle w:val="4"/>
        <w:bidi w:val="0"/>
        <w:ind w:left="575" w:leftChars="0" w:hanging="575" w:firstLineChars="0"/>
        <w:rPr>
          <w:rFonts w:hint="eastAsia"/>
          <w:lang w:val="en-US" w:eastAsia="zh-CN"/>
        </w:rPr>
      </w:pPr>
      <w:bookmarkStart w:id="3" w:name="_Toc1954338842"/>
      <w:bookmarkStart w:id="4" w:name="_Toc10419"/>
      <w:bookmarkStart w:id="5" w:name="_Toc727973664"/>
      <w:r>
        <w:rPr>
          <w:rFonts w:hint="eastAsia"/>
          <w:lang w:val="en-US" w:eastAsia="zh-CN"/>
        </w:rPr>
        <w:t>新增申请</w:t>
      </w:r>
      <w:bookmarkEnd w:id="3"/>
      <w:bookmarkEnd w:id="4"/>
      <w:bookmarkEnd w:id="5"/>
    </w:p>
    <w:p>
      <w:pPr>
        <w:ind w:firstLine="562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i w:val="0"/>
          <w:caps w:val="0"/>
          <w:color w:val="FF0000"/>
          <w:spacing w:val="0"/>
          <w:kern w:val="2"/>
          <w:sz w:val="28"/>
          <w:szCs w:val="28"/>
          <w:shd w:val="clear" w:fill="auto"/>
          <w:lang w:val="en-US" w:eastAsia="zh-CN" w:bidi="ar"/>
        </w:rPr>
        <w:t>物业专项维修资金（首期）缴交</w:t>
      </w:r>
      <w:r>
        <w:rPr>
          <w:rFonts w:hint="eastAsia" w:ascii="仿宋" w:hAnsi="仿宋" w:eastAsia="仿宋" w:cs="仿宋"/>
          <w:i w:val="0"/>
          <w:caps w:val="0"/>
          <w:spacing w:val="0"/>
          <w:kern w:val="2"/>
          <w:sz w:val="28"/>
          <w:szCs w:val="28"/>
          <w:shd w:val="clear" w:fill="auto"/>
          <w:lang w:val="en-US" w:eastAsia="zh-CN" w:bidi="ar"/>
        </w:rPr>
        <w:t>、</w:t>
      </w:r>
      <w:r>
        <w:rPr>
          <w:rFonts w:hint="eastAsia" w:ascii="仿宋" w:hAnsi="仿宋" w:eastAsia="仿宋" w:cs="仿宋"/>
          <w:b/>
          <w:bCs/>
          <w:i w:val="0"/>
          <w:caps w:val="0"/>
          <w:color w:val="FF0000"/>
          <w:spacing w:val="0"/>
          <w:kern w:val="2"/>
          <w:sz w:val="28"/>
          <w:szCs w:val="28"/>
          <w:shd w:val="clear" w:fill="auto"/>
          <w:lang w:val="en-US" w:eastAsia="zh-CN" w:bidi="ar"/>
        </w:rPr>
        <w:t>物业专项维修资金（首期）缴交（历史违建）</w:t>
      </w:r>
      <w:r>
        <w:rPr>
          <w:rFonts w:hint="eastAsia" w:ascii="仿宋" w:hAnsi="仿宋" w:eastAsia="仿宋" w:cs="仿宋"/>
          <w:i w:val="0"/>
          <w:caps w:val="0"/>
          <w:spacing w:val="0"/>
          <w:kern w:val="2"/>
          <w:sz w:val="28"/>
          <w:szCs w:val="28"/>
          <w:shd w:val="clear"/>
          <w:lang w:val="en-US" w:eastAsia="zh-CN" w:bidi="ar"/>
        </w:rPr>
        <w:t>和</w:t>
      </w:r>
      <w:r>
        <w:rPr>
          <w:rFonts w:hint="eastAsia" w:ascii="仿宋" w:hAnsi="仿宋" w:eastAsia="仿宋" w:cs="仿宋"/>
          <w:b/>
          <w:bCs/>
          <w:i w:val="0"/>
          <w:caps w:val="0"/>
          <w:color w:val="FF0000"/>
          <w:spacing w:val="0"/>
          <w:kern w:val="2"/>
          <w:sz w:val="28"/>
          <w:szCs w:val="28"/>
          <w:shd w:val="clear" w:fill="auto"/>
          <w:lang w:val="en-US" w:eastAsia="zh-CN" w:bidi="ar"/>
        </w:rPr>
        <w:t>单一产权性质变更补缴物业专项维修资金</w:t>
      </w:r>
      <w:r>
        <w:rPr>
          <w:rFonts w:hint="eastAsia" w:ascii="仿宋" w:hAnsi="仿宋" w:eastAsia="仿宋" w:cs="仿宋"/>
          <w:b/>
          <w:bCs/>
          <w:i w:val="0"/>
          <w:caps w:val="0"/>
          <w:color w:val="FF0000"/>
          <w:spacing w:val="0"/>
          <w:kern w:val="2"/>
          <w:sz w:val="28"/>
          <w:szCs w:val="28"/>
          <w:shd w:val="clear"/>
          <w:lang w:val="en-US" w:eastAsia="zh-CN" w:bidi="ar"/>
        </w:rPr>
        <w:t>（首期）</w:t>
      </w:r>
      <w:r>
        <w:rPr>
          <w:rFonts w:hint="eastAsia" w:ascii="仿宋" w:hAnsi="仿宋" w:eastAsia="仿宋" w:cs="仿宋"/>
          <w:i w:val="0"/>
          <w:caps w:val="0"/>
          <w:spacing w:val="0"/>
          <w:kern w:val="2"/>
          <w:sz w:val="28"/>
          <w:szCs w:val="28"/>
          <w:shd w:val="clear"/>
          <w:lang w:val="en-US" w:eastAsia="zh-CN" w:bidi="ar"/>
        </w:rPr>
        <w:t>三个事项在广东政务服务网在线提交办理；</w:t>
      </w:r>
      <w:r>
        <w:rPr>
          <w:rFonts w:hint="eastAsia" w:ascii="仿宋" w:hAnsi="仿宋" w:eastAsia="仿宋" w:cs="仿宋"/>
          <w:b/>
          <w:bCs/>
          <w:i w:val="0"/>
          <w:caps w:val="0"/>
          <w:color w:val="FF0000"/>
          <w:spacing w:val="0"/>
          <w:kern w:val="2"/>
          <w:sz w:val="28"/>
          <w:szCs w:val="28"/>
          <w:shd w:val="clear"/>
          <w:lang w:val="en-US" w:eastAsia="zh-CN" w:bidi="ar"/>
        </w:rPr>
        <w:t>首期追缴</w:t>
      </w:r>
      <w:r>
        <w:rPr>
          <w:rFonts w:hint="eastAsia" w:ascii="仿宋" w:hAnsi="仿宋" w:eastAsia="仿宋" w:cs="仿宋"/>
          <w:i w:val="0"/>
          <w:caps w:val="0"/>
          <w:spacing w:val="0"/>
          <w:kern w:val="2"/>
          <w:sz w:val="28"/>
          <w:szCs w:val="28"/>
          <w:shd w:val="clear"/>
          <w:lang w:val="en-US" w:eastAsia="zh-CN" w:bidi="ar"/>
        </w:rPr>
        <w:t>及</w:t>
      </w:r>
      <w:r>
        <w:rPr>
          <w:rFonts w:hint="eastAsia" w:ascii="仿宋" w:hAnsi="仿宋" w:eastAsia="仿宋" w:cs="仿宋"/>
          <w:b/>
          <w:bCs/>
          <w:i w:val="0"/>
          <w:caps w:val="0"/>
          <w:color w:val="FF0000"/>
          <w:spacing w:val="0"/>
          <w:kern w:val="2"/>
          <w:sz w:val="28"/>
          <w:szCs w:val="28"/>
          <w:shd w:val="clear"/>
          <w:lang w:val="en-US" w:eastAsia="zh-CN" w:bidi="ar"/>
        </w:rPr>
        <w:t>深汕</w:t>
      </w:r>
      <w:r>
        <w:rPr>
          <w:rFonts w:hint="eastAsia" w:ascii="仿宋" w:hAnsi="仿宋" w:cs="仿宋"/>
          <w:b/>
          <w:bCs/>
          <w:i w:val="0"/>
          <w:caps w:val="0"/>
          <w:color w:val="FF0000"/>
          <w:spacing w:val="0"/>
          <w:kern w:val="2"/>
          <w:sz w:val="28"/>
          <w:szCs w:val="28"/>
          <w:shd w:val="clear"/>
          <w:lang w:val="en-US" w:eastAsia="zh-CN" w:bidi="ar"/>
        </w:rPr>
        <w:t>特别</w:t>
      </w:r>
      <w:r>
        <w:rPr>
          <w:rFonts w:hint="eastAsia" w:ascii="仿宋" w:hAnsi="仿宋" w:eastAsia="仿宋" w:cs="仿宋"/>
          <w:b/>
          <w:bCs/>
          <w:i w:val="0"/>
          <w:caps w:val="0"/>
          <w:color w:val="FF0000"/>
          <w:spacing w:val="0"/>
          <w:kern w:val="2"/>
          <w:sz w:val="28"/>
          <w:szCs w:val="28"/>
          <w:shd w:val="clear"/>
          <w:lang w:val="en-US" w:eastAsia="zh-CN" w:bidi="ar"/>
        </w:rPr>
        <w:t>合作区首期缴交</w:t>
      </w:r>
      <w:r>
        <w:rPr>
          <w:rFonts w:hint="eastAsia" w:ascii="仿宋" w:hAnsi="仿宋" w:eastAsia="仿宋" w:cs="仿宋"/>
          <w:i w:val="0"/>
          <w:caps w:val="0"/>
          <w:spacing w:val="0"/>
          <w:kern w:val="2"/>
          <w:sz w:val="28"/>
          <w:szCs w:val="28"/>
          <w:shd w:val="clear"/>
          <w:lang w:val="en-US" w:eastAsia="zh-CN" w:bidi="ar"/>
        </w:rPr>
        <w:t>则在物业专项维修资金管理系统提交办理。</w:t>
      </w:r>
    </w:p>
    <w:p>
      <w:pPr>
        <w:pStyle w:val="5"/>
        <w:bidi w:val="0"/>
        <w:rPr>
          <w:rFonts w:hint="default"/>
          <w:lang w:val="en-US" w:eastAsia="zh-CN"/>
        </w:rPr>
      </w:pPr>
      <w:bookmarkStart w:id="6" w:name="_Toc188909370"/>
      <w:bookmarkStart w:id="7" w:name="_Toc1192343172"/>
      <w:bookmarkStart w:id="8" w:name="_Toc29420"/>
      <w:r>
        <w:rPr>
          <w:rFonts w:hint="eastAsia"/>
          <w:lang w:val="en-US" w:eastAsia="zh-CN"/>
        </w:rPr>
        <w:t>首期新盘</w:t>
      </w:r>
      <w:bookmarkEnd w:id="6"/>
      <w:bookmarkEnd w:id="7"/>
      <w:bookmarkEnd w:id="8"/>
    </w:p>
    <w:p>
      <w:pPr>
        <w:bidi w:val="0"/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通过浏览器搜索“广东政务服务网”，进入广东政务服务网官方网站。如下图所示：</w:t>
      </w:r>
    </w:p>
    <w:p>
      <w:pPr>
        <w:pStyle w:val="2"/>
        <w:jc w:val="center"/>
        <w:rPr>
          <w:sz w:val="24"/>
          <w:szCs w:val="24"/>
        </w:rPr>
      </w:pPr>
      <w:r>
        <w:drawing>
          <wp:inline distT="0" distB="0" distL="114300" distR="114300">
            <wp:extent cx="5271135" cy="3583305"/>
            <wp:effectExtent l="0" t="0" r="5715" b="17145"/>
            <wp:docPr id="61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-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在“请输入您要办理的事项”框中输入“物业专项维修资金（首期）缴交”，点击“搜索”按钮。如下图所示：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1135" cy="3595370"/>
            <wp:effectExtent l="0" t="0" r="5715" b="5080"/>
            <wp:docPr id="62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9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sz w:val="24"/>
          <w:szCs w:val="24"/>
        </w:rPr>
      </w:pPr>
    </w:p>
    <w:p>
      <w:pPr>
        <w:pageBreakBefore w:val="0"/>
        <w:numPr>
          <w:ilvl w:val="-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在“办事服务”中点击“物业专项维修资金（首期）缴交”后的“在线办理”按钮，如下图所示：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1770" cy="2427605"/>
            <wp:effectExtent l="0" t="0" r="5080" b="10795"/>
            <wp:docPr id="63" name="图片 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20" w:firstLineChars="0"/>
        <w:rPr>
          <w:rFonts w:hint="eastAsia"/>
          <w:lang w:eastAsia="zh-CN"/>
        </w:rPr>
      </w:pPr>
      <w:r>
        <w:rPr>
          <w:rFonts w:hint="eastAsia"/>
          <w:lang w:eastAsia="zh-CN"/>
        </w:rPr>
        <w:t>如当前未登录，则会</w:t>
      </w:r>
      <w:r>
        <w:rPr>
          <w:rFonts w:hint="eastAsia"/>
          <w:lang w:val="en-US" w:eastAsia="zh-CN"/>
        </w:rPr>
        <w:t>跳转至广东省统一身份认证平台登录页面。如下图所示：</w:t>
      </w:r>
    </w:p>
    <w:p>
      <w:pPr>
        <w:pageBreakBefore w:val="0"/>
        <w:numPr>
          <w:ilvl w:val="-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drawing>
          <wp:inline distT="0" distB="0" distL="114300" distR="114300">
            <wp:extent cx="5271770" cy="2668905"/>
            <wp:effectExtent l="0" t="0" r="5080" b="17145"/>
            <wp:docPr id="64" name="图片 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4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20" w:firstLineChars="0"/>
        <w:rPr>
          <w:rFonts w:hint="eastAsia"/>
        </w:rPr>
      </w:pPr>
      <w:r>
        <w:rPr>
          <w:rFonts w:hint="eastAsia"/>
          <w:lang w:eastAsia="zh-CN"/>
        </w:rPr>
        <w:t>您</w:t>
      </w:r>
      <w:r>
        <w:rPr>
          <w:rFonts w:hint="eastAsia"/>
        </w:rPr>
        <w:t>可</w:t>
      </w:r>
      <w:r>
        <w:rPr>
          <w:rFonts w:hint="eastAsia"/>
          <w:lang w:eastAsia="zh-CN"/>
        </w:rPr>
        <w:t>以</w:t>
      </w:r>
      <w:r>
        <w:rPr>
          <w:rFonts w:hint="eastAsia"/>
        </w:rPr>
        <w:t>使用微信“扫一扫”登录，如使用微信“扫一扫”登录请按照微信提示步骤进行登录操作。</w:t>
      </w:r>
    </w:p>
    <w:p>
      <w:pPr>
        <w:bidi w:val="0"/>
        <w:ind w:firstLine="420" w:firstLineChars="0"/>
        <w:rPr>
          <w:rFonts w:hint="eastAsia"/>
        </w:rPr>
      </w:pPr>
      <w:r>
        <w:rPr>
          <w:rFonts w:hint="eastAsia"/>
          <w:lang w:eastAsia="zh-CN"/>
        </w:rPr>
        <w:t>您也</w:t>
      </w:r>
      <w:r>
        <w:rPr>
          <w:rFonts w:hint="eastAsia"/>
        </w:rPr>
        <w:t>可</w:t>
      </w:r>
      <w:r>
        <w:rPr>
          <w:rFonts w:hint="eastAsia"/>
          <w:lang w:eastAsia="zh-CN"/>
        </w:rPr>
        <w:t>以</w:t>
      </w:r>
      <w:r>
        <w:rPr>
          <w:rFonts w:hint="eastAsia"/>
        </w:rPr>
        <w:t>使用账号登录，如使用账号登录请点击“账号密码”（如下图</w:t>
      </w:r>
      <w:r>
        <w:rPr>
          <w:rFonts w:hint="eastAsia"/>
          <w:lang w:eastAsia="zh-CN"/>
        </w:rPr>
        <w:t>所示</w:t>
      </w:r>
      <w:r>
        <w:rPr>
          <w:rFonts w:hint="eastAsia"/>
        </w:rPr>
        <w:t>），在账号密码页面输入账号密码，如登录提示“账号或密码错误”，请自行确认账号及密码是否正确；如遗忘密码/账户，可在登录右下角点击找回密码/账号进行找回；如果未注册账号，请</w:t>
      </w:r>
      <w:r>
        <w:rPr>
          <w:rFonts w:hint="eastAsia"/>
          <w:lang w:eastAsia="zh-CN"/>
        </w:rPr>
        <w:t>先</w:t>
      </w:r>
      <w:r>
        <w:rPr>
          <w:rFonts w:hint="eastAsia"/>
        </w:rPr>
        <w:t>注册广东省统一身份认证平台的账号。</w:t>
      </w:r>
    </w:p>
    <w:p>
      <w:pPr>
        <w:pStyle w:val="2"/>
        <w:jc w:val="left"/>
      </w:pPr>
      <w:r>
        <w:drawing>
          <wp:inline distT="0" distB="0" distL="114300" distR="114300">
            <wp:extent cx="5260340" cy="2308860"/>
            <wp:effectExtent l="0" t="0" r="16510" b="15240"/>
            <wp:docPr id="65" name="图片 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5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登录后进入“物业专项维修资金(首期)缴交”办理页面。如下图所示：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sz w:val="24"/>
          <w:szCs w:val="24"/>
        </w:rPr>
      </w:pPr>
      <w:r>
        <w:drawing>
          <wp:inline distT="0" distB="0" distL="114300" distR="114300">
            <wp:extent cx="5241925" cy="3373755"/>
            <wp:effectExtent l="0" t="0" r="15875" b="17145"/>
            <wp:docPr id="66" name="图片 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5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33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20" w:firstLineChars="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第一步：条件自检。</w:t>
      </w:r>
    </w:p>
    <w:p>
      <w:pPr>
        <w:bidi w:val="0"/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点击下拉框选择办理区域，如下图所示：</w:t>
      </w:r>
    </w:p>
    <w:p>
      <w:pPr>
        <w:pStyle w:val="2"/>
      </w:pPr>
      <w:r>
        <w:drawing>
          <wp:inline distT="0" distB="0" distL="114300" distR="114300">
            <wp:extent cx="5287010" cy="3055620"/>
            <wp:effectExtent l="0" t="0" r="8890" b="11430"/>
            <wp:docPr id="68" name="图片 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87010" cy="305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选中“默认情形”选项，如下图所示：</w:t>
      </w:r>
    </w:p>
    <w:p>
      <w:pPr>
        <w:pStyle w:val="2"/>
      </w:pPr>
      <w:r>
        <w:drawing>
          <wp:inline distT="0" distB="0" distL="114300" distR="114300">
            <wp:extent cx="5241290" cy="3725545"/>
            <wp:effectExtent l="0" t="0" r="16510" b="8255"/>
            <wp:docPr id="69" name="图片 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7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372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确认信息无误并已阅读了《服务协议》和《申办知情同意书》后选中勾选框，点击“下一步”按钮，如下图所示：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48910" cy="3599815"/>
            <wp:effectExtent l="0" t="0" r="8890" b="635"/>
            <wp:docPr id="70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20" w:firstLineChars="0"/>
      </w:pPr>
      <w:r>
        <w:rPr>
          <w:rFonts w:hint="eastAsia"/>
          <w:lang w:val="en-US" w:eastAsia="zh-CN"/>
        </w:rPr>
        <w:t>在进入到“物业专项维修资金（首期）缴交”表单填写页面之前，需要进行身份验证，如下图所示：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2433320" cy="2223135"/>
            <wp:effectExtent l="0" t="0" r="0" b="0"/>
            <wp:docPr id="71" name="图片 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3"/>
                    <pic:cNvPicPr>
                      <a:picLocks noChangeAspect="true"/>
                    </pic:cNvPicPr>
                  </pic:nvPicPr>
                  <pic:blipFill>
                    <a:blip r:embed="rId14"/>
                    <a:srcRect l="26901" t="2628" r="26853" b="15208"/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222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20" w:firstLineChars="0"/>
        <w:rPr>
          <w:rFonts w:hint="default"/>
          <w:lang w:val="en-US" w:eastAsia="zh-CN"/>
        </w:rPr>
      </w:pPr>
      <w:r>
        <w:rPr>
          <w:rFonts w:hint="eastAsia"/>
          <w:b/>
          <w:bCs/>
          <w:lang w:eastAsia="zh-CN"/>
        </w:rPr>
        <w:t>第二步：填写表单。</w:t>
      </w:r>
      <w:r>
        <w:rPr>
          <w:rFonts w:hint="eastAsia"/>
          <w:lang w:eastAsia="zh-CN"/>
        </w:rPr>
        <w:t>验证身份通过后，点击“下一步”按钮进入表单填写页面，如下图所示：</w:t>
      </w:r>
    </w:p>
    <w:p>
      <w:pPr>
        <w:pStyle w:val="2"/>
      </w:pPr>
      <w:r>
        <w:drawing>
          <wp:inline distT="0" distB="0" distL="114300" distR="114300">
            <wp:extent cx="5270500" cy="3923665"/>
            <wp:effectExtent l="0" t="0" r="6350" b="635"/>
            <wp:docPr id="78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2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若有联合开发的建设单位，可一同录入，所有字段都为必填项。点击“添加”图标，可新增一行申请单位录入信息。如下图所示：</w:t>
      </w:r>
    </w:p>
    <w:p>
      <w:pPr>
        <w:pStyle w:val="2"/>
      </w:pPr>
      <w:r>
        <w:drawing>
          <wp:inline distT="0" distB="0" distL="114300" distR="114300">
            <wp:extent cx="5263515" cy="999490"/>
            <wp:effectExtent l="0" t="0" r="13335" b="10160"/>
            <wp:docPr id="80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2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99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“选择物业区域”按钮可根据关键字筛选小区。物业区域名称以列表中选中的名称为准。若无法找到所需物业区域，请访问“深圳市住房和建设局官网”，进入“物业管理信息平台”，并使用您的法人账号登录。登录后，请点击“企业信息管理”→“深圳市项目管理”→“新增项目”，按要求填写信息并提交。待审批通过后，您将在当前页面看到新增的物业区域。如有疑问，请拨打82794696/82790596，或加入QQ群748266211/1005697582咨询。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sz w:val="24"/>
          <w:szCs w:val="24"/>
        </w:rPr>
      </w:pPr>
      <w:r>
        <w:drawing>
          <wp:inline distT="0" distB="0" distL="114300" distR="114300">
            <wp:extent cx="5262880" cy="3964940"/>
            <wp:effectExtent l="0" t="0" r="13970" b="16510"/>
            <wp:docPr id="81" name="图片 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3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96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选择“栋竣工时段”，可选择如下三个时间段：</w:t>
      </w:r>
    </w:p>
    <w:p>
      <w:pPr>
        <w:pStyle w:val="2"/>
        <w:numPr>
          <w:ilvl w:val="-1"/>
          <w:numId w:val="0"/>
        </w:numPr>
        <w:ind w:left="0" w:leftChars="0" w:firstLine="0" w:firstLineChars="0"/>
      </w:pPr>
      <w:r>
        <w:drawing>
          <wp:inline distT="0" distB="0" distL="114300" distR="114300">
            <wp:extent cx="5271770" cy="1091565"/>
            <wp:effectExtent l="0" t="0" r="5080" b="13335"/>
            <wp:docPr id="99" name="图片 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4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bidi w:val="0"/>
        <w:rPr>
          <w:rFonts w:hint="eastAsia" w:ascii="仿宋" w:hAnsi="仿宋" w:eastAsia="仿宋" w:cs="仿宋"/>
          <w:lang w:val="en-US" w:eastAsia="zh-CN"/>
        </w:rPr>
      </w:pPr>
      <w:r>
        <w:rPr>
          <w:rFonts w:hint="eastAsia" w:ascii="仿宋" w:hAnsi="仿宋" w:eastAsia="仿宋" w:cs="仿宋"/>
          <w:lang w:val="en-US" w:eastAsia="zh-CN"/>
        </w:rPr>
        <w:t>选择2010年9月10日前竣工物业项目。需填写地价、建安总造价，且建安总造价需大于0 。如下图所示：</w:t>
      </w:r>
    </w:p>
    <w:p>
      <w:pPr>
        <w:pStyle w:val="2"/>
        <w:numPr>
          <w:ilvl w:val="0"/>
          <w:numId w:val="0"/>
        </w:numPr>
        <w:ind w:leftChars="0"/>
        <w:rPr>
          <w:rFonts w:hint="eastAsia" w:eastAsia="仿宋"/>
          <w:sz w:val="28"/>
          <w:lang w:val="en-US" w:eastAsia="zh-CN"/>
        </w:rPr>
      </w:pPr>
      <w:r>
        <w:drawing>
          <wp:inline distT="0" distB="0" distL="114300" distR="114300">
            <wp:extent cx="5262880" cy="2626995"/>
            <wp:effectExtent l="0" t="0" r="13970" b="1905"/>
            <wp:docPr id="103" name="图片 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5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62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bidi w:val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选择2010年9月10日至2021年3月10日竣工物业项目。需录入所有项目栋对应的汇总数据。如下图所示：</w:t>
      </w:r>
    </w:p>
    <w:p>
      <w:pPr>
        <w:pStyle w:val="2"/>
        <w:numPr>
          <w:ilvl w:val="-1"/>
          <w:numId w:val="0"/>
        </w:numPr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6690" cy="3621405"/>
            <wp:effectExtent l="0" t="0" r="10160" b="17145"/>
            <wp:docPr id="112" name="图片 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6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621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bidi w:val="0"/>
        <w:rPr>
          <w:rFonts w:hint="eastAsia" w:ascii="仿宋" w:hAnsi="仿宋" w:eastAsia="仿宋" w:cs="仿宋"/>
          <w:lang w:val="en-US" w:eastAsia="zh-CN"/>
        </w:rPr>
      </w:pPr>
      <w:r>
        <w:rPr>
          <w:rFonts w:hint="eastAsia" w:ascii="仿宋" w:hAnsi="仿宋" w:eastAsia="仿宋" w:cs="仿宋"/>
          <w:lang w:val="en-US" w:eastAsia="zh-CN"/>
        </w:rPr>
        <w:t>选择2021年3月10日后竣工物业项目。需录入所有项目栋对应的汇总数据。如下图所示：</w:t>
      </w:r>
    </w:p>
    <w:p>
      <w:pPr>
        <w:pStyle w:val="2"/>
        <w:numPr>
          <w:ilvl w:val="-1"/>
          <w:numId w:val="0"/>
        </w:numPr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4785" cy="3249930"/>
            <wp:effectExtent l="0" t="0" r="12065" b="7620"/>
            <wp:docPr id="117" name="图片 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7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24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填写项目栋相关信息，如需添加多个项目栋请点击</w:t>
      </w:r>
      <w:r>
        <w:rPr>
          <w:rFonts w:hint="eastAsia"/>
          <w:lang w:val="en-US" w:eastAsia="zh-CN"/>
        </w:rPr>
        <w:drawing>
          <wp:inline distT="0" distB="0" distL="114300" distR="114300">
            <wp:extent cx="219075" cy="171450"/>
            <wp:effectExtent l="0" t="0" r="9525" b="0"/>
            <wp:docPr id="82" name="图片 1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1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按钮进行添加，如下图所示：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sz w:val="24"/>
          <w:szCs w:val="24"/>
        </w:rPr>
      </w:pPr>
      <w:r>
        <w:drawing>
          <wp:inline distT="0" distB="0" distL="114300" distR="114300">
            <wp:extent cx="5264150" cy="923290"/>
            <wp:effectExtent l="0" t="0" r="12700" b="10160"/>
            <wp:docPr id="118" name="图片 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8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9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 w:val="0"/>
          <w:bCs w:val="0"/>
          <w:color w:val="FF000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color w:val="FF0000"/>
          <w:sz w:val="28"/>
          <w:szCs w:val="28"/>
          <w:lang w:val="en-US" w:eastAsia="zh-CN"/>
        </w:rPr>
        <w:t>注意：</w:t>
      </w:r>
      <w:r>
        <w:rPr>
          <w:rFonts w:hint="eastAsia" w:ascii="仿宋" w:hAnsi="仿宋" w:eastAsia="仿宋" w:cs="仿宋"/>
          <w:b w:val="0"/>
          <w:bCs w:val="0"/>
          <w:color w:val="FF0000"/>
          <w:sz w:val="28"/>
          <w:szCs w:val="28"/>
          <w:lang w:val="en-US" w:eastAsia="zh-CN"/>
        </w:rPr>
        <w:t>宗地号、本次缴交总栋数需要与项目栋列表中数据保持一致。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如需暂时保存信息请点击“暂存”按钮，如需要返回请点击“上一步”按钮，确认信息无误后点击“下一步”按钮。如下图所示：</w:t>
      </w:r>
    </w:p>
    <w:p>
      <w:pPr>
        <w:numPr>
          <w:ilvl w:val="0"/>
          <w:numId w:val="0"/>
        </w:numPr>
        <w:spacing w:line="360" w:lineRule="auto"/>
        <w:rPr>
          <w:rFonts w:hint="default"/>
          <w:lang w:eastAsia="zh-CN"/>
        </w:rPr>
      </w:pPr>
      <w:r>
        <w:drawing>
          <wp:inline distT="0" distB="0" distL="114300" distR="114300">
            <wp:extent cx="5263515" cy="3763645"/>
            <wp:effectExtent l="0" t="0" r="13335" b="8255"/>
            <wp:docPr id="119" name="图片 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9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76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eastAsia="zh-CN"/>
        </w:rPr>
        <w:t>第三步：上传材料。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上传附件点击“上传附件”按钮进行上传对应的附件，如需暂时保存信息请点击“暂存”按钮，如需要返回请点击“上一步”按钮，确认信息无误后点击“提交”按钮，完成首期缴交申请。如下图所示：</w:t>
      </w:r>
    </w:p>
    <w:p>
      <w:pPr>
        <w:pStyle w:val="2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262245" cy="3184525"/>
            <wp:effectExtent l="0" t="0" r="14605" b="15875"/>
            <wp:docPr id="105" name="图片 105" descr="MC]QZH{J%HX)G{}Y9UTN)_S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MC]QZH{J%HX)G{}Y9UTN)_S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18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eastAsia="zh-CN"/>
        </w:rPr>
        <w:t>第四步：提交申请。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提交后，点击“打印回执”按钮，可进入打印回执页面。如下图所示：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6690" cy="2489200"/>
            <wp:effectExtent l="0" t="0" r="10160" b="6350"/>
            <wp:docPr id="72" name="图片 2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3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562" w:firstLineChars="200"/>
        <w:jc w:val="left"/>
        <w:rPr>
          <w:rFonts w:hint="eastAsia" w:ascii="仿宋" w:hAnsi="仿宋" w:eastAsia="仿宋" w:cs="仿宋"/>
          <w:b/>
          <w:bCs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i w:val="0"/>
          <w:caps w:val="0"/>
          <w:color w:val="FF0000"/>
          <w:spacing w:val="0"/>
          <w:kern w:val="0"/>
          <w:sz w:val="28"/>
          <w:szCs w:val="28"/>
          <w:shd w:val="clear" w:fill="FFFFFF"/>
          <w:lang w:val="en-US" w:eastAsia="zh-CN" w:bidi="ar"/>
        </w:rPr>
        <w:t>温馨提示：</w:t>
      </w:r>
      <w:r>
        <w:rPr>
          <w:rFonts w:hint="eastAsia" w:ascii="仿宋" w:hAnsi="仿宋" w:eastAsia="仿宋" w:cs="仿宋"/>
          <w:i w:val="0"/>
          <w:caps w:val="0"/>
          <w:color w:val="FF0000"/>
          <w:spacing w:val="0"/>
          <w:kern w:val="0"/>
          <w:sz w:val="28"/>
          <w:szCs w:val="28"/>
          <w:shd w:val="clear" w:fill="FFFFFF"/>
          <w:lang w:val="en-US" w:eastAsia="zh-CN" w:bidi="ar"/>
        </w:rPr>
        <w:t>请务必在收到提示预审通过的短信后，再打印本业务事项申请表（表格右上方带有申办流水号，无需上传电子件），相关材料需按收件要求经盖章（签字）后一并递交收件窗口。提前打印申请表会影响业务正常受理，请勿提前打印！</w:t>
      </w:r>
    </w:p>
    <w:p>
      <w:pPr>
        <w:pStyle w:val="5"/>
        <w:bidi w:val="0"/>
        <w:rPr>
          <w:rFonts w:hint="eastAsia" w:eastAsia="仿宋" w:asciiTheme="minorAscii" w:hAnsiTheme="minorAscii" w:cstheme="minorBidi"/>
          <w:b/>
          <w:kern w:val="2"/>
          <w:sz w:val="32"/>
          <w:szCs w:val="24"/>
          <w:lang w:val="en-US" w:eastAsia="zh-CN" w:bidi="ar-SA"/>
        </w:rPr>
      </w:pPr>
      <w:bookmarkStart w:id="9" w:name="_Toc945325040"/>
      <w:bookmarkStart w:id="10" w:name="_Toc883017352"/>
      <w:bookmarkStart w:id="11" w:name="_Toc15832"/>
      <w:r>
        <w:rPr>
          <w:rFonts w:hint="eastAsia" w:cstheme="minorBidi"/>
          <w:b/>
          <w:kern w:val="2"/>
          <w:sz w:val="32"/>
          <w:szCs w:val="24"/>
          <w:lang w:val="en-US" w:eastAsia="zh-CN" w:bidi="ar-SA"/>
        </w:rPr>
        <w:t>历史违建</w:t>
      </w:r>
      <w:bookmarkEnd w:id="9"/>
      <w:bookmarkEnd w:id="1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通过浏览器搜索“广东政务服务网”，进入广东政务服务网官方网站。如下图所示：</w:t>
      </w:r>
    </w:p>
    <w:p>
      <w:pPr>
        <w:pStyle w:val="2"/>
        <w:jc w:val="center"/>
        <w:rPr>
          <w:sz w:val="24"/>
          <w:szCs w:val="24"/>
        </w:rPr>
      </w:pPr>
      <w:r>
        <w:drawing>
          <wp:inline distT="0" distB="0" distL="114300" distR="114300">
            <wp:extent cx="5271135" cy="3583305"/>
            <wp:effectExtent l="0" t="0" r="5715" b="17145"/>
            <wp:docPr id="106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在“请输入您要办理的事项”框中输入“物业专项维修资金（首期）缴交（历史违建）”，点击“搜索”按钮。如下图所示：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66055" cy="3629660"/>
            <wp:effectExtent l="0" t="0" r="10795" b="8890"/>
            <wp:docPr id="113" name="图片 1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3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62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在“办事服务”中点击“物业专项维修资金（首期）缴交（历史违建）”后的“在线办理”按钮，如下图所示：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6690" cy="2355215"/>
            <wp:effectExtent l="0" t="0" r="10160" b="6985"/>
            <wp:docPr id="114" name="图片 1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4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5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如当前未登录，则会跳转至广东省统一身份认证平台登录页面。如下图所示：</w:t>
      </w:r>
    </w:p>
    <w:p>
      <w:pPr>
        <w:pageBreakBefore w:val="0"/>
        <w:numPr>
          <w:ilvl w:val="-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drawing>
          <wp:inline distT="0" distB="0" distL="114300" distR="114300">
            <wp:extent cx="5271770" cy="2668905"/>
            <wp:effectExtent l="0" t="0" r="5080" b="17145"/>
            <wp:docPr id="109" name="图片 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4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您可以使用微信“扫一扫”登录，如使用微信“扫一扫”登录请按照微信提示步骤进行登录操作。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您也可以使用账号登录，如使用账号登录请点击“账号密码”（如下图所示），在账号密码页面输入账号密码，如登录提示“账号或密码错误”，请自行确认账号及密码是否正确；如遗忘密码/账户，可在登录右下角点击找回密码/账号进行找回；如果未注册账号，请先注册广东省统一身份认证平台的账号。</w:t>
      </w:r>
    </w:p>
    <w:p>
      <w:pPr>
        <w:pStyle w:val="2"/>
        <w:jc w:val="left"/>
      </w:pPr>
      <w:r>
        <w:drawing>
          <wp:inline distT="0" distB="0" distL="114300" distR="114300">
            <wp:extent cx="5260340" cy="2308860"/>
            <wp:effectExtent l="0" t="0" r="16510" b="15240"/>
            <wp:docPr id="110" name="图片 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5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登录后进入“物业专项维修资金（首期）缴交（历史违建）”办理页面。如下图所示：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3040" cy="3382645"/>
            <wp:effectExtent l="0" t="0" r="3810" b="8255"/>
            <wp:docPr id="115" name="图片 1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5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8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  <w:t>第一步：条件自检。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点击下拉框选择办理区域，如下图所示：</w:t>
      </w:r>
    </w:p>
    <w:p>
      <w:pPr>
        <w:pStyle w:val="2"/>
      </w:pPr>
      <w:r>
        <w:drawing>
          <wp:inline distT="0" distB="0" distL="114300" distR="114300">
            <wp:extent cx="5268595" cy="3804285"/>
            <wp:effectExtent l="0" t="0" r="4445" b="5715"/>
            <wp:docPr id="19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80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选中“默认情形”选项，如下图所示：</w:t>
      </w:r>
    </w:p>
    <w:p>
      <w:pPr>
        <w:pStyle w:val="2"/>
      </w:pPr>
      <w:r>
        <w:drawing>
          <wp:inline distT="0" distB="0" distL="114300" distR="114300">
            <wp:extent cx="5267325" cy="3815080"/>
            <wp:effectExtent l="0" t="0" r="5715" b="10160"/>
            <wp:docPr id="20" name="图片 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81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确认信息无误并已阅读了《服务协议》和《申办知情同意书》后选中勾选框，点击“下一步”按钮，如下图所示：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9865" cy="3332480"/>
            <wp:effectExtent l="0" t="0" r="3175" b="5080"/>
            <wp:docPr id="21" name="图片 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3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在进入到“物业专项维修资金（首期）缴交（历史违建适用）”表单填写页面之前，需要进行身份验证，如下图所示：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2428875" cy="2176145"/>
            <wp:effectExtent l="0" t="0" r="0" b="0"/>
            <wp:docPr id="4" name="图片 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true"/>
                    </pic:cNvPicPr>
                  </pic:nvPicPr>
                  <pic:blipFill>
                    <a:blip r:embed="rId14"/>
                    <a:srcRect l="26985" t="2910" r="26853" b="16663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17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eastAsia="zh-CN"/>
        </w:rPr>
        <w:t>第二步：填写表单。</w:t>
      </w:r>
      <w:r>
        <w:rPr>
          <w:rFonts w:hint="eastAsia" w:ascii="仿宋" w:hAnsi="仿宋" w:eastAsia="仿宋" w:cs="仿宋"/>
          <w:b w:val="0"/>
          <w:bCs w:val="0"/>
          <w:sz w:val="28"/>
          <w:szCs w:val="28"/>
          <w:lang w:eastAsia="zh-CN"/>
        </w:rPr>
        <w:t>验证身份通过后，点击“下一步”按钮进入表单填写页面，如下图所示：</w:t>
      </w:r>
    </w:p>
    <w:p>
      <w:pPr>
        <w:pStyle w:val="2"/>
      </w:pPr>
      <w:r>
        <w:drawing>
          <wp:inline distT="0" distB="0" distL="114300" distR="114300">
            <wp:extent cx="5271135" cy="3557905"/>
            <wp:effectExtent l="0" t="0" r="5715" b="4445"/>
            <wp:docPr id="22" name="图片 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5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5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若有联合开发的建设单位，可一同录入，所有字段都为必填项。点击“添加”图标，可新增一行申请单位录入信息。如下图所示：</w:t>
      </w:r>
    </w:p>
    <w:p>
      <w:pPr>
        <w:pStyle w:val="2"/>
      </w:pPr>
      <w:r>
        <w:drawing>
          <wp:inline distT="0" distB="0" distL="114300" distR="114300">
            <wp:extent cx="5266690" cy="950595"/>
            <wp:effectExtent l="0" t="0" r="10160" b="1905"/>
            <wp:docPr id="120" name="图片 1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0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95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</w:pPr>
      <w:r>
        <w:rPr>
          <w:rFonts w:hint="eastAsia"/>
          <w:lang w:val="en-US" w:eastAsia="zh-CN"/>
        </w:rPr>
        <w:t>点击“选择物业区域”按钮可根据关键字筛选小区。物业区域名称以列表中选中的名称为准。若无法找到所需物业区域，请访问“深圳市住房和建设局官网”，进入“物业管理信息平台”，并使用您的法人账号登录。登录后，请点击“企业信息管理”→“深圳市项目管理”→“新增项目”，按要求填写信息并提交。待审批通过后，您将在当前页面看到新增的物业区域。如有疑问，请拨打82794696/82790596，或加入QQ群748266211/1005697582咨询。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sz w:val="24"/>
          <w:szCs w:val="24"/>
        </w:rPr>
      </w:pPr>
      <w:r>
        <w:drawing>
          <wp:inline distT="0" distB="0" distL="114300" distR="114300">
            <wp:extent cx="5272405" cy="1272540"/>
            <wp:effectExtent l="0" t="0" r="4445" b="3810"/>
            <wp:docPr id="121" name="图片 1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1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选择“开具处理证明日期”，只能选择2012年3月1日及之后的日期。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1500505"/>
            <wp:effectExtent l="0" t="0" r="5080" b="4445"/>
            <wp:docPr id="122" name="图片 1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50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以下信息，除“土地面积”、“土地性质”外，其他信息需录入所有项目栋对应的汇总数据。如下图所示：</w:t>
      </w:r>
    </w:p>
    <w:p>
      <w:pPr>
        <w:pStyle w:val="2"/>
        <w:numPr>
          <w:ilvl w:val="-1"/>
          <w:numId w:val="0"/>
        </w:numPr>
        <w:rPr>
          <w:rFonts w:hint="default" w:eastAsia="仿宋"/>
          <w:sz w:val="24"/>
          <w:lang w:val="en-US" w:eastAsia="zh-CN"/>
        </w:rPr>
      </w:pPr>
    </w:p>
    <w:p>
      <w:pPr>
        <w:pStyle w:val="2"/>
        <w:numPr>
          <w:ilvl w:val="-1"/>
          <w:numId w:val="0"/>
        </w:numPr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6690" cy="3754755"/>
            <wp:effectExtent l="0" t="0" r="6350" b="9525"/>
            <wp:docPr id="27" name="图片 1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0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75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-1"/>
          <w:numId w:val="0"/>
        </w:numPr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填写项目栋相关信息，如需添加多个项目栋请点击</w:t>
      </w:r>
      <w:r>
        <w:rPr>
          <w:rFonts w:hint="eastAsia"/>
          <w:lang w:val="en-US" w:eastAsia="zh-CN"/>
        </w:rPr>
        <w:drawing>
          <wp:inline distT="0" distB="0" distL="114300" distR="114300">
            <wp:extent cx="219075" cy="171450"/>
            <wp:effectExtent l="0" t="0" r="9525" b="11430"/>
            <wp:docPr id="12" name="图片 1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按钮进行添加，如下图所示：</w:t>
      </w:r>
    </w:p>
    <w:p>
      <w:pPr>
        <w:pStyle w:val="2"/>
        <w:keepNext w:val="0"/>
        <w:keepLines w:val="0"/>
        <w:pageBreakBefore w:val="0"/>
        <w:widowControl w:val="0"/>
        <w:numPr>
          <w:ilvl w:val="-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sz w:val="24"/>
          <w:szCs w:val="24"/>
        </w:rPr>
      </w:pPr>
      <w:r>
        <w:drawing>
          <wp:inline distT="0" distB="0" distL="114300" distR="114300">
            <wp:extent cx="5273040" cy="1003935"/>
            <wp:effectExtent l="0" t="0" r="0" b="1905"/>
            <wp:docPr id="28" name="图片 1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1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0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numPr>
          <w:ilvl w:val="-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如需暂时保存信息请点击“暂存”按钮，如需要返回请点击“上一步”按钮，确认信息无误后点击“下一步”按钮。如下图所示：</w:t>
      </w:r>
    </w:p>
    <w:p>
      <w:pPr>
        <w:numPr>
          <w:ilvl w:val="0"/>
          <w:numId w:val="0"/>
        </w:numPr>
        <w:spacing w:line="360" w:lineRule="auto"/>
        <w:rPr>
          <w:rFonts w:hint="default"/>
          <w:lang w:eastAsia="zh-CN"/>
        </w:rPr>
      </w:pPr>
      <w:r>
        <w:drawing>
          <wp:inline distT="0" distB="0" distL="114300" distR="114300">
            <wp:extent cx="5269230" cy="1467485"/>
            <wp:effectExtent l="0" t="0" r="7620" b="18415"/>
            <wp:docPr id="125" name="图片 1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3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46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eastAsia="zh-CN"/>
        </w:rPr>
        <w:t>第三步：上传材料。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上传附件点击“上传附件”按钮进行上传对应的附件，如需暂时保存信息请点击“暂存”按钮，如需要返回请点击“上一步”按钮，确认信息无误后点击“提交”按钮，完成首期缴交申请。如下图所示：</w:t>
      </w:r>
    </w:p>
    <w:p>
      <w:pPr>
        <w:pStyle w:val="2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70500" cy="3117850"/>
            <wp:effectExtent l="0" t="0" r="2540" b="6350"/>
            <wp:docPr id="32" name="图片 32" descr="aee470e9b9dcf2f01df63cdb3c506d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aee470e9b9dcf2f01df63cdb3c506d8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11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eastAsia="zh-CN"/>
        </w:rPr>
        <w:t>第四步：提交申请。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提交后，点击“打印回执”按钮，可进入打印回执页面。如下图所示：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6690" cy="2489200"/>
            <wp:effectExtent l="0" t="0" r="6350" b="10160"/>
            <wp:docPr id="17" name="图片 2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3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562" w:firstLineChars="200"/>
        <w:jc w:val="left"/>
        <w:rPr>
          <w:rFonts w:hint="eastAsia" w:ascii="仿宋" w:hAnsi="仿宋" w:eastAsia="仿宋" w:cs="仿宋"/>
          <w:sz w:val="32"/>
          <w:szCs w:val="28"/>
        </w:rPr>
      </w:pPr>
      <w:r>
        <w:rPr>
          <w:rFonts w:hint="eastAsia" w:ascii="仿宋" w:hAnsi="仿宋" w:eastAsia="仿宋" w:cs="仿宋"/>
          <w:b/>
          <w:bCs/>
          <w:i w:val="0"/>
          <w:caps w:val="0"/>
          <w:color w:val="FF0000"/>
          <w:spacing w:val="0"/>
          <w:kern w:val="0"/>
          <w:sz w:val="28"/>
          <w:szCs w:val="28"/>
          <w:shd w:val="clear" w:fill="FFFFFF"/>
          <w:lang w:val="en-US" w:eastAsia="zh-CN" w:bidi="ar"/>
        </w:rPr>
        <w:t>温馨提示：</w:t>
      </w:r>
      <w:r>
        <w:rPr>
          <w:rFonts w:hint="eastAsia" w:ascii="仿宋" w:hAnsi="仿宋" w:eastAsia="仿宋" w:cs="仿宋"/>
          <w:i w:val="0"/>
          <w:caps w:val="0"/>
          <w:color w:val="FF0000"/>
          <w:spacing w:val="0"/>
          <w:kern w:val="0"/>
          <w:sz w:val="28"/>
          <w:szCs w:val="28"/>
          <w:shd w:val="clear" w:fill="FFFFFF"/>
          <w:lang w:val="en-US" w:eastAsia="zh-CN" w:bidi="ar"/>
        </w:rPr>
        <w:t>请务必在收到提示预审通过的短信后，再打印本业务事项申请表（表格右上方带有申办流水号，无需上传电子件），相关材料需按收件要求经盖章（签字）后一并递交收件窗口。提前打印申请表会影响业务正常受理，请勿提前打印！</w:t>
      </w:r>
    </w:p>
    <w:p>
      <w:pPr>
        <w:pStyle w:val="5"/>
        <w:bidi w:val="0"/>
        <w:rPr>
          <w:rFonts w:hint="eastAsia" w:eastAsia="仿宋" w:asciiTheme="minorAscii" w:hAnsiTheme="minorAscii" w:cstheme="minorBidi"/>
          <w:b/>
          <w:kern w:val="2"/>
          <w:sz w:val="32"/>
          <w:szCs w:val="24"/>
          <w:lang w:val="en-US" w:eastAsia="zh-CN" w:bidi="ar-SA"/>
        </w:rPr>
      </w:pPr>
      <w:bookmarkStart w:id="12" w:name="_Toc1213661417"/>
      <w:bookmarkStart w:id="13" w:name="_Toc256842466"/>
      <w:r>
        <w:rPr>
          <w:rFonts w:hint="eastAsia" w:cstheme="minorBidi"/>
          <w:b/>
          <w:kern w:val="2"/>
          <w:sz w:val="32"/>
          <w:szCs w:val="24"/>
          <w:lang w:val="en-US" w:eastAsia="zh-CN" w:bidi="ar-SA"/>
        </w:rPr>
        <w:t>单一产权性质变更</w:t>
      </w:r>
      <w:bookmarkEnd w:id="12"/>
      <w:bookmarkEnd w:id="13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通过浏览器搜索“广东政务服务网”，进入广东政务服务网官方网站。如下图所示：</w:t>
      </w:r>
    </w:p>
    <w:p>
      <w:pPr>
        <w:pStyle w:val="2"/>
        <w:jc w:val="center"/>
        <w:rPr>
          <w:sz w:val="24"/>
          <w:szCs w:val="24"/>
        </w:rPr>
      </w:pPr>
      <w:r>
        <w:drawing>
          <wp:inline distT="0" distB="0" distL="114300" distR="114300">
            <wp:extent cx="5271135" cy="3583305"/>
            <wp:effectExtent l="0" t="0" r="5715" b="17145"/>
            <wp:docPr id="116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在“请输入您要办理的事项”框中输入“单一产权性质变更补缴物业专项维修资金（首期）”，点击“搜索”按钮。如下图所示：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/>
          <w:sz w:val="24"/>
          <w:szCs w:val="24"/>
          <w:lang w:val="en-US" w:eastAsia="zh-CN"/>
        </w:rPr>
      </w:pPr>
      <w:r>
        <w:drawing>
          <wp:inline distT="0" distB="0" distL="114300" distR="114300">
            <wp:extent cx="5274310" cy="3738245"/>
            <wp:effectExtent l="0" t="0" r="2540" b="14605"/>
            <wp:docPr id="127" name="图片 1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7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在“办事服务”中点击“单一产权性质变更补缴物业专项维修资金（首期）”后的“在线办理”按钮，如下图所示：</w:t>
      </w:r>
    </w:p>
    <w:p>
      <w:pPr>
        <w:bidi w:val="0"/>
      </w:pPr>
      <w:r>
        <w:drawing>
          <wp:inline distT="0" distB="0" distL="114300" distR="114300">
            <wp:extent cx="5266690" cy="2490470"/>
            <wp:effectExtent l="0" t="0" r="10160" b="5080"/>
            <wp:docPr id="128" name="图片 1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8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如当前未登录，则会跳转至广东省统一身份认证平台登录页面。如下图所示：</w:t>
      </w:r>
    </w:p>
    <w:p>
      <w:pPr>
        <w:pageBreakBefore w:val="0"/>
        <w:numPr>
          <w:ilvl w:val="-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0" w:firstLineChars="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drawing>
          <wp:inline distT="0" distB="0" distL="114300" distR="114300">
            <wp:extent cx="5271770" cy="2668905"/>
            <wp:effectExtent l="0" t="0" r="5080" b="17145"/>
            <wp:docPr id="123" name="图片 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4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您可以使用微信“扫一扫”登录，如使用微信“扫一扫”登录请按照微信提示步骤进行登录操作。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您也可以使用账号登录，如使用账号登录请点击“账号密码”（如下图所示），在账号密码页面输入账号密码，如登录提示“账号或密码错误”，请自行确认账号及密码是否正确；如遗忘密码/账户，可在登录右下角点击找回密码/账号进行找回；如果未注册账号，请先注册广东省统一身份认证平台的账号。</w:t>
      </w:r>
    </w:p>
    <w:p>
      <w:pPr>
        <w:pStyle w:val="2"/>
        <w:jc w:val="left"/>
      </w:pPr>
      <w:r>
        <w:drawing>
          <wp:inline distT="0" distB="0" distL="114300" distR="114300">
            <wp:extent cx="5260340" cy="2308860"/>
            <wp:effectExtent l="0" t="0" r="12700" b="7620"/>
            <wp:docPr id="124" name="图片 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5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登录后进入“单一产权性质变更补缴物业专项维修资金（首期）”办理页面。如下图所示：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3040" cy="3345815"/>
            <wp:effectExtent l="0" t="0" r="3810" b="6985"/>
            <wp:docPr id="129" name="图片 1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9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4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  <w:t>第一步：条件自检。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点击下拉框选择办理区域，如下图所示：</w:t>
      </w:r>
    </w:p>
    <w:p>
      <w:pPr>
        <w:pStyle w:val="2"/>
      </w:pPr>
      <w:r>
        <w:drawing>
          <wp:inline distT="0" distB="0" distL="114300" distR="114300">
            <wp:extent cx="5271135" cy="3616960"/>
            <wp:effectExtent l="0" t="0" r="1905" b="10160"/>
            <wp:docPr id="50" name="图片 1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5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1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选中“默认情形”选项，如下图所示：</w:t>
      </w:r>
    </w:p>
    <w:p>
      <w:pPr>
        <w:pStyle w:val="2"/>
      </w:pPr>
      <w:r>
        <w:drawing>
          <wp:inline distT="0" distB="0" distL="114300" distR="114300">
            <wp:extent cx="5265420" cy="3692525"/>
            <wp:effectExtent l="0" t="0" r="7620" b="10795"/>
            <wp:docPr id="51" name="图片 1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6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9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确认信息无误并已阅读了《服务协议》和《申办知情同意书》后选中勾选框，点击“下一步”按钮，如下图所示：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70500" cy="3419475"/>
            <wp:effectExtent l="0" t="0" r="2540" b="9525"/>
            <wp:docPr id="52" name="图片 1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7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在进入到“单一产权性质变更补缴物业专项维修资金（首期）”表单填写页面之前，需要进行身份验证，如下图所示：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</w:pPr>
      <w:r>
        <w:drawing>
          <wp:inline distT="0" distB="0" distL="114300" distR="114300">
            <wp:extent cx="2437130" cy="2211705"/>
            <wp:effectExtent l="0" t="0" r="0" b="0"/>
            <wp:docPr id="37" name="图片 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"/>
                    <pic:cNvPicPr>
                      <a:picLocks noChangeAspect="true"/>
                    </pic:cNvPicPr>
                  </pic:nvPicPr>
                  <pic:blipFill>
                    <a:blip r:embed="rId14"/>
                    <a:srcRect l="26901" t="3074" r="26780" b="15184"/>
                    <a:stretch>
                      <a:fillRect/>
                    </a:stretch>
                  </pic:blipFill>
                  <pic:spPr>
                    <a:xfrm>
                      <a:off x="0" y="0"/>
                      <a:ext cx="2437130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textAlignment w:val="auto"/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eastAsia="zh-CN"/>
        </w:rPr>
        <w:t>第二步：填写表单。</w:t>
      </w:r>
      <w:r>
        <w:rPr>
          <w:rFonts w:hint="eastAsia" w:ascii="仿宋" w:hAnsi="仿宋" w:eastAsia="仿宋" w:cs="仿宋"/>
          <w:b w:val="0"/>
          <w:bCs w:val="0"/>
          <w:sz w:val="28"/>
          <w:szCs w:val="28"/>
          <w:lang w:eastAsia="zh-CN"/>
        </w:rPr>
        <w:t>验证身份通过后，点击“下一步”按钮进入表单填写页面，如下图所示：</w:t>
      </w:r>
    </w:p>
    <w:p>
      <w:pPr>
        <w:pStyle w:val="2"/>
      </w:pPr>
      <w:r>
        <w:drawing>
          <wp:inline distT="0" distB="0" distL="114300" distR="114300">
            <wp:extent cx="5267325" cy="3594100"/>
            <wp:effectExtent l="0" t="0" r="9525" b="6350"/>
            <wp:docPr id="53" name="图片 1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8"/>
                    <pic:cNvPicPr>
                      <a:picLocks noChangeAspect="true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若有联合开发的建设单位，可一同录入，所有字段都为必填项。点击“添加”图标，可新增一行申请单位录入信息。如下图所示：</w:t>
      </w:r>
    </w:p>
    <w:p>
      <w:pPr>
        <w:pStyle w:val="2"/>
      </w:pPr>
      <w:r>
        <w:drawing>
          <wp:inline distT="0" distB="0" distL="114300" distR="114300">
            <wp:extent cx="5272405" cy="871855"/>
            <wp:effectExtent l="0" t="0" r="4445" b="4445"/>
            <wp:docPr id="126" name="图片 1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4"/>
                    <pic:cNvPicPr>
                      <a:picLocks noChangeAspect="true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7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选择物业区域”按钮可根据关键字筛选小区。物业区域名称以列表中选中的名称为准。若无法找到所需物业区域，请访问“深圳市住房和建设局官网”，进入“物业管理信息平台”，并使用您的法人账号登录。登录后，请点击“企业信息管理”→“深圳市项目管理”→“新增项目”，按要求填写信息并提交。待审批通过后，您将在当前页面看到新增的物业区域。如有疑问，请拨打82794696/82790596，或加入QQ群748266211/1005697582咨询。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4150" cy="798195"/>
            <wp:effectExtent l="0" t="0" r="12700" b="1905"/>
            <wp:docPr id="131" name="图片 1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5"/>
                    <pic:cNvPicPr>
                      <a:picLocks noChangeAspect="true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79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numPr>
          <w:ilvl w:val="0"/>
          <w:numId w:val="0"/>
        </w:numPr>
        <w:ind w:leftChars="-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560" w:firstLineChars="200"/>
        <w:textAlignment w:val="auto"/>
        <w:rPr>
          <w:rFonts w:hint="default" w:eastAsia="仿宋"/>
          <w:sz w:val="24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以下信息，除“土地面积”、“土地性质”外，其他信息需录入所有项目栋对应的汇总数据。如下图所示：</w:t>
      </w:r>
    </w:p>
    <w:p>
      <w:pPr>
        <w:pStyle w:val="2"/>
        <w:numPr>
          <w:ilvl w:val="-1"/>
          <w:numId w:val="0"/>
        </w:numPr>
        <w:ind w:left="0" w:leftChars="0"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9230" cy="3948430"/>
            <wp:effectExtent l="0" t="0" r="3810" b="13970"/>
            <wp:docPr id="55" name="图片 2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0"/>
                    <pic:cNvPicPr>
                      <a:picLocks noChangeAspect="true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numPr>
          <w:ilvl w:val="-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-140" w:leftChars="-50"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填写项目栋相关信息，如需添加多个项目栋请点击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drawing>
          <wp:inline distT="0" distB="0" distL="114300" distR="114300">
            <wp:extent cx="219075" cy="171450"/>
            <wp:effectExtent l="0" t="0" r="9525" b="11430"/>
            <wp:docPr id="44" name="图片 1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1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17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按钮进行添加，如下图所示：</w:t>
      </w:r>
    </w:p>
    <w:p>
      <w:pPr>
        <w:pStyle w:val="2"/>
        <w:keepNext w:val="0"/>
        <w:keepLines w:val="0"/>
        <w:pageBreakBefore w:val="0"/>
        <w:widowControl w:val="0"/>
        <w:numPr>
          <w:ilvl w:val="-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sz w:val="24"/>
          <w:szCs w:val="24"/>
        </w:rPr>
      </w:pPr>
      <w:r>
        <w:drawing>
          <wp:inline distT="0" distB="0" distL="114300" distR="114300">
            <wp:extent cx="5273040" cy="1003935"/>
            <wp:effectExtent l="0" t="0" r="0" b="1905"/>
            <wp:docPr id="45" name="图片 1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1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0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pageBreakBefore w:val="0"/>
        <w:numPr>
          <w:ilvl w:val="-1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如需暂时保存信息请点击“暂存”按钮，如需要返回请点击“上一步”按钮，确认信息无误后点击“下一步”按钮。如下图所示：</w:t>
      </w:r>
    </w:p>
    <w:p>
      <w:pPr>
        <w:numPr>
          <w:ilvl w:val="0"/>
          <w:numId w:val="0"/>
        </w:numPr>
        <w:spacing w:line="360" w:lineRule="auto"/>
        <w:rPr>
          <w:rFonts w:hint="default"/>
          <w:lang w:eastAsia="zh-CN"/>
        </w:rPr>
      </w:pPr>
      <w:r>
        <w:drawing>
          <wp:inline distT="0" distB="0" distL="114300" distR="114300">
            <wp:extent cx="5268595" cy="1468120"/>
            <wp:effectExtent l="0" t="0" r="8255" b="17780"/>
            <wp:docPr id="132" name="图片 1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6"/>
                    <pic:cNvPicPr>
                      <a:picLocks noChangeAspect="true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46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firstLine="562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eastAsia="zh-CN"/>
        </w:rPr>
        <w:t>第三步：上传材料。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上传附件点击“上传附件”按钮进行上传对应的附件，如需暂时保存信息请点击“暂存”按钮，如需要返回请点击“上一步”按钮，确认信息无误后点击“提交”按钮，完成首期缴交申请。如下图所示：</w:t>
      </w:r>
    </w:p>
    <w:p>
      <w:pPr>
        <w:pStyle w:val="2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64150" cy="3313430"/>
            <wp:effectExtent l="0" t="0" r="8890" b="8890"/>
            <wp:docPr id="56" name="图片 56" descr="32ead05b424fe005e529e3a2369527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32ead05b424fe005e529e3a23695277"/>
                    <pic:cNvPicPr>
                      <a:picLocks noChangeAspect="true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eastAsia="zh-CN"/>
        </w:rPr>
        <w:t>第四步：提交申请。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提交后，点击“打印回执”按钮，可进入打印回执页面。如下图所示：</w:t>
      </w:r>
    </w:p>
    <w:p>
      <w:pPr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</w:pPr>
      <w:r>
        <w:drawing>
          <wp:inline distT="0" distB="0" distL="114300" distR="114300">
            <wp:extent cx="5266690" cy="2489200"/>
            <wp:effectExtent l="0" t="0" r="6350" b="10160"/>
            <wp:docPr id="49" name="图片 2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3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562" w:firstLineChars="200"/>
        <w:jc w:val="left"/>
        <w:rPr>
          <w:rFonts w:hint="eastAsia" w:ascii="仿宋" w:hAnsi="仿宋" w:eastAsia="仿宋" w:cs="仿宋"/>
          <w:sz w:val="32"/>
          <w:szCs w:val="28"/>
        </w:rPr>
      </w:pPr>
      <w:r>
        <w:rPr>
          <w:rFonts w:hint="eastAsia" w:ascii="仿宋" w:hAnsi="仿宋" w:eastAsia="仿宋" w:cs="仿宋"/>
          <w:b/>
          <w:bCs/>
          <w:i w:val="0"/>
          <w:caps w:val="0"/>
          <w:color w:val="FF0000"/>
          <w:spacing w:val="0"/>
          <w:kern w:val="0"/>
          <w:sz w:val="28"/>
          <w:szCs w:val="28"/>
          <w:shd w:val="clear" w:fill="FFFFFF"/>
          <w:lang w:val="en-US" w:eastAsia="zh-CN" w:bidi="ar"/>
        </w:rPr>
        <w:t>温馨提示：</w:t>
      </w:r>
      <w:r>
        <w:rPr>
          <w:rFonts w:hint="eastAsia" w:ascii="仿宋" w:hAnsi="仿宋" w:eastAsia="仿宋" w:cs="仿宋"/>
          <w:i w:val="0"/>
          <w:caps w:val="0"/>
          <w:color w:val="FF0000"/>
          <w:spacing w:val="0"/>
          <w:kern w:val="0"/>
          <w:sz w:val="28"/>
          <w:szCs w:val="28"/>
          <w:shd w:val="clear" w:fill="FFFFFF"/>
          <w:lang w:val="en-US" w:eastAsia="zh-CN" w:bidi="ar"/>
        </w:rPr>
        <w:t>请务必在收到提示预审通过的短信后，再打印本业务事项申请表（表格右上方带有申办流水号，无需上传电子件），相关材料需按收件要求经盖章（签字）后一并递交收件窗口。提前打印申请表会影响业务正常受理，请勿提前打印！</w:t>
      </w:r>
    </w:p>
    <w:p>
      <w:pPr>
        <w:pStyle w:val="5"/>
        <w:bidi w:val="0"/>
        <w:ind w:left="720" w:leftChars="0" w:hanging="720" w:firstLineChars="0"/>
        <w:rPr>
          <w:rFonts w:hint="default"/>
          <w:lang w:val="en-US" w:eastAsia="zh-CN"/>
        </w:rPr>
      </w:pPr>
      <w:bookmarkStart w:id="14" w:name="_Toc1036302714"/>
      <w:bookmarkStart w:id="15" w:name="_Toc870187075"/>
      <w:r>
        <w:rPr>
          <w:rFonts w:hint="eastAsia"/>
          <w:lang w:val="en-US" w:eastAsia="zh-CN"/>
        </w:rPr>
        <w:t>首期追缴及深汕特别合作区首期缴交</w:t>
      </w:r>
      <w:bookmarkEnd w:id="11"/>
      <w:bookmarkEnd w:id="14"/>
      <w:bookmarkEnd w:id="15"/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点击系统左侧菜单“维修金</w:t>
      </w:r>
      <w:r>
        <w:rPr>
          <w:rFonts w:hint="eastAsia" w:ascii="仿宋" w:hAnsi="仿宋" w:cs="仿宋"/>
          <w:sz w:val="28"/>
          <w:szCs w:val="28"/>
          <w:lang w:val="en-US" w:eastAsia="zh-CN"/>
        </w:rPr>
        <w:t>代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管”-“归集管理”-“首期缴交申请”，进入首期缴交列表页面。如下图所示：</w:t>
      </w:r>
    </w:p>
    <w:p>
      <w:pPr>
        <w:pStyle w:val="2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</w:rPr>
        <w:drawing>
          <wp:inline distT="0" distB="0" distL="114300" distR="114300">
            <wp:extent cx="5264150" cy="2529205"/>
            <wp:effectExtent l="0" t="0" r="12700" b="4445"/>
            <wp:docPr id="130" name="图片 2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20"/>
                    <pic:cNvPicPr>
                      <a:picLocks noChangeAspect="true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点击“新增”按钮，进入新增页面。如下图所示：</w:t>
      </w:r>
    </w:p>
    <w:p>
      <w:pPr>
        <w:ind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71770" cy="2416810"/>
            <wp:effectExtent l="0" t="0" r="5080" b="2540"/>
            <wp:docPr id="142" name="图片 2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26"/>
                    <pic:cNvPicPr>
                      <a:picLocks noChangeAspect="true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2" w:firstLineChars="200"/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  <w:t>第一步：填写申请信息。</w:t>
      </w:r>
    </w:p>
    <w:p>
      <w:pPr>
        <w:numPr>
          <w:ilvl w:val="0"/>
          <w:numId w:val="3"/>
        </w:num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补充申请人信息：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需填写委托代理人相关信息，所有字段均为必填。</w:t>
      </w:r>
    </w:p>
    <w:p>
      <w:pPr>
        <w:numPr>
          <w:ilvl w:val="0"/>
          <w:numId w:val="3"/>
        </w:numPr>
        <w:ind w:firstLine="560" w:firstLineChars="200"/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填写其它单位信息：合作开发项目需填写共同申请单位信息，请点击“添加”按钮，如下图所示：</w:t>
      </w:r>
    </w:p>
    <w:p>
      <w:pPr>
        <w:numPr>
          <w:ilvl w:val="-1"/>
          <w:numId w:val="0"/>
        </w:numPr>
        <w:ind w:firstLine="0" w:firstLineChars="0"/>
      </w:pPr>
      <w:r>
        <w:drawing>
          <wp:inline distT="0" distB="0" distL="114300" distR="114300">
            <wp:extent cx="5261610" cy="622300"/>
            <wp:effectExtent l="0" t="0" r="15240" b="6350"/>
            <wp:docPr id="1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true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6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选中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建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设单位/自然人，点击“确定”，完成选择。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如下图所示：</w:t>
      </w:r>
    </w:p>
    <w:p>
      <w:pPr>
        <w:pStyle w:val="2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152900" cy="2762250"/>
            <wp:effectExtent l="0" t="0" r="0" b="0"/>
            <wp:docPr id="2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true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1529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若选择建设单位，则需填写建设单位信息，填写完成后，点击“确定”按钮。</w:t>
      </w:r>
    </w:p>
    <w:p>
      <w:pPr>
        <w:pStyle w:val="2"/>
      </w:pPr>
      <w:r>
        <w:drawing>
          <wp:inline distT="0" distB="0" distL="114300" distR="114300">
            <wp:extent cx="5269865" cy="2591435"/>
            <wp:effectExtent l="0" t="0" r="6985" b="18415"/>
            <wp:docPr id="3" name="图片 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true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59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若选择自然人，则需填写自然人信息，填写完成后，点击“确定”按钮。</w:t>
      </w:r>
    </w:p>
    <w:p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5267325" cy="1392555"/>
            <wp:effectExtent l="0" t="0" r="9525" b="17145"/>
            <wp:docPr id="5" name="图片 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true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9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填写完成后，页面会回显联合建设单位/自然人信息。可点击操作列的“编辑”按钮，修改申请单位信息；可点击操作列的“删除”按钮，删除该条申请单位信息。</w:t>
      </w:r>
    </w:p>
    <w:p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59070" cy="654685"/>
            <wp:effectExtent l="0" t="0" r="17780" b="12065"/>
            <wp:docPr id="24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"/>
                    <pic:cNvPicPr>
                      <a:picLocks noChangeAspect="true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65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firstLine="560" w:firstLineChars="200"/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选择物业区域：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点击“选择”按钮，进入选择物业区域窗口。如下图所示：</w:t>
      </w:r>
    </w:p>
    <w:p>
      <w:pPr>
        <w:numPr>
          <w:ilvl w:val="-1"/>
          <w:numId w:val="0"/>
        </w:numPr>
        <w:ind w:firstLine="0" w:firstLineChars="0"/>
      </w:pPr>
      <w:r>
        <w:drawing>
          <wp:inline distT="0" distB="0" distL="114300" distR="114300">
            <wp:extent cx="5268595" cy="2416810"/>
            <wp:effectExtent l="0" t="0" r="8255" b="2540"/>
            <wp:docPr id="145" name="图片 2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29"/>
                    <pic:cNvPicPr>
                      <a:picLocks noChangeAspect="true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选中一个物业区域，点击“确定”按钮，完成物业区域选择。若选择的物业区域处于深汕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特别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合作区，则办理的业务为首期缴交（深汕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特别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合作区）业务。如未找到相关物业区域，可按列表下方的提示添加物业区域。如下图所示：</w:t>
      </w:r>
    </w:p>
    <w:p>
      <w:pPr>
        <w:numPr>
          <w:ilvl w:val="-1"/>
          <w:numId w:val="0"/>
        </w:numPr>
        <w:ind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2880" cy="3357880"/>
            <wp:effectExtent l="0" t="0" r="13970" b="13970"/>
            <wp:docPr id="25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"/>
                    <pic:cNvPicPr>
                      <a:picLocks noChangeAspect="true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35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ind w:firstLine="560" w:firstLineChars="200"/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添加项目栋信息：点击“新增”按钮，打开新增项目栋页面。如下图所示：</w:t>
      </w:r>
    </w:p>
    <w:p>
      <w:pPr>
        <w:numPr>
          <w:ilvl w:val="-1"/>
          <w:numId w:val="0"/>
        </w:numPr>
        <w:ind w:firstLine="0" w:firstLineChars="0"/>
      </w:pPr>
      <w:r>
        <w:drawing>
          <wp:inline distT="0" distB="0" distL="114300" distR="114300">
            <wp:extent cx="5265420" cy="2423160"/>
            <wp:effectExtent l="0" t="0" r="11430" b="15240"/>
            <wp:docPr id="147" name="图片 3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31"/>
                    <pic:cNvPicPr>
                      <a:picLocks noChangeAspect="true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录入项目栋相关信息后，点击“保存”按钮完成保存。如下图所示：</w:t>
      </w:r>
    </w:p>
    <w:p>
      <w:pPr>
        <w:pStyle w:val="2"/>
        <w:jc w:val="center"/>
      </w:pPr>
      <w:r>
        <w:drawing>
          <wp:inline distT="0" distB="0" distL="114300" distR="114300">
            <wp:extent cx="3839845" cy="1689735"/>
            <wp:effectExtent l="0" t="0" r="8255" b="5715"/>
            <wp:docPr id="148" name="图片 3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32"/>
                    <pic:cNvPicPr>
                      <a:picLocks noChangeAspect="true"/>
                    </pic:cNvPicPr>
                  </pic:nvPicPr>
                  <pic:blipFill>
                    <a:blip r:embed="rId63"/>
                    <a:srcRect l="5842" t="14384" r="21320" b="15516"/>
                    <a:stretch>
                      <a:fillRect/>
                    </a:stretch>
                  </pic:blipFill>
                  <pic:spPr>
                    <a:xfrm>
                      <a:off x="0" y="0"/>
                      <a:ext cx="3839845" cy="168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56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批量导入项目栋：点击“下载模板”按钮，打开下载的项目栋模板文件。如下图所示：</w:t>
      </w:r>
    </w:p>
    <w:p>
      <w:pPr>
        <w:pStyle w:val="2"/>
      </w:pPr>
      <w:r>
        <w:drawing>
          <wp:inline distT="0" distB="0" distL="114300" distR="114300">
            <wp:extent cx="5267960" cy="1282065"/>
            <wp:effectExtent l="0" t="0" r="8890" b="13335"/>
            <wp:docPr id="102" name="图片 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3"/>
                    <pic:cNvPicPr>
                      <a:picLocks noChangeAspect="true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560" w:firstLineChars="200"/>
        <w:rPr>
          <w:rFonts w:hint="default" w:eastAsia="仿宋"/>
          <w:lang w:val="en-US" w:eastAsia="zh-CN"/>
        </w:rPr>
      </w:pPr>
      <w:r>
        <w:rPr>
          <w:rFonts w:hint="eastAsia"/>
          <w:lang w:val="en-US" w:eastAsia="zh-CN"/>
        </w:rPr>
        <w:t>模板文件填写需要导入的项目栋信息，如下图所示：</w:t>
      </w:r>
    </w:p>
    <w:p>
      <w:pPr>
        <w:pStyle w:val="2"/>
        <w:rPr>
          <w:rFonts w:hint="default" w:eastAsia="仿宋"/>
          <w:lang w:val="en-US" w:eastAsia="zh-CN"/>
        </w:rPr>
      </w:pPr>
      <w:r>
        <w:drawing>
          <wp:inline distT="0" distB="0" distL="114300" distR="114300">
            <wp:extent cx="5260975" cy="1384300"/>
            <wp:effectExtent l="0" t="0" r="15875" b="6350"/>
            <wp:docPr id="26" name="图片 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"/>
                    <pic:cNvPicPr>
                      <a:picLocks noChangeAspect="true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56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填写好项目栋模板后将文件保存在本地，点击“批量导入”按钮后，将保存的项目栋模板文件上传，上传成功后申请页面可查看到导入成功的项目栋信息。如下图所示：</w:t>
      </w:r>
    </w:p>
    <w:p>
      <w:pPr>
        <w:pStyle w:val="2"/>
      </w:pPr>
      <w:r>
        <w:drawing>
          <wp:inline distT="0" distB="0" distL="114300" distR="114300">
            <wp:extent cx="5264785" cy="1184275"/>
            <wp:effectExtent l="0" t="0" r="12065" b="15875"/>
            <wp:docPr id="29" name="图片 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4"/>
                    <pic:cNvPicPr>
                      <a:picLocks noChangeAspect="true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18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5270500" cy="2691765"/>
            <wp:effectExtent l="0" t="0" r="6350" b="13335"/>
            <wp:docPr id="31" name="图片 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/>
                    <pic:cNvPicPr>
                      <a:picLocks noChangeAspect="true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9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5268595" cy="1798320"/>
            <wp:effectExtent l="0" t="0" r="8255" b="11430"/>
            <wp:docPr id="39" name="图片 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6"/>
                    <pic:cNvPicPr>
                      <a:picLocks noChangeAspect="true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9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新增完项目栋后，项目栋信息会显示在项目栋列表中，点击操作列的“编辑”，可修改项目栋信息；点击“删除”，可删除该项目栋信息。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textAlignment w:val="auto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b/>
          <w:bCs/>
          <w:color w:val="FF0000"/>
          <w:sz w:val="28"/>
          <w:szCs w:val="28"/>
          <w:lang w:eastAsia="zh-CN"/>
        </w:rPr>
        <w:t>注意：</w:t>
      </w:r>
      <w:r>
        <w:rPr>
          <w:rFonts w:hint="eastAsia" w:ascii="仿宋" w:hAnsi="仿宋" w:eastAsia="仿宋" w:cs="仿宋"/>
          <w:b/>
          <w:bCs/>
          <w:color w:val="FF0000"/>
          <w:sz w:val="28"/>
          <w:szCs w:val="28"/>
          <w:lang w:val="en-US" w:eastAsia="zh-CN"/>
        </w:rPr>
        <w:t>多个项目栋的竣工日期只能选择第一个项目栋所在的时间区间。</w:t>
      </w:r>
    </w:p>
    <w:p>
      <w:pPr>
        <w:numPr>
          <w:ilvl w:val="0"/>
          <w:numId w:val="3"/>
        </w:numPr>
        <w:bidi w:val="0"/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填写物业区域信息：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追缴业务，需要填写建安总造价和地价。如下图所示：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4785" cy="1933575"/>
            <wp:effectExtent l="0" t="0" r="12065" b="9525"/>
            <wp:docPr id="133" name="图片 1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7"/>
                    <pic:cNvPicPr>
                      <a:picLocks noChangeAspect="true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jc w:val="left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深汕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特别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合作区的首期缴交业务，需填写土地面积、选择土地性质，备注可选填。如下图所示：</w:t>
      </w:r>
    </w:p>
    <w:p>
      <w:pPr>
        <w:pStyle w:val="2"/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4785" cy="2675890"/>
            <wp:effectExtent l="0" t="0" r="12065" b="10160"/>
            <wp:docPr id="159" name="图片 3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38"/>
                    <pic:cNvPicPr>
                      <a:picLocks noChangeAspect="true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6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2" w:firstLineChars="200"/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  <w:t>第二步：上传业务要件。</w:t>
      </w: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根据材料要求上传对应的文件。如下图所示：</w:t>
      </w:r>
    </w:p>
    <w:p>
      <w:pPr>
        <w:ind w:firstLine="0" w:firstLineChars="0"/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5420" cy="2416810"/>
            <wp:effectExtent l="0" t="0" r="11430" b="2540"/>
            <wp:docPr id="160" name="图片 3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39"/>
                    <pic:cNvPicPr>
                      <a:picLocks noChangeAspect="true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2" w:firstLineChars="200"/>
        <w:jc w:val="left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  <w:t>第三步：业务信息概览。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点击申请页右下角的“下一步”按钮，则进入业务信息概览页面。如下图所示：</w:t>
      </w:r>
    </w:p>
    <w:p>
      <w:pPr>
        <w:jc w:val="both"/>
      </w:pPr>
      <w:r>
        <w:drawing>
          <wp:inline distT="0" distB="0" distL="114300" distR="114300">
            <wp:extent cx="5268595" cy="2684780"/>
            <wp:effectExtent l="0" t="0" r="8255" b="1270"/>
            <wp:docPr id="46" name="图片 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7"/>
                    <pic:cNvPicPr>
                      <a:picLocks noChangeAspect="true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jc w:val="left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可对申请表进行预览，如需修改，可点击右下角的“上一步”按钮，返回申请页进行修改。如下图所示：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70500" cy="2654300"/>
            <wp:effectExtent l="0" t="0" r="6350" b="12700"/>
            <wp:docPr id="169" name="图片 4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41"/>
                    <pic:cNvPicPr>
                      <a:picLocks noChangeAspect="true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jc w:val="left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点击左上角的“其他信息”标签页，可切换查看其他信息。如下图所示：</w:t>
      </w:r>
    </w:p>
    <w:p>
      <w:pPr>
        <w:jc w:val="center"/>
      </w:pPr>
      <w:r>
        <w:drawing>
          <wp:inline distT="0" distB="0" distL="114300" distR="114300">
            <wp:extent cx="5270500" cy="2663825"/>
            <wp:effectExtent l="0" t="0" r="6350" b="3175"/>
            <wp:docPr id="170" name="图片 4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42"/>
                    <pic:cNvPicPr>
                      <a:picLocks noChangeAspect="true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jc w:val="left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其他信息中，可查看材料清册，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在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窗口</w:t>
      </w:r>
      <w:r>
        <w:rPr>
          <w:rFonts w:hint="eastAsia" w:ascii="仿宋" w:hAnsi="仿宋" w:cs="仿宋"/>
          <w:sz w:val="28"/>
          <w:szCs w:val="28"/>
          <w:lang w:val="en-US" w:eastAsia="zh-CN"/>
        </w:rPr>
        <w:t>进行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交件时需准备好以下材料。如下图所示：</w:t>
      </w:r>
    </w:p>
    <w:p>
      <w:pPr>
        <w:jc w:val="center"/>
      </w:pPr>
      <w:r>
        <w:drawing>
          <wp:inline distT="0" distB="0" distL="114300" distR="114300">
            <wp:extent cx="5268595" cy="2667635"/>
            <wp:effectExtent l="0" t="0" r="8255" b="18415"/>
            <wp:docPr id="171" name="图片 4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43"/>
                    <pic:cNvPicPr>
                      <a:picLocks noChangeAspect="true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6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jc w:val="left"/>
        <w:textAlignment w:val="auto"/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  <w:t>第四步：提交申请。</w:t>
      </w: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确认信息无误后，点击“提交”按钮，提交申请。如下图所示：</w:t>
      </w:r>
    </w:p>
    <w:p>
      <w:pPr>
        <w:jc w:val="center"/>
      </w:pPr>
      <w:r>
        <w:drawing>
          <wp:inline distT="0" distB="0" distL="114300" distR="114300">
            <wp:extent cx="5265420" cy="2670810"/>
            <wp:effectExtent l="0" t="0" r="11430" b="15240"/>
            <wp:docPr id="172" name="图片 4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44"/>
                    <pic:cNvPicPr>
                      <a:picLocks noChangeAspect="true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67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jc w:val="left"/>
        <w:textAlignment w:val="auto"/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提交后，可查看窗口办理地址和咨询电话，按要求提交材料。如下图所示：</w:t>
      </w:r>
    </w:p>
    <w:p>
      <w:pPr>
        <w:jc w:val="center"/>
      </w:pPr>
      <w:r>
        <w:drawing>
          <wp:inline distT="0" distB="0" distL="114300" distR="114300">
            <wp:extent cx="4036060" cy="2219325"/>
            <wp:effectExtent l="0" t="0" r="2540" b="9525"/>
            <wp:docPr id="7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true"/>
                    </pic:cNvPicPr>
                  </pic:nvPicPr>
                  <pic:blipFill>
                    <a:blip r:embed="rId77"/>
                    <a:srcRect r="532"/>
                    <a:stretch>
                      <a:fillRect/>
                    </a:stretch>
                  </pic:blipFill>
                  <pic:spPr>
                    <a:xfrm>
                      <a:off x="0" y="0"/>
                      <a:ext cx="403606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ind w:left="575" w:leftChars="0" w:hanging="575" w:firstLineChars="0"/>
        <w:rPr>
          <w:rFonts w:hint="eastAsia"/>
          <w:lang w:val="en-US" w:eastAsia="zh-CN"/>
        </w:rPr>
      </w:pPr>
      <w:bookmarkStart w:id="16" w:name="_Toc20475"/>
      <w:bookmarkStart w:id="17" w:name="_Toc1598473007"/>
      <w:bookmarkStart w:id="18" w:name="_Toc995423589"/>
      <w:r>
        <w:rPr>
          <w:rFonts w:hint="eastAsia"/>
          <w:lang w:val="en-US" w:eastAsia="zh-CN"/>
        </w:rPr>
        <w:t>编辑申请</w:t>
      </w:r>
      <w:bookmarkEnd w:id="16"/>
      <w:bookmarkEnd w:id="17"/>
      <w:bookmarkEnd w:id="18"/>
    </w:p>
    <w:p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在广东政务服务网办理的业务事项，可在业务申办页面点击右上角的“业务中心”查看所有办事记录。如下图所示：</w:t>
      </w:r>
    </w:p>
    <w:p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5270500" cy="3790950"/>
            <wp:effectExtent l="0" t="0" r="6350" b="0"/>
            <wp:docPr id="174" name="图片 4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46"/>
                    <pic:cNvPicPr>
                      <a:picLocks noChangeAspect="true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办事记录列表如下图所示：</w:t>
      </w:r>
    </w:p>
    <w:p>
      <w:pPr>
        <w:pStyle w:val="2"/>
      </w:pPr>
      <w:r>
        <w:drawing>
          <wp:inline distT="0" distB="0" distL="114300" distR="114300">
            <wp:extent cx="5269230" cy="3865880"/>
            <wp:effectExtent l="0" t="0" r="7620" b="1270"/>
            <wp:docPr id="175" name="图片 4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47"/>
                    <pic:cNvPicPr>
                      <a:picLocks noChangeAspect="true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86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未提交的业务，可直接点击“修改”按钮继续办理，如下图所示：</w:t>
      </w:r>
    </w:p>
    <w:p>
      <w:pPr>
        <w:pStyle w:val="2"/>
        <w:ind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960" cy="3913505"/>
            <wp:effectExtent l="0" t="0" r="8890" b="10795"/>
            <wp:docPr id="176" name="图片 4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48"/>
                    <pic:cNvPicPr>
                      <a:picLocks noChangeAspect="true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1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在物业专项维修金管理系统办理的业务事项，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仅当办理进度为“待提交/待修改”时，可对申请单进行编辑。</w:t>
      </w:r>
    </w:p>
    <w:p>
      <w:pPr>
        <w:numPr>
          <w:ilvl w:val="-1"/>
          <w:numId w:val="0"/>
        </w:numPr>
        <w:ind w:firstLine="562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  <w:t>待提交：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申请人填写申请时，进行暂存，暂未提交，则办理进度为“待提交”。</w:t>
      </w:r>
    </w:p>
    <w:p>
      <w:pPr>
        <w:numPr>
          <w:ilvl w:val="0"/>
          <w:numId w:val="0"/>
        </w:numPr>
        <w:ind w:firstLine="562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  <w:t>待修改：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申请单在审核中时，若审核人进行解锁，则办理进度变为“待修改”。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在申请列表页，点击操作列的“编辑”按钮。如下图所示：</w:t>
      </w:r>
    </w:p>
    <w:p>
      <w:r>
        <w:drawing>
          <wp:inline distT="0" distB="0" distL="114300" distR="114300">
            <wp:extent cx="5268595" cy="2660650"/>
            <wp:effectExtent l="0" t="0" r="8255" b="6350"/>
            <wp:docPr id="177" name="图片 4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49"/>
                    <pic:cNvPicPr>
                      <a:picLocks noChangeAspect="true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6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default" w:eastAsia="仿宋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申请的编辑页面如下图所示：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1770" cy="2668905"/>
            <wp:effectExtent l="0" t="0" r="5080" b="17145"/>
            <wp:docPr id="47" name="图片 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8"/>
                    <pic:cNvPicPr>
                      <a:picLocks noChangeAspect="true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ind w:left="575" w:leftChars="0" w:hanging="575" w:firstLineChars="0"/>
        <w:rPr>
          <w:rFonts w:hint="eastAsia"/>
          <w:lang w:val="en-US" w:eastAsia="zh-CN"/>
        </w:rPr>
      </w:pPr>
      <w:bookmarkStart w:id="19" w:name="_Toc1350441916"/>
      <w:bookmarkStart w:id="20" w:name="_Toc12748"/>
      <w:bookmarkStart w:id="21" w:name="_Toc375124835"/>
      <w:r>
        <w:rPr>
          <w:rFonts w:hint="eastAsia"/>
          <w:lang w:val="en-US" w:eastAsia="zh-CN"/>
        </w:rPr>
        <w:t>删除申请</w:t>
      </w:r>
      <w:bookmarkEnd w:id="19"/>
      <w:bookmarkEnd w:id="20"/>
      <w:bookmarkEnd w:id="21"/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在广东政务服务网办理的业务事项，在业务中心的办事记录列表中，勾选需要删除的申请，点击“删除”按钮可直接删除，如下图所示：</w:t>
      </w:r>
    </w:p>
    <w:p>
      <w:pPr>
        <w:numPr>
          <w:ilvl w:val="-1"/>
          <w:numId w:val="0"/>
        </w:numPr>
        <w:ind w:firstLine="0" w:firstLineChars="0"/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3515" cy="3683000"/>
            <wp:effectExtent l="0" t="0" r="13335" b="12700"/>
            <wp:docPr id="179" name="图片 5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51"/>
                    <pic:cNvPicPr>
                      <a:picLocks noChangeAspect="true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在物业专项维修金管理系统办理的业务事项，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仅当办理进度为“待提交”时，点击操作列的“删除”按钮，确认后可直接删除申请记录。如下图所示：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1770" cy="2682875"/>
            <wp:effectExtent l="0" t="0" r="5080" b="3175"/>
            <wp:docPr id="180" name="图片 5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52"/>
                    <pic:cNvPicPr>
                      <a:picLocks noChangeAspect="true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8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ind w:left="575" w:leftChars="0" w:hanging="575" w:firstLineChars="0"/>
        <w:rPr>
          <w:rFonts w:hint="eastAsia"/>
          <w:lang w:val="en-US" w:eastAsia="zh-CN"/>
        </w:rPr>
      </w:pPr>
      <w:bookmarkStart w:id="22" w:name="_Toc898448479"/>
      <w:bookmarkStart w:id="23" w:name="_Toc12508"/>
      <w:bookmarkStart w:id="24" w:name="_Toc972999707"/>
      <w:r>
        <w:rPr>
          <w:rFonts w:hint="eastAsia"/>
          <w:lang w:val="en-US" w:eastAsia="zh-CN"/>
        </w:rPr>
        <w:t>查看详情</w:t>
      </w:r>
      <w:bookmarkEnd w:id="22"/>
      <w:bookmarkEnd w:id="23"/>
      <w:bookmarkEnd w:id="24"/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在广东政务服务网办理的业务事项，在业务中心的办事记录列表中，查看已提交的事项，点击“业务详情”按钮可查看详情，如下图所示：</w:t>
      </w:r>
    </w:p>
    <w:p>
      <w:pPr>
        <w:ind w:firstLine="0" w:firstLineChars="0"/>
      </w:pPr>
      <w:r>
        <w:drawing>
          <wp:inline distT="0" distB="0" distL="114300" distR="114300">
            <wp:extent cx="5268595" cy="3332480"/>
            <wp:effectExtent l="0" t="0" r="8255" b="1270"/>
            <wp:docPr id="181" name="图片 5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53"/>
                    <pic:cNvPicPr>
                      <a:picLocks noChangeAspect="true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3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eastAsia="zh-CN"/>
        </w:rPr>
        <w:t>详情页面如下图所示：</w:t>
      </w:r>
    </w:p>
    <w:p>
      <w:pPr>
        <w:ind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1135" cy="2253615"/>
            <wp:effectExtent l="0" t="0" r="5715" b="13335"/>
            <wp:docPr id="182" name="图片 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54"/>
                    <pic:cNvPicPr>
                      <a:picLocks noChangeAspect="true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5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6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在物业专项维修金管理系统办理的业务事项，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点击操作列的“查看详情”按钮，可查看申请单的详情。如下图所示：</w:t>
      </w:r>
    </w:p>
    <w:p>
      <w:r>
        <w:drawing>
          <wp:inline distT="0" distB="0" distL="114300" distR="114300">
            <wp:extent cx="5271770" cy="2657475"/>
            <wp:effectExtent l="0" t="0" r="5080" b="9525"/>
            <wp:docPr id="54" name="图片 5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5"/>
                    <pic:cNvPicPr>
                      <a:picLocks noChangeAspect="true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详情页面如下图所示：</w:t>
      </w:r>
    </w:p>
    <w:p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2837815"/>
            <wp:effectExtent l="0" t="0" r="3175" b="635"/>
            <wp:docPr id="185" name="图片 5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57"/>
                    <pic:cNvPicPr>
                      <a:picLocks noChangeAspect="true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83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ind w:left="575" w:leftChars="0" w:hanging="575" w:firstLineChars="0"/>
        <w:rPr>
          <w:rFonts w:hint="eastAsia" w:ascii="仿宋" w:hAnsi="仿宋" w:cs="仿宋"/>
          <w:lang w:val="en-US" w:eastAsia="zh-CN"/>
        </w:rPr>
      </w:pPr>
      <w:bookmarkStart w:id="25" w:name="_Toc1730128597"/>
      <w:bookmarkStart w:id="26" w:name="_Toc1218308729"/>
      <w:bookmarkStart w:id="27" w:name="_Toc16018"/>
      <w:r>
        <w:rPr>
          <w:rFonts w:hint="eastAsia"/>
          <w:lang w:val="en-US" w:eastAsia="zh-CN"/>
        </w:rPr>
        <w:t>打印</w:t>
      </w:r>
      <w:bookmarkEnd w:id="25"/>
      <w:bookmarkEnd w:id="26"/>
      <w:bookmarkEnd w:id="27"/>
    </w:p>
    <w:p>
      <w:pPr>
        <w:numPr>
          <w:ilvl w:val="0"/>
          <w:numId w:val="7"/>
        </w:numPr>
        <w:ind w:firstLine="560" w:firstLineChars="200"/>
        <w:rPr>
          <w:rFonts w:hint="eastAsia"/>
          <w:sz w:val="24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在广东政务服务网办理的业务事项，在业务中心的办事记录列表中，查看已提交的事项，点击“业务详情”按钮可查看详情，切换至表单信息页面，点击“打印”按钮，如下图所示：</w:t>
      </w:r>
    </w:p>
    <w:p>
      <w:pPr>
        <w:pStyle w:val="2"/>
        <w:ind w:firstLine="0" w:firstLineChars="0"/>
      </w:pPr>
      <w:r>
        <w:drawing>
          <wp:inline distT="0" distB="0" distL="114300" distR="114300">
            <wp:extent cx="5271135" cy="2252980"/>
            <wp:effectExtent l="0" t="0" r="5715" b="13970"/>
            <wp:docPr id="187" name="图片 5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59"/>
                    <pic:cNvPicPr>
                      <a:picLocks noChangeAspect="true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5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560" w:firstLineChars="200"/>
      </w:pPr>
      <w:r>
        <w:rPr>
          <w:rFonts w:hint="eastAsia" w:ascii="仿宋" w:hAnsi="仿宋" w:eastAsia="仿宋" w:cs="仿宋"/>
          <w:sz w:val="28"/>
          <w:szCs w:val="28"/>
          <w:lang w:eastAsia="zh-CN"/>
        </w:rPr>
        <w:t>根据实际选择打印的表格模板，点击“选择”按钮，即可打开预览页面。如下图所示：</w:t>
      </w:r>
    </w:p>
    <w:p>
      <w:pPr>
        <w:pStyle w:val="2"/>
        <w:ind w:firstLine="0" w:firstLineChars="0"/>
        <w:jc w:val="center"/>
      </w:pPr>
      <w:r>
        <w:drawing>
          <wp:inline distT="0" distB="0" distL="114300" distR="114300">
            <wp:extent cx="5010150" cy="3124200"/>
            <wp:effectExtent l="0" t="0" r="0" b="0"/>
            <wp:docPr id="8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true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560" w:firstLineChars="200"/>
        <w:rPr>
          <w:rFonts w:hint="eastAsia" w:ascii="仿宋" w:hAnsi="仿宋" w:eastAsia="仿宋" w:cs="仿宋"/>
          <w:sz w:val="28"/>
          <w:szCs w:val="28"/>
          <w:lang w:eastAsia="zh-CN"/>
        </w:rPr>
      </w:pPr>
      <w:r>
        <w:rPr>
          <w:rFonts w:hint="eastAsia" w:ascii="仿宋" w:hAnsi="仿宋" w:eastAsia="仿宋" w:cs="仿宋"/>
          <w:sz w:val="28"/>
          <w:szCs w:val="28"/>
          <w:lang w:eastAsia="zh-CN"/>
        </w:rPr>
        <w:t>打印预览页面如下图所示：</w:t>
      </w:r>
    </w:p>
    <w:p>
      <w:pPr>
        <w:pStyle w:val="2"/>
        <w:ind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989830" cy="1776730"/>
            <wp:effectExtent l="0" t="0" r="1270" b="13970"/>
            <wp:docPr id="9" name="图片 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/>
                    <pic:cNvPicPr>
                      <a:picLocks noChangeAspect="true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989830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在物业专项维修金管理系统办理的业务事项，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点击操作列的“打印”按钮，可选择要打印的文书。如下图所示：</w:t>
      </w:r>
    </w:p>
    <w:p>
      <w:pPr>
        <w:pStyle w:val="2"/>
        <w:rPr>
          <w:rFonts w:hint="default" w:ascii="仿宋" w:hAnsi="仿宋" w:cs="仿宋"/>
          <w:lang w:val="en-US" w:eastAsia="zh-CN"/>
        </w:rPr>
      </w:pPr>
      <w:r>
        <w:drawing>
          <wp:inline distT="0" distB="0" distL="114300" distR="114300">
            <wp:extent cx="5271770" cy="2676525"/>
            <wp:effectExtent l="0" t="0" r="5080" b="9525"/>
            <wp:docPr id="191" name="图片 6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61"/>
                    <pic:cNvPicPr>
                      <a:picLocks noChangeAspect="true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打印预览页面如下图所示：</w:t>
      </w:r>
    </w:p>
    <w:p>
      <w:pPr>
        <w:pStyle w:val="2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660015"/>
            <wp:effectExtent l="0" t="0" r="10160" b="6985"/>
            <wp:docPr id="36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"/>
                    <pic:cNvPicPr>
                      <a:picLocks noChangeAspect="true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6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业务办理完成后打印缴交通知书，办理进度变为“待交款”，申请人将应缴金额转账至首期缴交通知书上的银行账户即可。如下图所示：</w:t>
      </w:r>
    </w:p>
    <w:p>
      <w:pPr>
        <w:pStyle w:val="2"/>
        <w:ind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8595" cy="2670175"/>
            <wp:effectExtent l="0" t="0" r="8255" b="15875"/>
            <wp:docPr id="193" name="图片 6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62"/>
                    <pic:cNvPicPr>
                      <a:picLocks noChangeAspect="true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67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28" w:name="_Toc1642435119"/>
      <w:bookmarkStart w:id="29" w:name="_Toc19309"/>
      <w:bookmarkStart w:id="30" w:name="_Toc703971142"/>
      <w:r>
        <w:rPr>
          <w:rFonts w:hint="eastAsia"/>
          <w:lang w:val="en-US" w:eastAsia="zh-CN"/>
        </w:rPr>
        <w:t>核发首期缴交证明</w:t>
      </w:r>
      <w:bookmarkEnd w:id="28"/>
      <w:bookmarkEnd w:id="29"/>
      <w:bookmarkEnd w:id="3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若为首期新盘、历史违建、单一产权性质变更业务，申请人可直接进入物业专项维修金管理系统打印首期缴交证明。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点击系统左侧菜单“维修金</w:t>
      </w:r>
      <w:r>
        <w:rPr>
          <w:rFonts w:hint="eastAsia" w:ascii="仿宋" w:hAnsi="仿宋" w:cs="仿宋"/>
          <w:sz w:val="28"/>
          <w:szCs w:val="28"/>
          <w:lang w:val="en-US" w:eastAsia="zh-CN"/>
        </w:rPr>
        <w:t>代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管”-“归集管理”-“核发首期缴交证明”，进入列表页面。点击操作列的“打印”按钮，在下拉框中选择“首期缴交证明”，如下图所示：</w:t>
      </w:r>
    </w:p>
    <w:p>
      <w:r>
        <w:drawing>
          <wp:inline distT="0" distB="0" distL="114300" distR="114300">
            <wp:extent cx="5265420" cy="2581910"/>
            <wp:effectExtent l="0" t="0" r="11430" b="8890"/>
            <wp:docPr id="194" name="图片 6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63"/>
                    <pic:cNvPicPr>
                      <a:picLocks noChangeAspect="true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</w:pPr>
      <w:r>
        <w:rPr>
          <w:rFonts w:hint="eastAsia" w:ascii="仿宋" w:hAnsi="仿宋" w:eastAsia="仿宋" w:cs="仿宋"/>
          <w:sz w:val="28"/>
          <w:szCs w:val="28"/>
          <w:lang w:eastAsia="zh-CN"/>
        </w:rPr>
        <w:t>首期缴交证明预览页面如下图所示：</w:t>
      </w:r>
    </w:p>
    <w:p>
      <w:pPr>
        <w:pStyle w:val="2"/>
        <w:rPr>
          <w:rFonts w:hint="default"/>
          <w:lang w:val="en-US" w:eastAsia="zh-CN"/>
        </w:rPr>
      </w:pPr>
      <w:r>
        <w:drawing>
          <wp:inline distT="0" distB="0" distL="114300" distR="114300">
            <wp:extent cx="5272405" cy="2715895"/>
            <wp:effectExtent l="0" t="0" r="4445" b="8255"/>
            <wp:docPr id="195" name="图片 6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64"/>
                    <pic:cNvPicPr>
                      <a:picLocks noChangeAspect="true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31" w:name="_Toc1115394910"/>
      <w:r>
        <w:rPr>
          <w:rFonts w:hint="eastAsia"/>
          <w:lang w:val="en-US" w:eastAsia="zh-CN"/>
        </w:rPr>
        <w:t>业务流水关联</w:t>
      </w:r>
      <w:bookmarkEnd w:id="31"/>
    </w:p>
    <w:p>
      <w:pPr>
        <w:pStyle w:val="4"/>
        <w:bidi w:val="0"/>
        <w:rPr>
          <w:rFonts w:hint="default"/>
          <w:lang w:val="en-US" w:eastAsia="zh-CN"/>
        </w:rPr>
      </w:pPr>
      <w:bookmarkStart w:id="32" w:name="_Toc277004629"/>
      <w:bookmarkStart w:id="33" w:name="_Toc8946"/>
      <w:bookmarkStart w:id="34" w:name="_Toc282011844"/>
      <w:r>
        <w:rPr>
          <w:rFonts w:hint="eastAsia"/>
          <w:lang w:val="en-US" w:eastAsia="zh-CN"/>
        </w:rPr>
        <w:t>录入转款信息</w:t>
      </w:r>
      <w:bookmarkEnd w:id="32"/>
      <w:bookmarkEnd w:id="33"/>
      <w:bookmarkEnd w:id="34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</w:rPr>
        <w:t>首期缴交业务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办结</w:t>
      </w:r>
      <w:r>
        <w:rPr>
          <w:rFonts w:hint="eastAsia" w:ascii="仿宋" w:hAnsi="仿宋" w:eastAsia="仿宋" w:cs="仿宋"/>
          <w:sz w:val="28"/>
          <w:szCs w:val="28"/>
        </w:rPr>
        <w:t>后，申请人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交完</w:t>
      </w:r>
      <w:r>
        <w:rPr>
          <w:rFonts w:hint="eastAsia" w:ascii="仿宋" w:hAnsi="仿宋" w:eastAsia="仿宋" w:cs="仿宋"/>
          <w:sz w:val="28"/>
          <w:szCs w:val="28"/>
        </w:rPr>
        <w:t>款，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点击系统左侧菜单：</w:t>
      </w:r>
      <w:r>
        <w:rPr>
          <w:rFonts w:hint="eastAsia" w:ascii="仿宋" w:hAnsi="仿宋" w:cs="仿宋"/>
          <w:sz w:val="28"/>
          <w:szCs w:val="28"/>
          <w:lang w:val="en-US" w:eastAsia="zh-CN"/>
        </w:rPr>
        <w:t>“</w:t>
      </w: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维修资金</w:t>
      </w:r>
      <w:r>
        <w:rPr>
          <w:rFonts w:hint="eastAsia" w:ascii="仿宋" w:hAnsi="仿宋" w:cs="仿宋"/>
          <w:b w:val="0"/>
          <w:bCs w:val="0"/>
          <w:sz w:val="28"/>
          <w:szCs w:val="28"/>
          <w:lang w:val="en-US" w:eastAsia="zh-CN"/>
        </w:rPr>
        <w:t>代</w:t>
      </w: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管</w:t>
      </w:r>
      <w:r>
        <w:rPr>
          <w:rFonts w:hint="eastAsia" w:ascii="仿宋" w:hAnsi="仿宋" w:cs="仿宋"/>
          <w:sz w:val="28"/>
          <w:szCs w:val="28"/>
          <w:lang w:val="en-US" w:eastAsia="zh-CN"/>
        </w:rPr>
        <w:t>”</w:t>
      </w: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-</w:t>
      </w:r>
      <w:r>
        <w:rPr>
          <w:rFonts w:hint="eastAsia" w:ascii="仿宋" w:hAnsi="仿宋" w:cs="仿宋"/>
          <w:b w:val="0"/>
          <w:bCs w:val="0"/>
          <w:sz w:val="28"/>
          <w:szCs w:val="28"/>
          <w:lang w:val="en-US" w:eastAsia="zh-CN"/>
        </w:rPr>
        <w:t>“业务流水关联”</w:t>
      </w: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-</w:t>
      </w:r>
      <w:r>
        <w:rPr>
          <w:rFonts w:hint="eastAsia" w:ascii="仿宋" w:hAnsi="仿宋" w:cs="仿宋"/>
          <w:b w:val="0"/>
          <w:bCs w:val="0"/>
          <w:sz w:val="28"/>
          <w:szCs w:val="28"/>
          <w:lang w:val="en-US" w:eastAsia="zh-CN"/>
        </w:rPr>
        <w:t>“录入转款信息”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，</w:t>
      </w:r>
      <w:r>
        <w:rPr>
          <w:rFonts w:hint="eastAsia" w:ascii="仿宋" w:hAnsi="仿宋" w:eastAsia="仿宋" w:cs="仿宋"/>
          <w:sz w:val="28"/>
          <w:szCs w:val="28"/>
        </w:rPr>
        <w:t>在系统可录入转款信息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选择申请单，点击操作列的“录入转款信息”按钮，进入录入页面。如下图所示：</w:t>
      </w:r>
    </w:p>
    <w:p>
      <w:pPr>
        <w:pStyle w:val="2"/>
      </w:pPr>
      <w:r>
        <w:drawing>
          <wp:inline distT="0" distB="0" distL="114300" distR="114300">
            <wp:extent cx="5262245" cy="2581910"/>
            <wp:effectExtent l="0" t="0" r="14605" b="8890"/>
            <wp:docPr id="196" name="图片 6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65"/>
                    <pic:cNvPicPr>
                      <a:picLocks noChangeAspect="true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需要填写转账信息，所有字段均为必填，需要确保录入的转账户名和转账金额与流水一致，上传银行转账回单，点击“保存”按钮，系统自动进行开票。</w:t>
      </w:r>
    </w:p>
    <w:p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default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若存在以下四种情况，则不会自动开票：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缴款通知书申请单位存在多个；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申请金额与流水线下金额不符（少交或多交）；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代交（缴款人与缴款通知书抬头不符）；</w:t>
      </w:r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8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420" w:leftChars="0"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一笔流水对应多个缴款通知书（合并缴款）。</w:t>
      </w:r>
    </w:p>
    <w:p>
      <w:pPr>
        <w:ind w:firstLine="560" w:firstLineChars="200"/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录入转款信息页面如下图所示：</w:t>
      </w:r>
    </w:p>
    <w:p>
      <w:pPr>
        <w:pStyle w:val="2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267325" cy="2473325"/>
            <wp:effectExtent l="0" t="0" r="9525" b="3175"/>
            <wp:docPr id="136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"/>
                    <pic:cNvPicPr>
                      <a:picLocks noChangeAspect="true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7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35" w:name="_Toc615640337"/>
      <w:bookmarkStart w:id="36" w:name="_Toc22293"/>
      <w:bookmarkStart w:id="37" w:name="_Toc175985200"/>
      <w:r>
        <w:rPr>
          <w:rFonts w:hint="eastAsia"/>
          <w:lang w:val="en-US" w:eastAsia="zh-CN"/>
        </w:rPr>
        <w:t>电子票据管理</w:t>
      </w:r>
      <w:bookmarkEnd w:id="35"/>
      <w:bookmarkEnd w:id="36"/>
      <w:bookmarkEnd w:id="37"/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点击系统左侧菜单：</w:t>
      </w:r>
      <w:r>
        <w:rPr>
          <w:rFonts w:hint="eastAsia" w:ascii="仿宋" w:hAnsi="仿宋" w:cs="仿宋"/>
          <w:sz w:val="28"/>
          <w:szCs w:val="28"/>
          <w:lang w:val="en-US" w:eastAsia="zh-CN"/>
        </w:rPr>
        <w:t>“</w:t>
      </w: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维修资金</w:t>
      </w:r>
      <w:r>
        <w:rPr>
          <w:rFonts w:hint="eastAsia" w:ascii="仿宋" w:hAnsi="仿宋" w:cs="仿宋"/>
          <w:b w:val="0"/>
          <w:bCs w:val="0"/>
          <w:sz w:val="28"/>
          <w:szCs w:val="28"/>
          <w:lang w:val="en-US" w:eastAsia="zh-CN"/>
        </w:rPr>
        <w:t>代</w:t>
      </w: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管</w:t>
      </w:r>
      <w:r>
        <w:rPr>
          <w:rFonts w:hint="eastAsia" w:ascii="仿宋" w:hAnsi="仿宋" w:cs="仿宋"/>
          <w:sz w:val="28"/>
          <w:szCs w:val="28"/>
          <w:lang w:val="en-US" w:eastAsia="zh-CN"/>
        </w:rPr>
        <w:t>”-</w:t>
      </w:r>
      <w:r>
        <w:rPr>
          <w:rFonts w:hint="eastAsia" w:ascii="仿宋" w:hAnsi="仿宋" w:cs="仿宋"/>
          <w:b w:val="0"/>
          <w:bCs w:val="0"/>
          <w:sz w:val="28"/>
          <w:szCs w:val="28"/>
          <w:lang w:val="en-US" w:eastAsia="zh-CN"/>
        </w:rPr>
        <w:t>“</w:t>
      </w: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电子票据管理</w:t>
      </w:r>
      <w:r>
        <w:rPr>
          <w:rFonts w:hint="eastAsia" w:ascii="仿宋" w:hAnsi="仿宋" w:cs="仿宋"/>
          <w:b w:val="0"/>
          <w:bCs w:val="0"/>
          <w:sz w:val="28"/>
          <w:szCs w:val="28"/>
          <w:lang w:val="en-US" w:eastAsia="zh-CN"/>
        </w:rPr>
        <w:t>”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，进入列表页面。如下图所示：</w:t>
      </w:r>
    </w:p>
    <w:p>
      <w:pPr>
        <w:ind w:firstLine="0" w:firstLineChars="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5265420" cy="2416810"/>
            <wp:effectExtent l="0" t="0" r="11430" b="2540"/>
            <wp:docPr id="200" name="图片 6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69"/>
                    <pic:cNvPicPr>
                      <a:picLocks noChangeAspect="true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16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列表会显示开票中、</w:t>
      </w:r>
      <w:r>
        <w:rPr>
          <w:rFonts w:hint="eastAsia" w:ascii="仿宋" w:hAnsi="仿宋" w:eastAsia="仿宋" w:cs="仿宋"/>
          <w:sz w:val="28"/>
          <w:szCs w:val="28"/>
        </w:rPr>
        <w:t>已开票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和</w:t>
      </w:r>
      <w:r>
        <w:rPr>
          <w:rFonts w:hint="eastAsia" w:ascii="仿宋" w:hAnsi="仿宋" w:eastAsia="仿宋" w:cs="仿宋"/>
          <w:sz w:val="28"/>
          <w:szCs w:val="28"/>
        </w:rPr>
        <w:t>开票失败的业务申请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。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已开票的业务单，可在此打印电子票据，或对电子票据进行冲红。</w:t>
      </w:r>
    </w:p>
    <w:p>
      <w:pPr>
        <w:pStyle w:val="4"/>
        <w:bidi w:val="0"/>
        <w:rPr>
          <w:rFonts w:hint="default"/>
          <w:lang w:val="en-US" w:eastAsia="zh-CN"/>
        </w:rPr>
      </w:pPr>
      <w:bookmarkStart w:id="38" w:name="_Toc1757"/>
      <w:bookmarkStart w:id="39" w:name="_Toc611981540"/>
      <w:bookmarkStart w:id="40" w:name="_Toc644270470"/>
      <w:r>
        <w:rPr>
          <w:rFonts w:hint="eastAsia"/>
          <w:lang w:val="en-US" w:eastAsia="zh-CN"/>
        </w:rPr>
        <w:t>打印电子票据</w:t>
      </w:r>
      <w:bookmarkEnd w:id="38"/>
      <w:bookmarkEnd w:id="39"/>
      <w:bookmarkEnd w:id="40"/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点击操作列的“打印”按钮，在下拉框中选择“电子票据”，进行电子票据打印。如下图所示：</w:t>
      </w:r>
    </w:p>
    <w:p>
      <w:r>
        <w:drawing>
          <wp:inline distT="0" distB="0" distL="114300" distR="114300">
            <wp:extent cx="5271770" cy="2423160"/>
            <wp:effectExtent l="0" t="0" r="5080" b="15240"/>
            <wp:docPr id="202" name="图片 7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71"/>
                    <pic:cNvPicPr>
                      <a:picLocks noChangeAspect="true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点击“打印”下拉框中的“缴交通知书”，可打印缴交通知书。如下图所示：</w:t>
      </w:r>
    </w:p>
    <w:p>
      <w:r>
        <w:drawing>
          <wp:inline distT="0" distB="0" distL="114300" distR="114300">
            <wp:extent cx="5268595" cy="2423160"/>
            <wp:effectExtent l="0" t="0" r="8255" b="15240"/>
            <wp:docPr id="203" name="图片 7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72"/>
                    <pic:cNvPicPr>
                      <a:picLocks noChangeAspect="true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</w:pPr>
      <w:r>
        <w:rPr>
          <w:rFonts w:hint="eastAsia" w:ascii="仿宋" w:hAnsi="仿宋" w:eastAsia="仿宋" w:cs="仿宋"/>
          <w:sz w:val="28"/>
          <w:szCs w:val="28"/>
          <w:lang w:eastAsia="zh-CN"/>
        </w:rPr>
        <w:t>预览页面如下图所示：</w:t>
      </w:r>
    </w:p>
    <w:p>
      <w:p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4173855" cy="2108200"/>
            <wp:effectExtent l="0" t="0" r="17145" b="6350"/>
            <wp:docPr id="41" name="图片 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7"/>
                    <pic:cNvPicPr>
                      <a:picLocks noChangeAspect="true"/>
                    </pic:cNvPicPr>
                  </pic:nvPicPr>
                  <pic:blipFill>
                    <a:blip r:embed="rId102"/>
                    <a:srcRect l="10345" t="9508" r="10405" b="10200"/>
                    <a:stretch>
                      <a:fillRect/>
                    </a:stretch>
                  </pic:blipFill>
                  <pic:spPr>
                    <a:xfrm>
                      <a:off x="0" y="0"/>
                      <a:ext cx="4173855" cy="210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41" w:name="_Toc492705607"/>
      <w:bookmarkStart w:id="42" w:name="_Toc1615812157"/>
      <w:bookmarkStart w:id="43" w:name="_Toc2530"/>
      <w:r>
        <w:rPr>
          <w:rFonts w:hint="eastAsia"/>
          <w:lang w:val="en-US" w:eastAsia="zh-CN"/>
        </w:rPr>
        <w:t>汇总票冲红</w:t>
      </w:r>
      <w:bookmarkEnd w:id="41"/>
      <w:bookmarkEnd w:id="42"/>
      <w:bookmarkEnd w:id="43"/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</w:rPr>
        <w:t>缴款人冲红</w:t>
      </w:r>
      <w:r>
        <w:rPr>
          <w:rFonts w:hint="eastAsia" w:ascii="仿宋" w:hAnsi="仿宋" w:eastAsia="仿宋" w:cs="仿宋"/>
          <w:sz w:val="28"/>
          <w:szCs w:val="28"/>
          <w:lang w:eastAsia="zh-CN"/>
        </w:rPr>
        <w:t>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仅支持“作废原票据并开新票”，不支持“仅作废”，若要仅作废，可联系市中心财务部人员发起。在操作列“冲红”下拉框中选择“作废原票据并开新票”。如下图所示：</w:t>
      </w:r>
    </w:p>
    <w:p>
      <w:pPr>
        <w:pStyle w:val="2"/>
      </w:pPr>
      <w:r>
        <w:drawing>
          <wp:inline distT="0" distB="0" distL="114300" distR="114300">
            <wp:extent cx="5262245" cy="2409190"/>
            <wp:effectExtent l="0" t="0" r="14605" b="10160"/>
            <wp:docPr id="204" name="图片 7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73"/>
                    <pic:cNvPicPr>
                      <a:picLocks noChangeAspect="true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40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进入冲红页面，页面会展示原票据的信息。点击右上角的“查看原电子票据信息”按钮，可跳转到电子票据系统查看原电子票据。</w:t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标“*”的字段为必填项，备注可以选填，需要勾选冲红原因。需要上传证明文件，需加盖公章后再上传。如下图所示：</w:t>
      </w:r>
    </w:p>
    <w:p>
      <w:pPr>
        <w:pStyle w:val="2"/>
      </w:pPr>
      <w:r>
        <w:drawing>
          <wp:inline distT="0" distB="0" distL="114300" distR="114300">
            <wp:extent cx="5271135" cy="3754755"/>
            <wp:effectExtent l="0" t="0" r="5715" b="17145"/>
            <wp:docPr id="206" name="图片 7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75"/>
                    <pic:cNvPicPr>
                      <a:picLocks noChangeAspect="true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75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填写完成后，点击“提交”按钮，提交冲红申请。若为首期缴交（追缴）、首期缴交（深汕</w:t>
      </w:r>
      <w:r>
        <w:rPr>
          <w:rFonts w:hint="eastAsia" w:ascii="仿宋" w:hAnsi="仿宋" w:cs="仿宋"/>
          <w:sz w:val="28"/>
          <w:szCs w:val="28"/>
          <w:lang w:val="en-US" w:eastAsia="zh-CN"/>
        </w:rPr>
        <w:t>特别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合作区）业务，申请单会自动提交至区中心经办人处审核；若为首期缴交（新盘）、首期缴交（历史违建）、首期缴交（单一产权变更）业务，申请单会自动提交至市中心财务部经办人处审核。如下图所示：</w:t>
      </w:r>
    </w:p>
    <w:p>
      <w:pPr>
        <w:ind w:firstLine="0" w:firstLineChars="0"/>
      </w:pPr>
      <w:r>
        <w:drawing>
          <wp:inline distT="0" distB="0" distL="114300" distR="114300">
            <wp:extent cx="5265420" cy="2426335"/>
            <wp:effectExtent l="0" t="0" r="11430" b="12065"/>
            <wp:docPr id="207" name="图片 7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76"/>
                    <pic:cNvPicPr>
                      <a:picLocks noChangeAspect="true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2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冲红审核办结后，可看到原电子票据的状态为“已冲红”，新电子票据的状态为“已开票”。</w:t>
      </w:r>
    </w:p>
    <w:p>
      <w:pPr>
        <w:pStyle w:val="4"/>
        <w:bidi w:val="0"/>
        <w:rPr>
          <w:rFonts w:hint="default"/>
          <w:lang w:val="en-US" w:eastAsia="zh-CN"/>
        </w:rPr>
      </w:pPr>
      <w:bookmarkStart w:id="44" w:name="_Toc9451"/>
      <w:bookmarkStart w:id="45" w:name="_Toc955852549"/>
      <w:bookmarkStart w:id="46" w:name="_Toc931560056"/>
      <w:r>
        <w:rPr>
          <w:rFonts w:hint="eastAsia"/>
          <w:lang w:val="en-US" w:eastAsia="zh-CN"/>
        </w:rPr>
        <w:t>冲红申请管理</w:t>
      </w:r>
      <w:bookmarkEnd w:id="44"/>
      <w:bookmarkEnd w:id="45"/>
      <w:bookmarkEnd w:id="46"/>
    </w:p>
    <w:p>
      <w:pPr>
        <w:pStyle w:val="2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点击列表页的“冲红申请管理”按钮，如下图所示：</w:t>
      </w:r>
    </w:p>
    <w:p>
      <w:r>
        <w:drawing>
          <wp:inline distT="0" distB="0" distL="114300" distR="114300">
            <wp:extent cx="5259070" cy="2399665"/>
            <wp:effectExtent l="0" t="0" r="17780" b="635"/>
            <wp:docPr id="208" name="图片 7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77"/>
                    <pic:cNvPicPr>
                      <a:picLocks noChangeAspect="true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39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可查看建设单位所有关联物业区域的汇总票冲红申请列表。如下图所示：</w:t>
      </w:r>
    </w:p>
    <w:p>
      <w:pPr>
        <w:pStyle w:val="2"/>
      </w:pPr>
      <w:r>
        <w:drawing>
          <wp:inline distT="0" distB="0" distL="114300" distR="114300">
            <wp:extent cx="5271770" cy="2423160"/>
            <wp:effectExtent l="0" t="0" r="5080" b="15240"/>
            <wp:docPr id="74" name="图片 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9"/>
                    <pic:cNvPicPr>
                      <a:picLocks noChangeAspect="true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点击操作列的“查看详情”按钮，可查看该笔汇总票冲红申请的详情。如下图所示：</w:t>
      </w:r>
    </w:p>
    <w:p>
      <w:p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407920"/>
            <wp:effectExtent l="0" t="0" r="10160" b="11430"/>
            <wp:docPr id="79" name="图片 1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0"/>
                    <pic:cNvPicPr>
                      <a:picLocks noChangeAspect="true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47" w:name="_Toc1019254292"/>
      <w:bookmarkStart w:id="48" w:name="_Toc1289822719"/>
      <w:bookmarkStart w:id="49" w:name="_Toc5620"/>
      <w:r>
        <w:rPr>
          <w:rFonts w:hint="eastAsia"/>
          <w:lang w:val="en-US" w:eastAsia="zh-CN"/>
        </w:rPr>
        <w:t>开票失败重试</w:t>
      </w:r>
      <w:bookmarkEnd w:id="47"/>
      <w:bookmarkEnd w:id="48"/>
      <w:bookmarkEnd w:id="49"/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可勾选票据状态为“开票失败”的，点击列表页的“开票失败重试”，重新开票。如下图所示：</w:t>
      </w:r>
    </w:p>
    <w:p>
      <w:pPr>
        <w:pStyle w:val="2"/>
      </w:pPr>
      <w:r>
        <w:drawing>
          <wp:inline distT="0" distB="0" distL="114300" distR="114300">
            <wp:extent cx="5259070" cy="2433955"/>
            <wp:effectExtent l="0" t="0" r="17780" b="4445"/>
            <wp:docPr id="88" name="图片 1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11"/>
                    <pic:cNvPicPr>
                      <a:picLocks noChangeAspect="true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eastAsia="仿宋" w:asciiTheme="minorAscii" w:hAnsiTheme="minorAscii" w:cstheme="minorBidi"/>
          <w:b/>
          <w:kern w:val="44"/>
          <w:sz w:val="44"/>
          <w:szCs w:val="24"/>
          <w:lang w:val="en-US" w:eastAsia="zh-CN" w:bidi="ar-SA"/>
        </w:rPr>
      </w:pPr>
      <w:bookmarkStart w:id="50" w:name="_Toc974326541"/>
      <w:r>
        <w:rPr>
          <w:rFonts w:hint="eastAsia"/>
          <w:lang w:val="en-US" w:eastAsia="zh-CN"/>
        </w:rPr>
        <w:t>灭失退还申请</w:t>
      </w:r>
      <w:bookmarkEnd w:id="50"/>
      <w:bookmarkStart w:id="51" w:name="_Toc10333"/>
    </w:p>
    <w:p>
      <w:pPr>
        <w:bidi w:val="0"/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点击系统左侧菜单：“维修资金</w:t>
      </w:r>
      <w:r>
        <w:rPr>
          <w:rFonts w:hint="eastAsia" w:ascii="仿宋" w:hAnsi="仿宋" w:cs="仿宋"/>
          <w:sz w:val="28"/>
          <w:szCs w:val="28"/>
          <w:lang w:val="en-US" w:eastAsia="zh-CN"/>
        </w:rPr>
        <w:t>代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管”-“退款管理”-“物业灭失退还”，进入列表页面。</w:t>
      </w:r>
    </w:p>
    <w:p>
      <w:pPr>
        <w:pStyle w:val="4"/>
        <w:bidi w:val="0"/>
        <w:rPr>
          <w:rFonts w:hint="eastAsia"/>
          <w:lang w:val="en-US" w:eastAsia="zh-CN"/>
        </w:rPr>
      </w:pPr>
      <w:bookmarkStart w:id="52" w:name="_Toc1180942627"/>
      <w:bookmarkStart w:id="53" w:name="_Toc2083156022"/>
      <w:bookmarkStart w:id="54" w:name="_Toc678141881"/>
      <w:bookmarkStart w:id="55" w:name="_Toc398017898"/>
      <w:r>
        <w:rPr>
          <w:rFonts w:hint="eastAsia"/>
          <w:lang w:val="en-US" w:eastAsia="zh-CN"/>
        </w:rPr>
        <w:t>新增申请</w:t>
      </w:r>
      <w:bookmarkEnd w:id="51"/>
      <w:bookmarkEnd w:id="52"/>
      <w:bookmarkEnd w:id="53"/>
      <w:bookmarkEnd w:id="54"/>
      <w:bookmarkEnd w:id="55"/>
    </w:p>
    <w:p>
      <w:pPr>
        <w:bidi w:val="0"/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点击“新增”按钮，进入新增页面。如下图所示：</w:t>
      </w:r>
    </w:p>
    <w:p>
      <w:r>
        <w:drawing>
          <wp:inline distT="0" distB="0" distL="114300" distR="114300">
            <wp:extent cx="5266690" cy="1571625"/>
            <wp:effectExtent l="0" t="0" r="10160" b="9525"/>
            <wp:docPr id="13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"/>
                    <pic:cNvPicPr>
                      <a:picLocks noChangeAspect="true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420" w:firstLineChars="0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第一步：填写申请信息。</w:t>
      </w:r>
    </w:p>
    <w:p>
      <w:pPr>
        <w:bidi w:val="0"/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（1）申请人信息：需填写委托代理人相关信息，所有字段均为必填。如下图所示：</w:t>
      </w:r>
    </w:p>
    <w:p>
      <w:pPr>
        <w:jc w:val="center"/>
      </w:pPr>
      <w:r>
        <w:drawing>
          <wp:inline distT="0" distB="0" distL="114300" distR="114300">
            <wp:extent cx="5274310" cy="1136650"/>
            <wp:effectExtent l="0" t="0" r="2540" b="6350"/>
            <wp:docPr id="11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/>
                    <pic:cNvPicPr>
                      <a:picLocks noChangeAspect="true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13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7"/>
        </w:numPr>
        <w:ind w:left="0" w:leftChars="0"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物业灭失情况：可以选择要申请灭失退还的物业区域，可选择全市任一物业区域；业委会可选择</w:t>
      </w:r>
      <w:r>
        <w:rPr>
          <w:rFonts w:hint="eastAsia" w:ascii="仿宋" w:hAnsi="仿宋" w:eastAsia="仿宋" w:cs="仿宋"/>
          <w:sz w:val="28"/>
          <w:szCs w:val="28"/>
          <w:lang w:val="en-US" w:eastAsia="zh-Hans"/>
        </w:rPr>
        <w:t>关联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的</w:t>
      </w:r>
      <w:r>
        <w:rPr>
          <w:rFonts w:hint="eastAsia" w:ascii="仿宋" w:hAnsi="仿宋" w:eastAsia="仿宋" w:cs="仿宋"/>
          <w:sz w:val="28"/>
          <w:szCs w:val="28"/>
          <w:lang w:val="en-US" w:eastAsia="zh-Hans"/>
        </w:rPr>
        <w:t>物业区域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；</w:t>
      </w:r>
      <w:r>
        <w:rPr>
          <w:rFonts w:hint="eastAsia" w:ascii="仿宋" w:hAnsi="仿宋" w:cs="仿宋"/>
          <w:sz w:val="28"/>
          <w:szCs w:val="28"/>
          <w:lang w:val="en-US" w:eastAsia="zh-CN"/>
        </w:rPr>
        <w:t>棚改实施主体</w:t>
      </w:r>
      <w:r>
        <w:rPr>
          <w:rFonts w:hint="eastAsia" w:ascii="仿宋" w:hAnsi="仿宋" w:cs="仿宋"/>
          <w:sz w:val="28"/>
          <w:szCs w:val="28"/>
          <w:lang w:val="en-US" w:eastAsia="zh-Hans"/>
        </w:rPr>
        <w:t>可选择全市</w:t>
      </w:r>
      <w:r>
        <w:rPr>
          <w:rFonts w:hint="eastAsia" w:ascii="仿宋" w:hAnsi="仿宋" w:cs="仿宋"/>
          <w:sz w:val="28"/>
          <w:szCs w:val="28"/>
          <w:lang w:val="en-US" w:eastAsia="zh-CN"/>
        </w:rPr>
        <w:t>任一</w:t>
      </w:r>
      <w:r>
        <w:rPr>
          <w:rFonts w:hint="eastAsia" w:ascii="仿宋" w:hAnsi="仿宋" w:cs="仿宋"/>
          <w:sz w:val="28"/>
          <w:szCs w:val="28"/>
          <w:lang w:val="en-US" w:eastAsia="zh-Hans"/>
        </w:rPr>
        <w:t>物业区域；</w:t>
      </w:r>
      <w:r>
        <w:rPr>
          <w:rFonts w:hint="eastAsia" w:ascii="仿宋" w:hAnsi="仿宋" w:eastAsia="仿宋" w:cs="仿宋"/>
          <w:sz w:val="28"/>
          <w:szCs w:val="28"/>
          <w:lang w:val="en-US" w:eastAsia="zh-Hans"/>
        </w:rPr>
        <w:t>区中心可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选择本辖区</w:t>
      </w:r>
      <w:r>
        <w:rPr>
          <w:rFonts w:hint="eastAsia" w:ascii="仿宋" w:hAnsi="仿宋" w:eastAsia="仿宋" w:cs="仿宋"/>
          <w:sz w:val="28"/>
          <w:szCs w:val="28"/>
          <w:lang w:val="en-US" w:eastAsia="zh-Hans"/>
        </w:rPr>
        <w:t>内的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物业区域。如下图所示：</w:t>
      </w:r>
    </w:p>
    <w:p>
      <w:pPr>
        <w:jc w:val="center"/>
      </w:pPr>
      <w:r>
        <w:drawing>
          <wp:inline distT="0" distB="0" distL="114300" distR="114300">
            <wp:extent cx="5273040" cy="1736725"/>
            <wp:effectExtent l="0" t="0" r="3810" b="15875"/>
            <wp:docPr id="89" name="图片 1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12"/>
                    <pic:cNvPicPr>
                      <a:picLocks noChangeAspect="true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3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灭失范围：可针对整个物业区域发起灭失，或针对部分项目栋发起灭失。选择“部分栋”时，需要选择具体的项目栋。如下图所示：</w:t>
      </w:r>
    </w:p>
    <w:p>
      <w:pPr>
        <w:pStyle w:val="2"/>
        <w:jc w:val="center"/>
      </w:pPr>
      <w:r>
        <w:drawing>
          <wp:inline distT="0" distB="0" distL="114300" distR="114300">
            <wp:extent cx="2695575" cy="1200150"/>
            <wp:effectExtent l="0" t="0" r="9525" b="0"/>
            <wp:docPr id="16" name="图片 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"/>
                    <pic:cNvPicPr>
                      <a:picLocks noChangeAspect="true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560" w:firstLineChars="2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（3）上传退款房号清单：点击“下载退款房号清单”按钮，则会下载</w:t>
      </w:r>
      <w:r>
        <w:rPr>
          <w:rFonts w:hint="eastAsia" w:ascii="仿宋" w:hAnsi="仿宋" w:eastAsia="仿宋" w:cs="仿宋"/>
          <w:color w:val="auto"/>
          <w:sz w:val="28"/>
          <w:szCs w:val="28"/>
          <w:lang w:val="en-US" w:eastAsia="zh-Hans"/>
        </w:rPr>
        <w:t>所选择灭失范围内的分户清单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。如下图所示：</w:t>
      </w:r>
    </w:p>
    <w:p>
      <w:pPr>
        <w:jc w:val="center"/>
      </w:pPr>
      <w:r>
        <w:drawing>
          <wp:inline distT="0" distB="0" distL="114300" distR="114300">
            <wp:extent cx="4561205" cy="1033780"/>
            <wp:effectExtent l="0" t="0" r="10795" b="13970"/>
            <wp:docPr id="15" name="图片 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"/>
                    <pic:cNvPicPr>
                      <a:picLocks noChangeAspect="true"/>
                    </pic:cNvPicPr>
                  </pic:nvPicPr>
                  <pic:blipFill>
                    <a:blip r:embed="rId114"/>
                    <a:srcRect l="12816" t="19326" r="579" b="41782"/>
                    <a:stretch>
                      <a:fillRect/>
                    </a:stretch>
                  </pic:blipFill>
                  <pic:spPr>
                    <a:xfrm>
                      <a:off x="0" y="0"/>
                      <a:ext cx="4561205" cy="103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若分户可退还余额为0，则无</w:t>
      </w:r>
      <w:r>
        <w:rPr>
          <w:rFonts w:hint="eastAsia" w:ascii="仿宋" w:hAnsi="仿宋" w:cs="仿宋"/>
          <w:sz w:val="28"/>
          <w:szCs w:val="28"/>
          <w:lang w:val="en-US" w:eastAsia="zh-CN"/>
        </w:rPr>
        <w:t>须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填写该分户退款账号信息，模板不会导出该分户。模板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如下图所示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：</w:t>
      </w:r>
    </w:p>
    <w:p>
      <w:pPr>
        <w:pStyle w:val="2"/>
      </w:pPr>
      <w:r>
        <w:drawing>
          <wp:inline distT="0" distB="0" distL="114300" distR="114300">
            <wp:extent cx="5269865" cy="2219325"/>
            <wp:effectExtent l="0" t="0" r="6985" b="9525"/>
            <wp:docPr id="40" name="图片 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7"/>
                    <pic:cNvPicPr>
                      <a:picLocks noChangeAspect="true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填写好各分户的退款信息后导入，只需导入有退款信息的分户。分户的“退款账号、户名、开户行”信息都需进行填写，不能为空。若分户暂无退款账号信息，可将该部分分户删除后再导入。如此处只填写3个分户的退款账号信息，房号为“1栋104”的分户暂无退款账号信息，删除该行之后再录入。如下图所示：</w:t>
      </w:r>
    </w:p>
    <w:p>
      <w:pPr>
        <w:pStyle w:val="2"/>
      </w:pPr>
      <w:r>
        <w:drawing>
          <wp:inline distT="0" distB="0" distL="114300" distR="114300">
            <wp:extent cx="5269865" cy="2219325"/>
            <wp:effectExtent l="0" t="0" r="6985" b="9525"/>
            <wp:docPr id="42" name="图片 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9"/>
                    <pic:cNvPicPr>
                      <a:picLocks noChangeAspect="true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点击“上传”的图标，选择文件上传。如下图所示：</w:t>
      </w:r>
    </w:p>
    <w:p>
      <w:pPr>
        <w:jc w:val="center"/>
      </w:pPr>
      <w:r>
        <w:drawing>
          <wp:inline distT="0" distB="0" distL="114300" distR="114300">
            <wp:extent cx="4545330" cy="791845"/>
            <wp:effectExtent l="0" t="0" r="7620" b="8255"/>
            <wp:docPr id="18" name="图片 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8"/>
                    <pic:cNvPicPr>
                      <a:picLocks noChangeAspect="true"/>
                    </pic:cNvPicPr>
                  </pic:nvPicPr>
                  <pic:blipFill>
                    <a:blip r:embed="rId117"/>
                    <a:srcRect l="13540" t="30506" r="157" b="39704"/>
                    <a:stretch>
                      <a:fillRect/>
                    </a:stretch>
                  </pic:blipFill>
                  <pic:spPr>
                    <a:xfrm>
                      <a:off x="0" y="0"/>
                      <a:ext cx="4545330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选择要导入的表格文件，如下图所示：</w:t>
      </w:r>
    </w:p>
    <w:p>
      <w:pPr>
        <w:pStyle w:val="2"/>
        <w:jc w:val="center"/>
      </w:pPr>
      <w:r>
        <w:drawing>
          <wp:inline distT="0" distB="0" distL="114300" distR="114300">
            <wp:extent cx="3541395" cy="1788795"/>
            <wp:effectExtent l="0" t="0" r="1905" b="1905"/>
            <wp:docPr id="43" name="图片 1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0"/>
                    <pic:cNvPicPr>
                      <a:picLocks noChangeAspect="true"/>
                    </pic:cNvPicPr>
                  </pic:nvPicPr>
                  <pic:blipFill>
                    <a:blip r:embed="rId118"/>
                    <a:srcRect l="35556" t="24439" r="22583" b="21596"/>
                    <a:stretch>
                      <a:fillRect/>
                    </a:stretch>
                  </pic:blipFill>
                  <pic:spPr>
                    <a:xfrm>
                      <a:off x="0" y="0"/>
                      <a:ext cx="3541395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上传完后，页面自动带出灭失明细。如下图所示：</w:t>
      </w:r>
    </w:p>
    <w:p>
      <w:pPr>
        <w:pStyle w:val="2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265420" cy="1363980"/>
            <wp:effectExtent l="0" t="0" r="11430" b="7620"/>
            <wp:docPr id="90" name="图片 1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3"/>
                    <pic:cNvPicPr>
                      <a:picLocks noChangeAspect="true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36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  <w:t>第二步：上传业务要件。</w:t>
      </w: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根据要求上传对应的材料即可。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b w:val="0"/>
          <w:bCs w:val="0"/>
          <w:sz w:val="28"/>
          <w:szCs w:val="28"/>
          <w:lang w:val="en-US" w:eastAsia="zh-CN"/>
        </w:rPr>
        <w:t>点击“暂存”按钮，可保存当前录入的业务信息，列表的办理进度为“待提交”。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如下图所示：</w:t>
      </w:r>
    </w:p>
    <w:p>
      <w:pPr>
        <w:jc w:val="center"/>
      </w:pPr>
      <w:r>
        <w:drawing>
          <wp:inline distT="0" distB="0" distL="114300" distR="114300">
            <wp:extent cx="4545330" cy="999490"/>
            <wp:effectExtent l="0" t="0" r="7620" b="10160"/>
            <wp:docPr id="30" name="图片 1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2"/>
                    <pic:cNvPicPr>
                      <a:picLocks noChangeAspect="true"/>
                    </pic:cNvPicPr>
                  </pic:nvPicPr>
                  <pic:blipFill>
                    <a:blip r:embed="rId120"/>
                    <a:srcRect l="13130" t="49952" r="567" b="12446"/>
                    <a:stretch>
                      <a:fillRect/>
                    </a:stretch>
                  </pic:blipFill>
                  <pic:spPr>
                    <a:xfrm>
                      <a:off x="0" y="0"/>
                      <a:ext cx="4545330" cy="99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在申请列表页面，可点击“编辑”按钮对申请单再次进行编辑。如下图所示：</w:t>
      </w:r>
    </w:p>
    <w:p>
      <w:pPr>
        <w:jc w:val="center"/>
      </w:pPr>
      <w:r>
        <w:drawing>
          <wp:inline distT="0" distB="0" distL="114300" distR="114300">
            <wp:extent cx="5265420" cy="2484755"/>
            <wp:effectExtent l="0" t="0" r="11430" b="10795"/>
            <wp:docPr id="91" name="图片 1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14"/>
                    <pic:cNvPicPr>
                      <a:picLocks noChangeAspect="true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8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2" w:firstLineChars="200"/>
        <w:textAlignment w:val="auto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  <w:t>第三步：业务信息概览。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点击申请页右下角的“下一步”按钮，则进入业务信息概览页面。如下图所示：</w:t>
      </w:r>
    </w:p>
    <w:p>
      <w:pPr>
        <w:jc w:val="center"/>
      </w:pPr>
      <w:r>
        <w:drawing>
          <wp:inline distT="0" distB="0" distL="114300" distR="114300">
            <wp:extent cx="4594225" cy="1020445"/>
            <wp:effectExtent l="0" t="0" r="15875" b="8255"/>
            <wp:docPr id="48" name="图片 1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14"/>
                    <pic:cNvPicPr>
                      <a:picLocks noChangeAspect="true"/>
                    </pic:cNvPicPr>
                  </pic:nvPicPr>
                  <pic:blipFill>
                    <a:blip r:embed="rId122"/>
                    <a:srcRect l="12202" t="49522" r="567" b="12088"/>
                    <a:stretch>
                      <a:fillRect/>
                    </a:stretch>
                  </pic:blipFill>
                  <pic:spPr>
                    <a:xfrm>
                      <a:off x="0" y="0"/>
                      <a:ext cx="4594225" cy="102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可对申请表进行预览，确认信息是否正确，如需修改，可点击右下角的“上一步”按钮，返回申请页</w:t>
      </w:r>
      <w:r>
        <w:rPr>
          <w:rFonts w:hint="eastAsia" w:ascii="仿宋" w:hAnsi="仿宋" w:cs="仿宋"/>
          <w:sz w:val="28"/>
          <w:szCs w:val="28"/>
          <w:lang w:val="en-US" w:eastAsia="zh-CN"/>
        </w:rPr>
        <w:t>面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进行修改。如下图所示：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2511425"/>
            <wp:effectExtent l="0" t="0" r="7620" b="3175"/>
            <wp:docPr id="96" name="图片 1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15"/>
                    <pic:cNvPicPr>
                      <a:picLocks noChangeAspect="true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51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点击左上角的“其他信息”标签页，可切换查看其他信息。如下图所示：</w:t>
      </w:r>
    </w:p>
    <w:p>
      <w:pPr>
        <w:jc w:val="center"/>
      </w:pPr>
      <w:r>
        <w:drawing>
          <wp:inline distT="0" distB="0" distL="114300" distR="114300">
            <wp:extent cx="5270500" cy="2443480"/>
            <wp:effectExtent l="0" t="0" r="6350" b="13970"/>
            <wp:docPr id="100" name="图片 1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6"/>
                    <pic:cNvPicPr>
                      <a:picLocks noChangeAspect="true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560" w:firstLineChars="200"/>
        <w:textAlignment w:val="auto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其他信息中，可查看材料清册，</w:t>
      </w:r>
      <w:r>
        <w:rPr>
          <w:rFonts w:hint="eastAsia" w:ascii="仿宋" w:hAnsi="仿宋" w:cs="仿宋"/>
          <w:sz w:val="28"/>
          <w:szCs w:val="28"/>
          <w:lang w:val="en-US" w:eastAsia="zh-CN"/>
        </w:rPr>
        <w:t>在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窗口</w:t>
      </w:r>
      <w:r>
        <w:rPr>
          <w:rFonts w:hint="eastAsia" w:ascii="仿宋" w:hAnsi="仿宋" w:cs="仿宋"/>
          <w:sz w:val="28"/>
          <w:szCs w:val="28"/>
          <w:lang w:val="en-US" w:eastAsia="zh-CN"/>
        </w:rPr>
        <w:t>进行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交件时需准备好以下材料。如下图所示：</w:t>
      </w:r>
    </w:p>
    <w:p>
      <w:pPr>
        <w:jc w:val="center"/>
      </w:pPr>
      <w:r>
        <w:drawing>
          <wp:inline distT="0" distB="0" distL="114300" distR="114300">
            <wp:extent cx="5265420" cy="2489835"/>
            <wp:effectExtent l="0" t="0" r="11430" b="5715"/>
            <wp:docPr id="134" name="图片 1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7"/>
                    <pic:cNvPicPr>
                      <a:picLocks noChangeAspect="true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8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562" w:firstLineChars="2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b/>
          <w:bCs/>
          <w:sz w:val="28"/>
          <w:szCs w:val="28"/>
          <w:lang w:val="en-US" w:eastAsia="zh-CN"/>
        </w:rPr>
        <w:t>第四步：提交申请。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点击“提交”按钮，完成提交。如下图所示：</w:t>
      </w:r>
    </w:p>
    <w:p>
      <w:pPr>
        <w:jc w:val="center"/>
      </w:pPr>
      <w:r>
        <w:drawing>
          <wp:inline distT="0" distB="0" distL="114300" distR="114300">
            <wp:extent cx="5265420" cy="2490470"/>
            <wp:effectExtent l="0" t="0" r="11430" b="5080"/>
            <wp:docPr id="135" name="图片 1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8"/>
                    <pic:cNvPicPr>
                      <a:picLocks noChangeAspect="true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9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560" w:firstLineChars="200"/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提交后，可查看窗口办理地址和咨询电话。如下图所示：</w:t>
      </w:r>
    </w:p>
    <w:p>
      <w:pPr>
        <w:jc w:val="center"/>
      </w:pPr>
      <w:r>
        <w:drawing>
          <wp:inline distT="0" distB="0" distL="114300" distR="114300">
            <wp:extent cx="4076700" cy="1962150"/>
            <wp:effectExtent l="0" t="0" r="0" b="0"/>
            <wp:docPr id="137" name="图片 1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9"/>
                    <pic:cNvPicPr>
                      <a:picLocks noChangeAspect="true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申请列表中可查看到该条申请单办理进度变为“待收文”。如下图所示：</w:t>
      </w:r>
    </w:p>
    <w:p>
      <w:p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271770" cy="2451735"/>
            <wp:effectExtent l="0" t="0" r="5080" b="5715"/>
            <wp:docPr id="138" name="图片 2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20"/>
                    <pic:cNvPicPr>
                      <a:picLocks noChangeAspect="true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56" w:name="_Toc1376001178"/>
      <w:bookmarkStart w:id="57" w:name="_Toc1271458895"/>
      <w:bookmarkStart w:id="58" w:name="_Toc1840374947"/>
      <w:bookmarkStart w:id="59" w:name="_Toc16294"/>
      <w:bookmarkStart w:id="60" w:name="_Toc1848599618"/>
      <w:r>
        <w:rPr>
          <w:rFonts w:hint="eastAsia"/>
          <w:lang w:val="en-US" w:eastAsia="zh-CN"/>
        </w:rPr>
        <w:t>编辑申请</w:t>
      </w:r>
      <w:bookmarkEnd w:id="56"/>
      <w:bookmarkEnd w:id="57"/>
      <w:bookmarkEnd w:id="58"/>
      <w:bookmarkEnd w:id="59"/>
      <w:bookmarkEnd w:id="60"/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仅当办理进度为“待提交/待修改”时，可对申请单进行编辑。</w:t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（1）待提交：在填写申请时，进行暂存，暂不提交，则办理进度为“待提交”。</w:t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（2）待修改：申请单在审核中时，若审核人进行解锁，则办理进度变为“待修改”。</w:t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在申请列表页，点击操作列的“编辑”按钮。如下图所示：</w:t>
      </w:r>
    </w:p>
    <w:p>
      <w:pPr>
        <w:jc w:val="center"/>
      </w:pPr>
      <w:r>
        <w:drawing>
          <wp:inline distT="0" distB="0" distL="114300" distR="114300">
            <wp:extent cx="5265420" cy="2485390"/>
            <wp:effectExtent l="0" t="0" r="11430" b="10160"/>
            <wp:docPr id="139" name="图片 2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21"/>
                    <pic:cNvPicPr>
                      <a:picLocks noChangeAspect="true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进入对申请单的编辑页面。如下图所示：</w:t>
      </w:r>
    </w:p>
    <w:p>
      <w:p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268595" cy="2447290"/>
            <wp:effectExtent l="0" t="0" r="8255" b="10160"/>
            <wp:docPr id="140" name="图片 2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22"/>
                    <pic:cNvPicPr>
                      <a:picLocks noChangeAspect="true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61" w:name="_Toc1577465504"/>
      <w:bookmarkStart w:id="62" w:name="_Toc565553885"/>
      <w:bookmarkStart w:id="63" w:name="_Toc971342744"/>
      <w:bookmarkStart w:id="64" w:name="_Toc31692"/>
      <w:bookmarkStart w:id="65" w:name="_Toc49587850"/>
      <w:r>
        <w:rPr>
          <w:rFonts w:hint="eastAsia"/>
          <w:lang w:val="en-US" w:eastAsia="zh-CN"/>
        </w:rPr>
        <w:t>删除申请</w:t>
      </w:r>
      <w:bookmarkEnd w:id="61"/>
      <w:bookmarkEnd w:id="62"/>
      <w:bookmarkEnd w:id="63"/>
      <w:bookmarkEnd w:id="64"/>
      <w:bookmarkEnd w:id="65"/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仅当办理进度为“待提交”时，可删除申请单。点击操作列的“删除”按钮，如下图所示：</w:t>
      </w:r>
    </w:p>
    <w:p>
      <w:pPr>
        <w:jc w:val="center"/>
      </w:pPr>
      <w:r>
        <w:drawing>
          <wp:inline distT="0" distB="0" distL="114300" distR="114300">
            <wp:extent cx="5271770" cy="2494915"/>
            <wp:effectExtent l="0" t="0" r="5080" b="635"/>
            <wp:docPr id="141" name="图片 2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23"/>
                    <pic:cNvPicPr>
                      <a:picLocks noChangeAspect="true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49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系统会出现二次确认的弹窗，点击“确定”，即可删除该申请。如下图所示：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3993515" cy="1400175"/>
            <wp:effectExtent l="0" t="0" r="6985" b="9525"/>
            <wp:docPr id="75" name="图片 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"/>
                    <pic:cNvPicPr>
                      <a:picLocks noChangeAspect="true"/>
                    </pic:cNvPicPr>
                  </pic:nvPicPr>
                  <pic:blipFill>
                    <a:blip r:embed="rId132"/>
                    <a:srcRect l="1059" r="981"/>
                    <a:stretch>
                      <a:fillRect/>
                    </a:stretch>
                  </pic:blipFill>
                  <pic:spPr>
                    <a:xfrm>
                      <a:off x="0" y="0"/>
                      <a:ext cx="399351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66" w:name="_Toc21446"/>
      <w:bookmarkStart w:id="67" w:name="_Toc1437709394"/>
      <w:bookmarkStart w:id="68" w:name="_Toc1912373954"/>
      <w:bookmarkStart w:id="69" w:name="_Toc812341918"/>
      <w:bookmarkStart w:id="70" w:name="_Toc713401002"/>
      <w:r>
        <w:rPr>
          <w:rFonts w:hint="eastAsia"/>
          <w:lang w:val="en-US" w:eastAsia="zh-CN"/>
        </w:rPr>
        <w:t>查看详情</w:t>
      </w:r>
      <w:bookmarkEnd w:id="66"/>
      <w:bookmarkEnd w:id="67"/>
      <w:bookmarkEnd w:id="68"/>
      <w:bookmarkEnd w:id="69"/>
      <w:bookmarkEnd w:id="70"/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在申请列表页，点击操作列的“查看详情”按钮，可查看申请单的详情。如下图所示：</w:t>
      </w:r>
    </w:p>
    <w:p>
      <w:pPr>
        <w:jc w:val="center"/>
      </w:pPr>
      <w:r>
        <w:drawing>
          <wp:inline distT="0" distB="0" distL="114300" distR="114300">
            <wp:extent cx="5259070" cy="2523490"/>
            <wp:effectExtent l="0" t="0" r="17780" b="10160"/>
            <wp:docPr id="143" name="图片 2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24"/>
                    <pic:cNvPicPr>
                      <a:picLocks noChangeAspect="true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详情页面如下图所示：</w:t>
      </w:r>
    </w:p>
    <w:p>
      <w:p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3557905"/>
            <wp:effectExtent l="0" t="0" r="9525" b="4445"/>
            <wp:docPr id="144" name="图片 2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25"/>
                    <pic:cNvPicPr>
                      <a:picLocks noChangeAspect="true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5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71" w:name="_Toc12104"/>
      <w:bookmarkStart w:id="72" w:name="_Toc2058918107"/>
      <w:bookmarkStart w:id="73" w:name="_Toc810915088"/>
      <w:bookmarkStart w:id="74" w:name="_Toc1835158158"/>
      <w:bookmarkStart w:id="75" w:name="_Toc1930615478"/>
      <w:r>
        <w:rPr>
          <w:rFonts w:hint="eastAsia"/>
          <w:lang w:val="en-US" w:eastAsia="zh-CN"/>
        </w:rPr>
        <w:t>打印</w:t>
      </w:r>
      <w:bookmarkEnd w:id="71"/>
      <w:bookmarkEnd w:id="72"/>
      <w:bookmarkEnd w:id="73"/>
      <w:r>
        <w:rPr>
          <w:rFonts w:hint="eastAsia"/>
          <w:lang w:val="en-US" w:eastAsia="zh-CN"/>
        </w:rPr>
        <w:t>文书</w:t>
      </w:r>
      <w:bookmarkEnd w:id="74"/>
      <w:bookmarkEnd w:id="75"/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在申请列表页，点击操作列的“打印”按钮，可选择要打印的文书。如下图所示：</w:t>
      </w:r>
    </w:p>
    <w:p>
      <w:pPr>
        <w:pStyle w:val="2"/>
        <w:jc w:val="center"/>
        <w:rPr>
          <w:rFonts w:hint="default" w:ascii="仿宋" w:hAnsi="仿宋" w:cs="仿宋"/>
          <w:lang w:val="en-US" w:eastAsia="zh-CN"/>
        </w:rPr>
      </w:pPr>
      <w:r>
        <w:drawing>
          <wp:inline distT="0" distB="0" distL="114300" distR="114300">
            <wp:extent cx="5264150" cy="1014730"/>
            <wp:effectExtent l="0" t="0" r="12700" b="13970"/>
            <wp:docPr id="149" name="图片 2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26"/>
                    <pic:cNvPicPr>
                      <a:picLocks noChangeAspect="true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01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可打印申请业务单的文书类型包含：</w:t>
      </w:r>
      <w:r>
        <w:rPr>
          <w:rFonts w:hint="eastAsia" w:ascii="仿宋" w:hAnsi="仿宋" w:eastAsia="仿宋" w:cs="仿宋"/>
          <w:color w:val="auto"/>
        </w:rPr>
        <w:t>材料清册、申请表、收件回执、补正补件通知书、受理通知书、不予受理通知、退文通知</w:t>
      </w:r>
      <w:r>
        <w:rPr>
          <w:rFonts w:hint="eastAsia" w:ascii="仿宋" w:hAnsi="仿宋" w:cs="仿宋"/>
          <w:color w:val="auto"/>
          <w:lang w:val="en-US" w:eastAsia="zh-CN"/>
        </w:rPr>
        <w:t>书</w:t>
      </w:r>
      <w:r>
        <w:rPr>
          <w:rFonts w:hint="eastAsia" w:ascii="仿宋" w:hAnsi="仿宋" w:eastAsia="仿宋" w:cs="仿宋"/>
          <w:color w:val="auto"/>
        </w:rPr>
        <w:t>、</w:t>
      </w:r>
      <w:r>
        <w:rPr>
          <w:rFonts w:hint="eastAsia" w:ascii="仿宋" w:hAnsi="仿宋" w:eastAsia="仿宋" w:cs="仿宋"/>
          <w:color w:val="auto"/>
          <w:lang w:val="en-US" w:eastAsia="zh-CN"/>
        </w:rPr>
        <w:t>退还通知书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。</w:t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审批各环节支持打印的文书：</w:t>
      </w:r>
    </w:p>
    <w:tbl>
      <w:tblPr>
        <w:tblStyle w:val="20"/>
        <w:tblW w:w="850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41"/>
        <w:gridCol w:w="636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948" w:type="dxa"/>
            <w:shd w:val="clear" w:color="auto" w:fill="E7E6E6" w:themeFill="background2"/>
            <w:vAlign w:val="top"/>
          </w:tcPr>
          <w:p>
            <w:pPr>
              <w:pStyle w:val="2"/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</w:rPr>
              <w:t>操作环节</w:t>
            </w:r>
          </w:p>
        </w:tc>
        <w:tc>
          <w:tcPr>
            <w:tcW w:w="5788" w:type="dxa"/>
            <w:shd w:val="clear" w:color="auto" w:fill="E7E6E6" w:themeFill="background2"/>
            <w:vAlign w:val="top"/>
          </w:tcPr>
          <w:p>
            <w:pPr>
              <w:pStyle w:val="2"/>
              <w:jc w:val="center"/>
              <w:rPr>
                <w:rFonts w:hint="eastAsia" w:ascii="仿宋" w:hAnsi="仿宋" w:eastAsia="仿宋" w:cs="仿宋"/>
                <w:b/>
                <w:bCs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sz w:val="28"/>
                <w:szCs w:val="28"/>
              </w:rPr>
              <w:t>可打印的文书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948" w:type="dxa"/>
            <w:vAlign w:val="top"/>
          </w:tcPr>
          <w:p>
            <w:pPr>
              <w:pStyle w:val="2"/>
              <w:jc w:val="left"/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  <w:t>任意环节</w:t>
            </w:r>
          </w:p>
        </w:tc>
        <w:tc>
          <w:tcPr>
            <w:tcW w:w="5788" w:type="dxa"/>
            <w:vAlign w:val="top"/>
          </w:tcPr>
          <w:p>
            <w:pPr>
              <w:pStyle w:val="2"/>
              <w:jc w:val="left"/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  <w:t>材料清册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948" w:type="dxa"/>
            <w:vAlign w:val="top"/>
          </w:tcPr>
          <w:p>
            <w:pPr>
              <w:pStyle w:val="2"/>
              <w:jc w:val="left"/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  <w:t>提交后</w:t>
            </w:r>
          </w:p>
        </w:tc>
        <w:tc>
          <w:tcPr>
            <w:tcW w:w="5788" w:type="dxa"/>
            <w:vAlign w:val="top"/>
          </w:tcPr>
          <w:p>
            <w:pPr>
              <w:pStyle w:val="2"/>
              <w:jc w:val="left"/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  <w:t>申请表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948" w:type="dxa"/>
            <w:vAlign w:val="top"/>
          </w:tcPr>
          <w:p>
            <w:pPr>
              <w:pStyle w:val="2"/>
              <w:jc w:val="left"/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  <w:t>收件后</w:t>
            </w:r>
          </w:p>
        </w:tc>
        <w:tc>
          <w:tcPr>
            <w:tcW w:w="5788" w:type="dxa"/>
            <w:vAlign w:val="top"/>
          </w:tcPr>
          <w:p>
            <w:pPr>
              <w:pStyle w:val="2"/>
              <w:jc w:val="left"/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  <w:t>收件回执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948" w:type="dxa"/>
            <w:vAlign w:val="top"/>
          </w:tcPr>
          <w:p>
            <w:pPr>
              <w:pStyle w:val="2"/>
              <w:jc w:val="left"/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  <w:t>退件后</w:t>
            </w:r>
          </w:p>
        </w:tc>
        <w:tc>
          <w:tcPr>
            <w:tcW w:w="5788" w:type="dxa"/>
            <w:vAlign w:val="top"/>
          </w:tcPr>
          <w:p>
            <w:pPr>
              <w:pStyle w:val="2"/>
              <w:jc w:val="left"/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  <w:t>退件通知书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948" w:type="dxa"/>
            <w:vAlign w:val="top"/>
          </w:tcPr>
          <w:p>
            <w:pPr>
              <w:pStyle w:val="2"/>
              <w:jc w:val="left"/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  <w:t>受理后</w:t>
            </w:r>
          </w:p>
        </w:tc>
        <w:tc>
          <w:tcPr>
            <w:tcW w:w="5788" w:type="dxa"/>
            <w:vAlign w:val="top"/>
          </w:tcPr>
          <w:p>
            <w:pPr>
              <w:pStyle w:val="2"/>
              <w:jc w:val="left"/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  <w:t>受理通知书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948" w:type="dxa"/>
            <w:vAlign w:val="top"/>
          </w:tcPr>
          <w:p>
            <w:pPr>
              <w:pStyle w:val="2"/>
              <w:jc w:val="left"/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  <w:t>不予受理后</w:t>
            </w:r>
          </w:p>
        </w:tc>
        <w:tc>
          <w:tcPr>
            <w:tcW w:w="5788" w:type="dxa"/>
            <w:vAlign w:val="top"/>
          </w:tcPr>
          <w:p>
            <w:pPr>
              <w:pStyle w:val="2"/>
              <w:jc w:val="left"/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  <w:t>不予受理通知书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948" w:type="dxa"/>
            <w:vAlign w:val="top"/>
          </w:tcPr>
          <w:p>
            <w:pPr>
              <w:pStyle w:val="2"/>
              <w:jc w:val="left"/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  <w:t>补正补件后</w:t>
            </w:r>
          </w:p>
        </w:tc>
        <w:tc>
          <w:tcPr>
            <w:tcW w:w="5788" w:type="dxa"/>
            <w:vAlign w:val="top"/>
          </w:tcPr>
          <w:p>
            <w:pPr>
              <w:pStyle w:val="2"/>
              <w:jc w:val="left"/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  <w:t>补正补件通知书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948" w:type="dxa"/>
            <w:vAlign w:val="top"/>
          </w:tcPr>
          <w:p>
            <w:pPr>
              <w:pStyle w:val="2"/>
              <w:jc w:val="left"/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  <w:t>退文后</w:t>
            </w:r>
          </w:p>
        </w:tc>
        <w:tc>
          <w:tcPr>
            <w:tcW w:w="5788" w:type="dxa"/>
            <w:vAlign w:val="top"/>
          </w:tcPr>
          <w:p>
            <w:pPr>
              <w:pStyle w:val="2"/>
              <w:jc w:val="left"/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</w:pPr>
            <w:r>
              <w:rPr>
                <w:rFonts w:hint="eastAsia" w:ascii="仿宋" w:hAnsi="仿宋" w:eastAsia="仿宋" w:cs="仿宋"/>
                <w:color w:val="auto"/>
                <w:sz w:val="28"/>
                <w:szCs w:val="28"/>
              </w:rPr>
              <w:t>退文通知书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  <w:jc w:val="center"/>
        </w:trPr>
        <w:tc>
          <w:tcPr>
            <w:tcW w:w="1948" w:type="dxa"/>
            <w:vAlign w:val="top"/>
          </w:tcPr>
          <w:p>
            <w:pPr>
              <w:pStyle w:val="2"/>
              <w:jc w:val="left"/>
              <w:rPr>
                <w:rFonts w:hint="default" w:ascii="仿宋" w:hAnsi="仿宋" w:eastAsia="仿宋" w:cs="仿宋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cs="仿宋"/>
                <w:color w:val="auto"/>
                <w:sz w:val="28"/>
                <w:szCs w:val="28"/>
                <w:lang w:val="en-US" w:eastAsia="zh-CN"/>
              </w:rPr>
              <w:t>审核通过后</w:t>
            </w:r>
          </w:p>
        </w:tc>
        <w:tc>
          <w:tcPr>
            <w:tcW w:w="5788" w:type="dxa"/>
            <w:vAlign w:val="top"/>
          </w:tcPr>
          <w:p>
            <w:pPr>
              <w:pStyle w:val="2"/>
              <w:jc w:val="left"/>
              <w:rPr>
                <w:rFonts w:hint="default" w:ascii="仿宋" w:hAnsi="仿宋" w:eastAsia="仿宋" w:cs="仿宋"/>
                <w:color w:val="auto"/>
                <w:sz w:val="28"/>
                <w:szCs w:val="28"/>
                <w:lang w:val="en-US" w:eastAsia="zh-CN"/>
              </w:rPr>
            </w:pPr>
            <w:r>
              <w:rPr>
                <w:rFonts w:hint="eastAsia" w:ascii="仿宋" w:hAnsi="仿宋" w:cs="仿宋"/>
                <w:color w:val="auto"/>
                <w:sz w:val="28"/>
                <w:szCs w:val="28"/>
                <w:lang w:val="en-US" w:eastAsia="zh-CN"/>
              </w:rPr>
              <w:t>退还通知书</w:t>
            </w:r>
          </w:p>
        </w:tc>
      </w:tr>
    </w:tbl>
    <w:p>
      <w:pPr>
        <w:ind w:firstLine="562" w:firstLineChars="200"/>
        <w:rPr>
          <w:rFonts w:hint="eastAsia" w:ascii="仿宋" w:hAnsi="仿宋" w:eastAsia="仿宋" w:cs="仿宋"/>
          <w:color w:val="FF0000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b/>
          <w:bCs/>
          <w:color w:val="FF0000"/>
          <w:sz w:val="28"/>
          <w:szCs w:val="28"/>
          <w:lang w:val="en-US" w:eastAsia="zh-CN"/>
        </w:rPr>
        <w:t>提示：</w:t>
      </w:r>
      <w:r>
        <w:rPr>
          <w:rFonts w:hint="eastAsia" w:ascii="仿宋" w:hAnsi="仿宋" w:eastAsia="仿宋" w:cs="仿宋"/>
          <w:color w:val="FF0000"/>
          <w:sz w:val="28"/>
          <w:szCs w:val="28"/>
          <w:lang w:val="en-US" w:eastAsia="zh-CN"/>
        </w:rPr>
        <w:t>操作产生的文书在后续的环节都可以打印。</w:t>
      </w:r>
    </w:p>
    <w:p>
      <w:pPr>
        <w:pStyle w:val="4"/>
        <w:bidi w:val="0"/>
        <w:rPr>
          <w:rFonts w:hint="default"/>
          <w:lang w:val="en-US" w:eastAsia="zh-CN"/>
        </w:rPr>
      </w:pPr>
      <w:bookmarkStart w:id="76" w:name="_Toc531082657"/>
      <w:bookmarkStart w:id="77" w:name="_Toc6240"/>
      <w:bookmarkStart w:id="78" w:name="_Toc1038186455"/>
      <w:bookmarkStart w:id="79" w:name="_Toc1627178452"/>
      <w:bookmarkStart w:id="80" w:name="_Toc624132785"/>
      <w:r>
        <w:rPr>
          <w:rFonts w:hint="eastAsia"/>
          <w:lang w:val="en-US" w:eastAsia="zh-CN"/>
        </w:rPr>
        <w:t>录入退还信息</w:t>
      </w:r>
      <w:bookmarkEnd w:id="76"/>
      <w:bookmarkEnd w:id="77"/>
      <w:bookmarkEnd w:id="78"/>
      <w:bookmarkEnd w:id="79"/>
      <w:bookmarkEnd w:id="80"/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第一笔拨付申请审核通过后，若存在之前未录入退还信息的分户/第一笔拨付存在拨付失败的分户，则可以针对该部分分户补充录入退还信息。银行付款后，点击申请列表页操作列的“录入退还信息”按钮，进入录入退还信息页面。如下图所示：</w:t>
      </w:r>
    </w:p>
    <w:p>
      <w:pPr>
        <w:pStyle w:val="2"/>
        <w:jc w:val="center"/>
      </w:pPr>
      <w:r>
        <w:drawing>
          <wp:inline distT="0" distB="0" distL="114300" distR="114300">
            <wp:extent cx="5265420" cy="2475865"/>
            <wp:effectExtent l="0" t="0" r="11430" b="635"/>
            <wp:docPr id="150" name="图片 2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27"/>
                    <pic:cNvPicPr>
                      <a:picLocks noChangeAspect="true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47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录入退还页面，左侧列表可看到所有未录入退还信息、及拨付失败的分户，红色的分户为拨付失败的分户。如下图所示：</w:t>
      </w:r>
    </w:p>
    <w:p>
      <w:pPr>
        <w:pStyle w:val="2"/>
        <w:jc w:val="center"/>
      </w:pPr>
      <w:r>
        <w:drawing>
          <wp:inline distT="0" distB="0" distL="114300" distR="114300">
            <wp:extent cx="5271135" cy="2485390"/>
            <wp:effectExtent l="0" t="0" r="5715" b="10160"/>
            <wp:docPr id="151" name="图片 2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28"/>
                    <pic:cNvPicPr>
                      <a:picLocks noChangeAspect="true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点击操作列的“编辑”按钮，可编辑单个分户的退还信息。如下图所示：</w:t>
      </w:r>
    </w:p>
    <w:p>
      <w:pPr>
        <w:pStyle w:val="2"/>
        <w:jc w:val="center"/>
      </w:pPr>
      <w:r>
        <w:drawing>
          <wp:inline distT="0" distB="0" distL="114300" distR="114300">
            <wp:extent cx="5266690" cy="2516505"/>
            <wp:effectExtent l="0" t="0" r="10160" b="17145"/>
            <wp:docPr id="152" name="图片 2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29"/>
                    <pic:cNvPicPr>
                      <a:picLocks noChangeAspect="true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1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编辑退还信息的页面，如下图所示：</w:t>
      </w:r>
    </w:p>
    <w:p>
      <w:pPr>
        <w:pStyle w:val="2"/>
        <w:jc w:val="center"/>
      </w:pPr>
      <w:r>
        <w:drawing>
          <wp:inline distT="0" distB="0" distL="114300" distR="114300">
            <wp:extent cx="5267325" cy="1333500"/>
            <wp:effectExtent l="0" t="0" r="9525" b="0"/>
            <wp:docPr id="153" name="图片 3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30"/>
                    <pic:cNvPicPr>
                      <a:picLocks noChangeAspect="true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修改完退还信息后，点击“提交”按钮，进行保存。如下图所示：</w:t>
      </w:r>
    </w:p>
    <w:p>
      <w:pPr>
        <w:pStyle w:val="2"/>
        <w:jc w:val="center"/>
      </w:pPr>
      <w:r>
        <w:drawing>
          <wp:inline distT="0" distB="0" distL="114300" distR="114300">
            <wp:extent cx="5267325" cy="1346835"/>
            <wp:effectExtent l="0" t="0" r="9525" b="5715"/>
            <wp:docPr id="154" name="图片 3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31"/>
                    <pic:cNvPicPr>
                      <a:picLocks noChangeAspect="true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4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勾选左侧列表的数据，点击中间的“添加”按钮，添加至右侧已选择列表中。如下图所示：</w:t>
      </w:r>
    </w:p>
    <w:p>
      <w:pPr>
        <w:pStyle w:val="2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267960" cy="2559050"/>
            <wp:effectExtent l="0" t="0" r="8890" b="12700"/>
            <wp:docPr id="155" name="图片 3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32"/>
                    <pic:cNvPicPr>
                      <a:picLocks noChangeAspect="true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也可下载分户退款房号清单模板，批量修改分户退款信息，再进行导入。点击“下载模板”按钮。如下图所示：</w:t>
      </w:r>
    </w:p>
    <w:p>
      <w:pPr>
        <w:pStyle w:val="2"/>
        <w:jc w:val="center"/>
      </w:pPr>
      <w:r>
        <w:drawing>
          <wp:inline distT="0" distB="0" distL="114300" distR="114300">
            <wp:extent cx="5266690" cy="2526030"/>
            <wp:effectExtent l="0" t="0" r="10160" b="7620"/>
            <wp:docPr id="156" name="图片 3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33"/>
                    <pic:cNvPicPr>
                      <a:picLocks noChangeAspect="true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模板会导出所有未录入退还信息及拨付失败的分户，可补充、修改退款信息。如下图所示：</w:t>
      </w:r>
    </w:p>
    <w:p>
      <w:pPr>
        <w:pStyle w:val="2"/>
      </w:pPr>
      <w:r>
        <w:drawing>
          <wp:inline distT="0" distB="0" distL="114300" distR="114300">
            <wp:extent cx="5271770" cy="2520315"/>
            <wp:effectExtent l="0" t="0" r="5080" b="13335"/>
            <wp:docPr id="157" name="图片 3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34"/>
                    <pic:cNvPicPr>
                      <a:picLocks noChangeAspect="true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文件填写完</w:t>
      </w:r>
      <w:r>
        <w:rPr>
          <w:rFonts w:hint="eastAsia" w:ascii="仿宋" w:hAnsi="仿宋" w:cs="仿宋"/>
          <w:sz w:val="28"/>
          <w:szCs w:val="28"/>
          <w:lang w:val="en-US" w:eastAsia="zh-CN"/>
        </w:rPr>
        <w:t>成</w:t>
      </w: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后，点击左上角的“导入退还信息”按钮，导入文件。如下图所示：</w:t>
      </w:r>
    </w:p>
    <w:p>
      <w:pPr>
        <w:pStyle w:val="2"/>
        <w:jc w:val="center"/>
      </w:pPr>
      <w:r>
        <w:drawing>
          <wp:inline distT="0" distB="0" distL="114300" distR="114300">
            <wp:extent cx="5264785" cy="2562860"/>
            <wp:effectExtent l="0" t="0" r="12065" b="8890"/>
            <wp:docPr id="158" name="图片 35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35"/>
                    <pic:cNvPicPr>
                      <a:picLocks noChangeAspect="true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56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导入文件后，数据自动展示在右侧列表。点击“上传附件”按钮，至少上传一个附件。点击“确定”按钮，提交申请至区中心审批。如下图所示：</w:t>
      </w:r>
    </w:p>
    <w:p>
      <w:pPr>
        <w:pStyle w:val="2"/>
        <w:jc w:val="center"/>
      </w:pPr>
      <w:r>
        <w:drawing>
          <wp:inline distT="0" distB="0" distL="114300" distR="114300">
            <wp:extent cx="5270500" cy="2530475"/>
            <wp:effectExtent l="0" t="0" r="6350" b="3175"/>
            <wp:docPr id="161" name="图片 3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36"/>
                    <pic:cNvPicPr>
                      <a:picLocks noChangeAspect="true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rPr>
          <w:rFonts w:hint="eastAsia" w:ascii="仿宋" w:hAnsi="仿宋" w:eastAsia="仿宋" w:cs="仿宋"/>
          <w:sz w:val="28"/>
          <w:szCs w:val="28"/>
          <w:lang w:val="en-US" w:eastAsia="zh-CN"/>
        </w:rPr>
      </w:pPr>
      <w:r>
        <w:rPr>
          <w:rFonts w:hint="eastAsia" w:ascii="仿宋" w:hAnsi="仿宋" w:eastAsia="仿宋" w:cs="仿宋"/>
          <w:sz w:val="28"/>
          <w:szCs w:val="28"/>
          <w:lang w:val="en-US" w:eastAsia="zh-CN"/>
        </w:rPr>
        <w:t>区中心审核通过后，第二次拨付的办理进度变为“待拨付签章”。如下图所示：</w:t>
      </w:r>
    </w:p>
    <w:p>
      <w:pPr>
        <w:pStyle w:val="2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5269865" cy="2827020"/>
            <wp:effectExtent l="0" t="0" r="6985" b="11430"/>
            <wp:docPr id="162" name="图片 3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37"/>
                    <pic:cNvPicPr>
                      <a:picLocks noChangeAspect="true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2"/>
        <w:numPr>
          <w:ilvl w:val="0"/>
          <w:numId w:val="0"/>
        </w:numPr>
        <w:rPr>
          <w:rFonts w:hint="default"/>
          <w:lang w:val="en-US" w:eastAsia="zh-CN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Liberation Serif">
    <w:panose1 w:val="02020603050405020304"/>
    <w:charset w:val="00"/>
    <w:family w:val="auto"/>
    <w:pitch w:val="default"/>
    <w:sig w:usb0="A00002AF" w:usb1="500078FB" w:usb2="00000000" w:usb3="00000000" w:csb0="6000009F" w:csb1="DFD70000"/>
  </w:font>
  <w:font w:name="Microsoft YaHei">
    <w:altName w:val="黑体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altName w:val="DejaVu San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rial">
    <w:altName w:val="DejaVu Sans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12" name="文本框 2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true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4"/>
                            <w:rPr>
                              <w:color w:val="000000" w:themeColor="text1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</w:pPr>
                          <w:r>
                            <w:rPr>
                              <w:color w:val="000000" w:themeColor="text1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t xml:space="preserve">第 </w:t>
                          </w:r>
                          <w:r>
                            <w:rPr>
                              <w:color w:val="000000" w:themeColor="text1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instrText xml:space="preserve"> PAGE  \* MERGEFORMAT </w:instrText>
                          </w:r>
                          <w:r>
                            <w:rPr>
                              <w:color w:val="000000" w:themeColor="text1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t>1</w:t>
                          </w:r>
                          <w:r>
                            <w:rPr>
                              <w:color w:val="000000" w:themeColor="text1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end"/>
                          </w:r>
                          <w:r>
                            <w:rPr>
                              <w:color w:val="000000" w:themeColor="text1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t xml:space="preserve"> 页 共 </w:t>
                          </w:r>
                          <w:r>
                            <w:rPr>
                              <w:color w:val="000000" w:themeColor="text1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begin"/>
                          </w:r>
                          <w:r>
                            <w:rPr>
                              <w:color w:val="000000" w:themeColor="text1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instrText xml:space="preserve"> NUMPAGES  \* MERGEFORMAT </w:instrText>
                          </w:r>
                          <w:r>
                            <w:rPr>
                              <w:color w:val="000000" w:themeColor="text1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separate"/>
                          </w:r>
                          <w:r>
                            <w:rPr>
                              <w:color w:val="000000" w:themeColor="text1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t>61</w:t>
                          </w:r>
                          <w:r>
                            <w:rPr>
                              <w:color w:val="000000" w:themeColor="text1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fldChar w:fldCharType="end"/>
                          </w:r>
                          <w:r>
                            <w:rPr>
                              <w:color w:val="000000" w:themeColor="text1"/>
                              <w14:textFill>
                                <w14:solidFill>
                                  <w14:schemeClr w14:val="tx1"/>
                                </w14:solidFill>
                              </w14:textFill>
                            </w:rPr>
                            <w:t xml:space="preserve"> 页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false" anchor="t" anchorCtr="false" forceAA="false" upright="false" compatLnSpc="true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CrLma3HgIAAC0EAAAOAAAAZHJz&#10;L2Uyb0RvYy54bWytU0uOEzEQ3SNxB8t70kkQoyhKZxRmFIQUMSMNiLXjttMt+SfbSXc4ANyAFRv2&#10;nCvn4NnpThCwQmzsKle5Pq9eLW47rchB+NBYU9LJaEyJMNxWjdmV9MP79YsZJSEyUzFljSjpUQR6&#10;u3z+bNG6uZja2qpKeIIgJsxbV9I6RjcvisBroVkYWScMjNJ6zSJUvysqz1pE16qYjsc3RWt95bzl&#10;IgS83p+NdJnjSyl4fJAyiEhUSVFbzKfP5zadxXLB5jvPXN3wvgz2D1Vo1hgkvYS6Z5GRvW/+CKUb&#10;7m2wMo641YWVsuEi94BuJuPfunmqmRO5F4AT3AWm8P/C8neHR0+aqqTTyZQSwzSGdPr65fTtx+n7&#10;Z5IeAVHrwhyeTw6+sXttu5JGvxeDKeA9Nd9Jr9ONtghcgPfxgrHoIuF4nMyms9kYJg7boCBFcf3u&#10;fIhvhNUkCSX1GGLGlh02IZ5dB5eUzdh1o1QepDKkLenNy1fj/OFiQXBlkCP1cS42SbHbdn1zW1sd&#10;0Zu3Z4IEx9cNkm9YiI/MgxEoGCyPDzikskhie4mS2vpPf3tP/hgUrJS0YFhJDVaAEvXWYICJjIPg&#10;B2E7CGav7ywoO8H2OJ5FfPBRDaL0Vn8E9Vcph2QqIDAzHNkwmkG8i9B6I1aIi9Xqou+db3b19TPo&#10;6FjcmCfH++EmbINb7SPwzbAnzM5A9VCCk3lw/f4k0v+qZ6/rli9/A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BYAAABkcnMvUEsBAhQAFAAA&#10;AAgAh07iQLNJWO7QAAAABQEAAA8AAAAAAAAAAQAgAAAAOAAAAGRycy9kb3ducmV2LnhtbFBLAQIU&#10;ABQAAAAIAIdO4kCrLma3HgIAAC0EAAAOAAAAAAAAAAEAIAAAADUBAABkcnMvZTJvRG9jLnhtbFBL&#10;BQYAAAAABgAGAFkBAADF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4"/>
                      <w:rPr>
                        <w:color w:val="000000" w:themeColor="text1"/>
                        <w14:textFill>
                          <w14:solidFill>
                            <w14:schemeClr w14:val="tx1"/>
                          </w14:solidFill>
                        </w14:textFill>
                      </w:rPr>
                    </w:pPr>
                    <w:r>
                      <w:rPr>
                        <w:color w:val="000000" w:themeColor="text1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 xml:space="preserve">第 </w:t>
                    </w:r>
                    <w:r>
                      <w:rPr>
                        <w:color w:val="000000" w:themeColor="text1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begin"/>
                    </w:r>
                    <w:r>
                      <w:rPr>
                        <w:color w:val="000000" w:themeColor="text1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instrText xml:space="preserve"> PAGE  \* MERGEFORMAT </w:instrText>
                    </w:r>
                    <w:r>
                      <w:rPr>
                        <w:color w:val="000000" w:themeColor="text1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separate"/>
                    </w:r>
                    <w:r>
                      <w:rPr>
                        <w:color w:val="000000" w:themeColor="text1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>1</w:t>
                    </w:r>
                    <w:r>
                      <w:rPr>
                        <w:color w:val="000000" w:themeColor="text1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end"/>
                    </w:r>
                    <w:r>
                      <w:rPr>
                        <w:color w:val="000000" w:themeColor="text1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 xml:space="preserve"> 页 共 </w:t>
                    </w:r>
                    <w:r>
                      <w:rPr>
                        <w:color w:val="000000" w:themeColor="text1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begin"/>
                    </w:r>
                    <w:r>
                      <w:rPr>
                        <w:color w:val="000000" w:themeColor="text1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instrText xml:space="preserve"> NUMPAGES  \* MERGEFORMAT </w:instrText>
                    </w:r>
                    <w:r>
                      <w:rPr>
                        <w:color w:val="000000" w:themeColor="text1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separate"/>
                    </w:r>
                    <w:r>
                      <w:rPr>
                        <w:color w:val="000000" w:themeColor="text1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>61</w:t>
                    </w:r>
                    <w:r>
                      <w:rPr>
                        <w:color w:val="000000" w:themeColor="text1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fldChar w:fldCharType="end"/>
                    </w:r>
                    <w:r>
                      <w:rPr>
                        <w:color w:val="000000" w:themeColor="text1"/>
                        <w14:textFill>
                          <w14:solidFill>
                            <w14:schemeClr w14:val="tx1"/>
                          </w14:solidFill>
                        </w14:textFill>
                      </w:rPr>
                      <w:t xml:space="preserve"> 页</w:t>
                    </w:r>
                  </w:p>
                </w:txbxContent>
              </v:textbox>
            </v:shape>
          </w:pict>
        </mc:Fallback>
      </mc:AlternateConten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61E29A2"/>
    <w:multiLevelType w:val="singleLevel"/>
    <w:tmpl w:val="961E29A2"/>
    <w:lvl w:ilvl="0" w:tentative="0">
      <w:start w:val="1"/>
      <w:numFmt w:val="decimal"/>
      <w:suff w:val="nothing"/>
      <w:lvlText w:val="（%1）"/>
      <w:lvlJc w:val="left"/>
    </w:lvl>
  </w:abstractNum>
  <w:abstractNum w:abstractNumId="1">
    <w:nsid w:val="9976315D"/>
    <w:multiLevelType w:val="singleLevel"/>
    <w:tmpl w:val="9976315D"/>
    <w:lvl w:ilvl="0" w:tentative="0">
      <w:start w:val="1"/>
      <w:numFmt w:val="bullet"/>
      <w:lvlText w:val=""/>
      <w:lvlJc w:val="left"/>
      <w:pPr>
        <w:ind w:left="1134" w:leftChars="0" w:hanging="1134" w:firstLineChars="0"/>
      </w:pPr>
      <w:rPr>
        <w:rFonts w:hint="default" w:ascii="Wingdings" w:hAnsi="Wingdings"/>
      </w:rPr>
    </w:lvl>
  </w:abstractNum>
  <w:abstractNum w:abstractNumId="2">
    <w:nsid w:val="9FFF6C8E"/>
    <w:multiLevelType w:val="singleLevel"/>
    <w:tmpl w:val="9FFF6C8E"/>
    <w:lvl w:ilvl="0" w:tentative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3">
    <w:nsid w:val="B9FE5389"/>
    <w:multiLevelType w:val="singleLevel"/>
    <w:tmpl w:val="B9FE5389"/>
    <w:lvl w:ilvl="0" w:tentative="0">
      <w:start w:val="1"/>
      <w:numFmt w:val="decimal"/>
      <w:suff w:val="nothing"/>
      <w:lvlText w:val="（%1）"/>
      <w:lvlJc w:val="left"/>
    </w:lvl>
  </w:abstractNum>
  <w:abstractNum w:abstractNumId="4">
    <w:nsid w:val="F2DDD08C"/>
    <w:multiLevelType w:val="singleLevel"/>
    <w:tmpl w:val="F2DDD08C"/>
    <w:lvl w:ilvl="0" w:tentative="0">
      <w:start w:val="1"/>
      <w:numFmt w:val="decimal"/>
      <w:suff w:val="nothing"/>
      <w:lvlText w:val="（%1）"/>
      <w:lvlJc w:val="left"/>
    </w:lvl>
  </w:abstractNum>
  <w:abstractNum w:abstractNumId="5">
    <w:nsid w:val="F7FAEBDB"/>
    <w:multiLevelType w:val="singleLevel"/>
    <w:tmpl w:val="F7FAEBDB"/>
    <w:lvl w:ilvl="0" w:tentative="0">
      <w:start w:val="1"/>
      <w:numFmt w:val="decimal"/>
      <w:suff w:val="nothing"/>
      <w:lvlText w:val="（%1）"/>
      <w:lvlJc w:val="left"/>
    </w:lvl>
  </w:abstractNum>
  <w:abstractNum w:abstractNumId="6">
    <w:nsid w:val="39FF62DF"/>
    <w:multiLevelType w:val="singleLevel"/>
    <w:tmpl w:val="39FF62DF"/>
    <w:lvl w:ilvl="0" w:tentative="0">
      <w:start w:val="1"/>
      <w:numFmt w:val="decimal"/>
      <w:suff w:val="nothing"/>
      <w:lvlText w:val="（%1）"/>
      <w:lvlJc w:val="left"/>
    </w:lvl>
  </w:abstractNum>
  <w:abstractNum w:abstractNumId="7">
    <w:nsid w:val="663E67CE"/>
    <w:multiLevelType w:val="multilevel"/>
    <w:tmpl w:val="663E67CE"/>
    <w:lvl w:ilvl="0" w:tentative="0">
      <w:start w:val="1"/>
      <w:numFmt w:val="decimal"/>
      <w:pStyle w:val="3"/>
      <w:lvlText w:val="%1."/>
      <w:lvlJc w:val="left"/>
      <w:pPr>
        <w:ind w:left="432" w:hanging="432"/>
      </w:pPr>
      <w:rPr>
        <w:rFonts w:hint="default"/>
      </w:rPr>
    </w:lvl>
    <w:lvl w:ilvl="1" w:tentative="0">
      <w:start w:val="1"/>
      <w:numFmt w:val="decimal"/>
      <w:pStyle w:val="4"/>
      <w:lvlText w:val="%1.%2"/>
      <w:lvlJc w:val="left"/>
      <w:pPr>
        <w:ind w:left="575" w:hanging="575"/>
      </w:pPr>
      <w:rPr>
        <w:rFonts w:hint="default" w:ascii="宋体" w:hAnsi="宋体" w:eastAsia="宋体" w:cs="宋体"/>
      </w:rPr>
    </w:lvl>
    <w:lvl w:ilvl="2" w:tentative="0">
      <w:start w:val="1"/>
      <w:numFmt w:val="decimal"/>
      <w:pStyle w:val="5"/>
      <w:lvlText w:val="%1.%2.%3"/>
      <w:lvlJc w:val="left"/>
      <w:pPr>
        <w:ind w:left="720" w:hanging="720"/>
      </w:pPr>
      <w:rPr>
        <w:rFonts w:hint="default" w:ascii="宋体" w:hAnsi="宋体" w:eastAsia="宋体" w:cs="宋体"/>
      </w:rPr>
    </w:lvl>
    <w:lvl w:ilvl="3" w:tentative="0">
      <w:start w:val="1"/>
      <w:numFmt w:val="decimal"/>
      <w:pStyle w:val="6"/>
      <w:lvlText w:val="%1.%2.%3.%4"/>
      <w:lvlJc w:val="left"/>
      <w:pPr>
        <w:ind w:left="864" w:hanging="864"/>
      </w:pPr>
      <w:rPr>
        <w:rFonts w:hint="default" w:ascii="宋体" w:hAnsi="宋体" w:eastAsia="宋体" w:cs="宋体"/>
      </w:rPr>
    </w:lvl>
    <w:lvl w:ilvl="4" w:tentative="0">
      <w:start w:val="1"/>
      <w:numFmt w:val="decimal"/>
      <w:pStyle w:val="7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pStyle w:val="8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pStyle w:val="9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pStyle w:val="10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pStyle w:val="11"/>
      <w:lvlText w:val="%1.%2.%3.%4.%5.%6.%7.%8.%9."/>
      <w:lvlJc w:val="left"/>
      <w:pPr>
        <w:ind w:left="1583" w:hanging="1583"/>
      </w:pPr>
      <w:rPr>
        <w:rFonts w:hint="default"/>
      </w:rPr>
    </w:lvl>
  </w:abstractNum>
  <w:num w:numId="1">
    <w:abstractNumId w:val="7"/>
  </w:num>
  <w:num w:numId="2">
    <w:abstractNumId w:val="2"/>
  </w:num>
  <w:num w:numId="3">
    <w:abstractNumId w:val="6"/>
  </w:num>
  <w:num w:numId="4">
    <w:abstractNumId w:val="3"/>
  </w:num>
  <w:num w:numId="5">
    <w:abstractNumId w:val="4"/>
  </w:num>
  <w:num w:numId="6">
    <w:abstractNumId w:val="0"/>
  </w:num>
  <w:num w:numId="7">
    <w:abstractNumId w:val="5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doNotDisplayPageBoundaries w:val="true"/>
  <w:embedSystemFonts/>
  <w:bordersDoNotSurroundHeader w:val="false"/>
  <w:bordersDoNotSurroundFooter w:val="false"/>
  <w:trackRevisions w:val="true"/>
  <w:documentProtection w:enforcement="0"/>
  <w:defaultTabStop w:val="420"/>
  <w:drawingGridVerticalSpacing w:val="156"/>
  <w:displayHorizontalDrawingGridEvery w:val="1"/>
  <w:displayVerticalDrawingGridEvery w:val="1"/>
  <w:noPunctuationKerning w:val="true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EwYjY1NTM1NDQ1NTA2ODcyOTdjNWZjMGRiNzhlNWMifQ=="/>
  </w:docVars>
  <w:rsids>
    <w:rsidRoot w:val="00000000"/>
    <w:rsid w:val="017ED373"/>
    <w:rsid w:val="02825085"/>
    <w:rsid w:val="059B24B4"/>
    <w:rsid w:val="05B52917"/>
    <w:rsid w:val="071B39A9"/>
    <w:rsid w:val="07660241"/>
    <w:rsid w:val="08E341AF"/>
    <w:rsid w:val="09540C99"/>
    <w:rsid w:val="097651B6"/>
    <w:rsid w:val="0A0101BF"/>
    <w:rsid w:val="0D566912"/>
    <w:rsid w:val="0D8A333F"/>
    <w:rsid w:val="0E7A7D0B"/>
    <w:rsid w:val="0EFD0568"/>
    <w:rsid w:val="10444515"/>
    <w:rsid w:val="104F6A24"/>
    <w:rsid w:val="110254C3"/>
    <w:rsid w:val="11662A9F"/>
    <w:rsid w:val="122E603C"/>
    <w:rsid w:val="132A2A6A"/>
    <w:rsid w:val="13FB3DEE"/>
    <w:rsid w:val="163A17C0"/>
    <w:rsid w:val="170D0296"/>
    <w:rsid w:val="17A53D4A"/>
    <w:rsid w:val="17BD5655"/>
    <w:rsid w:val="17D36984"/>
    <w:rsid w:val="183723B6"/>
    <w:rsid w:val="1CAA0778"/>
    <w:rsid w:val="1CE472D0"/>
    <w:rsid w:val="1D1232E8"/>
    <w:rsid w:val="1D443D75"/>
    <w:rsid w:val="1DDFC59D"/>
    <w:rsid w:val="1DFD8815"/>
    <w:rsid w:val="1F6CD3D0"/>
    <w:rsid w:val="1FAF0220"/>
    <w:rsid w:val="20A13473"/>
    <w:rsid w:val="21267BF8"/>
    <w:rsid w:val="22367D9B"/>
    <w:rsid w:val="23F19551"/>
    <w:rsid w:val="24B2452D"/>
    <w:rsid w:val="24CF57D5"/>
    <w:rsid w:val="27A3E884"/>
    <w:rsid w:val="27F42F5A"/>
    <w:rsid w:val="283F0419"/>
    <w:rsid w:val="28DFB3BC"/>
    <w:rsid w:val="2ABD3ED7"/>
    <w:rsid w:val="2B9B5D37"/>
    <w:rsid w:val="2BA847ED"/>
    <w:rsid w:val="2BDC7FE8"/>
    <w:rsid w:val="2C163D00"/>
    <w:rsid w:val="2C42156A"/>
    <w:rsid w:val="2C8965FC"/>
    <w:rsid w:val="2C9805ED"/>
    <w:rsid w:val="2CA76F56"/>
    <w:rsid w:val="2CB9353A"/>
    <w:rsid w:val="2CDF6CCB"/>
    <w:rsid w:val="2D4905A2"/>
    <w:rsid w:val="2DDA3833"/>
    <w:rsid w:val="2EFB63AD"/>
    <w:rsid w:val="2F7DE40D"/>
    <w:rsid w:val="2F890F46"/>
    <w:rsid w:val="2FB5D1DD"/>
    <w:rsid w:val="31DE346D"/>
    <w:rsid w:val="32EC2973"/>
    <w:rsid w:val="333B02EE"/>
    <w:rsid w:val="335763ED"/>
    <w:rsid w:val="348A3C1B"/>
    <w:rsid w:val="35CE67BA"/>
    <w:rsid w:val="36EA5EE9"/>
    <w:rsid w:val="371FEDA1"/>
    <w:rsid w:val="37831BB2"/>
    <w:rsid w:val="37FF22D1"/>
    <w:rsid w:val="391510AA"/>
    <w:rsid w:val="39292CF8"/>
    <w:rsid w:val="394F4D11"/>
    <w:rsid w:val="3A5936C4"/>
    <w:rsid w:val="3AA02EDE"/>
    <w:rsid w:val="3B253CDF"/>
    <w:rsid w:val="3B7A63D3"/>
    <w:rsid w:val="3B904EA2"/>
    <w:rsid w:val="3C924053"/>
    <w:rsid w:val="3CF50838"/>
    <w:rsid w:val="3CF75F04"/>
    <w:rsid w:val="3CFC6412"/>
    <w:rsid w:val="3DB7BBF1"/>
    <w:rsid w:val="3DE66F41"/>
    <w:rsid w:val="3E77F198"/>
    <w:rsid w:val="3EBD60A7"/>
    <w:rsid w:val="3EFD3309"/>
    <w:rsid w:val="3F010246"/>
    <w:rsid w:val="3F3348D1"/>
    <w:rsid w:val="3F361456"/>
    <w:rsid w:val="3F7A9544"/>
    <w:rsid w:val="3FBEC85B"/>
    <w:rsid w:val="4135710D"/>
    <w:rsid w:val="418B5AC7"/>
    <w:rsid w:val="42D53BFE"/>
    <w:rsid w:val="432B3B11"/>
    <w:rsid w:val="4379173B"/>
    <w:rsid w:val="43CF44D3"/>
    <w:rsid w:val="4442554B"/>
    <w:rsid w:val="447A67CD"/>
    <w:rsid w:val="450142F9"/>
    <w:rsid w:val="47356514"/>
    <w:rsid w:val="475EADE9"/>
    <w:rsid w:val="48403BBB"/>
    <w:rsid w:val="48C76FDA"/>
    <w:rsid w:val="4A473FC6"/>
    <w:rsid w:val="4A7D4406"/>
    <w:rsid w:val="4D8E8DE0"/>
    <w:rsid w:val="4ECF3A09"/>
    <w:rsid w:val="4FCBBFB8"/>
    <w:rsid w:val="4FEB4D54"/>
    <w:rsid w:val="51F10A82"/>
    <w:rsid w:val="524C26B4"/>
    <w:rsid w:val="539C2B73"/>
    <w:rsid w:val="54DFC46F"/>
    <w:rsid w:val="54FF5456"/>
    <w:rsid w:val="55CC67FD"/>
    <w:rsid w:val="55EC285A"/>
    <w:rsid w:val="55EF32F0"/>
    <w:rsid w:val="573D9E27"/>
    <w:rsid w:val="57AFB2DB"/>
    <w:rsid w:val="57FF02EC"/>
    <w:rsid w:val="58867DC6"/>
    <w:rsid w:val="597E5CE0"/>
    <w:rsid w:val="59CFC32F"/>
    <w:rsid w:val="59FF350D"/>
    <w:rsid w:val="5B353327"/>
    <w:rsid w:val="5BF74313"/>
    <w:rsid w:val="5CFD4F56"/>
    <w:rsid w:val="5E6C193E"/>
    <w:rsid w:val="5F4D28A0"/>
    <w:rsid w:val="5FCFBAD4"/>
    <w:rsid w:val="5FDF443E"/>
    <w:rsid w:val="5FFD0FE0"/>
    <w:rsid w:val="60C452CD"/>
    <w:rsid w:val="621B3277"/>
    <w:rsid w:val="62601BB3"/>
    <w:rsid w:val="627FF142"/>
    <w:rsid w:val="66BFD0C4"/>
    <w:rsid w:val="673C1F55"/>
    <w:rsid w:val="677E8204"/>
    <w:rsid w:val="6780038C"/>
    <w:rsid w:val="67AC4971"/>
    <w:rsid w:val="67D35A50"/>
    <w:rsid w:val="67D7ACC6"/>
    <w:rsid w:val="67E7D847"/>
    <w:rsid w:val="67F56CEE"/>
    <w:rsid w:val="67FB97B1"/>
    <w:rsid w:val="68371CFA"/>
    <w:rsid w:val="683E65AF"/>
    <w:rsid w:val="69FF8725"/>
    <w:rsid w:val="6A1A22D4"/>
    <w:rsid w:val="6B9FF05A"/>
    <w:rsid w:val="6BDF0881"/>
    <w:rsid w:val="6BFED53C"/>
    <w:rsid w:val="6BFF7C09"/>
    <w:rsid w:val="6C6C2279"/>
    <w:rsid w:val="6D69B7CA"/>
    <w:rsid w:val="6E9915ED"/>
    <w:rsid w:val="6EAC56FC"/>
    <w:rsid w:val="6EEFBC05"/>
    <w:rsid w:val="6EFF7093"/>
    <w:rsid w:val="6FAE0EEC"/>
    <w:rsid w:val="6FD617F9"/>
    <w:rsid w:val="6FD6334C"/>
    <w:rsid w:val="6FEE6F04"/>
    <w:rsid w:val="6FFF10A4"/>
    <w:rsid w:val="70AA196E"/>
    <w:rsid w:val="718E28AE"/>
    <w:rsid w:val="71FCC7E3"/>
    <w:rsid w:val="729A54D4"/>
    <w:rsid w:val="72D554D5"/>
    <w:rsid w:val="72FB15AB"/>
    <w:rsid w:val="73512CFE"/>
    <w:rsid w:val="73AC0BEB"/>
    <w:rsid w:val="73EB9570"/>
    <w:rsid w:val="73F49358"/>
    <w:rsid w:val="75C466D3"/>
    <w:rsid w:val="75FFBEA8"/>
    <w:rsid w:val="76786C56"/>
    <w:rsid w:val="76D77783"/>
    <w:rsid w:val="76DF08FB"/>
    <w:rsid w:val="76FD4118"/>
    <w:rsid w:val="77E7EC39"/>
    <w:rsid w:val="78953339"/>
    <w:rsid w:val="78A7F72A"/>
    <w:rsid w:val="78DFF97B"/>
    <w:rsid w:val="79DBE5A1"/>
    <w:rsid w:val="7AF51EFE"/>
    <w:rsid w:val="7AFF4FB1"/>
    <w:rsid w:val="7B5D6796"/>
    <w:rsid w:val="7B8B0682"/>
    <w:rsid w:val="7BAB2120"/>
    <w:rsid w:val="7BC641AD"/>
    <w:rsid w:val="7BE27693"/>
    <w:rsid w:val="7BF70C28"/>
    <w:rsid w:val="7BFDF47B"/>
    <w:rsid w:val="7C9FA118"/>
    <w:rsid w:val="7D0F1D0F"/>
    <w:rsid w:val="7D4F9B06"/>
    <w:rsid w:val="7D9F6A57"/>
    <w:rsid w:val="7DC46119"/>
    <w:rsid w:val="7DD75F67"/>
    <w:rsid w:val="7DE72214"/>
    <w:rsid w:val="7DFD546C"/>
    <w:rsid w:val="7DFF0298"/>
    <w:rsid w:val="7E2FA0F4"/>
    <w:rsid w:val="7E7F9A88"/>
    <w:rsid w:val="7EDF2AA0"/>
    <w:rsid w:val="7EEE44A0"/>
    <w:rsid w:val="7EF7662A"/>
    <w:rsid w:val="7EFDA59B"/>
    <w:rsid w:val="7EFF1063"/>
    <w:rsid w:val="7EFFF6BB"/>
    <w:rsid w:val="7F0EA26F"/>
    <w:rsid w:val="7F2D5F7A"/>
    <w:rsid w:val="7FBDE3D7"/>
    <w:rsid w:val="7FBF0A6C"/>
    <w:rsid w:val="7FDB3F1E"/>
    <w:rsid w:val="7FDF7641"/>
    <w:rsid w:val="7FEBE7C6"/>
    <w:rsid w:val="7FEFD434"/>
    <w:rsid w:val="7FF2A4D8"/>
    <w:rsid w:val="7FF70012"/>
    <w:rsid w:val="7FFF04C3"/>
    <w:rsid w:val="7FFF769C"/>
    <w:rsid w:val="7FFFB9E7"/>
    <w:rsid w:val="8B56CC9E"/>
    <w:rsid w:val="8DF73AD1"/>
    <w:rsid w:val="91BF7D45"/>
    <w:rsid w:val="97DB382C"/>
    <w:rsid w:val="97FB4255"/>
    <w:rsid w:val="9BFB3DF8"/>
    <w:rsid w:val="9F966226"/>
    <w:rsid w:val="9FFAB41E"/>
    <w:rsid w:val="ACB9371B"/>
    <w:rsid w:val="AE7E4C55"/>
    <w:rsid w:val="AF6B6F4E"/>
    <w:rsid w:val="AFD1F62A"/>
    <w:rsid w:val="B3AB93CC"/>
    <w:rsid w:val="B76F9C78"/>
    <w:rsid w:val="BAEB2DF6"/>
    <w:rsid w:val="BB7B980F"/>
    <w:rsid w:val="BB7C8DA5"/>
    <w:rsid w:val="BBBBC264"/>
    <w:rsid w:val="BBDB3BCE"/>
    <w:rsid w:val="BDF9EB65"/>
    <w:rsid w:val="BEFD56D8"/>
    <w:rsid w:val="BF57A268"/>
    <w:rsid w:val="BF6EEBBA"/>
    <w:rsid w:val="BF7E8A60"/>
    <w:rsid w:val="BFBFEDF4"/>
    <w:rsid w:val="BFCFB931"/>
    <w:rsid w:val="BFDC9A17"/>
    <w:rsid w:val="BFF6CCD2"/>
    <w:rsid w:val="C9DBAA28"/>
    <w:rsid w:val="CCEF3BDD"/>
    <w:rsid w:val="CDFDE6A7"/>
    <w:rsid w:val="CEEFC975"/>
    <w:rsid w:val="D3BF3FE0"/>
    <w:rsid w:val="D729688D"/>
    <w:rsid w:val="DB985425"/>
    <w:rsid w:val="DBB76CA1"/>
    <w:rsid w:val="DCD73928"/>
    <w:rsid w:val="DD6F2AC9"/>
    <w:rsid w:val="DEEF4851"/>
    <w:rsid w:val="DEFFAC0F"/>
    <w:rsid w:val="DF3F2992"/>
    <w:rsid w:val="DF777219"/>
    <w:rsid w:val="DF795FD3"/>
    <w:rsid w:val="DFCDB5E1"/>
    <w:rsid w:val="DFE30F5A"/>
    <w:rsid w:val="DFFACBD5"/>
    <w:rsid w:val="DFFD483D"/>
    <w:rsid w:val="DFFF6BD3"/>
    <w:rsid w:val="E1DF2B0E"/>
    <w:rsid w:val="E5FC6B47"/>
    <w:rsid w:val="E6EE2CEC"/>
    <w:rsid w:val="E6FF4A41"/>
    <w:rsid w:val="E75101BF"/>
    <w:rsid w:val="E7F67EFD"/>
    <w:rsid w:val="EBEB26C9"/>
    <w:rsid w:val="EBEFE2A6"/>
    <w:rsid w:val="ECBE43D2"/>
    <w:rsid w:val="EDA31CD0"/>
    <w:rsid w:val="EE7B64C5"/>
    <w:rsid w:val="EEEF0931"/>
    <w:rsid w:val="EF3FD51C"/>
    <w:rsid w:val="EF5D4AA2"/>
    <w:rsid w:val="EFCBEB41"/>
    <w:rsid w:val="EFCFB2DF"/>
    <w:rsid w:val="EFDA2DAD"/>
    <w:rsid w:val="EFE6A070"/>
    <w:rsid w:val="EFFF1FBD"/>
    <w:rsid w:val="F37CE4F3"/>
    <w:rsid w:val="F45EB6D2"/>
    <w:rsid w:val="F4FF3697"/>
    <w:rsid w:val="F5441834"/>
    <w:rsid w:val="F59B82D8"/>
    <w:rsid w:val="F5FC6E63"/>
    <w:rsid w:val="F5FFDBA9"/>
    <w:rsid w:val="F6DDF331"/>
    <w:rsid w:val="F6FEBB05"/>
    <w:rsid w:val="F73F4493"/>
    <w:rsid w:val="F7CBE567"/>
    <w:rsid w:val="F7DF2E2D"/>
    <w:rsid w:val="F7DF3A6C"/>
    <w:rsid w:val="F7F74663"/>
    <w:rsid w:val="F7FB82CF"/>
    <w:rsid w:val="F7FD6677"/>
    <w:rsid w:val="F97F06F4"/>
    <w:rsid w:val="F9DF7F77"/>
    <w:rsid w:val="FB9D5190"/>
    <w:rsid w:val="FBBB931B"/>
    <w:rsid w:val="FBC5AECD"/>
    <w:rsid w:val="FBDBB9DF"/>
    <w:rsid w:val="FCDB3CE0"/>
    <w:rsid w:val="FCF76F6A"/>
    <w:rsid w:val="FDDF1368"/>
    <w:rsid w:val="FDDF7909"/>
    <w:rsid w:val="FDEF08C2"/>
    <w:rsid w:val="FDF52231"/>
    <w:rsid w:val="FDFDB788"/>
    <w:rsid w:val="FDFE8FB7"/>
    <w:rsid w:val="FE7F9AA4"/>
    <w:rsid w:val="FEBB5E77"/>
    <w:rsid w:val="FEC328EE"/>
    <w:rsid w:val="FECEED10"/>
    <w:rsid w:val="FEE5F520"/>
    <w:rsid w:val="FEF4ADBB"/>
    <w:rsid w:val="FF5D3E56"/>
    <w:rsid w:val="FF5D4089"/>
    <w:rsid w:val="FF6B42E8"/>
    <w:rsid w:val="FFB6F830"/>
    <w:rsid w:val="FFCBA0B5"/>
    <w:rsid w:val="FFD6D7C4"/>
    <w:rsid w:val="FFF74B75"/>
    <w:rsid w:val="FFFB55A9"/>
    <w:rsid w:val="FFFBBA13"/>
    <w:rsid w:val="FFFDAE1E"/>
    <w:rsid w:val="FFFF2314"/>
    <w:rsid w:val="FFFFA6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eastAsia="仿宋" w:asciiTheme="minorAscii" w:hAnsiTheme="minorAscii" w:cstheme="minorBidi"/>
      <w:kern w:val="2"/>
      <w:sz w:val="28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="340" w:beforeLines="0" w:beforeAutospacing="0" w:after="330" w:afterLines="0" w:afterAutospacing="0" w:line="576" w:lineRule="auto"/>
      <w:ind w:left="432" w:hanging="432"/>
      <w:outlineLvl w:val="0"/>
    </w:pPr>
    <w:rPr>
      <w:b/>
      <w:kern w:val="44"/>
      <w:sz w:val="44"/>
    </w:rPr>
  </w:style>
  <w:style w:type="paragraph" w:styleId="4">
    <w:name w:val="heading 2"/>
    <w:basedOn w:val="1"/>
    <w:next w:val="1"/>
    <w:unhideWhenUsed/>
    <w:qFormat/>
    <w:uiPriority w:val="0"/>
    <w:pPr>
      <w:keepNext/>
      <w:keepLines/>
      <w:numPr>
        <w:ilvl w:val="1"/>
        <w:numId w:val="1"/>
      </w:numPr>
      <w:spacing w:before="260" w:beforeLines="0" w:beforeAutospacing="0" w:after="260" w:afterLines="0" w:afterAutospacing="0" w:line="413" w:lineRule="auto"/>
      <w:ind w:left="575" w:hanging="575"/>
      <w:outlineLvl w:val="1"/>
    </w:pPr>
    <w:rPr>
      <w:rFonts w:ascii="Arial" w:hAnsi="Arial" w:eastAsia="黑体"/>
      <w:b/>
      <w:sz w:val="32"/>
    </w:rPr>
  </w:style>
  <w:style w:type="paragraph" w:styleId="5">
    <w:name w:val="heading 3"/>
    <w:basedOn w:val="1"/>
    <w:next w:val="1"/>
    <w:unhideWhenUsed/>
    <w:qFormat/>
    <w:uiPriority w:val="0"/>
    <w:pPr>
      <w:keepNext/>
      <w:keepLines/>
      <w:numPr>
        <w:ilvl w:val="2"/>
        <w:numId w:val="1"/>
      </w:numPr>
      <w:spacing w:before="260" w:beforeLines="0" w:beforeAutospacing="0" w:after="260" w:afterLines="0" w:afterAutospacing="0" w:line="413" w:lineRule="auto"/>
      <w:ind w:left="720" w:hanging="720"/>
      <w:outlineLvl w:val="2"/>
    </w:pPr>
    <w:rPr>
      <w:b/>
      <w:sz w:val="32"/>
    </w:rPr>
  </w:style>
  <w:style w:type="paragraph" w:styleId="6">
    <w:name w:val="heading 4"/>
    <w:basedOn w:val="1"/>
    <w:next w:val="1"/>
    <w:unhideWhenUsed/>
    <w:qFormat/>
    <w:uiPriority w:val="0"/>
    <w:pPr>
      <w:keepNext/>
      <w:keepLines/>
      <w:numPr>
        <w:ilvl w:val="3"/>
        <w:numId w:val="1"/>
      </w:numPr>
      <w:spacing w:before="280" w:beforeLines="0" w:beforeAutospacing="0" w:after="290" w:afterLines="0" w:afterAutospacing="0" w:line="372" w:lineRule="auto"/>
      <w:ind w:left="864" w:hanging="864"/>
      <w:outlineLvl w:val="3"/>
    </w:pPr>
    <w:rPr>
      <w:rFonts w:ascii="Arial" w:hAnsi="Arial" w:eastAsia="黑体"/>
      <w:b/>
      <w:sz w:val="28"/>
    </w:rPr>
  </w:style>
  <w:style w:type="paragraph" w:styleId="7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280" w:beforeLines="0" w:beforeAutospacing="0" w:after="290" w:afterLines="0" w:afterAutospacing="0" w:line="372" w:lineRule="auto"/>
      <w:ind w:left="1008" w:hanging="1008"/>
      <w:outlineLvl w:val="4"/>
    </w:pPr>
    <w:rPr>
      <w:b/>
      <w:sz w:val="28"/>
    </w:rPr>
  </w:style>
  <w:style w:type="paragraph" w:styleId="8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left="1151" w:hanging="1151"/>
      <w:outlineLvl w:val="5"/>
    </w:pPr>
    <w:rPr>
      <w:rFonts w:ascii="Arial" w:hAnsi="Arial" w:eastAsia="黑体"/>
      <w:b/>
      <w:sz w:val="24"/>
    </w:rPr>
  </w:style>
  <w:style w:type="paragraph" w:styleId="9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ind w:left="1296" w:hanging="1296"/>
      <w:outlineLvl w:val="6"/>
    </w:pPr>
    <w:rPr>
      <w:b/>
      <w:sz w:val="24"/>
    </w:rPr>
  </w:style>
  <w:style w:type="paragraph" w:styleId="10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ind w:left="1440" w:hanging="1440"/>
      <w:outlineLvl w:val="7"/>
    </w:pPr>
    <w:rPr>
      <w:rFonts w:ascii="Arial" w:hAnsi="Arial" w:eastAsia="黑体"/>
      <w:sz w:val="24"/>
    </w:rPr>
  </w:style>
  <w:style w:type="paragraph" w:styleId="11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ind w:left="1583" w:hanging="1583"/>
      <w:outlineLvl w:val="8"/>
    </w:pPr>
    <w:rPr>
      <w:rFonts w:ascii="Arial" w:hAnsi="Arial" w:eastAsia="黑体"/>
      <w:sz w:val="21"/>
    </w:rPr>
  </w:style>
  <w:style w:type="character" w:default="1" w:styleId="21">
    <w:name w:val="Default Paragraph Font"/>
    <w:semiHidden/>
    <w:qFormat/>
    <w:uiPriority w:val="0"/>
  </w:style>
  <w:style w:type="table" w:default="1" w:styleId="1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rPr>
      <w:rFonts w:eastAsia="仿宋"/>
    </w:rPr>
  </w:style>
  <w:style w:type="paragraph" w:styleId="12">
    <w:name w:val="annotation text"/>
    <w:basedOn w:val="1"/>
    <w:qFormat/>
    <w:uiPriority w:val="0"/>
    <w:pPr>
      <w:jc w:val="left"/>
    </w:pPr>
  </w:style>
  <w:style w:type="paragraph" w:styleId="13">
    <w:name w:val="toc 3"/>
    <w:basedOn w:val="1"/>
    <w:next w:val="1"/>
    <w:qFormat/>
    <w:uiPriority w:val="0"/>
    <w:pPr>
      <w:ind w:left="840" w:leftChars="400"/>
    </w:pPr>
  </w:style>
  <w:style w:type="paragraph" w:styleId="1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6">
    <w:name w:val="toc 1"/>
    <w:basedOn w:val="1"/>
    <w:next w:val="1"/>
    <w:qFormat/>
    <w:uiPriority w:val="0"/>
  </w:style>
  <w:style w:type="paragraph" w:styleId="17">
    <w:name w:val="toc 2"/>
    <w:basedOn w:val="1"/>
    <w:next w:val="1"/>
    <w:qFormat/>
    <w:uiPriority w:val="0"/>
    <w:pPr>
      <w:ind w:left="420" w:leftChars="200"/>
    </w:pPr>
  </w:style>
  <w:style w:type="paragraph" w:styleId="18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20">
    <w:name w:val="Table Grid"/>
    <w:basedOn w:val="1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5.png"/><Relationship Id="rId98" Type="http://schemas.openxmlformats.org/officeDocument/2006/relationships/image" Target="media/image94.png"/><Relationship Id="rId97" Type="http://schemas.openxmlformats.org/officeDocument/2006/relationships/image" Target="media/image93.png"/><Relationship Id="rId96" Type="http://schemas.openxmlformats.org/officeDocument/2006/relationships/image" Target="media/image92.png"/><Relationship Id="rId95" Type="http://schemas.openxmlformats.org/officeDocument/2006/relationships/image" Target="media/image91.png"/><Relationship Id="rId94" Type="http://schemas.openxmlformats.org/officeDocument/2006/relationships/image" Target="media/image90.png"/><Relationship Id="rId93" Type="http://schemas.openxmlformats.org/officeDocument/2006/relationships/image" Target="media/image89.png"/><Relationship Id="rId92" Type="http://schemas.openxmlformats.org/officeDocument/2006/relationships/image" Target="media/image88.png"/><Relationship Id="rId91" Type="http://schemas.openxmlformats.org/officeDocument/2006/relationships/image" Target="media/image87.png"/><Relationship Id="rId90" Type="http://schemas.openxmlformats.org/officeDocument/2006/relationships/image" Target="media/image86.png"/><Relationship Id="rId9" Type="http://schemas.openxmlformats.org/officeDocument/2006/relationships/image" Target="media/image5.png"/><Relationship Id="rId89" Type="http://schemas.openxmlformats.org/officeDocument/2006/relationships/image" Target="media/image85.png"/><Relationship Id="rId88" Type="http://schemas.openxmlformats.org/officeDocument/2006/relationships/image" Target="media/image84.png"/><Relationship Id="rId87" Type="http://schemas.openxmlformats.org/officeDocument/2006/relationships/image" Target="media/image83.png"/><Relationship Id="rId86" Type="http://schemas.openxmlformats.org/officeDocument/2006/relationships/image" Target="media/image82.png"/><Relationship Id="rId85" Type="http://schemas.openxmlformats.org/officeDocument/2006/relationships/image" Target="media/image81.png"/><Relationship Id="rId84" Type="http://schemas.openxmlformats.org/officeDocument/2006/relationships/image" Target="media/image80.png"/><Relationship Id="rId83" Type="http://schemas.openxmlformats.org/officeDocument/2006/relationships/image" Target="media/image79.png"/><Relationship Id="rId82" Type="http://schemas.openxmlformats.org/officeDocument/2006/relationships/image" Target="media/image78.png"/><Relationship Id="rId81" Type="http://schemas.openxmlformats.org/officeDocument/2006/relationships/image" Target="media/image77.png"/><Relationship Id="rId80" Type="http://schemas.openxmlformats.org/officeDocument/2006/relationships/image" Target="media/image76.png"/><Relationship Id="rId8" Type="http://schemas.openxmlformats.org/officeDocument/2006/relationships/image" Target="media/image4.png"/><Relationship Id="rId79" Type="http://schemas.openxmlformats.org/officeDocument/2006/relationships/image" Target="media/image75.png"/><Relationship Id="rId78" Type="http://schemas.openxmlformats.org/officeDocument/2006/relationships/image" Target="media/image74.png"/><Relationship Id="rId77" Type="http://schemas.openxmlformats.org/officeDocument/2006/relationships/image" Target="media/image73.png"/><Relationship Id="rId76" Type="http://schemas.openxmlformats.org/officeDocument/2006/relationships/image" Target="media/image72.png"/><Relationship Id="rId75" Type="http://schemas.openxmlformats.org/officeDocument/2006/relationships/image" Target="media/image71.png"/><Relationship Id="rId74" Type="http://schemas.openxmlformats.org/officeDocument/2006/relationships/image" Target="media/image70.png"/><Relationship Id="rId73" Type="http://schemas.openxmlformats.org/officeDocument/2006/relationships/image" Target="media/image69.png"/><Relationship Id="rId72" Type="http://schemas.openxmlformats.org/officeDocument/2006/relationships/image" Target="media/image68.png"/><Relationship Id="rId71" Type="http://schemas.openxmlformats.org/officeDocument/2006/relationships/image" Target="media/image67.png"/><Relationship Id="rId70" Type="http://schemas.openxmlformats.org/officeDocument/2006/relationships/image" Target="media/image66.png"/><Relationship Id="rId7" Type="http://schemas.openxmlformats.org/officeDocument/2006/relationships/image" Target="media/image3.png"/><Relationship Id="rId69" Type="http://schemas.openxmlformats.org/officeDocument/2006/relationships/image" Target="media/image65.png"/><Relationship Id="rId68" Type="http://schemas.openxmlformats.org/officeDocument/2006/relationships/image" Target="media/image64.png"/><Relationship Id="rId67" Type="http://schemas.openxmlformats.org/officeDocument/2006/relationships/image" Target="media/image63.png"/><Relationship Id="rId66" Type="http://schemas.openxmlformats.org/officeDocument/2006/relationships/image" Target="media/image62.png"/><Relationship Id="rId65" Type="http://schemas.openxmlformats.org/officeDocument/2006/relationships/image" Target="media/image61.png"/><Relationship Id="rId64" Type="http://schemas.openxmlformats.org/officeDocument/2006/relationships/image" Target="media/image60.png"/><Relationship Id="rId63" Type="http://schemas.openxmlformats.org/officeDocument/2006/relationships/image" Target="media/image59.png"/><Relationship Id="rId62" Type="http://schemas.openxmlformats.org/officeDocument/2006/relationships/image" Target="media/image58.png"/><Relationship Id="rId61" Type="http://schemas.openxmlformats.org/officeDocument/2006/relationships/image" Target="media/image57.png"/><Relationship Id="rId60" Type="http://schemas.openxmlformats.org/officeDocument/2006/relationships/image" Target="media/image56.png"/><Relationship Id="rId6" Type="http://schemas.openxmlformats.org/officeDocument/2006/relationships/image" Target="media/image2.png"/><Relationship Id="rId59" Type="http://schemas.openxmlformats.org/officeDocument/2006/relationships/image" Target="media/image55.png"/><Relationship Id="rId58" Type="http://schemas.openxmlformats.org/officeDocument/2006/relationships/image" Target="media/image54.png"/><Relationship Id="rId57" Type="http://schemas.openxmlformats.org/officeDocument/2006/relationships/image" Target="media/image53.png"/><Relationship Id="rId56" Type="http://schemas.openxmlformats.org/officeDocument/2006/relationships/image" Target="media/image52.png"/><Relationship Id="rId55" Type="http://schemas.openxmlformats.org/officeDocument/2006/relationships/image" Target="media/image51.png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jpe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image" Target="media/image1.png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jpeg"/><Relationship Id="rId4" Type="http://schemas.openxmlformats.org/officeDocument/2006/relationships/theme" Target="theme/theme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9" Type="http://schemas.openxmlformats.org/officeDocument/2006/relationships/fontTable" Target="fontTable.xml"/><Relationship Id="rId148" Type="http://schemas.openxmlformats.org/officeDocument/2006/relationships/numbering" Target="numbering.xml"/><Relationship Id="rId147" Type="http://schemas.openxmlformats.org/officeDocument/2006/relationships/customXml" Target="../customXml/item1.xml"/><Relationship Id="rId146" Type="http://schemas.openxmlformats.org/officeDocument/2006/relationships/image" Target="media/image142.png"/><Relationship Id="rId145" Type="http://schemas.openxmlformats.org/officeDocument/2006/relationships/image" Target="media/image141.png"/><Relationship Id="rId144" Type="http://schemas.openxmlformats.org/officeDocument/2006/relationships/image" Target="media/image140.png"/><Relationship Id="rId143" Type="http://schemas.openxmlformats.org/officeDocument/2006/relationships/image" Target="media/image139.png"/><Relationship Id="rId142" Type="http://schemas.openxmlformats.org/officeDocument/2006/relationships/image" Target="media/image138.png"/><Relationship Id="rId141" Type="http://schemas.openxmlformats.org/officeDocument/2006/relationships/image" Target="media/image137.png"/><Relationship Id="rId140" Type="http://schemas.openxmlformats.org/officeDocument/2006/relationships/image" Target="media/image136.png"/><Relationship Id="rId14" Type="http://schemas.openxmlformats.org/officeDocument/2006/relationships/image" Target="media/image10.png"/><Relationship Id="rId139" Type="http://schemas.openxmlformats.org/officeDocument/2006/relationships/image" Target="media/image135.png"/><Relationship Id="rId138" Type="http://schemas.openxmlformats.org/officeDocument/2006/relationships/image" Target="media/image134.png"/><Relationship Id="rId137" Type="http://schemas.openxmlformats.org/officeDocument/2006/relationships/image" Target="media/image133.png"/><Relationship Id="rId136" Type="http://schemas.openxmlformats.org/officeDocument/2006/relationships/image" Target="media/image132.png"/><Relationship Id="rId135" Type="http://schemas.openxmlformats.org/officeDocument/2006/relationships/image" Target="media/image131.png"/><Relationship Id="rId134" Type="http://schemas.openxmlformats.org/officeDocument/2006/relationships/image" Target="media/image130.png"/><Relationship Id="rId133" Type="http://schemas.openxmlformats.org/officeDocument/2006/relationships/image" Target="media/image129.png"/><Relationship Id="rId132" Type="http://schemas.openxmlformats.org/officeDocument/2006/relationships/image" Target="media/image128.png"/><Relationship Id="rId131" Type="http://schemas.openxmlformats.org/officeDocument/2006/relationships/image" Target="media/image127.png"/><Relationship Id="rId130" Type="http://schemas.openxmlformats.org/officeDocument/2006/relationships/image" Target="media/image126.png"/><Relationship Id="rId13" Type="http://schemas.openxmlformats.org/officeDocument/2006/relationships/image" Target="media/image9.png"/><Relationship Id="rId129" Type="http://schemas.openxmlformats.org/officeDocument/2006/relationships/image" Target="media/image125.png"/><Relationship Id="rId128" Type="http://schemas.openxmlformats.org/officeDocument/2006/relationships/image" Target="media/image124.png"/><Relationship Id="rId127" Type="http://schemas.openxmlformats.org/officeDocument/2006/relationships/image" Target="media/image123.png"/><Relationship Id="rId126" Type="http://schemas.openxmlformats.org/officeDocument/2006/relationships/image" Target="media/image122.png"/><Relationship Id="rId125" Type="http://schemas.openxmlformats.org/officeDocument/2006/relationships/image" Target="media/image121.png"/><Relationship Id="rId124" Type="http://schemas.openxmlformats.org/officeDocument/2006/relationships/image" Target="media/image120.png"/><Relationship Id="rId123" Type="http://schemas.openxmlformats.org/officeDocument/2006/relationships/image" Target="media/image119.png"/><Relationship Id="rId122" Type="http://schemas.openxmlformats.org/officeDocument/2006/relationships/image" Target="media/image118.png"/><Relationship Id="rId121" Type="http://schemas.openxmlformats.org/officeDocument/2006/relationships/image" Target="media/image117.png"/><Relationship Id="rId120" Type="http://schemas.openxmlformats.org/officeDocument/2006/relationships/image" Target="media/image116.png"/><Relationship Id="rId12" Type="http://schemas.openxmlformats.org/officeDocument/2006/relationships/image" Target="media/image8.png"/><Relationship Id="rId119" Type="http://schemas.openxmlformats.org/officeDocument/2006/relationships/image" Target="media/image115.png"/><Relationship Id="rId118" Type="http://schemas.openxmlformats.org/officeDocument/2006/relationships/image" Target="media/image114.png"/><Relationship Id="rId117" Type="http://schemas.openxmlformats.org/officeDocument/2006/relationships/image" Target="media/image113.png"/><Relationship Id="rId116" Type="http://schemas.openxmlformats.org/officeDocument/2006/relationships/image" Target="media/image112.png"/><Relationship Id="rId115" Type="http://schemas.openxmlformats.org/officeDocument/2006/relationships/image" Target="media/image111.png"/><Relationship Id="rId114" Type="http://schemas.openxmlformats.org/officeDocument/2006/relationships/image" Target="media/image110.png"/><Relationship Id="rId113" Type="http://schemas.openxmlformats.org/officeDocument/2006/relationships/image" Target="media/image109.png"/><Relationship Id="rId112" Type="http://schemas.openxmlformats.org/officeDocument/2006/relationships/image" Target="media/image108.png"/><Relationship Id="rId111" Type="http://schemas.openxmlformats.org/officeDocument/2006/relationships/image" Target="media/image107.png"/><Relationship Id="rId110" Type="http://schemas.openxmlformats.org/officeDocument/2006/relationships/image" Target="media/image106.png"/><Relationship Id="rId11" Type="http://schemas.openxmlformats.org/officeDocument/2006/relationships/image" Target="media/image7.png"/><Relationship Id="rId109" Type="http://schemas.openxmlformats.org/officeDocument/2006/relationships/image" Target="media/image105.png"/><Relationship Id="rId108" Type="http://schemas.openxmlformats.org/officeDocument/2006/relationships/image" Target="media/image104.png"/><Relationship Id="rId107" Type="http://schemas.openxmlformats.org/officeDocument/2006/relationships/image" Target="media/image103.png"/><Relationship Id="rId106" Type="http://schemas.openxmlformats.org/officeDocument/2006/relationships/image" Target="media/image102.png"/><Relationship Id="rId105" Type="http://schemas.openxmlformats.org/officeDocument/2006/relationships/image" Target="media/image101.png"/><Relationship Id="rId104" Type="http://schemas.openxmlformats.org/officeDocument/2006/relationships/image" Target="media/image100.png"/><Relationship Id="rId103" Type="http://schemas.openxmlformats.org/officeDocument/2006/relationships/image" Target="media/image99.png"/><Relationship Id="rId102" Type="http://schemas.openxmlformats.org/officeDocument/2006/relationships/image" Target="media/image98.png"/><Relationship Id="rId101" Type="http://schemas.openxmlformats.org/officeDocument/2006/relationships/image" Target="media/image97.png"/><Relationship Id="rId100" Type="http://schemas.openxmlformats.org/officeDocument/2006/relationships/image" Target="media/image96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false"/>
        </a:gradFill>
        <a:gradFill rotWithShape="true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false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75</Pages>
  <Words>9064</Words>
  <Characters>9269</Characters>
  <Lines>0</Lines>
  <Paragraphs>0</Paragraphs>
  <TotalTime>61</TotalTime>
  <ScaleCrop>false</ScaleCrop>
  <LinksUpToDate>false</LinksUpToDate>
  <CharactersWithSpaces>9320</CharactersWithSpaces>
  <Application>WPS Office_11.8.2.10337_F1E327BC-269C-435d-A152-05C5408002CA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2023-01-31T15:25:00Z</dcterms:created>
  <dc:creator>lixiaoru</dc:creator>
  <cp:lastModifiedBy>heyj</cp:lastModifiedBy>
  <dcterms:modified xsi:type="dcterms:W3CDTF">2025-12-30T18:01:50Z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2052-11.8.2.10337</vt:lpwstr>
  </property>
  <property fmtid="{D5CDD505-2E9C-101B-9397-08002B2CF9AE}" pid="3" name="ICV">
    <vt:lpwstr>57B32127D62C4427BE679C2E43011955_13</vt:lpwstr>
  </property>
  <property fmtid="{D5CDD505-2E9C-101B-9397-08002B2CF9AE}" pid="4" name="KSOTemplateDocerSaveRecord">
    <vt:lpwstr>eyJoZGlkIjoiYTEwYjY1NTM1NDQ1NTA2ODcyOTdjNWZjMGRiNzhlNWMiLCJ1c2VySWQiOiIxMTQ4MjUwODU2In0=</vt:lpwstr>
  </property>
</Properties>
</file>