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深圳市住房和建设</w:t>
      </w:r>
      <w:r>
        <w:rPr>
          <w:rFonts w:hint="eastAsia" w:ascii="方正小标宋简体" w:hAnsi="方正小标宋简体" w:eastAsia="方正小标宋简体" w:cs="方正小标宋简体"/>
          <w:b w:val="0"/>
          <w:bCs/>
          <w:color w:val="000000"/>
          <w:sz w:val="44"/>
          <w:szCs w:val="44"/>
        </w:rPr>
        <w:t>局2026年</w:t>
      </w:r>
      <w:bookmarkStart w:id="0" w:name="_Hlk96694801"/>
      <w:r>
        <w:rPr>
          <w:rFonts w:hint="eastAsia" w:ascii="方正小标宋简体" w:hAnsi="方正小标宋简体" w:eastAsia="方正小标宋简体" w:cs="方正小标宋简体"/>
          <w:b w:val="0"/>
          <w:bCs/>
          <w:color w:val="000000"/>
          <w:sz w:val="44"/>
          <w:szCs w:val="44"/>
        </w:rPr>
        <w:t>建设工程消防</w:t>
      </w:r>
      <w:r>
        <w:rPr>
          <w:rFonts w:hint="default" w:ascii="方正小标宋简体" w:hAnsi="方正小标宋简体" w:eastAsia="方正小标宋简体" w:cs="方正小标宋简体"/>
          <w:b w:val="0"/>
          <w:bCs/>
          <w:color w:val="000000"/>
          <w:sz w:val="44"/>
          <w:szCs w:val="44"/>
          <w:lang w:val="en-US"/>
        </w:rPr>
        <w:t xml:space="preserve">  </w:t>
      </w:r>
      <w:r>
        <w:rPr>
          <w:rFonts w:hint="eastAsia" w:ascii="方正小标宋简体" w:hAnsi="方正小标宋简体" w:eastAsia="方正小标宋简体" w:cs="方正小标宋简体"/>
          <w:b w:val="0"/>
          <w:bCs/>
          <w:color w:val="000000"/>
          <w:sz w:val="44"/>
          <w:szCs w:val="44"/>
          <w:highlight w:val="none"/>
        </w:rPr>
        <w:t>产品检测服务项目</w:t>
      </w:r>
      <w:bookmarkEnd w:id="0"/>
      <w:r>
        <w:rPr>
          <w:rFonts w:hint="eastAsia" w:ascii="方正小标宋简体" w:hAnsi="方正小标宋简体" w:eastAsia="方正小标宋简体" w:cs="方正小标宋简体"/>
          <w:b w:val="0"/>
          <w:bCs/>
          <w:sz w:val="44"/>
          <w:szCs w:val="44"/>
          <w:highlight w:val="none"/>
          <w:lang w:eastAsia="zh-CN"/>
        </w:rPr>
        <w:t>》</w:t>
      </w:r>
      <w:r>
        <w:rPr>
          <w:rFonts w:hint="eastAsia" w:ascii="方正小标宋简体" w:hAnsi="方正小标宋简体" w:eastAsia="方正小标宋简体" w:cs="方正小标宋简体"/>
          <w:b w:val="0"/>
          <w:bCs/>
          <w:color w:val="000000"/>
          <w:sz w:val="44"/>
          <w:szCs w:val="44"/>
          <w:highlight w:val="none"/>
        </w:rPr>
        <w:t>招标文件</w:t>
      </w:r>
    </w:p>
    <w:p>
      <w:pPr>
        <w:autoSpaceDE w:val="0"/>
        <w:autoSpaceDN w:val="0"/>
        <w:adjustRightInd w:val="0"/>
        <w:snapToGrid w:val="0"/>
        <w:spacing w:line="560" w:lineRule="exact"/>
        <w:jc w:val="center"/>
        <w:rPr>
          <w:rFonts w:hint="eastAsia" w:ascii="宋体" w:hAnsi="宋体" w:cs="宋体"/>
          <w:b/>
          <w:bCs/>
          <w:sz w:val="44"/>
          <w:szCs w:val="44"/>
          <w:highlight w:val="none"/>
        </w:rPr>
      </w:pPr>
    </w:p>
    <w:p>
      <w:pPr>
        <w:autoSpaceDE w:val="0"/>
        <w:autoSpaceDN w:val="0"/>
        <w:adjustRightInd w:val="0"/>
        <w:snapToGrid w:val="0"/>
        <w:spacing w:line="52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根据相关规定，</w:t>
      </w:r>
      <w:r>
        <w:rPr>
          <w:rFonts w:hint="eastAsia" w:ascii="仿宋_GB2312" w:hAnsi="仿宋_GB2312" w:eastAsia="仿宋_GB2312" w:cs="仿宋_GB2312"/>
          <w:bCs/>
          <w:color w:val="000000"/>
          <w:sz w:val="32"/>
          <w:szCs w:val="32"/>
          <w:highlight w:val="none"/>
          <w:lang w:eastAsia="zh-CN"/>
        </w:rPr>
        <w:t>我</w:t>
      </w:r>
      <w:r>
        <w:rPr>
          <w:rFonts w:hint="eastAsia" w:ascii="仿宋_GB2312" w:hAnsi="仿宋_GB2312" w:eastAsia="仿宋_GB2312" w:cs="仿宋_GB2312"/>
          <w:bCs/>
          <w:color w:val="000000"/>
          <w:sz w:val="32"/>
          <w:szCs w:val="32"/>
          <w:highlight w:val="none"/>
        </w:rPr>
        <w:t>局以公开招标方式进行</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深圳市住房和建设局2</w:t>
      </w:r>
      <w:r>
        <w:rPr>
          <w:rFonts w:hint="eastAsia" w:ascii="仿宋_GB2312" w:hAnsi="仿宋_GB2312" w:eastAsia="仿宋_GB2312" w:cs="仿宋_GB2312"/>
          <w:bCs/>
          <w:color w:val="000000"/>
          <w:sz w:val="32"/>
          <w:szCs w:val="32"/>
          <w:highlight w:val="none"/>
        </w:rPr>
        <w:t>02</w:t>
      </w:r>
      <w:r>
        <w:rPr>
          <w:rFonts w:ascii="仿宋_GB2312" w:hAnsi="仿宋_GB2312" w:eastAsia="仿宋_GB2312" w:cs="仿宋_GB2312"/>
          <w:bCs/>
          <w:color w:val="000000"/>
          <w:sz w:val="32"/>
          <w:szCs w:val="32"/>
          <w:highlight w:val="none"/>
        </w:rPr>
        <w:t>6</w:t>
      </w:r>
      <w:r>
        <w:rPr>
          <w:rFonts w:hint="eastAsia" w:ascii="仿宋_GB2312" w:hAnsi="仿宋_GB2312" w:eastAsia="仿宋_GB2312" w:cs="仿宋_GB2312"/>
          <w:bCs/>
          <w:color w:val="000000"/>
          <w:sz w:val="32"/>
          <w:szCs w:val="32"/>
          <w:highlight w:val="none"/>
        </w:rPr>
        <w:t>年建设工程消防产品检测服务项目</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采购工作，请按以下要求于202</w:t>
      </w:r>
      <w:r>
        <w:rPr>
          <w:rFonts w:ascii="仿宋_GB2312" w:hAnsi="仿宋_GB2312" w:eastAsia="仿宋_GB2312" w:cs="仿宋_GB2312"/>
          <w:bCs/>
          <w:color w:val="000000"/>
          <w:sz w:val="32"/>
          <w:szCs w:val="32"/>
          <w:highlight w:val="none"/>
        </w:rPr>
        <w:t>6</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lang w:val="en-US" w:eastAsia="zh-CN"/>
        </w:rPr>
        <w:t>23</w:t>
      </w:r>
      <w:r>
        <w:rPr>
          <w:rFonts w:hint="eastAsia" w:ascii="仿宋_GB2312" w:hAnsi="仿宋_GB2312" w:eastAsia="仿宋_GB2312" w:cs="仿宋_GB2312"/>
          <w:bCs/>
          <w:color w:val="000000"/>
          <w:sz w:val="32"/>
          <w:szCs w:val="32"/>
          <w:highlight w:val="none"/>
        </w:rPr>
        <w:t>日（星期</w:t>
      </w:r>
      <w:r>
        <w:rPr>
          <w:rFonts w:hint="eastAsia" w:ascii="仿宋_GB2312" w:hAnsi="仿宋_GB2312" w:eastAsia="仿宋_GB2312" w:cs="仿宋_GB2312"/>
          <w:bCs/>
          <w:color w:val="000000"/>
          <w:sz w:val="32"/>
          <w:szCs w:val="32"/>
          <w:highlight w:val="none"/>
          <w:lang w:val="en-US" w:eastAsia="zh-CN"/>
        </w:rPr>
        <w:t>四</w:t>
      </w:r>
      <w:r>
        <w:rPr>
          <w:rFonts w:hint="eastAsia" w:ascii="仿宋_GB2312" w:hAnsi="仿宋_GB2312" w:eastAsia="仿宋_GB2312" w:cs="仿宋_GB2312"/>
          <w:bCs/>
          <w:color w:val="000000"/>
          <w:sz w:val="32"/>
          <w:szCs w:val="32"/>
          <w:highlight w:val="none"/>
        </w:rPr>
        <w:t>）1</w:t>
      </w:r>
      <w:r>
        <w:rPr>
          <w:rFonts w:ascii="仿宋_GB2312" w:hAnsi="仿宋_GB2312" w:eastAsia="仿宋_GB2312" w:cs="仿宋_GB2312"/>
          <w:bCs/>
          <w:color w:val="000000"/>
          <w:sz w:val="32"/>
          <w:szCs w:val="32"/>
          <w:highlight w:val="none"/>
        </w:rPr>
        <w:t>7</w:t>
      </w:r>
      <w:r>
        <w:rPr>
          <w:rFonts w:hint="eastAsia" w:ascii="仿宋_GB2312" w:hAnsi="仿宋_GB2312" w:eastAsia="仿宋_GB2312" w:cs="仿宋_GB2312"/>
          <w:bCs/>
          <w:color w:val="000000"/>
          <w:sz w:val="32"/>
          <w:szCs w:val="32"/>
          <w:highlight w:val="none"/>
        </w:rPr>
        <w:t>:</w:t>
      </w:r>
      <w:r>
        <w:rPr>
          <w:rFonts w:ascii="仿宋_GB2312" w:hAnsi="仿宋_GB2312" w:eastAsia="仿宋_GB2312" w:cs="仿宋_GB2312"/>
          <w:bCs/>
          <w:color w:val="000000"/>
          <w:sz w:val="32"/>
          <w:szCs w:val="32"/>
          <w:highlight w:val="none"/>
        </w:rPr>
        <w:t>00</w:t>
      </w:r>
      <w:r>
        <w:rPr>
          <w:rFonts w:hint="eastAsia" w:ascii="仿宋_GB2312" w:hAnsi="仿宋_GB2312" w:eastAsia="仿宋_GB2312" w:cs="仿宋_GB2312"/>
          <w:bCs/>
          <w:color w:val="000000"/>
          <w:sz w:val="32"/>
          <w:szCs w:val="32"/>
          <w:highlight w:val="none"/>
        </w:rPr>
        <w:t>前将报价文件密封送至深圳市福田区振华路8号设计大厦5楼506室。</w:t>
      </w:r>
    </w:p>
    <w:p>
      <w:pPr>
        <w:spacing w:line="52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一、招标项目一览表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127"/>
        <w:gridCol w:w="2846"/>
        <w:gridCol w:w="99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3127"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项  目</w:t>
            </w:r>
          </w:p>
        </w:tc>
        <w:tc>
          <w:tcPr>
            <w:tcW w:w="2846"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主要技术参数</w:t>
            </w:r>
          </w:p>
        </w:tc>
        <w:tc>
          <w:tcPr>
            <w:tcW w:w="990"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数量</w:t>
            </w:r>
          </w:p>
        </w:tc>
        <w:tc>
          <w:tcPr>
            <w:tcW w:w="945"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72"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3127" w:type="dxa"/>
            <w:noWrap w:val="0"/>
            <w:vAlign w:val="center"/>
          </w:tcPr>
          <w:p>
            <w:pPr>
              <w:autoSpaceDE w:val="0"/>
              <w:autoSpaceDN w:val="0"/>
              <w:adjustRightInd w:val="0"/>
              <w:snapToGrid w:val="0"/>
              <w:spacing w:line="240" w:lineRule="auto"/>
              <w:jc w:val="center"/>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深圳市住房和建设局202</w:t>
            </w:r>
            <w:r>
              <w:rPr>
                <w:rFonts w:ascii="仿宋_GB2312" w:hAnsi="仿宋_GB2312" w:eastAsia="仿宋_GB2312" w:cs="仿宋_GB2312"/>
                <w:bCs/>
                <w:color w:val="000000"/>
                <w:sz w:val="28"/>
                <w:szCs w:val="28"/>
                <w:highlight w:val="none"/>
              </w:rPr>
              <w:t>6</w:t>
            </w:r>
            <w:r>
              <w:rPr>
                <w:rFonts w:hint="eastAsia" w:ascii="仿宋_GB2312" w:hAnsi="仿宋_GB2312" w:eastAsia="仿宋_GB2312" w:cs="仿宋_GB2312"/>
                <w:bCs/>
                <w:color w:val="000000"/>
                <w:sz w:val="28"/>
                <w:szCs w:val="28"/>
                <w:highlight w:val="none"/>
              </w:rPr>
              <w:t>年建设工程消防</w:t>
            </w:r>
            <w:r>
              <w:rPr>
                <w:rFonts w:hint="eastAsia" w:ascii="仿宋_GB2312" w:hAnsi="仿宋_GB2312" w:eastAsia="仿宋_GB2312" w:cs="仿宋_GB2312"/>
                <w:bCs/>
                <w:color w:val="000000"/>
                <w:sz w:val="28"/>
                <w:szCs w:val="28"/>
                <w:highlight w:val="none"/>
                <w:lang w:val="en-US" w:eastAsia="zh-CN"/>
              </w:rPr>
              <w:t xml:space="preserve"> </w:t>
            </w:r>
            <w:r>
              <w:rPr>
                <w:rFonts w:hint="eastAsia" w:ascii="仿宋_GB2312" w:hAnsi="仿宋_GB2312" w:eastAsia="仿宋_GB2312" w:cs="仿宋_GB2312"/>
                <w:bCs/>
                <w:color w:val="000000"/>
                <w:sz w:val="28"/>
                <w:szCs w:val="28"/>
                <w:highlight w:val="none"/>
              </w:rPr>
              <w:t>产品检测服务项目</w:t>
            </w:r>
          </w:p>
        </w:tc>
        <w:tc>
          <w:tcPr>
            <w:tcW w:w="2846"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建设工</w:t>
            </w:r>
            <w:r>
              <w:rPr>
                <w:rFonts w:hint="eastAsia" w:ascii="仿宋_GB2312" w:hAnsi="仿宋_GB2312" w:eastAsia="仿宋_GB2312" w:cs="仿宋_GB2312"/>
                <w:bCs/>
                <w:color w:val="auto"/>
                <w:sz w:val="28"/>
                <w:szCs w:val="28"/>
                <w:highlight w:val="none"/>
              </w:rPr>
              <w:t>程消防验收中</w:t>
            </w:r>
            <w:r>
              <w:rPr>
                <w:rFonts w:hint="eastAsia" w:ascii="仿宋_GB2312" w:hAnsi="仿宋_GB2312" w:eastAsia="仿宋_GB2312" w:cs="仿宋_GB2312"/>
                <w:bCs/>
                <w:color w:val="000000"/>
                <w:sz w:val="28"/>
                <w:szCs w:val="28"/>
                <w:highlight w:val="none"/>
              </w:rPr>
              <w:t>消防产品检测工作</w:t>
            </w:r>
          </w:p>
        </w:tc>
        <w:tc>
          <w:tcPr>
            <w:tcW w:w="990" w:type="dxa"/>
            <w:noWrap w:val="0"/>
            <w:vAlign w:val="center"/>
          </w:tcPr>
          <w:p>
            <w:pPr>
              <w:autoSpaceDE w:val="0"/>
              <w:autoSpaceDN w:val="0"/>
              <w:adjustRightInd w:val="0"/>
              <w:snapToGrid w:val="0"/>
              <w:spacing w:line="240" w:lineRule="auto"/>
              <w:jc w:val="center"/>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1项</w:t>
            </w:r>
          </w:p>
        </w:tc>
        <w:tc>
          <w:tcPr>
            <w:tcW w:w="945"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FF0000"/>
                <w:sz w:val="28"/>
                <w:szCs w:val="28"/>
                <w:highlight w:val="none"/>
              </w:rPr>
            </w:pPr>
          </w:p>
        </w:tc>
      </w:tr>
    </w:tbl>
    <w:p>
      <w:pPr>
        <w:numPr>
          <w:ilvl w:val="0"/>
          <w:numId w:val="1"/>
        </w:num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与招标项目相关要求</w:t>
      </w:r>
    </w:p>
    <w:p>
      <w:pPr>
        <w:spacing w:line="560" w:lineRule="exact"/>
        <w:ind w:firstLine="640" w:firstLineChars="20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（一）招标项目的服务清单</w:t>
      </w:r>
    </w:p>
    <w:tbl>
      <w:tblPr>
        <w:tblStyle w:val="12"/>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1380"/>
        <w:gridCol w:w="1982"/>
        <w:gridCol w:w="4081"/>
        <w:gridCol w:w="1367"/>
      </w:tblGrid>
      <w:tr>
        <w:tblPrEx>
          <w:tblCellMar>
            <w:top w:w="0" w:type="dxa"/>
            <w:left w:w="108" w:type="dxa"/>
            <w:bottom w:w="0" w:type="dxa"/>
            <w:right w:w="108" w:type="dxa"/>
          </w:tblCellMar>
        </w:tblPrEx>
        <w:trPr>
          <w:trHeight w:val="482" w:hRule="atLeast"/>
          <w:tblHeader/>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产品类别</w:t>
            </w:r>
          </w:p>
        </w:tc>
        <w:tc>
          <w:tcPr>
            <w:tcW w:w="198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执行标准</w:t>
            </w:r>
          </w:p>
        </w:tc>
        <w:tc>
          <w:tcPr>
            <w:tcW w:w="408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检验项目</w:t>
            </w:r>
          </w:p>
        </w:tc>
        <w:tc>
          <w:tcPr>
            <w:tcW w:w="13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收费</w:t>
            </w:r>
          </w:p>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（元/件）</w:t>
            </w:r>
          </w:p>
        </w:tc>
      </w:tr>
      <w:tr>
        <w:tblPrEx>
          <w:tblCellMar>
            <w:top w:w="0" w:type="dxa"/>
            <w:left w:w="108" w:type="dxa"/>
            <w:bottom w:w="0" w:type="dxa"/>
            <w:right w:w="108" w:type="dxa"/>
          </w:tblCellMar>
        </w:tblPrEx>
        <w:trPr>
          <w:trHeight w:val="482" w:hRule="atLeast"/>
          <w:jc w:val="center"/>
        </w:trPr>
        <w:tc>
          <w:tcPr>
            <w:tcW w:w="1380" w:type="dxa"/>
            <w:vMerge w:val="restart"/>
            <w:tcBorders>
              <w:top w:val="nil"/>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消防应急灯具</w:t>
            </w:r>
          </w:p>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restart"/>
            <w:tcBorders>
              <w:top w:val="nil"/>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GB17945-2024</w:t>
            </w:r>
          </w:p>
        </w:tc>
        <w:tc>
          <w:tcPr>
            <w:tcW w:w="4081"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标志</w:t>
            </w:r>
          </w:p>
        </w:tc>
        <w:tc>
          <w:tcPr>
            <w:tcW w:w="136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外观检查</w:t>
            </w:r>
          </w:p>
        </w:tc>
        <w:tc>
          <w:tcPr>
            <w:tcW w:w="1367" w:type="dxa"/>
            <w:vMerge w:val="continue"/>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基本功能试验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主要部件检查</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1000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消防应急灯具</w:t>
            </w:r>
          </w:p>
        </w:tc>
        <w:tc>
          <w:tcPr>
            <w:tcW w:w="19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GB17945-2024</w:t>
            </w: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充、放电试验</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充电时间、最大连续过充电电流、放电终止电压</w:t>
            </w:r>
            <w:r>
              <w:rPr>
                <w:rFonts w:hint="eastAsia" w:ascii="仿宋_GB2312" w:hAnsi="仿宋_GB2312" w:eastAsia="仿宋_GB2312" w:cs="仿宋_GB2312"/>
                <w:kern w:val="0"/>
                <w:sz w:val="28"/>
                <w:szCs w:val="28"/>
                <w:highlight w:val="none"/>
                <w:lang w:eastAsia="zh-CN"/>
              </w:rPr>
              <w:t>）</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500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重复转换试验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电压波动试验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转换电压试验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绝缘电阻试验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耐压试验</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消防水枪</w:t>
            </w:r>
          </w:p>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GB8181-2005</w:t>
            </w:r>
          </w:p>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kern w:val="0"/>
                <w:sz w:val="28"/>
                <w:szCs w:val="28"/>
                <w:highlight w:val="none"/>
              </w:rPr>
              <w:t>（2026年8月1日之前生产的产品）</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密封性能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耐水压强度</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抗跌落性能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79.5</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耐腐蚀性能（120h）</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2948.6</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消防水枪</w:t>
            </w:r>
          </w:p>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GB8181-2025</w:t>
            </w:r>
          </w:p>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kern w:val="0"/>
                <w:sz w:val="28"/>
                <w:szCs w:val="28"/>
                <w:highlight w:val="none"/>
              </w:rPr>
              <w:t>（2026年8月1日及以后生产的产品）</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密封性能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62.9</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耐水压性能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62.9</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抗跌落性能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79.5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耐盐雾腐蚀性能（120h）</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2948.6</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有衬里消防水带</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GB6246-2011</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试验压力</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508.1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最小爆破压力</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294.7</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附着强度</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294.7</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消防栓箱</w:t>
            </w:r>
          </w:p>
        </w:tc>
        <w:tc>
          <w:tcPr>
            <w:tcW w:w="19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GB/T14561-2019</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外观质量</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73</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外形尺寸和极限偏差</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232.5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材料</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232.5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箱门</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45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消防水带安置</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409</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标志</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手提式灭火器</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280" w:firstLineChars="10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GB4351.1-2005（2025年1月1日之前生产）</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20℃喷射性能检查</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412.9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灭火剂第一主要组分含量</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800</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筒体水压试验</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筒体爆破试验</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保险装置解脱力</w:t>
            </w:r>
          </w:p>
        </w:tc>
        <w:tc>
          <w:tcPr>
            <w:tcW w:w="136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424.4</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灭火剂充装总量误差</w:t>
            </w:r>
          </w:p>
        </w:tc>
        <w:tc>
          <w:tcPr>
            <w:tcW w:w="136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GB4351-2023</w:t>
            </w:r>
          </w:p>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（2025年1月1日及以后生产）</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充装要求</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295</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20℃时喷射性能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412.9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干粉灭火器振撞后喷射性能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441.7</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瓶体爆破性能</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瓶体水压试验</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保险装置</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424.4</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灭火剂第一主要组分含量</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防火门</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GB12955-2008</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甲级 耐火性能（A1.50、B1.50、C1.50）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9500</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乙级 耐火性能（A1.00、B1.00、C1.00）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7000</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丙级 耐火性能（A0.50、B0.50、C0.50）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5000</w:t>
            </w:r>
          </w:p>
        </w:tc>
      </w:tr>
    </w:tbl>
    <w:p>
      <w:pPr>
        <w:spacing w:line="560" w:lineRule="exact"/>
        <w:ind w:firstLine="640" w:firstLineChars="200"/>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（二）项目主要技术要求</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针对深圳市所有建筑工程已进入施工现场、或正在使用的消防产品进行抽样检验，抽样时需供应商派1-2人配合采购人进行现场抽样、封样并将样品带回，运输消防产品的车辆由采购人自行配备。参与</w:t>
      </w:r>
      <w:r>
        <w:rPr>
          <w:rFonts w:hint="eastAsia" w:ascii="仿宋_GB2312" w:hAnsi="仿宋_GB2312" w:eastAsia="仿宋_GB2312" w:cs="仿宋_GB2312"/>
          <w:bCs/>
          <w:color w:val="000000"/>
          <w:sz w:val="32"/>
          <w:szCs w:val="32"/>
          <w:highlight w:val="none"/>
          <w:lang w:val="en-US" w:eastAsia="zh-CN"/>
        </w:rPr>
        <w:t>抽检</w:t>
      </w:r>
      <w:r>
        <w:rPr>
          <w:rFonts w:hint="eastAsia" w:ascii="仿宋_GB2312" w:hAnsi="仿宋_GB2312" w:eastAsia="仿宋_GB2312" w:cs="仿宋_GB2312"/>
          <w:bCs/>
          <w:color w:val="000000"/>
          <w:sz w:val="32"/>
          <w:szCs w:val="32"/>
          <w:highlight w:val="none"/>
        </w:rPr>
        <w:t>的工作人员，必须严格执行保密纪律，严禁以任何名义和形式事先泄露被抽查产品及企业名单。</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检测服务的工作依据：</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1</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国家、广东省、深圳市有关工程建设及质量的法律、法规、政策、规定；</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2）国家及行业、广东省、深圳市有关工程建设的检（监）测技术标准、规范及规程；</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3）合同的有关约定；</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4）采购人、被抽样单位提供的与本项目相关的资料和其他建设程序性文件。</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检测标准：</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符合国家和地方现行的规范、标准。如国家、省、市有关行政主管部门对以上标准重新颁布或修正的，以重新颁布或修正的标准为准。</w:t>
      </w:r>
    </w:p>
    <w:p>
      <w:pPr>
        <w:spacing w:line="560" w:lineRule="exact"/>
        <w:ind w:firstLine="640" w:firstLineChars="200"/>
        <w:rPr>
          <w:rFonts w:hint="eastAsia" w:ascii="黑体" w:hAnsi="黑体" w:eastAsia="黑体" w:cs="黑体"/>
          <w:color w:val="000000"/>
          <w:sz w:val="32"/>
          <w:szCs w:val="32"/>
          <w:highlight w:val="none"/>
        </w:rPr>
      </w:pPr>
      <w:r>
        <w:rPr>
          <w:rFonts w:hint="eastAsia" w:ascii="仿宋_GB2312" w:hAnsi="仿宋_GB2312" w:eastAsia="仿宋_GB2312" w:cs="仿宋_GB2312"/>
          <w:bCs/>
          <w:color w:val="000000"/>
          <w:sz w:val="32"/>
          <w:szCs w:val="32"/>
          <w:highlight w:val="none"/>
        </w:rPr>
        <w:t>4</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采购人、被抽样单位对检测结果提出异议时，乙方应无条件配合复检，由此产生的相关费用由责任方承担。</w:t>
      </w:r>
    </w:p>
    <w:p>
      <w:pPr>
        <w:spacing w:line="560" w:lineRule="exact"/>
        <w:ind w:firstLine="640" w:firstLineChars="200"/>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（三）测试周期</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测试周期为抽样后的</w:t>
      </w:r>
      <w:r>
        <w:rPr>
          <w:rFonts w:hint="eastAsia" w:ascii="仿宋_GB2312" w:hAnsi="仿宋_GB2312" w:eastAsia="仿宋_GB2312" w:cs="仿宋_GB2312"/>
          <w:bCs/>
          <w:color w:val="000000"/>
          <w:sz w:val="32"/>
          <w:szCs w:val="32"/>
          <w:highlight w:val="none"/>
          <w:lang w:val="en-US" w:eastAsia="zh-CN"/>
        </w:rPr>
        <w:t>8-10</w:t>
      </w:r>
      <w:r>
        <w:rPr>
          <w:rFonts w:hint="eastAsia" w:ascii="仿宋_GB2312" w:hAnsi="仿宋_GB2312" w:eastAsia="仿宋_GB2312" w:cs="仿宋_GB2312"/>
          <w:bCs/>
          <w:color w:val="000000"/>
          <w:sz w:val="32"/>
          <w:szCs w:val="32"/>
          <w:highlight w:val="none"/>
        </w:rPr>
        <w:t>个工作日。</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供应商需提供检验报告及</w:t>
      </w:r>
      <w:r>
        <w:rPr>
          <w:rFonts w:hint="eastAsia" w:ascii="仿宋_GB2312" w:hAnsi="仿宋_GB2312" w:eastAsia="仿宋_GB2312" w:cs="仿宋_GB2312"/>
          <w:bCs/>
          <w:color w:val="000000"/>
          <w:sz w:val="32"/>
          <w:szCs w:val="32"/>
          <w:highlight w:val="none"/>
          <w:lang w:val="en-US" w:eastAsia="zh-CN"/>
        </w:rPr>
        <w:t>汇总</w:t>
      </w:r>
      <w:r>
        <w:rPr>
          <w:rFonts w:hint="eastAsia" w:ascii="仿宋_GB2312" w:hAnsi="仿宋_GB2312" w:eastAsia="仿宋_GB2312" w:cs="仿宋_GB2312"/>
          <w:bCs/>
          <w:color w:val="000000"/>
          <w:sz w:val="32"/>
          <w:szCs w:val="32"/>
          <w:highlight w:val="none"/>
        </w:rPr>
        <w:t>材料（含抽查结果汇总表等）。</w:t>
      </w:r>
    </w:p>
    <w:p>
      <w:pPr>
        <w:spacing w:line="56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三、服务</w:t>
      </w:r>
      <w:r>
        <w:rPr>
          <w:rFonts w:ascii="黑体" w:hAnsi="黑体" w:eastAsia="黑体" w:cs="黑体"/>
          <w:color w:val="000000"/>
          <w:sz w:val="32"/>
          <w:szCs w:val="32"/>
          <w:highlight w:val="none"/>
        </w:rPr>
        <w:t>时间</w:t>
      </w:r>
    </w:p>
    <w:p>
      <w:pPr>
        <w:spacing w:line="560" w:lineRule="exact"/>
        <w:ind w:firstLine="640"/>
        <w:rPr>
          <w:rFonts w:hint="eastAsia"/>
          <w:highlight w:val="none"/>
        </w:rPr>
      </w:pPr>
      <w:r>
        <w:rPr>
          <w:rFonts w:hint="eastAsia" w:ascii="仿宋_GB2312" w:hAnsi="仿宋_GB2312" w:eastAsia="仿宋_GB2312" w:cs="仿宋_GB2312"/>
          <w:bCs/>
          <w:color w:val="000000"/>
          <w:sz w:val="32"/>
          <w:szCs w:val="32"/>
          <w:highlight w:val="none"/>
        </w:rPr>
        <w:t>本项目合同履行期限为一年。合同一年一签，本项目合同履行期限</w:t>
      </w:r>
      <w:r>
        <w:rPr>
          <w:rFonts w:hint="eastAsia" w:ascii="仿宋_GB2312" w:hAnsi="仿宋_GB2312" w:eastAsia="仿宋_GB2312" w:cs="仿宋_GB2312"/>
          <w:bCs/>
          <w:color w:val="000000"/>
          <w:sz w:val="32"/>
          <w:szCs w:val="32"/>
          <w:highlight w:val="none"/>
          <w:lang w:eastAsia="zh-CN"/>
        </w:rPr>
        <w:t>届满</w:t>
      </w:r>
      <w:r>
        <w:rPr>
          <w:rFonts w:hint="eastAsia" w:ascii="仿宋_GB2312" w:hAnsi="仿宋_GB2312" w:eastAsia="仿宋_GB2312" w:cs="仿宋_GB2312"/>
          <w:bCs/>
          <w:color w:val="000000"/>
          <w:sz w:val="32"/>
          <w:szCs w:val="32"/>
          <w:highlight w:val="none"/>
        </w:rPr>
        <w:t>后，采购单位可根据中标供应商履约情况确定合同是否续签，但合同履行期限最长不</w:t>
      </w:r>
      <w:r>
        <w:rPr>
          <w:rFonts w:ascii="仿宋_GB2312" w:hAnsi="仿宋_GB2312" w:eastAsia="仿宋_GB2312" w:cs="仿宋_GB2312"/>
          <w:bCs/>
          <w:color w:val="000000"/>
          <w:sz w:val="32"/>
          <w:szCs w:val="32"/>
          <w:highlight w:val="none"/>
        </w:rPr>
        <w:t>得</w:t>
      </w:r>
      <w:r>
        <w:rPr>
          <w:rFonts w:hint="eastAsia" w:ascii="仿宋_GB2312" w:hAnsi="仿宋_GB2312" w:eastAsia="仿宋_GB2312" w:cs="仿宋_GB2312"/>
          <w:bCs/>
          <w:color w:val="000000"/>
          <w:sz w:val="32"/>
          <w:szCs w:val="32"/>
          <w:highlight w:val="none"/>
        </w:rPr>
        <w:t>超过</w:t>
      </w:r>
      <w:r>
        <w:rPr>
          <w:rFonts w:ascii="仿宋_GB2312" w:hAnsi="仿宋_GB2312" w:eastAsia="仿宋_GB2312" w:cs="仿宋_GB2312"/>
          <w:bCs/>
          <w:color w:val="000000"/>
          <w:sz w:val="32"/>
          <w:szCs w:val="32"/>
          <w:highlight w:val="none"/>
        </w:rPr>
        <w:t>三十六个月</w:t>
      </w:r>
      <w:r>
        <w:rPr>
          <w:rFonts w:hint="eastAsia" w:ascii="仿宋_GB2312" w:hAnsi="仿宋_GB2312" w:eastAsia="仿宋_GB2312" w:cs="仿宋_GB2312"/>
          <w:bCs/>
          <w:color w:val="000000"/>
          <w:sz w:val="32"/>
          <w:szCs w:val="32"/>
          <w:highlight w:val="none"/>
        </w:rPr>
        <w:t>。</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四、投标报价</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本项目总价不超</w:t>
      </w:r>
      <w:r>
        <w:rPr>
          <w:rFonts w:hint="eastAsia" w:ascii="仿宋_GB2312" w:hAnsi="仿宋_GB2312" w:eastAsia="仿宋_GB2312" w:cs="仿宋_GB2312"/>
          <w:bCs/>
          <w:sz w:val="32"/>
          <w:szCs w:val="32"/>
          <w:highlight w:val="none"/>
        </w:rPr>
        <w:t>过23万元，依</w:t>
      </w:r>
      <w:r>
        <w:rPr>
          <w:rFonts w:hint="eastAsia" w:ascii="仿宋_GB2312" w:hAnsi="仿宋_GB2312" w:eastAsia="仿宋_GB2312" w:cs="仿宋_GB2312"/>
          <w:bCs/>
          <w:sz w:val="32"/>
          <w:szCs w:val="32"/>
          <w:highlight w:val="none"/>
        </w:rPr>
        <w:t>据服务清单内容统一报折扣率，价格计算按照</w:t>
      </w:r>
      <w:r>
        <w:rPr>
          <w:rFonts w:hint="eastAsia" w:ascii="仿宋_GB2312" w:hAnsi="仿宋_GB2312" w:eastAsia="仿宋_GB2312" w:cs="仿宋_GB2312"/>
          <w:bCs/>
          <w:sz w:val="32"/>
          <w:szCs w:val="32"/>
          <w:highlight w:val="none"/>
          <w:lang w:eastAsia="zh-CN"/>
        </w:rPr>
        <w:t>所报</w:t>
      </w:r>
      <w:r>
        <w:rPr>
          <w:rFonts w:hint="eastAsia" w:ascii="仿宋_GB2312" w:hAnsi="仿宋_GB2312" w:eastAsia="仿宋_GB2312" w:cs="仿宋_GB2312"/>
          <w:bCs/>
          <w:sz w:val="32"/>
          <w:szCs w:val="32"/>
          <w:highlight w:val="none"/>
        </w:rPr>
        <w:t>折扣率</w:t>
      </w:r>
      <w:r>
        <w:rPr>
          <w:rFonts w:hint="eastAsia" w:ascii="仿宋_GB2312" w:hAnsi="仿宋_GB2312" w:eastAsia="仿宋_GB2312" w:cs="仿宋_GB2312"/>
          <w:bCs/>
          <w:sz w:val="32"/>
          <w:szCs w:val="32"/>
          <w:highlight w:val="none"/>
          <w:lang w:val="en-US" w:eastAsia="zh-CN"/>
        </w:rPr>
        <w:t>作为投标报价进行计算。</w:t>
      </w:r>
      <w:r>
        <w:rPr>
          <w:rFonts w:hint="eastAsia" w:ascii="仿宋_GB2312" w:hAnsi="仿宋_GB2312" w:eastAsia="仿宋_GB2312" w:cs="仿宋_GB2312"/>
          <w:bCs/>
          <w:sz w:val="32"/>
          <w:szCs w:val="32"/>
          <w:highlight w:val="none"/>
        </w:rPr>
        <w:t>例如：填写唯一的折扣率，如0.9</w:t>
      </w:r>
      <w:r>
        <w:rPr>
          <w:rFonts w:ascii="仿宋_GB2312" w:hAnsi="仿宋_GB2312" w:eastAsia="仿宋_GB2312" w:cs="仿宋_GB2312"/>
          <w:bCs/>
          <w:sz w:val="32"/>
          <w:szCs w:val="32"/>
          <w:highlight w:val="none"/>
        </w:rPr>
        <w:t>9</w:t>
      </w:r>
      <w:r>
        <w:rPr>
          <w:rFonts w:hint="eastAsia" w:ascii="仿宋_GB2312" w:hAnsi="仿宋_GB2312" w:eastAsia="仿宋_GB2312" w:cs="仿宋_GB2312"/>
          <w:bCs/>
          <w:sz w:val="32"/>
          <w:szCs w:val="32"/>
          <w:highlight w:val="none"/>
        </w:rPr>
        <w:t>。</w:t>
      </w:r>
    </w:p>
    <w:p>
      <w:pPr>
        <w:spacing w:line="56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五、响应招标单位的资质要求</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投标人必须是在中华人民共和国境内注册的独立法定代表人或其他组织（证明文件：须提供营业执照或法定代表人证书复印件加盖投标人公章</w:t>
      </w:r>
      <w:r>
        <w:rPr>
          <w:rFonts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rPr>
        <w:t>。</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在招投标活动中</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因串通投标被暂停投标资格期间或涉嫌串通投标正在接受主管部门调查的投标申请公司不被接受。</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投标人必须提供近三年内（即至少从202</w:t>
      </w:r>
      <w:r>
        <w:rPr>
          <w:rFonts w:ascii="仿宋_GB2312" w:hAnsi="仿宋_GB2312" w:eastAsia="仿宋_GB2312" w:cs="仿宋_GB2312"/>
          <w:bCs/>
          <w:color w:val="000000"/>
          <w:sz w:val="32"/>
          <w:szCs w:val="32"/>
          <w:highlight w:val="none"/>
        </w:rPr>
        <w:t>3</w:t>
      </w:r>
      <w:r>
        <w:rPr>
          <w:rFonts w:hint="eastAsia" w:ascii="仿宋_GB2312" w:hAnsi="仿宋_GB2312" w:eastAsia="仿宋_GB2312" w:cs="仿宋_GB2312"/>
          <w:bCs/>
          <w:color w:val="000000"/>
          <w:sz w:val="32"/>
          <w:szCs w:val="32"/>
          <w:highlight w:val="none"/>
        </w:rPr>
        <w:t>年1月开始起算，投标人成立不足三年的可从成立之日起算）无行贿犯罪记录，需提供声明函。</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本项目不接受联合体投标，不允许分包。</w:t>
      </w:r>
    </w:p>
    <w:p>
      <w:pPr>
        <w:spacing w:line="56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六、授予合同的办法及合同的主要条款</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按照深圳市住房和建设局格式合同条款签署合同。</w:t>
      </w:r>
    </w:p>
    <w:p>
      <w:pPr>
        <w:spacing w:line="56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七、回标文件的格式及内容</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要求正本一份，副本一份。提交的资料应加盖公章。</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投标人营业执照或事业单位法定代表人证明书</w:t>
      </w:r>
      <w:r>
        <w:rPr>
          <w:rFonts w:hint="eastAsia" w:ascii="仿宋_GB2312" w:hAnsi="仿宋_GB2312" w:eastAsia="仿宋_GB2312" w:cs="仿宋_GB2312"/>
          <w:bCs/>
          <w:color w:val="000000"/>
          <w:sz w:val="32"/>
          <w:szCs w:val="32"/>
          <w:highlight w:val="none"/>
          <w:lang w:val="en-US" w:eastAsia="zh-CN"/>
        </w:rPr>
        <w:t>复印件</w:t>
      </w:r>
      <w:r>
        <w:rPr>
          <w:rFonts w:hint="eastAsia" w:ascii="仿宋_GB2312" w:hAnsi="仿宋_GB2312" w:eastAsia="仿宋_GB2312" w:cs="仿宋_GB2312"/>
          <w:bCs/>
          <w:color w:val="000000"/>
          <w:sz w:val="32"/>
          <w:szCs w:val="32"/>
          <w:highlight w:val="none"/>
        </w:rPr>
        <w:t>等（复印件加盖公章）；</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法定代表人证明书和法定代表人授权书（加盖公章）；</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招标响应书；</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default" w:ascii="仿宋_GB2312" w:hAnsi="仿宋_GB2312" w:eastAsia="仿宋_GB2312" w:cs="仿宋_GB2312"/>
          <w:bCs/>
          <w:color w:val="000000"/>
          <w:sz w:val="32"/>
          <w:szCs w:val="32"/>
          <w:highlight w:val="none"/>
          <w:lang w:val="en-US"/>
        </w:rPr>
        <w:t>4.</w:t>
      </w:r>
      <w:r>
        <w:rPr>
          <w:rFonts w:hint="eastAsia" w:ascii="仿宋_GB2312" w:hAnsi="仿宋_GB2312" w:eastAsia="仿宋_GB2312" w:cs="仿宋_GB2312"/>
          <w:bCs/>
          <w:color w:val="000000"/>
          <w:sz w:val="32"/>
          <w:szCs w:val="32"/>
          <w:highlight w:val="none"/>
        </w:rPr>
        <w:t>资质证明文件；</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lang w:val="en-US" w:eastAsia="zh-CN"/>
        </w:rPr>
        <w:t>投标</w:t>
      </w:r>
      <w:r>
        <w:rPr>
          <w:rFonts w:hint="eastAsia" w:ascii="仿宋_GB2312" w:hAnsi="仿宋_GB2312" w:eastAsia="仿宋_GB2312" w:cs="仿宋_GB2312"/>
          <w:bCs/>
          <w:color w:val="000000"/>
          <w:sz w:val="32"/>
          <w:szCs w:val="32"/>
          <w:highlight w:val="none"/>
        </w:rPr>
        <w:t>报价表（加盖公章）；</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6</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项目团队情况；</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7</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相关业绩资料；</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8</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保密承诺；</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9</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投标人情况介绍；</w:t>
      </w:r>
    </w:p>
    <w:p>
      <w:pPr>
        <w:spacing w:line="540" w:lineRule="exact"/>
        <w:ind w:firstLine="64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10</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供应商基本情况表；</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招标文件要求提供的其它文件。</w:t>
      </w:r>
    </w:p>
    <w:p>
      <w:pPr>
        <w:spacing w:line="54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八、投标文件的密封、标记和装订</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投标文件为一正一副，投标文件中的所有内容都应按A4篇幅装订成一册在封面上注明正、副本。将装订好的投标文件密封包装在一个外密封袋中，并在外密封袋上注明：</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投标文件 </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项目名称：</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投标人名称（盖章）：</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投标文件的所有内容应按A4篇幅装订成一册，装订应牢固不可拆卸。</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所有投标文件密封袋的封口处均应加盖投标人公章。</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对于因标书标识不清、装订不牢、密封不严等导致的不利后果由该投标人自负。</w:t>
      </w:r>
    </w:p>
    <w:p>
      <w:pPr>
        <w:spacing w:line="54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九、投标文件的提交</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投标人应根据相关规定，在投标截止时间前将投标文件密封送达指定地点。未及时送达指定地点及不符合密封、标记、签章、装订要求的投标文件将拒绝接收。报价文件提交后，招标单位不得对报价文件进行修改，报价文件中应一次报出一个不可更改的最终报价。</w:t>
      </w:r>
    </w:p>
    <w:p>
      <w:pPr>
        <w:spacing w:line="54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截标时若没有投标人投标，则采购部门可以按照招标信息中的价格，确定委托价格，直接委托具备相关资质条件的供应商；如果只有一名投标人，则按照该投标人的投标报价确定委托价格，经分管局领导签批后直接委托并公示。</w:t>
      </w:r>
    </w:p>
    <w:p>
      <w:pPr>
        <w:spacing w:line="54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十、评价办法及原则</w:t>
      </w:r>
    </w:p>
    <w:p>
      <w:pPr>
        <w:spacing w:line="540" w:lineRule="exact"/>
        <w:ind w:firstLine="640" w:firstLineChars="200"/>
        <w:rPr>
          <w:rFonts w:hint="eastAsia" w:ascii="宋体" w:hAnsi="宋体"/>
          <w:b/>
          <w:sz w:val="28"/>
          <w:szCs w:val="28"/>
          <w:highlight w:val="none"/>
        </w:rPr>
      </w:pPr>
      <w:r>
        <w:rPr>
          <w:rFonts w:hint="eastAsia" w:ascii="仿宋_GB2312" w:hAnsi="仿宋_GB2312" w:eastAsia="仿宋_GB2312" w:cs="仿宋_GB2312"/>
          <w:bCs/>
          <w:color w:val="000000"/>
          <w:sz w:val="32"/>
          <w:szCs w:val="32"/>
          <w:highlight w:val="none"/>
        </w:rPr>
        <w:t>评标采用定性评审法，定标采用直接票决法。评标因素详见下表：</w:t>
      </w:r>
    </w:p>
    <w:tbl>
      <w:tblPr>
        <w:tblStyle w:val="1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861"/>
        <w:gridCol w:w="800"/>
        <w:gridCol w:w="1097"/>
        <w:gridCol w:w="716"/>
        <w:gridCol w:w="5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shd w:val="clear" w:color="auto" w:fill="E6EFFA"/>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2613" w:type="dxa"/>
            <w:gridSpan w:val="3"/>
            <w:shd w:val="clear" w:color="auto" w:fill="E6EFFA"/>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评分项</w:t>
            </w:r>
          </w:p>
        </w:tc>
        <w:tc>
          <w:tcPr>
            <w:tcW w:w="5661" w:type="dxa"/>
            <w:shd w:val="clear" w:color="auto" w:fill="E6EFFA"/>
            <w:noWrap w:val="0"/>
            <w:vAlign w:val="center"/>
          </w:tcPr>
          <w:p>
            <w:pPr>
              <w:adjustRightInd w:val="0"/>
              <w:snapToGrid w:val="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restart"/>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1</w:t>
            </w:r>
          </w:p>
        </w:tc>
        <w:tc>
          <w:tcPr>
            <w:tcW w:w="2613" w:type="dxa"/>
            <w:gridSpan w:val="3"/>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价格</w:t>
            </w:r>
          </w:p>
        </w:tc>
        <w:tc>
          <w:tcPr>
            <w:tcW w:w="5661" w:type="dxa"/>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274" w:type="dxa"/>
            <w:gridSpan w:val="4"/>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投标报价得分=(评标基准价／投标报价)×100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restart"/>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2</w:t>
            </w:r>
          </w:p>
        </w:tc>
        <w:tc>
          <w:tcPr>
            <w:tcW w:w="2613" w:type="dxa"/>
            <w:gridSpan w:val="3"/>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技术部分</w:t>
            </w:r>
          </w:p>
        </w:tc>
        <w:tc>
          <w:tcPr>
            <w:tcW w:w="5661" w:type="dxa"/>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shd w:val="clear" w:color="auto" w:fill="E6EFFA"/>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shd w:val="clear" w:color="auto" w:fill="E6EFFA"/>
            <w:noWrap w:val="0"/>
            <w:vAlign w:val="center"/>
          </w:tcPr>
          <w:p>
            <w:pPr>
              <w:adjustRightInd w:val="0"/>
              <w:snapToGrid w:val="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1097" w:type="dxa"/>
            <w:shd w:val="clear" w:color="auto" w:fill="E6EFFA"/>
            <w:noWrap w:val="0"/>
            <w:vAlign w:val="center"/>
          </w:tcPr>
          <w:p>
            <w:pPr>
              <w:adjustRightInd w:val="0"/>
              <w:snapToGrid w:val="0"/>
              <w:ind w:left="-105" w:leftChars="-50" w:right="-105" w:rightChars="-5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评分因素</w:t>
            </w:r>
          </w:p>
        </w:tc>
        <w:tc>
          <w:tcPr>
            <w:tcW w:w="716" w:type="dxa"/>
            <w:shd w:val="clear" w:color="auto" w:fill="E6EFFA"/>
            <w:noWrap w:val="0"/>
            <w:vAlign w:val="center"/>
          </w:tcPr>
          <w:p>
            <w:pPr>
              <w:adjustRightInd w:val="0"/>
              <w:snapToGrid w:val="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权重(%)</w:t>
            </w:r>
          </w:p>
        </w:tc>
        <w:tc>
          <w:tcPr>
            <w:tcW w:w="5661" w:type="dxa"/>
            <w:shd w:val="clear" w:color="auto" w:fill="E6EFFA"/>
            <w:noWrap w:val="0"/>
            <w:vAlign w:val="center"/>
          </w:tcPr>
          <w:p>
            <w:pPr>
              <w:adjustRightInd w:val="0"/>
              <w:snapToGrid w:val="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质量保障</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15</w:t>
            </w:r>
          </w:p>
        </w:tc>
        <w:tc>
          <w:tcPr>
            <w:tcW w:w="5661" w:type="dxa"/>
            <w:noWrap w:val="0"/>
            <w:vAlign w:val="center"/>
          </w:tcPr>
          <w:p>
            <w:pPr>
              <w:adjustRightInd w:val="0"/>
              <w:snapToGrid w:val="0"/>
              <w:spacing w:line="240"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考察内容：对投标人质量保证能力稳定性进行综合考核。包括质量体系的建立、样品管理、抽检分离以及随机外派抽样人员制度等进行考核。</w:t>
            </w:r>
          </w:p>
          <w:p>
            <w:pPr>
              <w:adjustRightInd w:val="0"/>
              <w:snapToGrid w:val="0"/>
              <w:spacing w:line="240"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按照投标文件响应情况进行横向比较，分档评分：</w:t>
            </w:r>
            <w:r>
              <w:rPr>
                <w:rFonts w:hint="eastAsia" w:ascii="仿宋_GB2312" w:hAnsi="仿宋_GB2312" w:eastAsia="仿宋_GB2312" w:cs="仿宋_GB2312"/>
                <w:color w:val="000000"/>
                <w:sz w:val="22"/>
                <w:szCs w:val="22"/>
                <w:highlight w:val="none"/>
                <w:lang w:val="en-US" w:eastAsia="zh-CN"/>
              </w:rPr>
              <w:t>内容</w:t>
            </w:r>
            <w:r>
              <w:rPr>
                <w:rFonts w:hint="eastAsia" w:ascii="仿宋_GB2312" w:hAnsi="仿宋_GB2312" w:eastAsia="仿宋_GB2312" w:cs="仿宋_GB2312"/>
                <w:color w:val="000000"/>
                <w:sz w:val="22"/>
                <w:szCs w:val="22"/>
                <w:highlight w:val="none"/>
              </w:rPr>
              <w:t>编写贴近该产品实际抽查工作，要素完整，方案合理、可行，完全满足采购需求，得100%分；</w:t>
            </w:r>
            <w:r>
              <w:rPr>
                <w:rFonts w:hint="eastAsia" w:ascii="仿宋_GB2312" w:hAnsi="仿宋_GB2312" w:eastAsia="仿宋_GB2312" w:cs="仿宋_GB2312"/>
                <w:color w:val="000000"/>
                <w:sz w:val="22"/>
                <w:szCs w:val="22"/>
                <w:highlight w:val="none"/>
                <w:lang w:val="en-US" w:eastAsia="zh-CN"/>
              </w:rPr>
              <w:t>内容</w:t>
            </w:r>
            <w:r>
              <w:rPr>
                <w:rFonts w:hint="eastAsia" w:ascii="仿宋_GB2312" w:hAnsi="仿宋_GB2312" w:eastAsia="仿宋_GB2312" w:cs="仿宋_GB2312"/>
                <w:color w:val="000000"/>
                <w:sz w:val="22"/>
                <w:szCs w:val="22"/>
                <w:highlight w:val="none"/>
              </w:rPr>
              <w:t>编写贴近该产品实际抽查工作，要素部分缺失，方案存在缺陷，部分满足招标文件要求，得</w:t>
            </w:r>
            <w:r>
              <w:rPr>
                <w:rFonts w:hint="eastAsia" w:ascii="仿宋_GB2312" w:hAnsi="仿宋_GB2312" w:eastAsia="仿宋_GB2312" w:cs="仿宋_GB2312"/>
                <w:color w:val="000000"/>
                <w:sz w:val="22"/>
                <w:szCs w:val="22"/>
                <w:highlight w:val="none"/>
                <w:lang w:val="en-US"/>
              </w:rPr>
              <w:t>6</w:t>
            </w:r>
            <w:r>
              <w:rPr>
                <w:rFonts w:hint="eastAsia" w:ascii="仿宋_GB2312" w:hAnsi="仿宋_GB2312" w:eastAsia="仿宋_GB2312" w:cs="仿宋_GB2312"/>
                <w:color w:val="000000"/>
                <w:sz w:val="22"/>
                <w:szCs w:val="22"/>
                <w:highlight w:val="none"/>
              </w:rPr>
              <w:t>0%分；内容</w:t>
            </w:r>
            <w:r>
              <w:rPr>
                <w:rFonts w:hint="eastAsia" w:ascii="仿宋_GB2312" w:hAnsi="仿宋_GB2312" w:eastAsia="仿宋_GB2312" w:cs="仿宋_GB2312"/>
                <w:color w:val="000000"/>
                <w:sz w:val="22"/>
                <w:szCs w:val="22"/>
                <w:highlight w:val="none"/>
                <w:lang w:val="en-US" w:eastAsia="zh-CN"/>
              </w:rPr>
              <w:t>编写偏离产品实际抽查工作</w:t>
            </w:r>
            <w:r>
              <w:rPr>
                <w:rFonts w:hint="eastAsia" w:ascii="仿宋_GB2312" w:hAnsi="仿宋_GB2312" w:eastAsia="仿宋_GB2312" w:cs="仿宋_GB2312"/>
                <w:color w:val="000000"/>
                <w:sz w:val="22"/>
                <w:szCs w:val="22"/>
                <w:highlight w:val="none"/>
              </w:rPr>
              <w:t>、可行性不强得40%分数；未提供相关内容，不得分。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违约承诺</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10</w:t>
            </w:r>
          </w:p>
        </w:tc>
        <w:tc>
          <w:tcPr>
            <w:tcW w:w="5661" w:type="dxa"/>
            <w:noWrap w:val="0"/>
            <w:vAlign w:val="center"/>
          </w:tcPr>
          <w:p>
            <w:pPr>
              <w:adjustRightInd w:val="0"/>
              <w:snapToGrid w:val="0"/>
              <w:spacing w:line="240"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考察内容：违约承诺。</w:t>
            </w:r>
          </w:p>
          <w:p>
            <w:pPr>
              <w:adjustRightInd w:val="0"/>
              <w:snapToGrid w:val="0"/>
              <w:spacing w:line="240"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按照投标文件响应情况进行横向比较，分档评分：承诺满足招标文件要求，保证措施合理且有针对性，有具体的违约责任承诺。得100%分；承诺满足招标文件要求，保证措施合理但针对性一般，有具体的违约责任承诺</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得60%分；承诺满足招标文件要求，保证措施基本合理，有具体的违约责任承诺</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得40%分；承诺不满足招标文件要求或未提供</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投标文件编制</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5</w:t>
            </w:r>
          </w:p>
        </w:tc>
        <w:tc>
          <w:tcPr>
            <w:tcW w:w="5661" w:type="dxa"/>
            <w:noWrap w:val="0"/>
            <w:vAlign w:val="center"/>
          </w:tcPr>
          <w:p>
            <w:pPr>
              <w:adjustRightInd w:val="0"/>
              <w:snapToGrid w:val="0"/>
              <w:spacing w:line="240"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考察内容：投标文件完整性是否符合招标文件要求，内容是否涵盖招标文件要求，证明材料是否齐全。</w:t>
            </w:r>
          </w:p>
          <w:p>
            <w:pPr>
              <w:adjustRightInd w:val="0"/>
              <w:snapToGrid w:val="0"/>
              <w:spacing w:line="240"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按照投标文件响应情况进行横向比较，分档评分分档评分：投标文件完整性符合招标文件要求，内容涵盖招标文件要求，证明材料齐全</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得100%分；投标文件完整性基本符合招标文件要求，内容基本涵盖招标文件要求，证明材料基本齐全</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得60%分；投标文件完整性比较符合招标文件要求，内容一般涵盖招标文件要求，证明材料比较齐全</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得40%分；</w:t>
            </w:r>
            <w:r>
              <w:rPr>
                <w:rFonts w:hint="eastAsia" w:ascii="仿宋_GB2312" w:hAnsi="仿宋_GB2312" w:eastAsia="仿宋_GB2312" w:cs="仿宋_GB2312"/>
                <w:color w:val="000000"/>
                <w:sz w:val="22"/>
                <w:szCs w:val="22"/>
                <w:highlight w:val="none"/>
                <w:lang w:val="en-US" w:eastAsia="zh-CN"/>
              </w:rPr>
              <w:t>投标文件完整性</w:t>
            </w:r>
            <w:r>
              <w:rPr>
                <w:rFonts w:hint="eastAsia" w:ascii="仿宋_GB2312" w:hAnsi="仿宋_GB2312" w:eastAsia="仿宋_GB2312" w:cs="仿宋_GB2312"/>
                <w:color w:val="000000"/>
                <w:sz w:val="22"/>
                <w:szCs w:val="22"/>
                <w:highlight w:val="none"/>
              </w:rPr>
              <w:t>不满足招标文件要求或未提供</w:t>
            </w:r>
            <w:r>
              <w:rPr>
                <w:rFonts w:hint="eastAsia" w:ascii="仿宋_GB2312" w:hAnsi="仿宋_GB2312" w:eastAsia="仿宋_GB2312" w:cs="仿宋_GB2312"/>
                <w:color w:val="000000"/>
                <w:sz w:val="22"/>
                <w:szCs w:val="22"/>
                <w:highlight w:val="none"/>
                <w:lang w:val="en-US" w:eastAsia="zh-CN"/>
              </w:rPr>
              <w:t>证明材料</w:t>
            </w: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restart"/>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r>
              <w:rPr>
                <w:rFonts w:hint="eastAsia" w:ascii="仿宋_GB2312" w:hAnsi="仿宋_GB2312" w:eastAsia="仿宋_GB2312" w:cs="仿宋_GB2312"/>
                <w:b/>
                <w:bCs/>
                <w:color w:val="0000FF"/>
                <w:sz w:val="28"/>
                <w:szCs w:val="28"/>
                <w:highlight w:val="none"/>
              </w:rPr>
              <w:t>3</w:t>
            </w:r>
          </w:p>
        </w:tc>
        <w:tc>
          <w:tcPr>
            <w:tcW w:w="2613" w:type="dxa"/>
            <w:gridSpan w:val="3"/>
            <w:noWrap w:val="0"/>
            <w:vAlign w:val="center"/>
          </w:tcPr>
          <w:p>
            <w:pPr>
              <w:adjustRightInd w:val="0"/>
              <w:snapToGrid w:val="0"/>
              <w:jc w:val="center"/>
              <w:rPr>
                <w:rFonts w:hint="eastAsia" w:ascii="仿宋_GB2312" w:hAnsi="仿宋_GB2312" w:eastAsia="仿宋_GB2312" w:cs="仿宋_GB2312"/>
                <w:b/>
                <w:bCs/>
                <w:color w:val="0000FF"/>
                <w:sz w:val="22"/>
                <w:szCs w:val="22"/>
                <w:highlight w:val="none"/>
              </w:rPr>
            </w:pPr>
            <w:r>
              <w:rPr>
                <w:rFonts w:hint="eastAsia" w:ascii="仿宋_GB2312" w:hAnsi="仿宋_GB2312" w:eastAsia="仿宋_GB2312" w:cs="仿宋_GB2312"/>
                <w:b/>
                <w:bCs/>
                <w:color w:val="0000FF"/>
                <w:sz w:val="22"/>
                <w:szCs w:val="22"/>
                <w:highlight w:val="none"/>
              </w:rPr>
              <w:t>综合实力部分</w:t>
            </w:r>
          </w:p>
        </w:tc>
        <w:tc>
          <w:tcPr>
            <w:tcW w:w="5661" w:type="dxa"/>
            <w:noWrap w:val="0"/>
            <w:vAlign w:val="center"/>
          </w:tcPr>
          <w:p>
            <w:pPr>
              <w:adjustRightInd w:val="0"/>
              <w:snapToGrid w:val="0"/>
              <w:jc w:val="center"/>
              <w:rPr>
                <w:rFonts w:hint="eastAsia" w:ascii="仿宋_GB2312" w:hAnsi="仿宋_GB2312" w:eastAsia="仿宋_GB2312" w:cs="仿宋_GB2312"/>
                <w:b/>
                <w:bCs/>
                <w:color w:val="0000FF"/>
                <w:sz w:val="22"/>
                <w:szCs w:val="22"/>
                <w:highlight w:val="none"/>
              </w:rPr>
            </w:pPr>
            <w:r>
              <w:rPr>
                <w:rFonts w:hint="eastAsia" w:ascii="仿宋_GB2312" w:hAnsi="仿宋_GB2312" w:eastAsia="仿宋_GB2312" w:cs="仿宋_GB2312"/>
                <w:b/>
                <w:bCs/>
                <w:color w:val="0000FF"/>
                <w:sz w:val="22"/>
                <w:szCs w:val="22"/>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shd w:val="clear" w:color="auto" w:fill="E6EFFA"/>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shd w:val="clear" w:color="auto" w:fill="E6EFFA"/>
            <w:noWrap w:val="0"/>
            <w:vAlign w:val="center"/>
          </w:tcPr>
          <w:p>
            <w:pPr>
              <w:adjustRightInd w:val="0"/>
              <w:snapToGrid w:val="0"/>
              <w:jc w:val="center"/>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序号</w:t>
            </w:r>
          </w:p>
        </w:tc>
        <w:tc>
          <w:tcPr>
            <w:tcW w:w="1097" w:type="dxa"/>
            <w:shd w:val="clear" w:color="auto" w:fill="E6EFFA"/>
            <w:noWrap w:val="0"/>
            <w:vAlign w:val="center"/>
          </w:tcPr>
          <w:p>
            <w:pPr>
              <w:adjustRightInd w:val="0"/>
              <w:snapToGrid w:val="0"/>
              <w:jc w:val="center"/>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评分因素</w:t>
            </w:r>
          </w:p>
        </w:tc>
        <w:tc>
          <w:tcPr>
            <w:tcW w:w="716" w:type="dxa"/>
            <w:shd w:val="clear" w:color="auto" w:fill="E6EFFA"/>
            <w:noWrap w:val="0"/>
            <w:vAlign w:val="center"/>
          </w:tcPr>
          <w:p>
            <w:pPr>
              <w:adjustRightInd w:val="0"/>
              <w:snapToGrid w:val="0"/>
              <w:jc w:val="center"/>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权重(%)</w:t>
            </w:r>
          </w:p>
        </w:tc>
        <w:tc>
          <w:tcPr>
            <w:tcW w:w="5661" w:type="dxa"/>
            <w:shd w:val="clear" w:color="auto" w:fill="E6EFFA"/>
            <w:noWrap w:val="0"/>
            <w:vAlign w:val="center"/>
          </w:tcPr>
          <w:p>
            <w:pPr>
              <w:adjustRightInd w:val="0"/>
              <w:snapToGrid w:val="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投标人资质情况及通过相关认证情况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12</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sz w:val="22"/>
                <w:szCs w:val="22"/>
                <w:highlight w:val="none"/>
              </w:rPr>
              <w:t>1、投标人具有省级（或以上）质量技术主管部门颁发的CMA资质认定证书并覆盖服务清单里所有类别产品所涉及检测</w:t>
            </w:r>
            <w:r>
              <w:rPr>
                <w:rFonts w:hint="eastAsia" w:ascii="仿宋_GB2312" w:hAnsi="仿宋_GB2312" w:eastAsia="仿宋_GB2312" w:cs="仿宋_GB2312"/>
                <w:color w:val="auto"/>
                <w:sz w:val="22"/>
                <w:szCs w:val="22"/>
                <w:highlight w:val="none"/>
              </w:rPr>
              <w:t>项目的检测能力，得</w:t>
            </w:r>
            <w:r>
              <w:rPr>
                <w:rFonts w:hint="eastAsia" w:ascii="仿宋_GB2312" w:hAnsi="仿宋_GB2312" w:eastAsia="仿宋_GB2312" w:cs="仿宋_GB2312"/>
                <w:color w:val="auto"/>
                <w:sz w:val="22"/>
                <w:szCs w:val="22"/>
                <w:highlight w:val="none"/>
                <w:lang w:val="en-US" w:eastAsia="zh-CN"/>
              </w:rPr>
              <w:t>100</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分</w:t>
            </w:r>
            <w:r>
              <w:rPr>
                <w:rFonts w:hint="eastAsia" w:ascii="仿宋_GB2312" w:hAnsi="仿宋_GB2312" w:eastAsia="仿宋_GB2312" w:cs="仿宋_GB2312"/>
                <w:color w:val="auto"/>
                <w:sz w:val="22"/>
                <w:szCs w:val="22"/>
                <w:highlight w:val="none"/>
              </w:rPr>
              <w:t>。</w:t>
            </w:r>
          </w:p>
          <w:p>
            <w:pPr>
              <w:adjustRightInd w:val="0"/>
              <w:snapToGrid w:val="0"/>
              <w:spacing w:line="264" w:lineRule="auto"/>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2、投标人具有省级（或以上）质量技术主管部门颁发的CMA资质认定证书并覆盖服务清单里</w:t>
            </w:r>
            <w:r>
              <w:rPr>
                <w:rFonts w:hint="eastAsia" w:ascii="仿宋_GB2312" w:hAnsi="仿宋_GB2312" w:eastAsia="仿宋_GB2312" w:cs="仿宋_GB2312"/>
                <w:color w:val="auto"/>
                <w:sz w:val="22"/>
                <w:szCs w:val="22"/>
                <w:highlight w:val="none"/>
                <w:lang w:val="en-US" w:eastAsia="zh-CN"/>
              </w:rPr>
              <w:t>50%以上产品类别</w:t>
            </w:r>
            <w:r>
              <w:rPr>
                <w:rFonts w:hint="eastAsia" w:ascii="仿宋_GB2312" w:hAnsi="仿宋_GB2312" w:eastAsia="仿宋_GB2312" w:cs="仿宋_GB2312"/>
                <w:color w:val="auto"/>
                <w:sz w:val="22"/>
                <w:szCs w:val="22"/>
                <w:highlight w:val="none"/>
              </w:rPr>
              <w:t>所涉及检测项目</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但不能全覆盖</w:t>
            </w:r>
            <w:r>
              <w:rPr>
                <w:rFonts w:hint="eastAsia" w:ascii="仿宋_GB2312" w:hAnsi="仿宋_GB2312" w:eastAsia="仿宋_GB2312" w:cs="仿宋_GB2312"/>
                <w:color w:val="auto"/>
                <w:sz w:val="22"/>
                <w:szCs w:val="22"/>
                <w:highlight w:val="none"/>
              </w:rPr>
              <w:t>所涉及产品检测项目的检测能力，得</w:t>
            </w:r>
            <w:r>
              <w:rPr>
                <w:rFonts w:hint="eastAsia" w:ascii="仿宋_GB2312" w:hAnsi="仿宋_GB2312" w:eastAsia="仿宋_GB2312" w:cs="仿宋_GB2312"/>
                <w:color w:val="auto"/>
                <w:sz w:val="22"/>
                <w:szCs w:val="22"/>
                <w:highlight w:val="none"/>
                <w:lang w:val="en-US" w:eastAsia="zh-CN"/>
              </w:rPr>
              <w:t>50</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分</w:t>
            </w:r>
            <w:r>
              <w:rPr>
                <w:rFonts w:hint="eastAsia" w:ascii="仿宋_GB2312" w:hAnsi="仿宋_GB2312" w:eastAsia="仿宋_GB2312" w:cs="仿宋_GB2312"/>
                <w:color w:val="auto"/>
                <w:sz w:val="22"/>
                <w:szCs w:val="22"/>
                <w:highlight w:val="none"/>
              </w:rPr>
              <w:t>。</w:t>
            </w:r>
          </w:p>
          <w:p>
            <w:pPr>
              <w:adjustRightInd w:val="0"/>
              <w:snapToGrid w:val="0"/>
              <w:spacing w:line="264"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要求提供有效的资质、认证证书及能力附表扫描件作为得分依据。评分中出现无证明资料或专家无法凭所提供资料判断是否得分的情况，一律作不得分处理。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拟安排的项目负责人（仅限1人）情况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7</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考察项目负责人的职称或资质证书情况：具备教授级高级工程师证得100%分；具备高级工程师资格证得30%分，其余职称不得分。</w:t>
            </w:r>
          </w:p>
          <w:p>
            <w:pPr>
              <w:adjustRightInd w:val="0"/>
              <w:snapToGrid w:val="0"/>
              <w:spacing w:line="264"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要求提供项目负责人相关证书、社保证明及劳动合同扫描件。评分中出现无证明资料或专家无法凭所提供资料判断是否得分的情况，一律作不得分处理。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拟安排的项目团队成员（项目负责人）除外情况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6</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拟安排技术团队成员人员。根据团队成员配备情况（职称、学历等）进行评价，每具备1个高级工程师得20%分。最高不超过100%分。</w:t>
            </w:r>
          </w:p>
          <w:p>
            <w:pPr>
              <w:adjustRightInd w:val="0"/>
              <w:snapToGrid w:val="0"/>
              <w:spacing w:line="264"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要求提供项目团队成员相关证书、社保证明及劳动合同扫描件。评分中出现无证明资料或专家无法凭所提供资料判断是否得分的情况，一律作不得分处理。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同类项目业绩情况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15</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投标人近三年（2023年1月1日至本项目开标之日，以合同签订时间为准）内承担同类项目业绩情况（同类项目指各类行政机关</w:t>
            </w:r>
            <w:r>
              <w:rPr>
                <w:rFonts w:hint="eastAsia" w:ascii="仿宋_GB2312" w:hAnsi="仿宋_GB2312" w:eastAsia="仿宋_GB2312" w:cs="仿宋_GB2312"/>
                <w:color w:val="000000"/>
                <w:sz w:val="22"/>
                <w:szCs w:val="22"/>
                <w:highlight w:val="none"/>
              </w:rPr>
              <w:t>下发的消防产品监督</w:t>
            </w:r>
            <w:r>
              <w:rPr>
                <w:rFonts w:hint="eastAsia" w:ascii="仿宋_GB2312" w:hAnsi="仿宋_GB2312" w:eastAsia="仿宋_GB2312" w:cs="仿宋_GB2312"/>
                <w:color w:val="000000"/>
                <w:sz w:val="22"/>
                <w:szCs w:val="22"/>
                <w:highlight w:val="none"/>
              </w:rPr>
              <w:t>抽查检测项目。任务数15个（含）以上得</w:t>
            </w:r>
            <w:r>
              <w:rPr>
                <w:rFonts w:hint="eastAsia" w:ascii="仿宋_GB2312" w:hAnsi="仿宋_GB2312" w:eastAsia="仿宋_GB2312" w:cs="仿宋_GB2312"/>
                <w:color w:val="000000"/>
                <w:sz w:val="22"/>
                <w:szCs w:val="22"/>
                <w:highlight w:val="none"/>
                <w:lang w:val="en-US" w:eastAsia="zh-CN"/>
              </w:rPr>
              <w:t>15</w:t>
            </w:r>
            <w:r>
              <w:rPr>
                <w:rFonts w:hint="eastAsia" w:ascii="仿宋_GB2312" w:hAnsi="仿宋_GB2312" w:eastAsia="仿宋_GB2312" w:cs="仿宋_GB2312"/>
                <w:color w:val="000000"/>
                <w:sz w:val="22"/>
                <w:szCs w:val="22"/>
                <w:highlight w:val="none"/>
              </w:rPr>
              <w:t>分；10个≤任务数＜15个，得10分；5个≤任务数＜10个，得5分，其余情况不得分。</w:t>
            </w:r>
          </w:p>
          <w:p>
            <w:pPr>
              <w:adjustRightInd w:val="0"/>
              <w:snapToGrid w:val="0"/>
              <w:spacing w:line="264"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要求提供合同或委托书作为得分参考。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市财政委员会诚信管理情况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highlight w:val="none"/>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w:t>
            </w:r>
          </w:p>
        </w:tc>
        <w:tc>
          <w:tcPr>
            <w:tcW w:w="1097"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市政府采购中心履约评价情况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4</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sz w:val="22"/>
                <w:szCs w:val="22"/>
                <w:highlight w:val="none"/>
              </w:rPr>
              <w:t>近三年（以投标截止日期为准）在市政府采购中心有履约评价为差的记录，本项不得分，否则，得满分。投标人无需提供任何证明材料，由工作人员向评委会提供相关信息。</w:t>
            </w:r>
          </w:p>
        </w:tc>
      </w:tr>
    </w:tbl>
    <w:p>
      <w:pPr>
        <w:spacing w:line="520" w:lineRule="atLeas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十一、废标条款</w:t>
      </w:r>
    </w:p>
    <w:p>
      <w:pPr>
        <w:autoSpaceDE/>
        <w:autoSpaceDN/>
        <w:adjustRightInd w:val="0"/>
        <w:snapToGrid w:val="0"/>
        <w:spacing w:line="520" w:lineRule="atLeast"/>
        <w:ind w:firstLine="642"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
          <w:bCs/>
          <w:color w:val="000000"/>
          <w:sz w:val="32"/>
          <w:szCs w:val="32"/>
          <w:highlight w:val="none"/>
        </w:rPr>
        <w:t>符合下列条件之一，即可定为废标：</w:t>
      </w:r>
      <w:r>
        <w:rPr>
          <w:rFonts w:hint="eastAsia" w:ascii="宋体" w:hAnsi="宋体"/>
          <w:bCs/>
          <w:sz w:val="32"/>
          <w:szCs w:val="32"/>
          <w:highlight w:val="none"/>
        </w:rPr>
        <w:br w:type="textWrapping"/>
      </w:r>
      <w:r>
        <w:rPr>
          <w:rFonts w:hint="eastAsia" w:ascii="宋体" w:hAnsi="宋体"/>
          <w:bCs/>
          <w:sz w:val="32"/>
          <w:szCs w:val="32"/>
          <w:highlight w:val="none"/>
        </w:rPr>
        <w:t>　　</w:t>
      </w:r>
      <w:r>
        <w:rPr>
          <w:rFonts w:hint="eastAsia" w:ascii="仿宋_GB2312" w:hAnsi="仿宋_GB2312" w:eastAsia="仿宋_GB2312" w:cs="仿宋_GB2312"/>
          <w:bCs/>
          <w:color w:val="000000"/>
          <w:sz w:val="32"/>
          <w:szCs w:val="32"/>
          <w:highlight w:val="none"/>
        </w:rPr>
        <w:t>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报价文件无投标人盖章，无法定代表人或法定代表人授权代表签字或盖章的。</w:t>
      </w:r>
      <w:r>
        <w:rPr>
          <w:rFonts w:hint="eastAsia" w:ascii="仿宋_GB2312" w:hAnsi="仿宋_GB2312" w:eastAsia="仿宋_GB2312" w:cs="仿宋_GB2312"/>
          <w:bCs/>
          <w:color w:val="000000"/>
          <w:sz w:val="32"/>
          <w:szCs w:val="32"/>
          <w:highlight w:val="none"/>
        </w:rPr>
        <w:br w:type="textWrapping"/>
      </w:r>
      <w:r>
        <w:rPr>
          <w:rFonts w:hint="eastAsia" w:ascii="仿宋_GB2312" w:hAnsi="仿宋_GB2312" w:eastAsia="仿宋_GB2312" w:cs="仿宋_GB2312"/>
          <w:bCs/>
          <w:color w:val="000000"/>
          <w:sz w:val="32"/>
          <w:szCs w:val="32"/>
          <w:highlight w:val="none"/>
        </w:rPr>
        <w:t>　　2</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投标书未按规定的格式填写，内容不全或关键字迹模糊、无法辨认的。</w:t>
      </w:r>
      <w:r>
        <w:rPr>
          <w:rFonts w:hint="eastAsia" w:ascii="仿宋_GB2312" w:hAnsi="仿宋_GB2312" w:eastAsia="仿宋_GB2312" w:cs="仿宋_GB2312"/>
          <w:bCs/>
          <w:color w:val="000000"/>
          <w:sz w:val="32"/>
          <w:szCs w:val="32"/>
          <w:highlight w:val="none"/>
        </w:rPr>
        <w:br w:type="textWrapping"/>
      </w:r>
      <w:r>
        <w:rPr>
          <w:rFonts w:hint="eastAsia" w:ascii="仿宋_GB2312" w:hAnsi="仿宋_GB2312" w:eastAsia="仿宋_GB2312" w:cs="仿宋_GB2312"/>
          <w:bCs/>
          <w:color w:val="000000"/>
          <w:sz w:val="32"/>
          <w:szCs w:val="32"/>
          <w:highlight w:val="none"/>
        </w:rPr>
        <w:t>　　3</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投标人递交两份或多份内容不同的投标文件，或在一份投标文件中对同一招标项目报有两个或多个报价，且未声明哪一个有效的，按招标文件规定提交备选投标方案的除外。</w:t>
      </w:r>
      <w:r>
        <w:rPr>
          <w:rFonts w:hint="eastAsia" w:ascii="仿宋_GB2312" w:hAnsi="仿宋_GB2312" w:eastAsia="仿宋_GB2312" w:cs="仿宋_GB2312"/>
          <w:bCs/>
          <w:color w:val="000000"/>
          <w:sz w:val="32"/>
          <w:szCs w:val="32"/>
          <w:highlight w:val="none"/>
        </w:rPr>
        <w:br w:type="textWrapping"/>
      </w:r>
      <w:r>
        <w:rPr>
          <w:rFonts w:hint="eastAsia" w:ascii="仿宋_GB2312" w:hAnsi="仿宋_GB2312" w:eastAsia="仿宋_GB2312" w:cs="仿宋_GB2312"/>
          <w:bCs/>
          <w:color w:val="000000"/>
          <w:sz w:val="32"/>
          <w:szCs w:val="32"/>
          <w:highlight w:val="none"/>
        </w:rPr>
        <w:t>　　4</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投标人以他人的名义投标、串通投标、以行贿手段谋取中标或者以其他弄虚作假方式投标的。</w:t>
      </w:r>
    </w:p>
    <w:p>
      <w:pPr>
        <w:autoSpaceDE/>
        <w:autoSpaceDN/>
        <w:adjustRightInd w:val="0"/>
        <w:snapToGrid w:val="0"/>
        <w:spacing w:line="520" w:lineRule="atLeas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十二、流标情形</w:t>
      </w:r>
    </w:p>
    <w:p>
      <w:pPr>
        <w:autoSpaceDE/>
        <w:autoSpaceDN/>
        <w:adjustRightInd w:val="0"/>
        <w:snapToGrid w:val="0"/>
        <w:spacing w:line="520" w:lineRule="atLeast"/>
        <w:ind w:firstLine="642"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符合下列情形之一，本次招标流标，需要重新招标</w:t>
      </w:r>
    </w:p>
    <w:p>
      <w:pPr>
        <w:autoSpaceDE/>
        <w:autoSpaceDN/>
        <w:adjustRightInd w:val="0"/>
        <w:snapToGrid w:val="0"/>
        <w:spacing w:line="520" w:lineRule="atLeas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采购的公正性受到影响。</w:t>
      </w:r>
    </w:p>
    <w:p>
      <w:pPr>
        <w:autoSpaceDE/>
        <w:autoSpaceDN/>
        <w:adjustRightInd w:val="0"/>
        <w:snapToGrid w:val="0"/>
        <w:spacing w:line="520" w:lineRule="atLeas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投标报价均超过了采购预算。</w:t>
      </w:r>
    </w:p>
    <w:p>
      <w:pPr>
        <w:autoSpaceDE/>
        <w:autoSpaceDN/>
        <w:adjustRightInd w:val="0"/>
        <w:snapToGrid w:val="0"/>
        <w:spacing w:line="520" w:lineRule="atLeas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w:t>
      </w:r>
      <w:r>
        <w:rPr>
          <w:rFonts w:hint="default" w:ascii="仿宋_GB2312" w:hAnsi="仿宋_GB2312" w:eastAsia="仿宋_GB2312" w:cs="仿宋_GB2312"/>
          <w:bCs/>
          <w:color w:val="000000"/>
          <w:sz w:val="32"/>
          <w:szCs w:val="32"/>
          <w:highlight w:val="none"/>
          <w:lang w:val="en-US"/>
        </w:rPr>
        <w:t>.</w:t>
      </w:r>
      <w:r>
        <w:rPr>
          <w:rFonts w:hint="eastAsia" w:ascii="仿宋_GB2312" w:hAnsi="仿宋_GB2312" w:eastAsia="仿宋_GB2312" w:cs="仿宋_GB2312"/>
          <w:bCs/>
          <w:color w:val="000000"/>
          <w:sz w:val="32"/>
          <w:szCs w:val="32"/>
          <w:highlight w:val="none"/>
        </w:rPr>
        <w:t>采购任务取消。</w:t>
      </w:r>
    </w:p>
    <w:p>
      <w:pPr>
        <w:autoSpaceDE/>
        <w:autoSpaceDN/>
        <w:adjustRightInd w:val="0"/>
        <w:snapToGrid w:val="0"/>
        <w:spacing w:line="520" w:lineRule="atLeast"/>
        <w:ind w:firstLine="640" w:firstLineChars="200"/>
        <w:rPr>
          <w:rFonts w:hint="eastAsia" w:ascii="黑体" w:hAnsi="黑体" w:eastAsia="黑体" w:cs="黑体"/>
          <w:color w:val="333333"/>
          <w:sz w:val="32"/>
          <w:szCs w:val="32"/>
          <w:highlight w:val="none"/>
        </w:rPr>
      </w:pPr>
      <w:r>
        <w:rPr>
          <w:rFonts w:hint="eastAsia" w:ascii="黑体" w:hAnsi="黑体" w:eastAsia="黑体" w:cs="黑体"/>
          <w:color w:val="000000"/>
          <w:sz w:val="32"/>
          <w:szCs w:val="32"/>
          <w:highlight w:val="none"/>
        </w:rPr>
        <w:t>十三、其它与本次招标有关的规定</w:t>
      </w:r>
    </w:p>
    <w:p>
      <w:pPr>
        <w:autoSpaceDE/>
        <w:autoSpaceDN/>
        <w:adjustRightInd w:val="0"/>
        <w:snapToGrid w:val="0"/>
        <w:spacing w:line="520" w:lineRule="atLeas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无。</w:t>
      </w:r>
    </w:p>
    <w:p>
      <w:pPr>
        <w:tabs>
          <w:tab w:val="left" w:pos="1114"/>
        </w:tabs>
        <w:autoSpaceDE/>
        <w:autoSpaceDN/>
        <w:adjustRightInd w:val="0"/>
        <w:snapToGrid w:val="0"/>
        <w:spacing w:line="520" w:lineRule="atLeast"/>
        <w:rPr>
          <w:rFonts w:ascii="宋体" w:hAnsi="宋体" w:cs="仿宋_GB2312"/>
          <w:b/>
          <w:bCs/>
          <w:color w:val="333333"/>
          <w:sz w:val="32"/>
          <w:szCs w:val="32"/>
          <w:highlight w:val="none"/>
        </w:rPr>
      </w:pPr>
    </w:p>
    <w:p>
      <w:pPr>
        <w:autoSpaceDE/>
        <w:autoSpaceDN/>
        <w:adjustRightInd w:val="0"/>
        <w:snapToGrid w:val="0"/>
        <w:spacing w:line="520" w:lineRule="atLeast"/>
        <w:ind w:firstLine="64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联</w:t>
      </w:r>
      <w:r>
        <w:rPr>
          <w:rFonts w:hint="default" w:ascii="仿宋_GB2312" w:hAnsi="仿宋_GB2312" w:eastAsia="仿宋_GB2312" w:cs="仿宋_GB2312"/>
          <w:sz w:val="32"/>
          <w:szCs w:val="32"/>
          <w:highlight w:val="none"/>
          <w:lang w:val="en-US"/>
        </w:rPr>
        <w:t xml:space="preserve"> </w:t>
      </w:r>
      <w:r>
        <w:rPr>
          <w:rFonts w:hint="eastAsia" w:ascii="仿宋_GB2312" w:hAnsi="仿宋_GB2312" w:eastAsia="仿宋_GB2312" w:cs="仿宋_GB2312"/>
          <w:sz w:val="32"/>
          <w:szCs w:val="32"/>
          <w:highlight w:val="none"/>
        </w:rPr>
        <w:t>系</w:t>
      </w:r>
      <w:r>
        <w:rPr>
          <w:rFonts w:hint="default" w:ascii="仿宋_GB2312" w:hAnsi="仿宋_GB2312" w:eastAsia="仿宋_GB2312" w:cs="仿宋_GB2312"/>
          <w:sz w:val="32"/>
          <w:szCs w:val="32"/>
          <w:highlight w:val="none"/>
          <w:lang w:val="en-US"/>
        </w:rPr>
        <w:t xml:space="preserve"> </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周泽权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83788549</w:t>
      </w:r>
      <w:r>
        <w:rPr>
          <w:rFonts w:hint="eastAsia" w:ascii="仿宋_GB2312" w:hAnsi="仿宋_GB2312" w:eastAsia="仿宋_GB2312" w:cs="仿宋_GB2312"/>
          <w:sz w:val="32"/>
          <w:szCs w:val="32"/>
          <w:highlight w:val="none"/>
          <w:u w:val="single"/>
        </w:rPr>
        <w:t xml:space="preserve">      </w:t>
      </w:r>
    </w:p>
    <w:p>
      <w:pPr>
        <w:autoSpaceDE/>
        <w:autoSpaceDN/>
        <w:adjustRightInd w:val="0"/>
        <w:snapToGrid w:val="0"/>
        <w:spacing w:line="520" w:lineRule="atLeast"/>
        <w:ind w:firstLine="64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联系地址：</w:t>
      </w:r>
      <w:r>
        <w:rPr>
          <w:rFonts w:hint="eastAsia" w:ascii="仿宋_GB2312" w:hAnsi="仿宋_GB2312" w:eastAsia="仿宋_GB2312" w:cs="仿宋_GB2312"/>
          <w:sz w:val="32"/>
          <w:szCs w:val="32"/>
          <w:highlight w:val="none"/>
          <w:u w:val="single"/>
        </w:rPr>
        <w:t xml:space="preserve"> 深圳市福田区振华路8号设计大厦5楼会议室 </w:t>
      </w:r>
    </w:p>
    <w:p>
      <w:pPr>
        <w:autoSpaceDE/>
        <w:autoSpaceDN/>
        <w:adjustRightInd w:val="0"/>
        <w:snapToGrid w:val="0"/>
        <w:spacing w:line="520" w:lineRule="atLeast"/>
        <w:ind w:firstLine="5120" w:firstLineChars="1600"/>
        <w:rPr>
          <w:rFonts w:hint="eastAsia" w:ascii="仿宋_GB2312" w:hAnsi="仿宋_GB2312" w:eastAsia="仿宋_GB2312" w:cs="仿宋_GB2312"/>
          <w:bCs/>
          <w:color w:val="000000"/>
          <w:sz w:val="32"/>
          <w:szCs w:val="32"/>
          <w:highlight w:val="none"/>
        </w:rPr>
      </w:pPr>
    </w:p>
    <w:p>
      <w:pPr>
        <w:autoSpaceDE/>
        <w:autoSpaceDN/>
        <w:adjustRightInd w:val="0"/>
        <w:snapToGrid w:val="0"/>
        <w:spacing w:line="520" w:lineRule="atLeast"/>
        <w:ind w:firstLine="4800" w:firstLineChars="1500"/>
        <w:rPr>
          <w:rFonts w:hint="default" w:ascii="仿宋_GB2312" w:hAnsi="仿宋_GB2312" w:eastAsia="仿宋_GB2312" w:cs="仿宋_GB2312"/>
          <w:bCs/>
          <w:color w:val="000000"/>
          <w:sz w:val="32"/>
          <w:szCs w:val="32"/>
          <w:highlight w:val="none"/>
          <w:lang w:val="en-US"/>
        </w:rPr>
      </w:pPr>
      <w:r>
        <w:rPr>
          <w:rFonts w:hint="eastAsia" w:ascii="仿宋_GB2312" w:hAnsi="仿宋_GB2312" w:eastAsia="仿宋_GB2312" w:cs="仿宋_GB2312"/>
          <w:bCs/>
          <w:color w:val="000000"/>
          <w:sz w:val="32"/>
          <w:szCs w:val="32"/>
          <w:highlight w:val="none"/>
        </w:rPr>
        <w:t>深圳市住房和建设局</w:t>
      </w:r>
      <w:r>
        <w:rPr>
          <w:rFonts w:hint="default" w:ascii="仿宋_GB2312" w:hAnsi="仿宋_GB2312" w:eastAsia="仿宋_GB2312" w:cs="仿宋_GB2312"/>
          <w:bCs/>
          <w:color w:val="000000"/>
          <w:sz w:val="32"/>
          <w:szCs w:val="32"/>
          <w:highlight w:val="none"/>
          <w:lang w:val="en-US"/>
        </w:rPr>
        <w:t xml:space="preserve">   </w:t>
      </w:r>
    </w:p>
    <w:p>
      <w:pPr>
        <w:autoSpaceDE/>
        <w:autoSpaceDN/>
        <w:adjustRightInd w:val="0"/>
        <w:snapToGrid w:val="0"/>
        <w:spacing w:line="520" w:lineRule="atLeast"/>
        <w:ind w:right="1283" w:rightChars="611" w:firstLine="480" w:firstLineChars="150"/>
        <w:jc w:val="right"/>
        <w:rPr>
          <w:rFonts w:hint="default" w:ascii="仿宋_GB2312" w:hAnsi="仿宋_GB2312" w:eastAsia="仿宋_GB2312" w:cs="仿宋_GB2312"/>
          <w:bCs/>
          <w:sz w:val="32"/>
          <w:szCs w:val="32"/>
          <w:highlight w:val="none"/>
          <w:lang w:val="en-US"/>
        </w:rPr>
      </w:pPr>
      <w:r>
        <w:rPr>
          <w:rFonts w:hint="eastAsia" w:ascii="仿宋_GB2312" w:hAnsi="仿宋_GB2312" w:eastAsia="仿宋_GB2312" w:cs="仿宋_GB2312"/>
          <w:bCs/>
          <w:color w:val="000000"/>
          <w:sz w:val="32"/>
          <w:szCs w:val="32"/>
          <w:highlight w:val="none"/>
        </w:rPr>
        <w:t xml:space="preserve">                 </w:t>
      </w:r>
      <w:r>
        <w:rPr>
          <w:rFonts w:ascii="仿宋_GB2312" w:hAnsi="仿宋_GB2312" w:eastAsia="仿宋_GB2312" w:cs="仿宋_GB2312"/>
          <w:bCs/>
          <w:sz w:val="32"/>
          <w:szCs w:val="32"/>
          <w:highlight w:val="none"/>
        </w:rPr>
        <w:t>20</w:t>
      </w:r>
      <w:r>
        <w:rPr>
          <w:rFonts w:hint="eastAsia" w:ascii="仿宋_GB2312" w:hAnsi="仿宋_GB2312" w:eastAsia="仿宋_GB2312" w:cs="仿宋_GB2312"/>
          <w:bCs/>
          <w:sz w:val="32"/>
          <w:szCs w:val="32"/>
          <w:highlight w:val="none"/>
        </w:rPr>
        <w:t>2</w:t>
      </w:r>
      <w:r>
        <w:rPr>
          <w:rFonts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16</w:t>
      </w:r>
      <w:r>
        <w:rPr>
          <w:rFonts w:hint="eastAsia" w:ascii="仿宋_GB2312" w:hAnsi="仿宋_GB2312" w:eastAsia="仿宋_GB2312" w:cs="仿宋_GB2312"/>
          <w:bCs/>
          <w:sz w:val="32"/>
          <w:szCs w:val="32"/>
          <w:highlight w:val="none"/>
        </w:rPr>
        <w:t>日</w:t>
      </w:r>
      <w:r>
        <w:rPr>
          <w:rFonts w:hint="default" w:ascii="仿宋_GB2312" w:hAnsi="仿宋_GB2312" w:eastAsia="仿宋_GB2312" w:cs="仿宋_GB2312"/>
          <w:bCs/>
          <w:sz w:val="32"/>
          <w:szCs w:val="32"/>
          <w:highlight w:val="none"/>
          <w:lang w:val="en-US"/>
        </w:rPr>
        <w:t xml:space="preserve"> </w:t>
      </w:r>
    </w:p>
    <w:p>
      <w:pPr>
        <w:autoSpaceDE/>
        <w:autoSpaceDN/>
        <w:adjustRightInd/>
        <w:snapToGrid/>
        <w:spacing w:line="24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autoSpaceDE w:val="0"/>
        <w:autoSpaceDN w:val="0"/>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b w:val="0"/>
          <w:bCs w:val="0"/>
          <w:sz w:val="44"/>
          <w:szCs w:val="44"/>
        </w:rPr>
        <w:t>招标文件响应声明书（模板）</w:t>
      </w:r>
    </w:p>
    <w:p>
      <w:pPr>
        <w:autoSpaceDE w:val="0"/>
        <w:autoSpaceDN w:val="0"/>
        <w:adjustRightInd w:val="0"/>
        <w:snapToGrid w:val="0"/>
        <w:spacing w:line="560" w:lineRule="exact"/>
        <w:jc w:val="left"/>
        <w:rPr>
          <w:rFonts w:hint="eastAsia" w:ascii="仿宋_GB2312" w:hAnsi="仿宋_GB2312" w:eastAsia="仿宋_GB2312" w:cs="仿宋_GB2312"/>
          <w:bCs/>
          <w:color w:val="000000"/>
          <w:sz w:val="32"/>
          <w:szCs w:val="32"/>
        </w:rPr>
      </w:pP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致（招标人）：   </w:t>
      </w: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（投标单位全称） 授权 （全名、职务）为全权代表，参加贵方组织的（      项目）招标活动并投标，为此：</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我方已详细阅读了全部招标文件，包括修改文件（如有）及全部参考资料和附件。我们完全理解并同意放弃对这方面有不明及误解的权利。愿意接受招标文件中的各项要求。</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我方提供招标文件要求的全部资料，并保证真实性、合法性。</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若中标，我方将按照招标文件规定，履行合同责任和义务。</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询价响应书自开标日起有效期为60个工作日。</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我方与本招标文件响应有关的一切正式往来通讯请寄：</w:t>
      </w: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地址：                 邮编：          </w:t>
      </w: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电话：                 传真：          </w:t>
      </w: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投标单位名称（公章）：           </w:t>
      </w: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授权代表签字：                     </w:t>
      </w: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投标响应日期：     年   月   日</w:t>
      </w:r>
    </w:p>
    <w:p>
      <w:pPr>
        <w:autoSpaceDE w:val="0"/>
        <w:autoSpaceDN w:val="0"/>
        <w:adjustRightInd w:val="0"/>
        <w:snapToGrid w:val="0"/>
        <w:spacing w:line="300" w:lineRule="auto"/>
        <w:rPr>
          <w:rFonts w:hint="eastAsia" w:ascii="黑体" w:hAnsi="黑体" w:eastAsia="黑体" w:cs="黑体"/>
          <w:sz w:val="32"/>
          <w:szCs w:val="32"/>
        </w:rPr>
      </w:pPr>
      <w:r>
        <w:rPr>
          <w:rFonts w:hint="eastAsia" w:ascii="仿宋_GB2312" w:hAnsi="宋体"/>
          <w:szCs w:val="32"/>
        </w:rPr>
        <w:br w:type="page"/>
      </w:r>
      <w:r>
        <w:rPr>
          <w:rFonts w:hint="eastAsia" w:ascii="黑体" w:hAnsi="黑体" w:eastAsia="黑体" w:cs="黑体"/>
          <w:sz w:val="32"/>
          <w:szCs w:val="32"/>
        </w:rPr>
        <w:t>附件2</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项目报价表</w:t>
      </w:r>
    </w:p>
    <w:p>
      <w:pPr>
        <w:autoSpaceDE w:val="0"/>
        <w:autoSpaceDN w:val="0"/>
        <w:adjustRightInd w:val="0"/>
        <w:snapToGrid w:val="0"/>
        <w:spacing w:line="300" w:lineRule="auto"/>
        <w:rPr>
          <w:rFonts w:hint="eastAsia" w:ascii="仿宋_GB2312" w:hAnsi="仿宋_GB2312" w:eastAsia="仿宋_GB2312" w:cs="仿宋_GB2312"/>
          <w:bCs/>
          <w:color w:val="000000"/>
          <w:sz w:val="32"/>
          <w:szCs w:val="32"/>
        </w:rPr>
      </w:pP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致（招标人）：  </w:t>
      </w:r>
    </w:p>
    <w:p>
      <w:pPr>
        <w:autoSpaceDE w:val="0"/>
        <w:autoSpaceDN w:val="0"/>
        <w:adjustRightInd w:val="0"/>
        <w:snapToGrid w:val="0"/>
        <w:spacing w:line="300" w:lineRule="auto"/>
        <w:ind w:firstLine="640" w:firstLineChars="200"/>
        <w:rPr>
          <w:rFonts w:ascii="仿宋_GB2312" w:hAnsi="宋体"/>
          <w:sz w:val="28"/>
          <w:szCs w:val="28"/>
        </w:rPr>
      </w:pPr>
      <w:r>
        <w:rPr>
          <w:rFonts w:hint="eastAsia" w:ascii="仿宋_GB2312" w:hAnsi="仿宋_GB2312" w:eastAsia="仿宋_GB2312" w:cs="仿宋_GB2312"/>
          <w:bCs/>
          <w:color w:val="000000"/>
          <w:sz w:val="32"/>
          <w:szCs w:val="32"/>
        </w:rPr>
        <w:t>在研究了招标文件中所有内容后，我公司对         招标项目响应报价如下：</w:t>
      </w:r>
      <w:r>
        <w:rPr>
          <w:rFonts w:hint="eastAsia" w:ascii="仿宋_GB2312" w:hAnsi="宋体"/>
          <w:sz w:val="28"/>
          <w:szCs w:val="28"/>
        </w:rPr>
        <w:t xml:space="preserve">  </w:t>
      </w:r>
    </w:p>
    <w:p>
      <w:pPr>
        <w:jc w:val="center"/>
        <w:rPr>
          <w:b/>
          <w:sz w:val="24"/>
        </w:rPr>
      </w:pPr>
      <w:r>
        <w:rPr>
          <w:b/>
          <w:sz w:val="24"/>
        </w:rPr>
        <w:t>（一）项目报价表</w:t>
      </w:r>
    </w:p>
    <w:tbl>
      <w:tblPr>
        <w:tblStyle w:val="12"/>
        <w:tblW w:w="91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20"/>
        <w:gridCol w:w="3460"/>
        <w:gridCol w:w="2133"/>
        <w:gridCol w:w="1523"/>
        <w:gridCol w:w="12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jc w:val="center"/>
        </w:trPr>
        <w:tc>
          <w:tcPr>
            <w:tcW w:w="720" w:type="dxa"/>
            <w:noWrap w:val="0"/>
            <w:vAlign w:val="center"/>
          </w:tcPr>
          <w:p>
            <w:pPr>
              <w:jc w:val="center"/>
              <w:rPr>
                <w:rFonts w:eastAsia="黑体"/>
                <w:szCs w:val="21"/>
              </w:rPr>
            </w:pPr>
            <w:r>
              <w:rPr>
                <w:rFonts w:eastAsia="黑体"/>
                <w:szCs w:val="21"/>
              </w:rPr>
              <w:t>序号</w:t>
            </w:r>
          </w:p>
        </w:tc>
        <w:tc>
          <w:tcPr>
            <w:tcW w:w="3460" w:type="dxa"/>
            <w:noWrap w:val="0"/>
            <w:vAlign w:val="center"/>
          </w:tcPr>
          <w:p>
            <w:pPr>
              <w:jc w:val="center"/>
              <w:rPr>
                <w:rFonts w:eastAsia="黑体"/>
                <w:szCs w:val="21"/>
              </w:rPr>
            </w:pPr>
            <w:r>
              <w:rPr>
                <w:rFonts w:hint="eastAsia" w:eastAsia="黑体"/>
                <w:szCs w:val="21"/>
              </w:rPr>
              <w:t>产品类别</w:t>
            </w:r>
          </w:p>
        </w:tc>
        <w:tc>
          <w:tcPr>
            <w:tcW w:w="2133" w:type="dxa"/>
            <w:noWrap w:val="0"/>
            <w:vAlign w:val="center"/>
          </w:tcPr>
          <w:p>
            <w:pPr>
              <w:jc w:val="center"/>
              <w:rPr>
                <w:rFonts w:eastAsia="黑体"/>
                <w:szCs w:val="21"/>
              </w:rPr>
            </w:pPr>
            <w:r>
              <w:rPr>
                <w:rFonts w:hint="eastAsia" w:eastAsia="黑体"/>
                <w:szCs w:val="21"/>
              </w:rPr>
              <w:t>检验项目</w:t>
            </w:r>
          </w:p>
        </w:tc>
        <w:tc>
          <w:tcPr>
            <w:tcW w:w="1523" w:type="dxa"/>
            <w:tcBorders>
              <w:right w:val="single" w:color="auto" w:sz="4" w:space="0"/>
            </w:tcBorders>
            <w:noWrap w:val="0"/>
            <w:vAlign w:val="center"/>
          </w:tcPr>
          <w:p>
            <w:pPr>
              <w:jc w:val="center"/>
              <w:rPr>
                <w:rFonts w:eastAsia="黑体"/>
                <w:szCs w:val="21"/>
              </w:rPr>
            </w:pPr>
            <w:r>
              <w:rPr>
                <w:rFonts w:hint="eastAsia" w:eastAsia="黑体"/>
                <w:szCs w:val="21"/>
              </w:rPr>
              <w:t>折扣率</w:t>
            </w:r>
          </w:p>
        </w:tc>
        <w:tc>
          <w:tcPr>
            <w:tcW w:w="1269" w:type="dxa"/>
            <w:tcBorders>
              <w:left w:val="single" w:color="auto" w:sz="4" w:space="0"/>
            </w:tcBorders>
            <w:noWrap w:val="0"/>
            <w:vAlign w:val="center"/>
          </w:tcPr>
          <w:p>
            <w:pPr>
              <w:jc w:val="center"/>
              <w:rPr>
                <w:rFonts w:eastAsia="黑体"/>
                <w:szCs w:val="21"/>
              </w:rPr>
            </w:pPr>
            <w:r>
              <w:rPr>
                <w:rFonts w:eastAsia="黑体"/>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720" w:type="dxa"/>
            <w:noWrap w:val="0"/>
            <w:vAlign w:val="center"/>
          </w:tcPr>
          <w:p>
            <w:pPr>
              <w:jc w:val="center"/>
              <w:rPr>
                <w:szCs w:val="21"/>
              </w:rPr>
            </w:pPr>
            <w:r>
              <w:rPr>
                <w:szCs w:val="21"/>
              </w:rPr>
              <w:t>1</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20" w:type="dxa"/>
            <w:noWrap w:val="0"/>
            <w:vAlign w:val="center"/>
          </w:tcPr>
          <w:p>
            <w:pPr>
              <w:jc w:val="center"/>
              <w:rPr>
                <w:szCs w:val="21"/>
              </w:rPr>
            </w:pPr>
            <w:r>
              <w:rPr>
                <w:szCs w:val="21"/>
              </w:rPr>
              <w:t>2</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20" w:type="dxa"/>
            <w:noWrap w:val="0"/>
            <w:vAlign w:val="center"/>
          </w:tcPr>
          <w:p>
            <w:pPr>
              <w:jc w:val="center"/>
              <w:rPr>
                <w:szCs w:val="21"/>
              </w:rPr>
            </w:pPr>
            <w:r>
              <w:rPr>
                <w:szCs w:val="21"/>
              </w:rPr>
              <w:t>3</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20" w:type="dxa"/>
            <w:noWrap w:val="0"/>
            <w:vAlign w:val="center"/>
          </w:tcPr>
          <w:p>
            <w:pPr>
              <w:jc w:val="center"/>
              <w:rPr>
                <w:szCs w:val="21"/>
              </w:rPr>
            </w:pPr>
            <w:r>
              <w:rPr>
                <w:szCs w:val="21"/>
              </w:rPr>
              <w:t>4</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2" w:hRule="atLeast"/>
          <w:jc w:val="center"/>
        </w:trPr>
        <w:tc>
          <w:tcPr>
            <w:tcW w:w="720" w:type="dxa"/>
            <w:noWrap w:val="0"/>
            <w:vAlign w:val="center"/>
          </w:tcPr>
          <w:p>
            <w:pPr>
              <w:jc w:val="center"/>
              <w:rPr>
                <w:szCs w:val="21"/>
              </w:rPr>
            </w:pPr>
            <w:r>
              <w:rPr>
                <w:szCs w:val="21"/>
              </w:rPr>
              <w:t>5</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20" w:type="dxa"/>
            <w:noWrap w:val="0"/>
            <w:vAlign w:val="center"/>
          </w:tcPr>
          <w:p>
            <w:pPr>
              <w:jc w:val="center"/>
              <w:rPr>
                <w:szCs w:val="21"/>
              </w:rPr>
            </w:pPr>
            <w:r>
              <w:rPr>
                <w:szCs w:val="21"/>
              </w:rPr>
              <w:t>6</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20" w:type="dxa"/>
            <w:noWrap w:val="0"/>
            <w:vAlign w:val="center"/>
          </w:tcPr>
          <w:p>
            <w:pPr>
              <w:jc w:val="center"/>
              <w:rPr>
                <w:szCs w:val="21"/>
              </w:rPr>
            </w:pPr>
            <w:r>
              <w:rPr>
                <w:szCs w:val="21"/>
              </w:rPr>
              <w:t>…</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bl>
    <w:p>
      <w:pPr>
        <w:autoSpaceDE w:val="0"/>
        <w:autoSpaceDN w:val="0"/>
        <w:adjustRightInd w:val="0"/>
        <w:snapToGrid w:val="0"/>
        <w:spacing w:line="300" w:lineRule="auto"/>
        <w:rPr>
          <w:rFonts w:hint="eastAsia" w:ascii="仿宋_GB2312" w:hAnsi="仿宋_GB2312" w:eastAsia="仿宋_GB2312" w:cs="仿宋_GB2312"/>
          <w:bCs/>
          <w:color w:val="000000"/>
          <w:sz w:val="32"/>
          <w:szCs w:val="32"/>
        </w:rPr>
      </w:pPr>
    </w:p>
    <w:p>
      <w:pPr>
        <w:autoSpaceDE w:val="0"/>
        <w:autoSpaceDN w:val="0"/>
        <w:adjustRightInd w:val="0"/>
        <w:snapToGrid w:val="0"/>
        <w:spacing w:line="300" w:lineRule="auto"/>
        <w:rPr>
          <w:rFonts w:hint="eastAsia" w:ascii="仿宋_GB2312" w:hAnsi="仿宋_GB2312" w:eastAsia="仿宋_GB2312" w:cs="仿宋_GB2312"/>
          <w:bCs/>
          <w:color w:val="000000"/>
          <w:sz w:val="32"/>
          <w:szCs w:val="32"/>
        </w:rPr>
      </w:pP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法定代表人或授权代表（签字）：                     </w:t>
      </w: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供应商名称（盖章）：</w:t>
      </w: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pPr>
        <w:autoSpaceDE w:val="0"/>
        <w:autoSpaceDN w:val="0"/>
        <w:adjustRightInd w:val="0"/>
        <w:snapToGrid w:val="0"/>
        <w:spacing w:line="300" w:lineRule="auto"/>
        <w:rPr>
          <w:rFonts w:ascii="仿宋_GB2312" w:hAnsi="仿宋_GB2312" w:cs="仿宋_GB2312"/>
          <w:sz w:val="28"/>
          <w:szCs w:val="28"/>
        </w:rPr>
      </w:pPr>
    </w:p>
    <w:p>
      <w:pPr>
        <w:autoSpaceDE w:val="0"/>
        <w:autoSpaceDN w:val="0"/>
        <w:adjustRightInd w:val="0"/>
        <w:snapToGrid w:val="0"/>
        <w:spacing w:line="300" w:lineRule="auto"/>
        <w:rPr>
          <w:rFonts w:hint="eastAsia" w:ascii="黑体" w:hAnsi="黑体" w:eastAsia="黑体" w:cs="黑体"/>
          <w:sz w:val="32"/>
          <w:szCs w:val="32"/>
        </w:rPr>
      </w:pPr>
      <w:r>
        <w:rPr>
          <w:rFonts w:ascii="宋体" w:hAnsi="宋体"/>
          <w:szCs w:val="21"/>
          <w:u w:val="single"/>
        </w:rPr>
        <w:br w:type="page"/>
      </w:r>
      <w:r>
        <w:rPr>
          <w:rFonts w:hint="eastAsia" w:ascii="黑体" w:hAnsi="黑体" w:eastAsia="黑体" w:cs="黑体"/>
          <w:sz w:val="32"/>
          <w:szCs w:val="32"/>
        </w:rPr>
        <w:t xml:space="preserve">附件3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资格证明文件</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资格证明文件详见《询价响应供应商的资质要求》。</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1、投标人必须是在中华人民共和国境内注册的独立法定代表人或其他组织（证明文件：须提供营业执照或法定代表人证书复印件加盖投标人公章</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2、在招投标活动中因串通投标被暂停投标资格期间或涉嫌串通投标并正在接受主管部门调查的投标申请公司不被接受。</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3、投标人必须提供近三年内（即至少从2022年1月开始起算，投标人成立不足三年的可从成立之日起算）无行贿犯罪记录，需提供声明函。</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4、本项目不接受联合体投标，不允许分包。</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5、投标人认为有必要提供的其他证明文件。</w:t>
      </w:r>
    </w:p>
    <w:p>
      <w:pPr>
        <w:tabs>
          <w:tab w:val="left" w:pos="1114"/>
        </w:tabs>
        <w:autoSpaceDE w:val="0"/>
        <w:autoSpaceDN w:val="0"/>
        <w:adjustRightInd w:val="0"/>
        <w:snapToGrid w:val="0"/>
        <w:spacing w:line="348" w:lineRule="auto"/>
        <w:ind w:left="624"/>
        <w:rPr>
          <w:rFonts w:ascii="仿宋_GB2312" w:hAnsi="仿宋_GB2312" w:eastAsia="仿宋_GB2312" w:cs="仿宋_GB2312"/>
          <w:bCs/>
          <w:color w:val="000000"/>
          <w:sz w:val="32"/>
          <w:szCs w:val="32"/>
        </w:rPr>
      </w:pPr>
    </w:p>
    <w:p>
      <w:pPr>
        <w:spacing w:line="360" w:lineRule="auto"/>
        <w:ind w:firstLine="480" w:firstLineChars="150"/>
        <w:rPr>
          <w:rFonts w:ascii="仿宋_GB2312" w:hAnsi="仿宋_GB2312" w:eastAsia="仿宋_GB2312" w:cs="仿宋_GB2312"/>
          <w:bCs/>
          <w:color w:val="000000"/>
          <w:sz w:val="32"/>
          <w:szCs w:val="32"/>
        </w:rPr>
      </w:pPr>
    </w:p>
    <w:p>
      <w:pPr>
        <w:spacing w:line="480" w:lineRule="auto"/>
        <w:ind w:firstLine="480" w:firstLineChars="15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投标人代表签名：                      </w:t>
      </w:r>
    </w:p>
    <w:p>
      <w:pPr>
        <w:pStyle w:val="16"/>
        <w:spacing w:line="480" w:lineRule="auto"/>
        <w:ind w:firstLine="480" w:firstLineChars="15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日期：       年   月   日</w:t>
      </w:r>
    </w:p>
    <w:p>
      <w:pPr>
        <w:autoSpaceDE w:val="0"/>
        <w:autoSpaceDN w:val="0"/>
        <w:adjustRightInd w:val="0"/>
        <w:snapToGrid w:val="0"/>
        <w:spacing w:line="348" w:lineRule="auto"/>
        <w:rPr>
          <w:rFonts w:hint="eastAsia" w:ascii="黑体" w:hAnsi="黑体" w:eastAsia="黑体" w:cs="黑体"/>
          <w:b w:val="0"/>
          <w:bCs w:val="0"/>
          <w:color w:val="auto"/>
          <w:sz w:val="32"/>
          <w:szCs w:val="32"/>
        </w:rPr>
      </w:pPr>
      <w:r>
        <w:rPr>
          <w:rFonts w:ascii="宋体" w:hAnsi="宋体" w:cs="宋体"/>
          <w:b/>
          <w:bCs/>
          <w:color w:val="333333"/>
          <w:sz w:val="44"/>
          <w:szCs w:val="44"/>
        </w:rPr>
        <w:br w:type="page"/>
      </w:r>
      <w:r>
        <w:rPr>
          <w:rFonts w:hint="eastAsia" w:ascii="黑体" w:hAnsi="黑体" w:eastAsia="黑体" w:cs="黑体"/>
          <w:sz w:val="32"/>
          <w:szCs w:val="32"/>
        </w:rPr>
        <w:t xml:space="preserve">附件4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 w:val="0"/>
          <w:bCs w:val="0"/>
          <w:sz w:val="44"/>
          <w:szCs w:val="44"/>
        </w:rPr>
        <w:t>承诺函</w:t>
      </w:r>
    </w:p>
    <w:p>
      <w:pPr>
        <w:tabs>
          <w:tab w:val="left" w:pos="1114"/>
        </w:tabs>
        <w:autoSpaceDE w:val="0"/>
        <w:autoSpaceDN w:val="0"/>
        <w:adjustRightInd w:val="0"/>
        <w:snapToGrid w:val="0"/>
        <w:spacing w:line="348" w:lineRule="auto"/>
        <w:rPr>
          <w:rFonts w:hint="eastAsia" w:ascii="仿宋_GB2312" w:hAnsi="仿宋_GB2312" w:eastAsia="仿宋_GB2312" w:cs="仿宋_GB2312"/>
          <w:bCs/>
          <w:color w:val="000000"/>
          <w:sz w:val="32"/>
          <w:szCs w:val="32"/>
        </w:rPr>
      </w:pPr>
    </w:p>
    <w:p>
      <w:pPr>
        <w:tabs>
          <w:tab w:val="left" w:pos="1114"/>
        </w:tabs>
        <w:autoSpaceDE w:val="0"/>
        <w:autoSpaceDN w:val="0"/>
        <w:adjustRightInd w:val="0"/>
        <w:snapToGrid w:val="0"/>
        <w:spacing w:line="56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致：深圳市住房和建设局</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我公司承诺：</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1.对本招标项目所提供的货物、工程或服务未侵犯知识产权。我公司已清楚，提供虚假承诺或者被有关单位确认为侵犯知识产权的，三年内不得参加政府采购活动。</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2.在本项目投标过程中不弄虚作假，不隐瞒真实情况，不恶意质疑投诉。</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3.在政府采购最近三年内无因经营中违法违规的记录，无骗取中标、严重违约及重大安全及质量问题之一</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4.在本项目招标过程中，评标委员会若对投标人进行现场勘查或实地考察或检验有关证明材料的原件，我公司将随时做好接受检查的准备。</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5.本项目由我公司独立投标，并承诺在中标后独立完成，不转包、不分包，否则按政府采购相关规定处理。</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投标人名称：               （公章） </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投标人代表签名：                      </w:t>
      </w:r>
    </w:p>
    <w:p>
      <w:pPr>
        <w:tabs>
          <w:tab w:val="left" w:pos="1114"/>
        </w:tabs>
        <w:autoSpaceDE w:val="0"/>
        <w:autoSpaceDN w:val="0"/>
        <w:adjustRightInd w:val="0"/>
        <w:snapToGrid w:val="0"/>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bCs/>
          <w:color w:val="000000"/>
          <w:sz w:val="32"/>
          <w:szCs w:val="32"/>
        </w:rPr>
        <w:t>日期：       年     月     日</w:t>
      </w:r>
      <w:r>
        <w:rPr>
          <w:rFonts w:hint="eastAsia" w:ascii="黑体" w:hAnsi="黑体" w:eastAsia="黑体" w:cs="黑体"/>
          <w:sz w:val="32"/>
          <w:szCs w:val="32"/>
        </w:rPr>
        <w:br w:type="page"/>
      </w:r>
    </w:p>
    <w:p>
      <w:pPr>
        <w:autoSpaceDE w:val="0"/>
        <w:autoSpaceDN w:val="0"/>
        <w:adjustRightInd w:val="0"/>
        <w:snapToGrid w:val="0"/>
        <w:spacing w:line="300" w:lineRule="auto"/>
        <w:rPr>
          <w:rFonts w:hint="eastAsia" w:ascii="黑体" w:hAnsi="黑体" w:eastAsia="黑体" w:cs="黑体"/>
          <w:b w:val="0"/>
          <w:bCs w:val="0"/>
          <w:color w:val="auto"/>
          <w:sz w:val="32"/>
          <w:szCs w:val="32"/>
        </w:rPr>
      </w:pPr>
      <w:r>
        <w:rPr>
          <w:rFonts w:hint="eastAsia" w:ascii="黑体" w:hAnsi="黑体" w:eastAsia="黑体" w:cs="黑体"/>
          <w:sz w:val="32"/>
          <w:szCs w:val="32"/>
        </w:rPr>
        <w:t xml:space="preserve">附件5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法定代表人证明书</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同志，现任我单位         职务，为法定代表人，特此证明。</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附：法定代表人性别：       年龄：    身份证号码：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营业执照号码：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主营：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兼营：</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有效日期：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签发日期：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                             （盖章）</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说明：1、法定代表人为企业事业单位、国家机关、社会团体的主要行政负责人。</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2、内容必须填写真实、清楚、涂改无效，不得转让、买卖。</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3、将此证明书提交对方作为合同附件或凭证。</w:t>
      </w:r>
    </w:p>
    <w:p>
      <w:pPr>
        <w:autoSpaceDE w:val="0"/>
        <w:autoSpaceDN w:val="0"/>
        <w:adjustRightInd w:val="0"/>
        <w:snapToGrid w:val="0"/>
        <w:spacing w:line="348" w:lineRule="auto"/>
        <w:rPr>
          <w:rFonts w:hint="eastAsia" w:ascii="黑体" w:hAnsi="黑体" w:eastAsia="黑体" w:cs="黑体"/>
          <w:b w:val="0"/>
          <w:bCs w:val="0"/>
          <w:color w:val="auto"/>
          <w:sz w:val="32"/>
          <w:szCs w:val="32"/>
        </w:rPr>
      </w:pPr>
      <w:r>
        <w:rPr>
          <w:rFonts w:ascii="宋体" w:hAnsi="宋体" w:cs="宋体"/>
          <w:b/>
          <w:bCs/>
          <w:color w:val="333333"/>
          <w:sz w:val="44"/>
          <w:szCs w:val="44"/>
        </w:rPr>
        <w:br w:type="page"/>
      </w:r>
      <w:r>
        <w:rPr>
          <w:rFonts w:hint="eastAsia" w:ascii="黑体" w:hAnsi="黑体" w:eastAsia="黑体" w:cs="黑体"/>
          <w:sz w:val="32"/>
          <w:szCs w:val="32"/>
        </w:rPr>
        <w:t xml:space="preserve">附件6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法定代表人授权委托书</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本授权书由         出具。         系依照中华人民共和国法律成立的公司，注册地址为       ，邮政编码为       ，法定代表人为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本公司现授权      先生/女士(身份证号为          )代表本公司就         签署投标文件，并以本公司名义处理一切与之有关的事务。</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先生/女士的签字为：         。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被授权人应依法执行在本授权范围内的相关事宜。</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本授权书于        年     月       日签字生效，特此声明。</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法定代表人签署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公司公章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autoSpaceDE w:val="0"/>
        <w:autoSpaceDN w:val="0"/>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附件7</w:t>
      </w:r>
    </w:p>
    <w:p>
      <w:pPr>
        <w:autoSpaceDE w:val="0"/>
        <w:autoSpaceDN w:val="0"/>
        <w:adjustRightInd w:val="0"/>
        <w:snapToGrid w:val="0"/>
        <w:spacing w:before="0" w:after="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供应商基本情况表</w:t>
      </w:r>
    </w:p>
    <w:p>
      <w:pPr>
        <w:adjustRightInd w:val="0"/>
        <w:snapToGrid w:val="0"/>
        <w:rPr>
          <w:rFonts w:hint="eastAsia" w:ascii="方正仿宋_GBK" w:hAnsi="方正仿宋_GBK" w:eastAsia="方正仿宋_GBK" w:cs="方正仿宋_GBK"/>
          <w:sz w:val="28"/>
          <w:szCs w:val="28"/>
        </w:rPr>
      </w:pPr>
    </w:p>
    <w:p>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12"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985"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jc w:val="center"/>
              <w:rPr>
                <w:rFonts w:hint="eastAsia" w:ascii="方正仿宋_GBK" w:hAnsi="方正仿宋_GBK" w:eastAsia="方正仿宋_GBK" w:cs="方正仿宋_GBK"/>
                <w:sz w:val="24"/>
              </w:rPr>
            </w:pPr>
          </w:p>
        </w:tc>
        <w:tc>
          <w:tcPr>
            <w:tcW w:w="1500" w:type="dxa"/>
            <w:noWrap w:val="0"/>
            <w:vAlign w:val="center"/>
          </w:tcPr>
          <w:p>
            <w:pPr>
              <w:jc w:val="center"/>
              <w:rPr>
                <w:rFonts w:hint="eastAsia" w:ascii="方正仿宋_GBK" w:hAnsi="方正仿宋_GBK" w:eastAsia="方正仿宋_GBK" w:cs="方正仿宋_GBK"/>
                <w:sz w:val="24"/>
              </w:rPr>
            </w:pPr>
          </w:p>
        </w:tc>
        <w:tc>
          <w:tcPr>
            <w:tcW w:w="1485"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5</w:t>
            </w:r>
          </w:p>
        </w:tc>
        <w:tc>
          <w:tcPr>
            <w:tcW w:w="2282" w:type="dxa"/>
            <w:gridSpan w:val="2"/>
            <w:noWrap w:val="0"/>
            <w:vAlign w:val="center"/>
          </w:tcPr>
          <w:p>
            <w:pPr>
              <w:pStyle w:val="4"/>
              <w:snapToGrid w:val="0"/>
              <w:ind w:firstLine="0" w:firstLineChars="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jc w:val="center"/>
              <w:rPr>
                <w:rFonts w:hint="eastAsia" w:ascii="方正仿宋_GBK" w:hAnsi="方正仿宋_GBK" w:eastAsia="方正仿宋_GBK" w:cs="方正仿宋_GBK"/>
                <w:sz w:val="24"/>
              </w:rPr>
            </w:pPr>
          </w:p>
        </w:tc>
        <w:tc>
          <w:tcPr>
            <w:tcW w:w="1500" w:type="dxa"/>
            <w:noWrap w:val="0"/>
            <w:vAlign w:val="center"/>
          </w:tcPr>
          <w:p>
            <w:pPr>
              <w:jc w:val="center"/>
              <w:rPr>
                <w:rFonts w:hint="eastAsia" w:ascii="方正仿宋_GBK" w:hAnsi="方正仿宋_GBK" w:eastAsia="方正仿宋_GBK" w:cs="方正仿宋_GBK"/>
                <w:sz w:val="24"/>
              </w:rPr>
            </w:pPr>
          </w:p>
        </w:tc>
        <w:tc>
          <w:tcPr>
            <w:tcW w:w="1485"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spacing w:line="240" w:lineRule="auto"/>
        <w:rPr>
          <w:rFonts w:hint="eastAsia" w:ascii="黑体" w:hAnsi="黑体" w:eastAsia="黑体" w:cs="黑体"/>
          <w:bCs w:val="0"/>
          <w:sz w:val="32"/>
          <w:szCs w:val="32"/>
        </w:rPr>
      </w:pPr>
      <w:r>
        <w:rPr>
          <w:rFonts w:hint="eastAsia" w:ascii="黑体" w:hAnsi="黑体" w:eastAsia="黑体" w:cs="黑体"/>
          <w:bCs w:val="0"/>
          <w:sz w:val="32"/>
          <w:szCs w:val="32"/>
        </w:rPr>
        <w:br w:type="page"/>
      </w:r>
    </w:p>
    <w:p>
      <w:pPr>
        <w:autoSpaceDE w:val="0"/>
        <w:autoSpaceDN w:val="0"/>
        <w:adjustRightInd w:val="0"/>
        <w:snapToGrid w:val="0"/>
        <w:spacing w:line="300" w:lineRule="auto"/>
        <w:rPr>
          <w:rFonts w:hint="eastAsia" w:ascii="黑体" w:hAnsi="黑体" w:eastAsia="黑体" w:cs="黑体"/>
          <w:bCs w:val="0"/>
          <w:sz w:val="32"/>
          <w:szCs w:val="32"/>
        </w:rPr>
      </w:pPr>
      <w:r>
        <w:rPr>
          <w:rFonts w:hint="eastAsia" w:ascii="黑体" w:hAnsi="黑体" w:eastAsia="黑体" w:cs="黑体"/>
          <w:bCs w:val="0"/>
          <w:sz w:val="32"/>
          <w:szCs w:val="32"/>
        </w:rPr>
        <w:t>附件8</w:t>
      </w:r>
    </w:p>
    <w:p>
      <w:pPr>
        <w:tabs>
          <w:tab w:val="left" w:pos="180"/>
        </w:tabs>
        <w:adjustRightInd w:val="0"/>
        <w:snapToGrid w:val="0"/>
        <w:spacing w:line="560" w:lineRule="exact"/>
        <w:ind w:right="420" w:firstLine="5460" w:firstLineChars="26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pStyle w:val="2"/>
        <w:rPr>
          <w:rFonts w:hint="eastAsia" w:ascii="黑体" w:eastAsia="黑体"/>
          <w:bCs/>
          <w:sz w:val="32"/>
          <w:szCs w:val="32"/>
        </w:rPr>
      </w:pPr>
    </w:p>
    <w:p>
      <w:pPr>
        <w:pStyle w:val="3"/>
        <w:rPr>
          <w:rFonts w:hint="eastAsia" w:ascii="黑体" w:eastAsia="黑体"/>
          <w:bCs/>
          <w:sz w:val="32"/>
          <w:szCs w:val="32"/>
        </w:rPr>
      </w:pPr>
    </w:p>
    <w:p>
      <w:pPr>
        <w:rPr>
          <w:rFonts w:hint="eastAsia"/>
        </w:rPr>
      </w:pPr>
    </w:p>
    <w:p>
      <w:pPr>
        <w:pStyle w:val="10"/>
        <w:ind w:firstLine="210"/>
        <w:rPr>
          <w:rFonts w:hint="eastAsia"/>
        </w:rPr>
      </w:pPr>
    </w:p>
    <w:p>
      <w:pPr>
        <w:adjustRightInd w:val="0"/>
        <w:snapToGrid w:val="0"/>
        <w:spacing w:after="120" w:afterLines="50" w:line="560" w:lineRule="exact"/>
        <w:jc w:val="center"/>
        <w:rPr>
          <w:rFonts w:hint="eastAsia"/>
          <w:sz w:val="36"/>
          <w:szCs w:val="36"/>
        </w:rPr>
      </w:pPr>
      <w:r>
        <w:rPr>
          <w:rFonts w:hint="eastAsia" w:ascii="黑体" w:eastAsia="黑体"/>
          <w:bCs/>
          <w:sz w:val="36"/>
          <w:szCs w:val="36"/>
        </w:rPr>
        <w:t>服 务 采 购 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pStyle w:val="9"/>
        <w:widowControl/>
        <w:ind w:firstLine="219" w:firstLineChars="78"/>
        <w:rPr>
          <w:rFonts w:hint="eastAsia"/>
          <w:b/>
          <w:sz w:val="28"/>
          <w:szCs w:val="28"/>
          <w:u w:val="single"/>
        </w:rPr>
      </w:pPr>
      <w:r>
        <w:rPr>
          <w:rFonts w:hint="eastAsia"/>
          <w:b/>
          <w:sz w:val="28"/>
          <w:szCs w:val="28"/>
        </w:rPr>
        <w:t>项目名称 ：</w:t>
      </w:r>
      <w:r>
        <w:rPr>
          <w:rFonts w:hint="eastAsia"/>
          <w:b/>
          <w:sz w:val="28"/>
          <w:szCs w:val="28"/>
          <w:u w:val="single"/>
        </w:rPr>
        <w:t xml:space="preserve"> </w:t>
      </w:r>
      <w:r>
        <w:rPr>
          <w:b/>
          <w:sz w:val="28"/>
          <w:szCs w:val="28"/>
          <w:u w:val="single"/>
        </w:rPr>
        <w:t xml:space="preserve">                                               </w:t>
      </w:r>
      <w:r>
        <w:rPr>
          <w:rFonts w:hint="eastAsia"/>
          <w:u w:val="single"/>
        </w:rPr>
        <w:t xml:space="preserve"> </w:t>
      </w:r>
    </w:p>
    <w:p>
      <w:pPr>
        <w:tabs>
          <w:tab w:val="left" w:leader="underscore" w:pos="180"/>
          <w:tab w:val="left" w:pos="2160"/>
          <w:tab w:val="left" w:pos="6480"/>
        </w:tabs>
        <w:spacing w:before="120" w:beforeLines="50" w:after="120" w:afterLines="50" w:line="300" w:lineRule="auto"/>
        <w:ind w:firstLine="281" w:firstLineChars="100"/>
        <w:rPr>
          <w:rFonts w:hint="eastAsia"/>
          <w:b/>
          <w:sz w:val="28"/>
          <w:szCs w:val="28"/>
          <w:u w:val="single"/>
        </w:rPr>
      </w:pPr>
      <w:r>
        <w:rPr>
          <w:rFonts w:hint="eastAsia"/>
          <w:b/>
          <w:sz w:val="28"/>
          <w:szCs w:val="28"/>
        </w:rPr>
        <w:t>委托方（甲方）：</w:t>
      </w:r>
      <w:r>
        <w:rPr>
          <w:rFonts w:hint="eastAsia"/>
          <w:b/>
          <w:sz w:val="28"/>
          <w:szCs w:val="28"/>
          <w:u w:val="single"/>
        </w:rPr>
        <w:t xml:space="preserve"> </w:t>
      </w:r>
      <w:r>
        <w:rPr>
          <w:rFonts w:hint="eastAsia"/>
          <w:bCs/>
          <w:sz w:val="28"/>
          <w:szCs w:val="28"/>
          <w:u w:val="single"/>
        </w:rPr>
        <w:t xml:space="preserve"> </w:t>
      </w:r>
      <w:r>
        <w:rPr>
          <w:bCs/>
          <w:sz w:val="28"/>
          <w:szCs w:val="28"/>
          <w:u w:val="single"/>
        </w:rPr>
        <w:t xml:space="preserve">                   </w:t>
      </w:r>
      <w:r>
        <w:rPr>
          <w:rFonts w:hint="eastAsia"/>
          <w:b/>
          <w:sz w:val="28"/>
          <w:szCs w:val="28"/>
          <w:u w:val="single"/>
        </w:rPr>
        <w:t xml:space="preserve">                     </w:t>
      </w:r>
    </w:p>
    <w:p>
      <w:pPr>
        <w:tabs>
          <w:tab w:val="left" w:pos="180"/>
          <w:tab w:val="left" w:pos="7200"/>
        </w:tabs>
        <w:spacing w:before="120" w:beforeLines="50" w:after="120" w:afterLines="50" w:line="300" w:lineRule="auto"/>
        <w:ind w:firstLine="281" w:firstLineChars="100"/>
        <w:rPr>
          <w:rFonts w:hint="eastAsia"/>
          <w:b/>
          <w:sz w:val="28"/>
          <w:szCs w:val="28"/>
          <w:u w:val="single"/>
        </w:rPr>
      </w:pPr>
      <w:r>
        <w:rPr>
          <w:rFonts w:hint="eastAsia"/>
          <w:b/>
          <w:sz w:val="28"/>
          <w:szCs w:val="28"/>
        </w:rPr>
        <w:t>受托方（乙方）：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20"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u w:val="single"/>
        </w:rPr>
        <w:t>9</w:t>
      </w:r>
      <w:r>
        <w:rPr>
          <w:szCs w:val="21"/>
          <w:u w:val="single"/>
        </w:rPr>
        <w:t xml:space="preserve"> </w:t>
      </w:r>
      <w:r>
        <w:rPr>
          <w:rFonts w:hint="eastAsia"/>
          <w:szCs w:val="21"/>
        </w:rPr>
        <w:t>页（含封面）</w:t>
      </w:r>
    </w:p>
    <w:p>
      <w:pPr>
        <w:spacing w:before="0" w:beforeLines="-2147483648" w:after="0" w:afterLines="-2147483648" w:line="240" w:lineRule="auto"/>
        <w:ind w:left="0"/>
        <w:jc w:val="left"/>
        <w:rPr>
          <w:rFonts w:hint="eastAsia" w:ascii="黑体" w:eastAsia="黑体"/>
          <w:sz w:val="28"/>
          <w:szCs w:val="28"/>
        </w:rPr>
      </w:pPr>
      <w:r>
        <w:rPr>
          <w:rFonts w:hint="eastAsia" w:ascii="黑体" w:eastAsia="黑体"/>
          <w:sz w:val="28"/>
          <w:szCs w:val="28"/>
        </w:rPr>
        <w:br w:type="page"/>
      </w:r>
    </w:p>
    <w:p>
      <w:pPr>
        <w:spacing w:before="120" w:beforeLines="50" w:after="120"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20" w:beforeLines="50" w:after="120" w:afterLines="50" w:line="300" w:lineRule="auto"/>
        <w:ind w:firstLine="480" w:firstLineChars="200"/>
        <w:jc w:val="left"/>
        <w:rPr>
          <w:rFonts w:hint="eastAsia"/>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pPr>
        <w:spacing w:before="120" w:beforeLines="50" w:after="120" w:afterLines="50" w:line="300" w:lineRule="auto"/>
        <w:ind w:firstLine="480" w:firstLineChars="200"/>
        <w:jc w:val="left"/>
        <w:rPr>
          <w:rFonts w:hint="eastAsia"/>
          <w:sz w:val="24"/>
        </w:rPr>
      </w:pPr>
      <w:r>
        <w:rPr>
          <w:rFonts w:hint="eastAsia"/>
          <w:sz w:val="24"/>
        </w:rPr>
        <w:t>二、关于封面的填写。封面显示的是项目名称、双方当事人的名称、合同编号等，供当事人在归档时甄别使用，其内容请与合同正文内容保持一致。</w:t>
      </w:r>
    </w:p>
    <w:p>
      <w:pPr>
        <w:spacing w:before="120" w:beforeLines="50" w:after="120" w:afterLines="50" w:line="300" w:lineRule="auto"/>
        <w:ind w:firstLine="480" w:firstLineChars="200"/>
        <w:jc w:val="left"/>
        <w:rPr>
          <w:rFonts w:hint="eastAsia"/>
          <w:sz w:val="24"/>
        </w:rPr>
      </w:pPr>
      <w:r>
        <w:rPr>
          <w:rFonts w:hint="eastAsia"/>
          <w:sz w:val="24"/>
        </w:rPr>
        <w:t>三、关于正文部分当事人基本情况的填写。当事人基本情况主要是供当事人在履行合同时通讯和付款使用，因此所填内容请确保信息准确。</w:t>
      </w:r>
    </w:p>
    <w:p>
      <w:pPr>
        <w:spacing w:before="120" w:beforeLines="50" w:after="120" w:afterLines="50" w:line="300" w:lineRule="auto"/>
        <w:ind w:firstLine="480" w:firstLineChars="200"/>
        <w:jc w:val="left"/>
        <w:rPr>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pPr>
        <w:spacing w:before="120" w:beforeLines="50" w:after="120" w:afterLines="50" w:line="300" w:lineRule="auto"/>
        <w:ind w:firstLine="480" w:firstLineChars="200"/>
        <w:jc w:val="left"/>
        <w:rPr>
          <w:sz w:val="24"/>
        </w:rPr>
      </w:pPr>
      <w:r>
        <w:rPr>
          <w:rFonts w:hint="eastAsia"/>
          <w:sz w:val="24"/>
        </w:rPr>
        <w:t>五、本合同示范文本中的“□”为可选择项目，选择该项目的，请在“□”内划“√”，不选择的请在“□”内划“×”。未划“√”或“×”视为不选择。</w:t>
      </w:r>
    </w:p>
    <w:p>
      <w:pPr>
        <w:spacing w:before="120" w:beforeLines="50" w:after="120" w:afterLines="50" w:line="300" w:lineRule="auto"/>
        <w:ind w:firstLine="480" w:firstLineChars="200"/>
        <w:jc w:val="left"/>
        <w:rPr>
          <w:rFonts w:hint="eastAsia"/>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pPr>
        <w:spacing w:before="120" w:beforeLines="50" w:after="120" w:afterLines="50" w:line="300" w:lineRule="auto"/>
        <w:ind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pStyle w:val="2"/>
        <w:rPr>
          <w:rFonts w:hint="eastAsia"/>
          <w:b/>
          <w:sz w:val="24"/>
        </w:rPr>
      </w:pPr>
    </w:p>
    <w:p>
      <w:pPr>
        <w:pStyle w:val="3"/>
        <w:rPr>
          <w:rFonts w:hint="eastAsia"/>
        </w:rPr>
      </w:pPr>
    </w:p>
    <w:p>
      <w:pPr>
        <w:pStyle w:val="2"/>
        <w:rPr>
          <w:rFonts w:hint="eastAsia"/>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r>
        <w:rPr>
          <w:sz w:val="24"/>
          <w:u w:val="single"/>
        </w:rPr>
        <w:t xml:space="preserve">                            </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bookmarkStart w:id="1" w:name="OLE_LINK4"/>
      <w:bookmarkStart w:id="2" w:name="OLE_LINK3"/>
      <w:r>
        <w:rPr>
          <w:rFonts w:hint="eastAsia"/>
          <w:b/>
          <w:sz w:val="24"/>
        </w:rPr>
        <w:t>电子邮箱：</w:t>
      </w:r>
      <w:r>
        <w:rPr>
          <w:rFonts w:hint="eastAsia"/>
          <w:sz w:val="24"/>
          <w:u w:val="single"/>
        </w:rPr>
        <w:t xml:space="preserve">                                                         </w:t>
      </w:r>
    </w:p>
    <w:bookmarkEnd w:id="1"/>
    <w:bookmarkEnd w:id="2"/>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3" w:name="OLE_LINK1"/>
      <w:bookmarkStart w:id="4" w:name="OLE_LINK2"/>
      <w:r>
        <w:rPr>
          <w:rFonts w:hint="eastAsia"/>
          <w:b/>
          <w:sz w:val="24"/>
        </w:rPr>
        <w:t>邮政编码：</w:t>
      </w:r>
      <w:r>
        <w:rPr>
          <w:rFonts w:hint="eastAsia"/>
          <w:sz w:val="24"/>
          <w:u w:val="single"/>
        </w:rPr>
        <w:t xml:space="preserve">                                                         </w:t>
      </w:r>
    </w:p>
    <w:bookmarkEnd w:id="3"/>
    <w:bookmarkEnd w:id="4"/>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sz w:val="24"/>
          <w:u w:val="single"/>
        </w:rPr>
        <w:t xml:space="preserve">                 </w:t>
      </w:r>
      <w:r>
        <w:rPr>
          <w:rFonts w:hint="eastAsia"/>
          <w:sz w:val="24"/>
          <w:u w:val="single"/>
        </w:rPr>
        <w:t xml:space="preserve">     </w:t>
      </w:r>
      <w:r>
        <w:rPr>
          <w:rFonts w:hint="eastAsia"/>
          <w:b/>
          <w:sz w:val="24"/>
        </w:rPr>
        <w:t>传真：</w:t>
      </w: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r>
        <w:rPr>
          <w:rFonts w:hint="eastAsia"/>
          <w:bCs/>
          <w:sz w:val="28"/>
          <w:szCs w:val="28"/>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r>
        <w:rPr>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r>
        <w:rPr>
          <w:rFonts w:hint="eastAsia"/>
          <w:b/>
          <w:sz w:val="24"/>
        </w:rPr>
        <w:t>电子邮箱：</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r>
        <w:rPr>
          <w:sz w:val="24"/>
          <w:u w:val="single"/>
        </w:rPr>
        <w:t xml:space="preserve">             </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sz w:val="24"/>
          <w:u w:val="single"/>
        </w:rPr>
        <w:t xml:space="preserve">             </w:t>
      </w:r>
      <w:r>
        <w:rPr>
          <w:rFonts w:hint="eastAsia"/>
          <w:sz w:val="24"/>
          <w:u w:val="single"/>
        </w:rPr>
        <w:t xml:space="preserve">     </w:t>
      </w:r>
      <w:r>
        <w:rPr>
          <w:rFonts w:hint="eastAsia"/>
          <w:b/>
          <w:sz w:val="24"/>
        </w:rPr>
        <w:t>传真：</w:t>
      </w:r>
      <w:r>
        <w:rPr>
          <w:rFonts w:hint="eastAsia"/>
          <w:sz w:val="24"/>
          <w:u w:val="single"/>
        </w:rPr>
        <w:t xml:space="preserve">       </w:t>
      </w:r>
      <w:r>
        <w:rPr>
          <w:sz w:val="24"/>
          <w:u w:val="single"/>
        </w:rPr>
        <w:t xml:space="preserve">                   </w:t>
      </w:r>
      <w:r>
        <w:rPr>
          <w:rFonts w:hint="eastAsia"/>
          <w:sz w:val="24"/>
          <w:u w:val="single"/>
        </w:rPr>
        <w:t xml:space="preserve">  </w:t>
      </w:r>
    </w:p>
    <w:p>
      <w:pPr>
        <w:spacing w:line="540" w:lineRule="exact"/>
        <w:ind w:firstLine="560" w:firstLineChars="200"/>
        <w:rPr>
          <w:rFonts w:hint="eastAsia" w:ascii="仿宋_GB2312" w:hAnsi="仿宋_GB2312" w:eastAsia="仿宋_GB2312" w:cs="仿宋_GB2312"/>
          <w:sz w:val="28"/>
          <w:szCs w:val="28"/>
        </w:rPr>
      </w:pPr>
    </w:p>
    <w:p>
      <w:pPr>
        <w:pStyle w:val="10"/>
        <w:ind w:firstLine="280"/>
        <w:rPr>
          <w:rFonts w:hint="eastAsia" w:ascii="仿宋_GB2312" w:hAnsi="仿宋_GB2312" w:eastAsia="仿宋_GB2312" w:cs="仿宋_GB2312"/>
          <w:sz w:val="28"/>
          <w:szCs w:val="28"/>
        </w:rPr>
      </w:pPr>
    </w:p>
    <w:p>
      <w:pPr>
        <w:pStyle w:val="10"/>
        <w:ind w:firstLine="280"/>
        <w:rPr>
          <w:rFonts w:hint="eastAsia" w:ascii="仿宋_GB2312" w:hAnsi="仿宋_GB2312" w:eastAsia="仿宋_GB2312" w:cs="仿宋_GB2312"/>
          <w:sz w:val="28"/>
          <w:szCs w:val="28"/>
        </w:rPr>
      </w:pPr>
    </w:p>
    <w:p>
      <w:pPr>
        <w:adjustRightInd/>
        <w:snapToGrid/>
        <w:spacing w:line="240" w:lineRule="auto"/>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adjustRightInd w:val="0"/>
        <w:snapToGrid w:val="0"/>
        <w:spacing w:line="480" w:lineRule="exact"/>
        <w:ind w:firstLine="480" w:firstLineChars="20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按照《中华人民共和国民法典》和《深圳经济特区政府采购条例》及其他有关法律、法规、规章和合同格式范本，并结合深圳市有关规定及本项目的具体情况，深圳市住房和建设局（以下简称“甲方”）和 </w:t>
      </w:r>
      <w:r>
        <w:rPr>
          <w:rFonts w:hint="eastAsia" w:asciiTheme="minorEastAsia" w:hAnsiTheme="minorEastAsia" w:eastAsiaTheme="minorEastAsia" w:cstheme="minorEastAsia"/>
          <w:sz w:val="24"/>
          <w:u w:val="single"/>
        </w:rPr>
        <w:t xml:space="preserve">                      </w:t>
      </w:r>
    </w:p>
    <w:p>
      <w:pPr>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（以下简称“乙方”），双方本着平等自愿、公平诚信的原则友好协商，就甲方委托乙方承担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，签订本合同，达成以下合同条款：</w:t>
      </w:r>
    </w:p>
    <w:p>
      <w:pPr>
        <w:pStyle w:val="2"/>
        <w:spacing w:after="0" w:line="480" w:lineRule="exact"/>
        <w:jc w:val="left"/>
        <w:rPr>
          <w:rFonts w:hint="eastAsia" w:asciiTheme="minorEastAsia" w:hAnsiTheme="minorEastAsia" w:eastAsiaTheme="minorEastAsia" w:cstheme="minorEastAsia"/>
        </w:rPr>
      </w:pPr>
    </w:p>
    <w:p>
      <w:pPr>
        <w:tabs>
          <w:tab w:val="left" w:pos="1080"/>
          <w:tab w:val="left" w:pos="1665"/>
        </w:tabs>
        <w:adjustRightInd w:val="0"/>
        <w:snapToGrid w:val="0"/>
        <w:spacing w:line="480" w:lineRule="exact"/>
        <w:ind w:firstLine="0" w:firstLineChars="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第一条  项目基本情况</w:t>
      </w:r>
    </w:p>
    <w:p>
      <w:pPr>
        <w:tabs>
          <w:tab w:val="left" w:pos="7920"/>
        </w:tabs>
        <w:adjustRightInd w:val="0"/>
        <w:snapToGrid w:val="0"/>
        <w:spacing w:line="480" w:lineRule="exact"/>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1.1 项目名称：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 项目委托方式为</w:t>
      </w:r>
      <w:r>
        <w:rPr>
          <w:rFonts w:hint="eastAsia" w:asciiTheme="minorEastAsia" w:hAnsiTheme="minorEastAsia" w:eastAsiaTheme="minorEastAsia" w:cstheme="minorEastAsia"/>
          <w:sz w:val="24"/>
          <w:u w:val="single"/>
        </w:rPr>
        <w:t xml:space="preserve">                                                   </w:t>
      </w:r>
    </w:p>
    <w:p>
      <w:pPr>
        <w:adjustRightInd w:val="0"/>
        <w:snapToGrid w:val="0"/>
        <w:spacing w:line="480" w:lineRule="exact"/>
        <w:ind w:firstLine="0" w:firstLineChar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（1）直接委托  （2）单一来源  （3）竞争性谈判 </w:t>
      </w:r>
    </w:p>
    <w:p>
      <w:pPr>
        <w:tabs>
          <w:tab w:val="left" w:pos="7920"/>
        </w:tabs>
        <w:adjustRightInd w:val="0"/>
        <w:snapToGrid w:val="0"/>
        <w:spacing w:line="480" w:lineRule="exact"/>
        <w:ind w:firstLine="0" w:firstLineChars="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（4）公开招标  （5）其它</w:t>
      </w:r>
      <w:r>
        <w:rPr>
          <w:rFonts w:hint="eastAsia" w:asciiTheme="minorEastAsia" w:hAnsiTheme="minorEastAsia" w:eastAsiaTheme="minorEastAsia" w:cstheme="minorEastAsia"/>
          <w:sz w:val="24"/>
          <w:u w:val="single"/>
        </w:rPr>
        <w:t xml:space="preserve">                                          </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 项目检测范围：</w:t>
      </w:r>
    </w:p>
    <w:p>
      <w:pPr>
        <w:tabs>
          <w:tab w:val="left" w:pos="1080"/>
          <w:tab w:val="left" w:pos="1665"/>
          <w:tab w:val="left" w:pos="1995"/>
        </w:tabs>
        <w:adjustRightInd w:val="0"/>
        <w:snapToGrid w:val="0"/>
        <w:spacing w:line="48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本项目服务检测范围：经消防设计审查合格未消防验收且消防产品已进场待验收的建设工程。</w:t>
      </w:r>
    </w:p>
    <w:p>
      <w:pPr>
        <w:tabs>
          <w:tab w:val="left" w:pos="1080"/>
          <w:tab w:val="left" w:pos="1665"/>
          <w:tab w:val="left" w:pos="1995"/>
        </w:tabs>
        <w:adjustRightInd w:val="0"/>
        <w:snapToGrid w:val="0"/>
        <w:spacing w:line="480" w:lineRule="exact"/>
        <w:ind w:firstLine="480" w:firstLineChars="200"/>
        <w:jc w:val="left"/>
        <w:rPr>
          <w:rFonts w:hint="eastAsia" w:asciiTheme="minorEastAsia" w:hAnsiTheme="minorEastAsia" w:eastAsiaTheme="minorEastAsia" w:cstheme="minorEastAsia"/>
          <w:sz w:val="24"/>
          <w:lang w:val="zh-CN"/>
        </w:rPr>
      </w:pPr>
    </w:p>
    <w:p>
      <w:pPr>
        <w:tabs>
          <w:tab w:val="left" w:pos="1080"/>
          <w:tab w:val="left" w:pos="1665"/>
          <w:tab w:val="left" w:pos="1995"/>
        </w:tabs>
        <w:adjustRightInd w:val="0"/>
        <w:snapToGrid w:val="0"/>
        <w:spacing w:line="480" w:lineRule="exact"/>
        <w:ind w:firstLine="0" w:firstLineChars="0"/>
        <w:jc w:val="left"/>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第二条</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lang w:val="zh-CN"/>
        </w:rPr>
        <w:t>合同履行期限</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.1本合同自合同生效之日起至</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zh-CN"/>
        </w:rPr>
        <w:sym w:font="Wingdings 2" w:char="00A3"/>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rPr>
        <w:t>2026</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val="zh-CN"/>
        </w:rPr>
        <w:t>月止</w:t>
      </w:r>
    </w:p>
    <w:p>
      <w:pPr>
        <w:tabs>
          <w:tab w:val="left" w:pos="1080"/>
          <w:tab w:val="left" w:pos="1665"/>
          <w:tab w:val="left" w:pos="1995"/>
        </w:tabs>
        <w:adjustRightInd w:val="0"/>
        <w:snapToGrid w:val="0"/>
        <w:spacing w:line="480" w:lineRule="exact"/>
        <w:ind w:firstLine="3360" w:firstLineChars="140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sym w:font="Wingdings 2" w:char="00A3"/>
      </w:r>
      <w:r>
        <w:rPr>
          <w:rFonts w:hint="eastAsia" w:asciiTheme="minorEastAsia" w:hAnsiTheme="minorEastAsia" w:eastAsiaTheme="minorEastAsia" w:cstheme="minorEastAsia"/>
          <w:sz w:val="24"/>
          <w:lang w:val="zh-CN"/>
        </w:rPr>
        <w:t>甲乙双方约定义务履行完毕之日止。</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.2若本合同履行期限届满，甲乙双方认为需要继续延长履行期限，应在合同履行期限届满前，签订补充协议。</w:t>
      </w:r>
    </w:p>
    <w:p>
      <w:pPr>
        <w:pStyle w:val="2"/>
        <w:spacing w:after="0" w:line="480" w:lineRule="exact"/>
        <w:jc w:val="left"/>
        <w:rPr>
          <w:rFonts w:hint="eastAsia" w:asciiTheme="minorEastAsia" w:hAnsiTheme="minorEastAsia" w:eastAsiaTheme="minorEastAsia" w:cstheme="minorEastAsia"/>
          <w:lang w:val="zh-CN"/>
        </w:rPr>
      </w:pPr>
    </w:p>
    <w:p>
      <w:pPr>
        <w:tabs>
          <w:tab w:val="left" w:pos="1080"/>
          <w:tab w:val="left" w:pos="1665"/>
          <w:tab w:val="left" w:pos="1995"/>
        </w:tabs>
        <w:adjustRightInd w:val="0"/>
        <w:snapToGrid w:val="0"/>
        <w:spacing w:line="480" w:lineRule="exact"/>
        <w:ind w:firstLine="0" w:firstLineChars="0"/>
        <w:jc w:val="left"/>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第三条</w:t>
      </w:r>
      <w:r>
        <w:rPr>
          <w:rFonts w:hint="eastAsia" w:asciiTheme="minorEastAsia" w:hAnsiTheme="minorEastAsia" w:eastAsiaTheme="minorEastAsia" w:cstheme="minorEastAsia"/>
          <w:b/>
          <w:bCs/>
          <w:sz w:val="24"/>
        </w:rPr>
        <w:t xml:space="preserve">  项目相关</w:t>
      </w:r>
      <w:r>
        <w:rPr>
          <w:rFonts w:hint="eastAsia" w:asciiTheme="minorEastAsia" w:hAnsiTheme="minorEastAsia" w:eastAsiaTheme="minorEastAsia" w:cstheme="minorEastAsia"/>
          <w:b/>
          <w:bCs/>
          <w:sz w:val="24"/>
          <w:lang w:val="zh-CN"/>
        </w:rPr>
        <w:t>要求</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 服务要求</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3.1.1 乙方保证全部按照本合同规定向甲方提供检测服务，检测服务包含：乙方在甲方指定的地点交接并运输样品、在乙方实验室按国家标准要求进行检测、出具检验报告、将检验报告寄至甲方指定的地点，乙方承诺不向第三方透露报告信息。</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3.1.2 乙方出具的检验报告应当格式规范、内容齐全、结论明确，并对其出具的检验报告的真实性、准确性、合法性负责，禁止伪造检验报告、出具虚假数据和结果。</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 送检样品的要求。</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3.2.1 送检样品须为同一型号规格，同一批次的产品，送检数量应满足下表规定：</w:t>
      </w:r>
    </w:p>
    <w:tbl>
      <w:tblPr>
        <w:tblStyle w:val="12"/>
        <w:tblW w:w="0" w:type="auto"/>
        <w:jc w:val="center"/>
        <w:tblLayout w:type="fixed"/>
        <w:tblCellMar>
          <w:top w:w="0" w:type="dxa"/>
          <w:left w:w="108" w:type="dxa"/>
          <w:bottom w:w="0" w:type="dxa"/>
          <w:right w:w="108" w:type="dxa"/>
        </w:tblCellMar>
      </w:tblPr>
      <w:tblGrid>
        <w:gridCol w:w="759"/>
        <w:gridCol w:w="2161"/>
        <w:gridCol w:w="5929"/>
      </w:tblGrid>
      <w:tr>
        <w:tblPrEx>
          <w:tblCellMar>
            <w:top w:w="0" w:type="dxa"/>
            <w:left w:w="108" w:type="dxa"/>
            <w:bottom w:w="0" w:type="dxa"/>
            <w:right w:w="108" w:type="dxa"/>
          </w:tblCellMar>
        </w:tblPrEx>
        <w:trPr>
          <w:trHeight w:val="510" w:hRule="atLeast"/>
          <w:tblHeader/>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16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592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样品数量</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消防应急灯具</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3个</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rPr>
            </w:pPr>
            <w:r>
              <w:rPr>
                <w:rFonts w:hint="eastAsia" w:ascii="宋体" w:hAnsi="宋体" w:cs="宋体"/>
                <w:kern w:val="0"/>
                <w:sz w:val="18"/>
                <w:szCs w:val="18"/>
              </w:rPr>
              <w:t>消防水枪</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kern w:val="2"/>
                <w:sz w:val="21"/>
                <w:szCs w:val="24"/>
              </w:rPr>
              <w:t>3个</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rPr>
            </w:pPr>
            <w:r>
              <w:rPr>
                <w:rFonts w:hint="eastAsia" w:ascii="宋体" w:hAnsi="宋体" w:cs="宋体"/>
                <w:kern w:val="0"/>
                <w:sz w:val="18"/>
                <w:szCs w:val="18"/>
              </w:rPr>
              <w:t>有衬里消防水带</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1卷</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消防栓箱</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1个</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 w:hAnsi="仿宋" w:eastAsia="仿宋" w:cs="宋体"/>
              </w:rPr>
            </w:pPr>
            <w:r>
              <w:rPr>
                <w:rFonts w:hint="eastAsia" w:ascii="仿宋" w:hAnsi="仿宋" w:eastAsia="仿宋" w:cs="宋体"/>
              </w:rPr>
              <w:t>5</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手提式灭火器</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5具</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6</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防火门</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宋体"/>
              </w:rPr>
            </w:pPr>
            <w:r>
              <w:rPr>
                <w:rFonts w:hint="eastAsia" w:ascii="仿宋" w:hAnsi="仿宋" w:eastAsia="仿宋" w:cs="宋体"/>
              </w:rPr>
              <w:t>1樘</w:t>
            </w:r>
          </w:p>
        </w:tc>
      </w:tr>
    </w:tbl>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3.2.2 </w:t>
      </w:r>
      <w:r>
        <w:rPr>
          <w:rFonts w:hint="eastAsia" w:asciiTheme="minorEastAsia" w:hAnsiTheme="minorEastAsia" w:eastAsiaTheme="minorEastAsia" w:cstheme="minorEastAsia"/>
          <w:sz w:val="24"/>
          <w:lang w:val="zh-CN"/>
        </w:rPr>
        <w:t>被抽查样品应贴封条和防拆封措施，以保证其完整性、真实性，包括附在样品上的使用说明及其他信息。如样品标签上标明特殊储存或搬运要求，样品应按要求进行处置。</w:t>
      </w:r>
    </w:p>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w:t>
      </w:r>
      <w:r>
        <w:rPr>
          <w:rFonts w:hint="eastAsia" w:asciiTheme="minorEastAsia" w:hAnsiTheme="minorEastAsia" w:eastAsiaTheme="minorEastAsia" w:cstheme="minorEastAsia"/>
          <w:sz w:val="24"/>
        </w:rPr>
        <w:t xml:space="preserve">.2.3 </w:t>
      </w:r>
      <w:r>
        <w:rPr>
          <w:rFonts w:hint="eastAsia" w:asciiTheme="minorEastAsia" w:hAnsiTheme="minorEastAsia" w:eastAsiaTheme="minorEastAsia" w:cstheme="minorEastAsia"/>
          <w:sz w:val="24"/>
          <w:lang w:val="zh-CN"/>
        </w:rPr>
        <w:t>样品由甲方抽样人员抽样封样后，由甲方选择以下两种方式的其中一种送至乙方：</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①甲方在抽样现场与乙方交接样品，乙方负责运输；</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②甲方直接送至乙方。</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乙方接收样品应当有专人负责检查、记录样品的外观、状态、封条有无破损及其他可能对检测结果或者综合判定产生影响的情况，并确认样品与抽样单的记录是否相符，对检测样品加贴相应标识后入库；乙方接收样品后，必须采取相应措施防止样品毁损、灭失、被替换或被更改等。</w:t>
      </w:r>
    </w:p>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3.3 </w:t>
      </w:r>
      <w:r>
        <w:rPr>
          <w:rFonts w:hint="eastAsia" w:asciiTheme="minorEastAsia" w:hAnsiTheme="minorEastAsia" w:eastAsiaTheme="minorEastAsia" w:cstheme="minorEastAsia"/>
          <w:sz w:val="24"/>
          <w:lang w:val="zh-CN"/>
        </w:rPr>
        <w:t>工期要求</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甲方应至少提早一个工作日通知乙方交接样品的具体时间、地点，为乙方提供交接和运输必要的方便；乙方应在十个工作日内完成对甲方提供样品的检测工作并出具检验报告，由于不可抗力原因导致试验无法进行，乙方应第一时间通知甲方。</w:t>
      </w:r>
    </w:p>
    <w:p>
      <w:pPr>
        <w:pStyle w:val="2"/>
        <w:spacing w:after="0" w:line="480" w:lineRule="exact"/>
        <w:rPr>
          <w:rFonts w:hint="eastAsia" w:asciiTheme="minorEastAsia" w:hAnsiTheme="minorEastAsia" w:eastAsiaTheme="minorEastAsia" w:cstheme="minorEastAsia"/>
          <w:lang w:val="zh-CN"/>
        </w:rPr>
      </w:pPr>
    </w:p>
    <w:p>
      <w:pPr>
        <w:tabs>
          <w:tab w:val="left" w:pos="1080"/>
          <w:tab w:val="left" w:pos="1665"/>
          <w:tab w:val="left" w:pos="1995"/>
        </w:tabs>
        <w:adjustRightInd w:val="0"/>
        <w:snapToGrid w:val="0"/>
        <w:spacing w:line="480" w:lineRule="exact"/>
        <w:ind w:firstLine="0" w:firstLineChars="0"/>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第四条</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lang w:val="zh-CN"/>
        </w:rPr>
        <w:t>合同价款</w:t>
      </w:r>
    </w:p>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val="zh-CN"/>
        </w:rPr>
        <w:t>合同价款总计为大写：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lang w:val="zh-CN"/>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lang w:val="zh-CN"/>
        </w:rPr>
        <w:t>元。</w:t>
      </w:r>
    </w:p>
    <w:p>
      <w:pPr>
        <w:widowControl/>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 以实际发生的样品检测批次和本合同约定的单价作为依据进行结算。</w:t>
      </w:r>
      <w:r>
        <w:rPr>
          <w:rFonts w:hint="eastAsia" w:asciiTheme="minorEastAsia" w:hAnsiTheme="minorEastAsia" w:eastAsiaTheme="minorEastAsia" w:cstheme="minorEastAsia"/>
          <w:b/>
          <w:bCs/>
          <w:sz w:val="24"/>
        </w:rPr>
        <w:t>结算总价=结算单价*实际抽检数量</w:t>
      </w:r>
      <w:r>
        <w:rPr>
          <w:rFonts w:hint="eastAsia" w:asciiTheme="minorEastAsia" w:hAnsiTheme="minorEastAsia" w:eastAsiaTheme="minorEastAsia" w:cstheme="minorEastAsia"/>
          <w:sz w:val="24"/>
        </w:rPr>
        <w:t>。除双方同意对合同进行变更或修改外，在合同执行期间合同单价固定不变。</w:t>
      </w:r>
    </w:p>
    <w:p>
      <w:pPr>
        <w:widowControl/>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 本合同约定的单价为乙方中标价格，即招标文件中报价清单的单价×折扣率%，具体按下表执行：</w:t>
      </w:r>
    </w:p>
    <w:tbl>
      <w:tblPr>
        <w:tblStyle w:val="12"/>
        <w:tblpPr w:leftFromText="180" w:rightFromText="180" w:vertAnchor="text" w:horzAnchor="page" w:tblpX="1622" w:tblpY="577"/>
        <w:tblOverlap w:val="never"/>
        <w:tblW w:w="8928" w:type="dxa"/>
        <w:tblInd w:w="0" w:type="dxa"/>
        <w:tblLayout w:type="fixed"/>
        <w:tblCellMar>
          <w:top w:w="0" w:type="dxa"/>
          <w:left w:w="108" w:type="dxa"/>
          <w:bottom w:w="0" w:type="dxa"/>
          <w:right w:w="108" w:type="dxa"/>
        </w:tblCellMar>
      </w:tblPr>
      <w:tblGrid>
        <w:gridCol w:w="1365"/>
        <w:gridCol w:w="1488"/>
        <w:gridCol w:w="3397"/>
        <w:gridCol w:w="1565"/>
        <w:gridCol w:w="1113"/>
      </w:tblGrid>
      <w:tr>
        <w:tblPrEx>
          <w:tblCellMar>
            <w:top w:w="0" w:type="dxa"/>
            <w:left w:w="108" w:type="dxa"/>
            <w:bottom w:w="0" w:type="dxa"/>
            <w:right w:w="108" w:type="dxa"/>
          </w:tblCellMar>
        </w:tblPrEx>
        <w:trPr>
          <w:trHeight w:val="454" w:hRule="atLeast"/>
        </w:trPr>
        <w:tc>
          <w:tcPr>
            <w:tcW w:w="1365" w:type="dxa"/>
            <w:tcBorders>
              <w:top w:val="single" w:color="auto" w:sz="8" w:space="0"/>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产品类别</w:t>
            </w:r>
          </w:p>
        </w:tc>
        <w:tc>
          <w:tcPr>
            <w:tcW w:w="1488" w:type="dxa"/>
            <w:tcBorders>
              <w:top w:val="single" w:color="auto" w:sz="8" w:space="0"/>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执行标准</w:t>
            </w:r>
          </w:p>
        </w:tc>
        <w:tc>
          <w:tcPr>
            <w:tcW w:w="3397" w:type="dxa"/>
            <w:tcBorders>
              <w:top w:val="single" w:color="auto" w:sz="8" w:space="0"/>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检验项目</w:t>
            </w:r>
          </w:p>
        </w:tc>
        <w:tc>
          <w:tcPr>
            <w:tcW w:w="1565"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招标文件中报价清单的单价(元)</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约定单价(元)</w:t>
            </w: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pPr>
              <w:spacing w:line="300" w:lineRule="exact"/>
              <w:jc w:val="center"/>
              <w:rPr>
                <w:rFonts w:hint="eastAsia" w:ascii="宋体" w:hAnsi="宋体" w:cs="宋体"/>
                <w:kern w:val="0"/>
                <w:sz w:val="18"/>
                <w:szCs w:val="18"/>
              </w:rPr>
            </w:pPr>
            <w:r>
              <w:rPr>
                <w:rFonts w:hint="eastAsia" w:ascii="宋体" w:hAnsi="宋体" w:cs="宋体"/>
                <w:kern w:val="0"/>
                <w:sz w:val="18"/>
                <w:szCs w:val="18"/>
              </w:rPr>
              <w:t>消防应急灯具</w:t>
            </w:r>
          </w:p>
        </w:tc>
        <w:tc>
          <w:tcPr>
            <w:tcW w:w="1488" w:type="dxa"/>
            <w:vMerge w:val="restart"/>
            <w:tcBorders>
              <w:top w:val="single" w:color="auto" w:sz="8" w:space="0"/>
              <w:left w:val="nil"/>
              <w:right w:val="single" w:color="auto" w:sz="8"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GB17945-2010</w:t>
            </w:r>
          </w:p>
          <w:p>
            <w:pPr>
              <w:widowControl/>
              <w:jc w:val="center"/>
              <w:rPr>
                <w:rFonts w:ascii="宋体" w:hAnsi="宋体" w:cs="宋体"/>
                <w:kern w:val="0"/>
                <w:sz w:val="18"/>
                <w:szCs w:val="18"/>
              </w:rPr>
            </w:pPr>
            <w:r>
              <w:rPr>
                <w:rFonts w:hint="eastAsia" w:ascii="宋体" w:hAnsi="宋体" w:cs="宋体"/>
                <w:kern w:val="0"/>
                <w:sz w:val="18"/>
                <w:szCs w:val="18"/>
              </w:rPr>
              <w:t>GB17945-20</w:t>
            </w:r>
            <w:r>
              <w:rPr>
                <w:rFonts w:ascii="宋体" w:hAnsi="宋体" w:cs="宋体"/>
                <w:kern w:val="0"/>
                <w:sz w:val="18"/>
                <w:szCs w:val="18"/>
              </w:rPr>
              <w:t>24</w:t>
            </w:r>
          </w:p>
          <w:p>
            <w:pPr>
              <w:spacing w:line="300" w:lineRule="exact"/>
              <w:jc w:val="center"/>
              <w:rPr>
                <w:rFonts w:hint="eastAsia" w:ascii="宋体" w:hAnsi="宋体" w:cs="宋体"/>
                <w:kern w:val="0"/>
                <w:sz w:val="18"/>
                <w:szCs w:val="18"/>
              </w:rPr>
            </w:pPr>
            <w:r>
              <w:rPr>
                <w:rFonts w:hint="eastAsia" w:ascii="宋体" w:hAnsi="宋体" w:cs="宋体"/>
                <w:kern w:val="0"/>
                <w:sz w:val="18"/>
                <w:szCs w:val="18"/>
              </w:rPr>
              <w:t>（2025年5月1日及以后生产执行新标准）</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标志</w:t>
            </w:r>
          </w:p>
        </w:tc>
        <w:tc>
          <w:tcPr>
            <w:tcW w:w="1565" w:type="dxa"/>
            <w:vMerge w:val="restart"/>
            <w:tcBorders>
              <w:top w:val="single" w:color="auto" w:sz="8" w:space="0"/>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外观检查</w:t>
            </w:r>
          </w:p>
        </w:tc>
        <w:tc>
          <w:tcPr>
            <w:tcW w:w="1565" w:type="dxa"/>
            <w:vMerge w:val="continue"/>
            <w:tcBorders>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基本功能试验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主要部件检查</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充、放电试验(充电时间、最大连续过充电电流、放电终止电压)</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重复转换试验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电压波动试验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转换电压试验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绝缘电阻试验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消防水枪</w:t>
            </w:r>
          </w:p>
          <w:p>
            <w:pPr>
              <w:widowControl/>
              <w:jc w:val="center"/>
              <w:rPr>
                <w:rFonts w:hint="eastAsia" w:ascii="宋体" w:hAnsi="宋体" w:cs="宋体"/>
                <w:kern w:val="0"/>
                <w:sz w:val="18"/>
                <w:szCs w:val="18"/>
              </w:rPr>
            </w:pPr>
          </w:p>
        </w:tc>
        <w:tc>
          <w:tcPr>
            <w:tcW w:w="1488" w:type="dxa"/>
            <w:vMerge w:val="restart"/>
            <w:tcBorders>
              <w:top w:val="single" w:color="auto" w:sz="8" w:space="0"/>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GB8181-2005</w:t>
            </w:r>
          </w:p>
          <w:p>
            <w:pPr>
              <w:widowControl/>
              <w:jc w:val="center"/>
              <w:rPr>
                <w:rFonts w:hint="eastAsia" w:ascii="宋体" w:hAnsi="宋体" w:cs="宋体"/>
                <w:kern w:val="0"/>
                <w:sz w:val="18"/>
                <w:szCs w:val="18"/>
              </w:rPr>
            </w:pPr>
            <w:r>
              <w:rPr>
                <w:rFonts w:hint="eastAsia" w:ascii="宋体" w:hAnsi="宋体" w:cs="宋体"/>
                <w:kern w:val="0"/>
                <w:sz w:val="18"/>
                <w:szCs w:val="18"/>
              </w:rPr>
              <w:t>（2026年8月1日之前生产的产品）</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密封性能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耐水压强度</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抗跌落性能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79.5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耐腐蚀性能（120h）</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2948.6</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left w:val="single" w:color="auto" w:sz="8"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消防水枪</w:t>
            </w:r>
          </w:p>
          <w:p>
            <w:pPr>
              <w:widowControl/>
              <w:jc w:val="center"/>
              <w:rPr>
                <w:rFonts w:hint="eastAsia" w:ascii="宋体" w:hAnsi="宋体" w:cs="宋体"/>
                <w:b/>
                <w:bCs/>
                <w:kern w:val="0"/>
                <w:szCs w:val="21"/>
              </w:rPr>
            </w:pPr>
          </w:p>
        </w:tc>
        <w:tc>
          <w:tcPr>
            <w:tcW w:w="1488" w:type="dxa"/>
            <w:vMerge w:val="restart"/>
            <w:tcBorders>
              <w:left w:val="nil"/>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GB8181-2025</w:t>
            </w:r>
          </w:p>
          <w:p>
            <w:pPr>
              <w:widowControl/>
              <w:jc w:val="center"/>
              <w:rPr>
                <w:rFonts w:hint="eastAsia" w:ascii="宋体" w:hAnsi="宋体" w:cs="宋体"/>
                <w:b/>
                <w:bCs/>
                <w:kern w:val="0"/>
                <w:szCs w:val="21"/>
              </w:rPr>
            </w:pPr>
            <w:r>
              <w:rPr>
                <w:rFonts w:hint="eastAsia" w:ascii="宋体" w:hAnsi="宋体" w:cs="宋体"/>
                <w:kern w:val="0"/>
                <w:sz w:val="18"/>
                <w:szCs w:val="18"/>
              </w:rPr>
              <w:t>（2026年8月1日及以后生产的产品）</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密封性能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耐水压性能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抗跌落性能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79.5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耐盐雾腐蚀性能（120h）</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2948.6</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r>
              <w:rPr>
                <w:rFonts w:hint="eastAsia" w:ascii="宋体" w:hAnsi="宋体" w:cs="宋体"/>
                <w:kern w:val="0"/>
                <w:sz w:val="18"/>
                <w:szCs w:val="18"/>
              </w:rPr>
              <w:t>有衬里消防水带</w:t>
            </w:r>
          </w:p>
          <w:p>
            <w:pPr>
              <w:widowControl/>
              <w:jc w:val="center"/>
              <w:rPr>
                <w:rFonts w:hint="eastAsia" w:ascii="宋体" w:hAnsi="宋体" w:cs="宋体"/>
                <w:kern w:val="0"/>
                <w:sz w:val="18"/>
                <w:szCs w:val="18"/>
              </w:rPr>
            </w:pPr>
          </w:p>
        </w:tc>
        <w:tc>
          <w:tcPr>
            <w:tcW w:w="1488" w:type="dxa"/>
            <w:vMerge w:val="restart"/>
            <w:tcBorders>
              <w:top w:val="single" w:color="auto" w:sz="8" w:space="0"/>
              <w:left w:val="nil"/>
              <w:right w:val="single" w:color="auto" w:sz="8" w:space="0"/>
            </w:tcBorders>
            <w:noWrap w:val="0"/>
            <w:vAlign w:val="center"/>
          </w:tcPr>
          <w:p>
            <w:r>
              <w:rPr>
                <w:rFonts w:hint="eastAsia" w:ascii="宋体" w:hAnsi="宋体" w:cs="宋体"/>
                <w:kern w:val="0"/>
                <w:sz w:val="18"/>
                <w:szCs w:val="18"/>
              </w:rPr>
              <w:t>GB6246-2011</w:t>
            </w:r>
          </w:p>
          <w:p>
            <w:pPr>
              <w:widowControl/>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试验压力</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508.1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最小爆破压力</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294.7</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附着强度</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294.7</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消防栓箱</w:t>
            </w:r>
          </w:p>
        </w:tc>
        <w:tc>
          <w:tcPr>
            <w:tcW w:w="1488" w:type="dxa"/>
            <w:vMerge w:val="restart"/>
            <w:tcBorders>
              <w:top w:val="single" w:color="auto" w:sz="8" w:space="0"/>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GB/T14561-2019</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外观质量</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73</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外形尺寸和极限偏差</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232.5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材料</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232.5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箱门</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消防水带安置</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409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标志</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left w:val="single" w:color="auto" w:sz="8" w:space="0"/>
              <w:right w:val="single" w:color="auto" w:sz="8" w:space="0"/>
            </w:tcBorders>
            <w:noWrap w:val="0"/>
            <w:vAlign w:val="center"/>
          </w:tcPr>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r>
              <w:rPr>
                <w:rFonts w:hint="eastAsia" w:ascii="宋体" w:hAnsi="宋体" w:cs="宋体"/>
                <w:kern w:val="0"/>
                <w:sz w:val="18"/>
                <w:szCs w:val="18"/>
              </w:rPr>
              <w:t>手提式灭火器</w:t>
            </w:r>
          </w:p>
        </w:tc>
        <w:tc>
          <w:tcPr>
            <w:tcW w:w="1488" w:type="dxa"/>
            <w:vMerge w:val="restart"/>
            <w:tcBorders>
              <w:left w:val="nil"/>
              <w:right w:val="single" w:color="auto" w:sz="8" w:space="0"/>
            </w:tcBorders>
            <w:noWrap w:val="0"/>
            <w:vAlign w:val="center"/>
          </w:tcPr>
          <w:p>
            <w:pPr>
              <w:widowControl/>
              <w:rPr>
                <w:rFonts w:hint="eastAsia" w:ascii="宋体" w:hAnsi="宋体" w:cs="宋体"/>
                <w:kern w:val="0"/>
                <w:sz w:val="18"/>
                <w:szCs w:val="18"/>
              </w:rPr>
            </w:pPr>
            <w:r>
              <w:rPr>
                <w:rFonts w:hint="eastAsia" w:ascii="宋体" w:hAnsi="宋体" w:cs="宋体"/>
                <w:kern w:val="0"/>
                <w:sz w:val="18"/>
                <w:szCs w:val="18"/>
              </w:rPr>
              <w:t>GB4351.1-2005</w:t>
            </w:r>
          </w:p>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（2025年1月1日之前生产）</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20℃喷射性能检查</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412.9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灭火剂第一主要组分含量</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筒体水压试验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筒体爆破试验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保险装置解脱力</w:t>
            </w:r>
          </w:p>
        </w:tc>
        <w:tc>
          <w:tcPr>
            <w:tcW w:w="1565" w:type="dxa"/>
            <w:vMerge w:val="restart"/>
            <w:tcBorders>
              <w:top w:val="single" w:color="auto" w:sz="8" w:space="0"/>
              <w:left w:val="nil"/>
              <w:right w:val="single" w:color="auto" w:sz="8" w:space="0"/>
            </w:tcBorders>
            <w:noWrap w:val="0"/>
            <w:vAlign w:val="center"/>
          </w:tcPr>
          <w:p>
            <w:pPr>
              <w:widowControl/>
              <w:tabs>
                <w:tab w:val="left" w:pos="590"/>
              </w:tabs>
              <w:jc w:val="center"/>
              <w:rPr>
                <w:rFonts w:hint="eastAsia" w:ascii="宋体" w:hAnsi="宋体" w:cs="宋体"/>
                <w:kern w:val="0"/>
                <w:sz w:val="18"/>
                <w:szCs w:val="18"/>
              </w:rPr>
            </w:pPr>
            <w:r>
              <w:rPr>
                <w:rFonts w:hint="eastAsia" w:ascii="宋体" w:hAnsi="宋体" w:cs="宋体"/>
                <w:kern w:val="0"/>
                <w:sz w:val="18"/>
                <w:szCs w:val="18"/>
              </w:rPr>
              <w:t>424.4</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灭火剂充装总量误差</w:t>
            </w:r>
          </w:p>
        </w:tc>
        <w:tc>
          <w:tcPr>
            <w:tcW w:w="1565" w:type="dxa"/>
            <w:vMerge w:val="continue"/>
            <w:tcBorders>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restart"/>
            <w:tcBorders>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GB4351-2023</w:t>
            </w:r>
          </w:p>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（2025年1月1日及以后生产）</w:t>
            </w:r>
          </w:p>
        </w:tc>
        <w:tc>
          <w:tcPr>
            <w:tcW w:w="339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 w:val="0"/>
                <w:bCs/>
                <w:color w:val="auto"/>
                <w:kern w:val="0"/>
                <w:sz w:val="18"/>
                <w:szCs w:val="18"/>
              </w:rPr>
              <w:t>充装要求</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295</w:t>
            </w:r>
          </w:p>
        </w:tc>
        <w:tc>
          <w:tcPr>
            <w:tcW w:w="111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20℃时喷射性能</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lang w:val="en-US" w:eastAsia="zh-CN" w:bidi="ar-SA"/>
              </w:rPr>
            </w:pPr>
            <w:r>
              <w:rPr>
                <w:rFonts w:hint="eastAsia" w:ascii="宋体" w:hAnsi="宋体" w:cs="宋体"/>
                <w:bCs/>
                <w:color w:val="auto"/>
                <w:kern w:val="0"/>
                <w:sz w:val="18"/>
                <w:szCs w:val="18"/>
              </w:rPr>
              <w:t>412.9</w:t>
            </w:r>
          </w:p>
        </w:tc>
        <w:tc>
          <w:tcPr>
            <w:tcW w:w="111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干粉灭火器振撞后喷射性能</w:t>
            </w:r>
          </w:p>
        </w:tc>
        <w:tc>
          <w:tcPr>
            <w:tcW w:w="1565" w:type="dxa"/>
            <w:tcBorders>
              <w:top w:val="single" w:color="auto" w:sz="4" w:space="0"/>
              <w:left w:val="nil"/>
              <w:bottom w:val="single" w:color="auto" w:sz="8"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441.7</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瓶体爆破性能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 w:val="0"/>
                <w:bCs/>
                <w:color w:val="auto"/>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 w:val="0"/>
                <w:bCs/>
                <w:color w:val="auto"/>
                <w:kern w:val="0"/>
                <w:sz w:val="18"/>
                <w:szCs w:val="18"/>
              </w:rPr>
              <w:t>瓶体水压试验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保险装置</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424.4</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灭火剂第一主要组分含量</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防火门</w:t>
            </w:r>
          </w:p>
        </w:tc>
        <w:tc>
          <w:tcPr>
            <w:tcW w:w="1488" w:type="dxa"/>
            <w:vMerge w:val="restart"/>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GB12955-2008</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甲级 耐火性能（A1.50、B1.50、C1.50）</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9500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乙级 耐火性能（A1.00、B1.00、C1.00）</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color w:val="000000"/>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丙级 耐火性能（A0.50、B0.50、C0.50）</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color w:val="000000"/>
                <w:kern w:val="0"/>
                <w:szCs w:val="21"/>
              </w:rPr>
            </w:pPr>
          </w:p>
        </w:tc>
      </w:tr>
    </w:tbl>
    <w:p>
      <w:pPr>
        <w:tabs>
          <w:tab w:val="left" w:pos="1080"/>
          <w:tab w:val="left" w:pos="1665"/>
          <w:tab w:val="left" w:pos="1995"/>
        </w:tabs>
        <w:adjustRightInd w:val="0"/>
        <w:snapToGrid w:val="0"/>
        <w:spacing w:beforeLines="0" w:afterLines="0" w:line="480" w:lineRule="exact"/>
        <w:ind w:firstLine="480" w:firstLineChars="200"/>
        <w:jc w:val="left"/>
        <w:rPr>
          <w:rFonts w:hint="eastAsia" w:ascii="宋体" w:hAnsi="宋体"/>
          <w:sz w:val="24"/>
          <w:lang w:val="zh-CN"/>
        </w:rPr>
      </w:pPr>
      <w:r>
        <w:rPr>
          <w:rFonts w:hint="eastAsia" w:ascii="宋体" w:hAnsi="宋体"/>
          <w:sz w:val="24"/>
          <w:lang w:val="zh-CN"/>
        </w:rPr>
        <w:t>如被检产品明示执行标准版本已被新版本替换，则以产品明示生产日期为准判定检测用标准版本：生产日期在新版本标准生效日期之前，按旧版本标准进行检测，生产日期在新版本生效日期之后，则按新版本标准进行检测。</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 xml:space="preserve">4.4 </w:t>
      </w:r>
      <w:r>
        <w:rPr>
          <w:rFonts w:hint="eastAsia" w:ascii="宋体" w:hAnsi="宋体"/>
          <w:sz w:val="24"/>
          <w:lang w:val="zh-CN"/>
        </w:rPr>
        <w:t>该合同价款包括完成本合同约定的服务事项全部费用，甲方不再为本合同项下服务支付任何其他费用。</w:t>
      </w:r>
    </w:p>
    <w:p>
      <w:pPr>
        <w:pStyle w:val="2"/>
        <w:spacing w:beforeLines="0" w:after="0" w:afterLines="0" w:line="480" w:lineRule="exact"/>
        <w:jc w:val="left"/>
        <w:rPr>
          <w:rFonts w:hint="eastAsia"/>
          <w:lang w:val="zh-CN"/>
        </w:rPr>
      </w:pPr>
    </w:p>
    <w:p>
      <w:pPr>
        <w:tabs>
          <w:tab w:val="left" w:pos="1080"/>
          <w:tab w:val="left" w:pos="1665"/>
          <w:tab w:val="left" w:pos="1995"/>
        </w:tabs>
        <w:adjustRightInd w:val="0"/>
        <w:snapToGrid w:val="0"/>
        <w:spacing w:beforeLines="0" w:afterLines="0" w:line="480" w:lineRule="exact"/>
        <w:ind w:firstLine="0" w:firstLineChars="0"/>
        <w:jc w:val="left"/>
        <w:rPr>
          <w:rFonts w:hint="eastAsia" w:ascii="宋体" w:hAnsi="宋体"/>
          <w:b/>
          <w:bCs/>
          <w:sz w:val="24"/>
          <w:lang w:val="zh-CN"/>
        </w:rPr>
      </w:pPr>
      <w:r>
        <w:rPr>
          <w:rFonts w:hint="eastAsia" w:ascii="宋体" w:hAnsi="宋体"/>
          <w:b/>
          <w:bCs/>
          <w:sz w:val="24"/>
          <w:lang w:val="zh-CN"/>
        </w:rPr>
        <w:t>第五条</w:t>
      </w:r>
      <w:r>
        <w:rPr>
          <w:rFonts w:hint="eastAsia" w:ascii="宋体" w:hAnsi="宋体"/>
          <w:b/>
          <w:bCs/>
          <w:sz w:val="24"/>
        </w:rPr>
        <w:t xml:space="preserve">  </w:t>
      </w:r>
      <w:r>
        <w:rPr>
          <w:rFonts w:hint="eastAsia" w:ascii="宋体" w:hAnsi="宋体"/>
          <w:b/>
          <w:bCs/>
          <w:sz w:val="24"/>
          <w:lang w:val="zh-CN"/>
        </w:rPr>
        <w:t>合同价款支付</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 xml:space="preserve">5.1 </w:t>
      </w:r>
      <w:r>
        <w:rPr>
          <w:rFonts w:hint="eastAsia" w:ascii="宋体" w:hAnsi="宋体"/>
          <w:sz w:val="24"/>
          <w:lang w:val="zh-CN"/>
        </w:rPr>
        <w:t>除双方重新达成协议外，本合同履行过程中的价款支付均通过本合同中乙方指定的银行账号进行。</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5.2</w:t>
      </w:r>
      <w:r>
        <w:rPr>
          <w:rFonts w:hint="eastAsia" w:ascii="宋体" w:hAnsi="宋体"/>
          <w:sz w:val="24"/>
          <w:lang w:val="zh-CN"/>
        </w:rPr>
        <w:t>本合同采取以下第</w:t>
      </w:r>
      <w:r>
        <w:rPr>
          <w:rFonts w:hint="eastAsia" w:ascii="宋体" w:hAnsi="宋体"/>
          <w:sz w:val="24"/>
          <w:u w:val="single"/>
        </w:rPr>
        <w:t xml:space="preserve"> </w:t>
      </w:r>
      <w:r>
        <w:rPr>
          <w:rFonts w:hint="eastAsia" w:ascii="宋体" w:hAnsi="宋体"/>
          <w:sz w:val="24"/>
          <w:lang w:val="zh-CN"/>
        </w:rPr>
        <w:t>种付款方式进行付款：</w:t>
      </w:r>
    </w:p>
    <w:p>
      <w:pPr>
        <w:tabs>
          <w:tab w:val="left" w:pos="1080"/>
          <w:tab w:val="left" w:pos="1665"/>
          <w:tab w:val="left" w:pos="1995"/>
        </w:tabs>
        <w:adjustRightInd w:val="0"/>
        <w:snapToGrid w:val="0"/>
        <w:spacing w:beforeLines="0" w:afterLines="0" w:line="480" w:lineRule="exact"/>
        <w:jc w:val="left"/>
        <w:rPr>
          <w:rFonts w:hint="eastAsia" w:ascii="宋体" w:hAnsi="宋体"/>
          <w:sz w:val="24"/>
        </w:rPr>
      </w:pPr>
      <w:r>
        <w:rPr>
          <w:rFonts w:hint="eastAsia" w:ascii="宋体" w:hAnsi="宋体"/>
          <w:sz w:val="24"/>
        </w:rPr>
        <w:t>付款方式一：分期付款方式。</w:t>
      </w:r>
    </w:p>
    <w:p>
      <w:pPr>
        <w:tabs>
          <w:tab w:val="left" w:pos="1080"/>
          <w:tab w:val="left" w:pos="1665"/>
          <w:tab w:val="left" w:pos="1995"/>
        </w:tabs>
        <w:adjustRightInd w:val="0"/>
        <w:snapToGrid w:val="0"/>
        <w:spacing w:beforeLines="0" w:afterLines="0" w:line="480" w:lineRule="exact"/>
        <w:ind w:firstLine="480" w:firstLineChars="200"/>
        <w:jc w:val="left"/>
        <w:rPr>
          <w:rFonts w:hint="eastAsia" w:ascii="宋体" w:hAnsi="宋体"/>
          <w:sz w:val="24"/>
        </w:rPr>
      </w:pPr>
      <w:r>
        <w:rPr>
          <w:rFonts w:hint="eastAsia" w:ascii="宋体" w:hAnsi="宋体"/>
          <w:sz w:val="24"/>
        </w:rPr>
        <w:t>本合同项目按</w:t>
      </w:r>
      <w:r>
        <w:rPr>
          <w:rFonts w:hint="eastAsia" w:ascii="宋体" w:hAnsi="宋体"/>
          <w:sz w:val="24"/>
          <w:u w:val="single"/>
        </w:rPr>
        <w:t xml:space="preserve"> </w:t>
      </w:r>
      <w:r>
        <w:rPr>
          <w:rFonts w:hint="eastAsia" w:ascii="宋体" w:hAnsi="宋体"/>
          <w:sz w:val="24"/>
        </w:rPr>
        <w:t>期支付检测服务费用，每期按阶段工作量核定并支付乙方当期检测服务费。</w:t>
      </w:r>
    </w:p>
    <w:p>
      <w:pPr>
        <w:tabs>
          <w:tab w:val="left" w:pos="1080"/>
          <w:tab w:val="left" w:pos="1665"/>
          <w:tab w:val="left" w:pos="1995"/>
        </w:tabs>
        <w:adjustRightInd w:val="0"/>
        <w:snapToGrid w:val="0"/>
        <w:spacing w:beforeLines="0" w:afterLines="0" w:line="480" w:lineRule="exact"/>
        <w:jc w:val="left"/>
        <w:rPr>
          <w:rFonts w:hint="eastAsia" w:ascii="宋体" w:hAnsi="宋体"/>
          <w:sz w:val="24"/>
        </w:rPr>
      </w:pPr>
      <w:r>
        <w:rPr>
          <w:rFonts w:hint="eastAsia" w:ascii="宋体" w:hAnsi="宋体"/>
          <w:sz w:val="24"/>
        </w:rPr>
        <w:t>付款方式二：一次性付款方式。</w:t>
      </w:r>
    </w:p>
    <w:p>
      <w:pPr>
        <w:tabs>
          <w:tab w:val="left" w:pos="1080"/>
          <w:tab w:val="left" w:pos="1665"/>
          <w:tab w:val="left" w:pos="1995"/>
        </w:tabs>
        <w:adjustRightInd w:val="0"/>
        <w:snapToGrid w:val="0"/>
        <w:spacing w:beforeLines="0" w:afterLines="0" w:line="480" w:lineRule="exact"/>
        <w:ind w:firstLine="480" w:firstLineChars="200"/>
        <w:jc w:val="left"/>
        <w:rPr>
          <w:rFonts w:hint="eastAsia" w:ascii="宋体" w:hAnsi="宋体"/>
          <w:sz w:val="24"/>
        </w:rPr>
      </w:pPr>
      <w:r>
        <w:rPr>
          <w:rFonts w:hint="eastAsia" w:ascii="宋体" w:hAnsi="宋体"/>
          <w:sz w:val="24"/>
        </w:rPr>
        <w:t>乙方完成本合同约定的全部服务，通过甲方最终验收后</w:t>
      </w:r>
      <w:r>
        <w:rPr>
          <w:rFonts w:hint="eastAsia" w:ascii="宋体" w:hAnsi="宋体"/>
          <w:sz w:val="24"/>
          <w:u w:val="single"/>
        </w:rPr>
        <w:t xml:space="preserve"> </w:t>
      </w:r>
      <w:r>
        <w:rPr>
          <w:rFonts w:hint="eastAsia" w:ascii="宋体" w:hAnsi="宋体"/>
          <w:sz w:val="24"/>
        </w:rPr>
        <w:t>个工作日内，甲方一次性向乙方支付全部合同价款大写：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 xml:space="preserve">5.3 </w:t>
      </w:r>
      <w:r>
        <w:rPr>
          <w:rFonts w:hint="eastAsia" w:ascii="宋体" w:hAnsi="宋体"/>
          <w:sz w:val="24"/>
          <w:lang w:val="zh-CN"/>
        </w:rPr>
        <w:t>乙方的收款银行账户信息如下：</w:t>
      </w:r>
    </w:p>
    <w:p>
      <w:pPr>
        <w:tabs>
          <w:tab w:val="left" w:pos="1080"/>
          <w:tab w:val="left" w:pos="1665"/>
          <w:tab w:val="left" w:pos="1995"/>
        </w:tabs>
        <w:adjustRightInd w:val="0"/>
        <w:snapToGrid w:val="0"/>
        <w:spacing w:beforeLines="0" w:afterLines="0" w:line="480" w:lineRule="exact"/>
        <w:ind w:firstLine="480" w:firstLineChars="200"/>
        <w:jc w:val="left"/>
        <w:rPr>
          <w:rFonts w:ascii="宋体" w:hAnsi="宋体"/>
          <w:sz w:val="24"/>
        </w:rPr>
      </w:pPr>
      <w:r>
        <w:rPr>
          <w:rFonts w:hint="eastAsia" w:ascii="宋体" w:hAnsi="宋体"/>
          <w:sz w:val="24"/>
          <w:lang w:val="zh-CN"/>
        </w:rPr>
        <w:t>开户名：</w:t>
      </w:r>
      <w:r>
        <w:rPr>
          <w:rFonts w:hint="eastAsia" w:ascii="宋体" w:hAnsi="宋体"/>
          <w:sz w:val="24"/>
          <w:u w:val="single"/>
        </w:rPr>
        <w:t xml:space="preserve">                                               </w:t>
      </w:r>
      <w:r>
        <w:rPr>
          <w:rFonts w:hint="default"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 xml:space="preserve">    </w:t>
      </w:r>
    </w:p>
    <w:p>
      <w:pPr>
        <w:tabs>
          <w:tab w:val="left" w:pos="1080"/>
          <w:tab w:val="left" w:pos="1665"/>
          <w:tab w:val="left" w:pos="1995"/>
        </w:tabs>
        <w:adjustRightInd w:val="0"/>
        <w:snapToGrid w:val="0"/>
        <w:spacing w:beforeLines="0" w:afterLines="0" w:line="480" w:lineRule="exact"/>
        <w:ind w:firstLine="480" w:firstLineChars="200"/>
        <w:jc w:val="left"/>
        <w:rPr>
          <w:rFonts w:ascii="宋体" w:hAnsi="宋体"/>
          <w:sz w:val="24"/>
        </w:rPr>
      </w:pPr>
      <w:r>
        <w:rPr>
          <w:rFonts w:hint="eastAsia" w:ascii="宋体" w:hAnsi="宋体"/>
          <w:sz w:val="24"/>
          <w:lang w:val="zh-CN"/>
        </w:rPr>
        <w:t>开户行：</w:t>
      </w:r>
      <w:r>
        <w:rPr>
          <w:rFonts w:hint="eastAsia" w:ascii="宋体" w:hAnsi="宋体"/>
          <w:sz w:val="24"/>
          <w:u w:val="single"/>
        </w:rPr>
        <w:t xml:space="preserve">                                                    </w:t>
      </w:r>
      <w:r>
        <w:rPr>
          <w:rFonts w:hint="default"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 xml:space="preserve">    </w:t>
      </w:r>
    </w:p>
    <w:p>
      <w:pPr>
        <w:tabs>
          <w:tab w:val="left" w:pos="1080"/>
          <w:tab w:val="left" w:pos="1665"/>
          <w:tab w:val="left" w:pos="1995"/>
        </w:tabs>
        <w:adjustRightInd w:val="0"/>
        <w:snapToGrid w:val="0"/>
        <w:spacing w:beforeLines="0" w:afterLines="0" w:line="480" w:lineRule="exact"/>
        <w:ind w:firstLine="480" w:firstLineChars="200"/>
        <w:jc w:val="left"/>
        <w:rPr>
          <w:rFonts w:ascii="宋体" w:hAnsi="宋体"/>
          <w:sz w:val="24"/>
        </w:rPr>
      </w:pPr>
      <w:r>
        <w:rPr>
          <w:rFonts w:hint="eastAsia" w:ascii="宋体" w:hAnsi="宋体"/>
          <w:sz w:val="24"/>
          <w:lang w:val="zh-CN"/>
        </w:rPr>
        <w:t>开户账户：</w:t>
      </w:r>
      <w:r>
        <w:rPr>
          <w:rFonts w:hint="eastAsia" w:ascii="宋体" w:hAnsi="宋体"/>
          <w:sz w:val="24"/>
          <w:u w:val="single"/>
        </w:rPr>
        <w:t xml:space="preserve">                                       </w:t>
      </w:r>
      <w:r>
        <w:rPr>
          <w:rFonts w:hint="default"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 xml:space="preserve">   </w:t>
      </w:r>
    </w:p>
    <w:p>
      <w:pPr>
        <w:tabs>
          <w:tab w:val="left" w:pos="1080"/>
          <w:tab w:val="left" w:pos="1665"/>
          <w:tab w:val="left" w:pos="1995"/>
        </w:tabs>
        <w:adjustRightInd w:val="0"/>
        <w:snapToGrid w:val="0"/>
        <w:spacing w:beforeLines="0" w:afterLines="0" w:line="480" w:lineRule="exact"/>
        <w:jc w:val="left"/>
        <w:rPr>
          <w:rFonts w:hint="eastAsia" w:ascii="宋体" w:hAnsi="宋体"/>
          <w:sz w:val="24"/>
        </w:rPr>
      </w:pPr>
      <w:r>
        <w:rPr>
          <w:rFonts w:hint="eastAsia" w:ascii="宋体" w:hAnsi="宋体"/>
          <w:sz w:val="24"/>
        </w:rPr>
        <w:t>5.4 本合同以人民币进行结算。</w:t>
      </w:r>
    </w:p>
    <w:p>
      <w:pPr>
        <w:pStyle w:val="2"/>
        <w:spacing w:beforeLines="0" w:after="0" w:afterLines="0" w:line="480" w:lineRule="exact"/>
        <w:jc w:val="left"/>
        <w:rPr>
          <w:rFonts w:hint="eastAsia"/>
        </w:rPr>
      </w:pPr>
    </w:p>
    <w:p>
      <w:pPr>
        <w:tabs>
          <w:tab w:val="left" w:pos="1080"/>
          <w:tab w:val="left" w:pos="1665"/>
          <w:tab w:val="left" w:pos="1995"/>
        </w:tabs>
        <w:adjustRightInd w:val="0"/>
        <w:snapToGrid w:val="0"/>
        <w:spacing w:beforeLines="0" w:afterLines="0" w:line="480" w:lineRule="exact"/>
        <w:ind w:firstLine="0" w:firstLineChars="0"/>
        <w:jc w:val="left"/>
        <w:rPr>
          <w:rFonts w:ascii="宋体" w:hAnsi="宋体" w:cs="宋体"/>
          <w:b/>
          <w:bCs/>
          <w:sz w:val="24"/>
        </w:rPr>
      </w:pPr>
      <w:r>
        <w:rPr>
          <w:rFonts w:hint="eastAsia" w:ascii="宋体" w:hAnsi="宋体" w:cs="宋体"/>
          <w:b/>
          <w:bCs/>
          <w:sz w:val="24"/>
        </w:rPr>
        <w:t>第六条  当事人的权利和义务</w:t>
      </w:r>
    </w:p>
    <w:p>
      <w:pPr>
        <w:adjustRightInd w:val="0"/>
        <w:snapToGrid w:val="0"/>
        <w:spacing w:beforeLines="0" w:afterLines="0" w:line="480" w:lineRule="exact"/>
        <w:jc w:val="left"/>
        <w:rPr>
          <w:rFonts w:hint="eastAsia" w:ascii="宋体" w:hAnsi="宋体" w:cs="宋体"/>
          <w:sz w:val="24"/>
        </w:rPr>
      </w:pPr>
      <w:r>
        <w:rPr>
          <w:rFonts w:hint="eastAsia" w:ascii="宋体" w:hAnsi="宋体" w:cs="宋体"/>
          <w:sz w:val="24"/>
        </w:rPr>
        <w:t>6.1甲方的权利和义务</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（1）甲方有权以合理方式检查、督促乙方开展本合同约定服务。</w:t>
      </w:r>
    </w:p>
    <w:p>
      <w:pPr>
        <w:numPr>
          <w:ilvl w:val="0"/>
          <w:numId w:val="0"/>
        </w:num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w:t>
      </w:r>
      <w:r>
        <w:rPr>
          <w:rFonts w:hint="default" w:ascii="宋体" w:hAnsi="宋体" w:cs="宋体"/>
          <w:sz w:val="24"/>
        </w:rPr>
        <w:t>2</w:t>
      </w:r>
      <w:r>
        <w:rPr>
          <w:rFonts w:hint="eastAsia" w:ascii="宋体" w:hAnsi="宋体" w:cs="宋体"/>
          <w:sz w:val="24"/>
        </w:rPr>
        <w:t>）甲方可指派专人负责与乙方联系，以及接受乙方就本项目的咨询；甲方变更联系人，应及时告知乙方。</w:t>
      </w:r>
    </w:p>
    <w:p>
      <w:pPr>
        <w:adjustRightInd w:val="0"/>
        <w:snapToGrid w:val="0"/>
        <w:spacing w:beforeLines="0" w:afterLines="0" w:line="480" w:lineRule="exact"/>
        <w:ind w:firstLine="0" w:firstLineChars="0"/>
        <w:jc w:val="left"/>
        <w:rPr>
          <w:rFonts w:hint="default" w:ascii="宋体" w:hAnsi="宋体" w:cs="宋体"/>
          <w:sz w:val="24"/>
        </w:rPr>
      </w:pPr>
      <w:r>
        <w:rPr>
          <w:rFonts w:hint="eastAsia" w:ascii="宋体" w:hAnsi="宋体" w:cs="宋体"/>
          <w:sz w:val="24"/>
        </w:rPr>
        <w:t>（3）</w:t>
      </w:r>
      <w:r>
        <w:rPr>
          <w:rFonts w:hint="default" w:ascii="宋体" w:hAnsi="宋体" w:cs="宋体"/>
          <w:sz w:val="24"/>
        </w:rPr>
        <w:t>甲方有权要求乙方按照合同约定内容交付项目成果。</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（4）甲方应及时配合乙方，为乙方在服务项目研究过程中与相关部门的沟通提供必要支持。</w:t>
      </w:r>
    </w:p>
    <w:p>
      <w:pPr>
        <w:numPr>
          <w:ilvl w:val="-1"/>
          <w:numId w:val="0"/>
        </w:numPr>
        <w:adjustRightInd w:val="0"/>
        <w:snapToGrid w:val="0"/>
        <w:spacing w:beforeLines="0" w:afterLines="0" w:line="480" w:lineRule="exact"/>
        <w:ind w:firstLine="0" w:firstLineChars="0"/>
        <w:jc w:val="left"/>
        <w:rPr>
          <w:rFonts w:hint="eastAsia" w:ascii="宋体" w:hAnsi="宋体" w:cs="宋体"/>
          <w:sz w:val="24"/>
        </w:rPr>
      </w:pPr>
      <w:r>
        <w:rPr>
          <w:rFonts w:hint="default" w:ascii="宋体" w:hAnsi="宋体" w:cs="宋体"/>
          <w:sz w:val="24"/>
        </w:rPr>
        <w:t>（5）</w:t>
      </w:r>
      <w:r>
        <w:rPr>
          <w:rFonts w:hint="eastAsia" w:ascii="宋体" w:hAnsi="宋体" w:cs="宋体"/>
          <w:sz w:val="24"/>
        </w:rPr>
        <w:t>甲方应按本合同第五条规定的时间足额向乙方支付各阶段合同价款。</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6.2乙方的权利和义务</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（1）乙方应于合同生效之日起开始本合同项下的服务工作。</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（2）乙方应接受甲方合理的检查、督促，并在甲方的组织下，及时向甲方报告各阶段的工作进展，接受甲方审查。</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（3）乙方应按有关法律法规、技术规范，以及本合同约定的工作内容、技术标准、工作进度和成果要求进行工作，并按本合同第三条约定的工作进度向甲方交付成果。乙方应对其提交的成果质量负责。</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（4）未经甲方同意，乙方不得将委托项目分包给第三方。</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（5）未经甲方同意，乙方不得将委托项目与第三方合作。</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（6）若乙方当事人信息（如联系地址、联系方式、联系人、银行账号等）发生变更，乙方需以书面方式及时通知甲方。</w:t>
      </w:r>
    </w:p>
    <w:p>
      <w:pPr>
        <w:adjustRightInd w:val="0"/>
        <w:snapToGrid w:val="0"/>
        <w:spacing w:beforeLines="0" w:afterLines="0" w:line="480" w:lineRule="exact"/>
        <w:ind w:firstLine="0" w:firstLineChars="0"/>
        <w:jc w:val="left"/>
        <w:rPr>
          <w:rFonts w:hint="eastAsia" w:ascii="宋体" w:hAnsi="宋体" w:cs="宋体"/>
          <w:sz w:val="24"/>
        </w:rPr>
      </w:pPr>
    </w:p>
    <w:p>
      <w:pPr>
        <w:pStyle w:val="10"/>
        <w:spacing w:beforeLines="0" w:after="0" w:afterLines="0" w:line="480" w:lineRule="exact"/>
        <w:ind w:firstLine="0" w:firstLineChars="0"/>
        <w:jc w:val="left"/>
        <w:rPr>
          <w:rFonts w:hint="eastAsia" w:ascii="宋体" w:hAnsi="宋体" w:cs="宋体"/>
          <w:b/>
          <w:bCs/>
          <w:sz w:val="24"/>
        </w:rPr>
      </w:pPr>
      <w:r>
        <w:rPr>
          <w:rFonts w:hint="eastAsia" w:ascii="宋体" w:hAnsi="宋体" w:cs="宋体"/>
          <w:b/>
          <w:bCs/>
          <w:sz w:val="24"/>
        </w:rPr>
        <w:t>第七条 合同违约责任</w:t>
      </w:r>
    </w:p>
    <w:p>
      <w:pPr>
        <w:pStyle w:val="10"/>
        <w:spacing w:beforeLines="0" w:after="0" w:afterLines="0" w:line="480" w:lineRule="exact"/>
        <w:ind w:firstLine="0" w:firstLineChars="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7.1 甲方违约责任</w:t>
      </w:r>
    </w:p>
    <w:p>
      <w:pPr>
        <w:adjustRightInd w:val="0"/>
        <w:snapToGrid w:val="0"/>
        <w:spacing w:before="0" w:beforeLines="0" w:after="0" w:afterLines="0" w:line="480" w:lineRule="exact"/>
        <w:ind w:firstLine="0" w:firstLineChars="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sz w:val="24"/>
          <w:lang w:eastAsia="zh-CN"/>
        </w:rPr>
        <w:t>确因工作实际需要，</w:t>
      </w:r>
      <w:r>
        <w:rPr>
          <w:rFonts w:hint="eastAsia" w:asciiTheme="majorEastAsia" w:hAnsiTheme="majorEastAsia" w:eastAsiaTheme="majorEastAsia" w:cstheme="majorEastAsia"/>
          <w:sz w:val="24"/>
        </w:rPr>
        <w:t xml:space="preserve">甲方变更委托项目内容、规模、条件，应于确定修改之日起_个工作日内书面告知乙方。 </w:t>
      </w:r>
    </w:p>
    <w:p>
      <w:pPr>
        <w:adjustRightInd w:val="0"/>
        <w:snapToGrid w:val="0"/>
        <w:spacing w:before="0" w:beforeLines="0" w:after="0" w:afterLines="0" w:line="480" w:lineRule="exact"/>
        <w:ind w:firstLine="0" w:firstLineChars="0"/>
        <w:jc w:val="left"/>
        <w:rPr>
          <w:rFonts w:hint="eastAsia" w:asciiTheme="majorEastAsia" w:hAnsiTheme="majorEastAsia" w:eastAsiaTheme="majorEastAsia" w:cstheme="majorEastAsia"/>
          <w:b/>
          <w:bCs/>
          <w:sz w:val="24"/>
          <w:u w:val="none"/>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）甲方</w:t>
      </w:r>
      <w:r>
        <w:rPr>
          <w:rFonts w:hint="eastAsia" w:asciiTheme="majorEastAsia" w:hAnsiTheme="majorEastAsia" w:eastAsiaTheme="majorEastAsia" w:cstheme="majorEastAsia"/>
          <w:sz w:val="24"/>
          <w:lang w:eastAsia="zh-CN"/>
        </w:rPr>
        <w:t>无正当理由，</w:t>
      </w:r>
      <w:r>
        <w:rPr>
          <w:rFonts w:hint="eastAsia" w:asciiTheme="majorEastAsia" w:hAnsiTheme="majorEastAsia" w:eastAsiaTheme="majorEastAsia" w:cstheme="majorEastAsia"/>
          <w:sz w:val="24"/>
        </w:rPr>
        <w:t>延迟支付合同价款</w:t>
      </w:r>
      <w:r>
        <w:rPr>
          <w:rFonts w:hint="eastAsia" w:asciiTheme="majorEastAsia" w:hAnsiTheme="majorEastAsia" w:eastAsiaTheme="majorEastAsia" w:cstheme="majorEastAsia"/>
          <w:sz w:val="24"/>
          <w:lang w:eastAsia="zh-CN"/>
        </w:rPr>
        <w:t>超过</w:t>
      </w:r>
      <w:r>
        <w:rPr>
          <w:rFonts w:hint="eastAsia" w:asciiTheme="majorEastAsia" w:hAnsiTheme="majorEastAsia" w:eastAsiaTheme="majorEastAsia" w:cstheme="majorEastAsia"/>
          <w:sz w:val="24"/>
          <w:lang w:val="en-US" w:eastAsia="zh-CN"/>
        </w:rPr>
        <w:t>15个工作日</w:t>
      </w:r>
      <w:r>
        <w:rPr>
          <w:rFonts w:hint="eastAsia" w:asciiTheme="majorEastAsia" w:hAnsiTheme="majorEastAsia" w:eastAsiaTheme="majorEastAsia" w:cstheme="majorEastAsia"/>
          <w:sz w:val="24"/>
        </w:rPr>
        <w:t>的，乙方有权要求甲方支付该阶段合同价款每日_‰的逾期违约金，逾期违约金总额不超过合同总价款的</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
          <w:bCs/>
          <w:sz w:val="24"/>
          <w:u w:val="none"/>
        </w:rPr>
        <w:t>因乙方原因或政府内部工作或财政拨付导致甲方迟延付款的，不视为甲方违约，乙方应当继续履行义务。</w:t>
      </w:r>
    </w:p>
    <w:p>
      <w:pPr>
        <w:adjustRightInd w:val="0"/>
        <w:snapToGrid w:val="0"/>
        <w:spacing w:before="0" w:beforeLines="0" w:after="0" w:afterLines="0" w:line="480" w:lineRule="exact"/>
        <w:ind w:firstLine="0" w:firstLineChars="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7.2 乙方违约责任</w:t>
      </w:r>
    </w:p>
    <w:p>
      <w:pPr>
        <w:spacing w:beforeLines="0" w:afterLines="0" w:line="480" w:lineRule="exact"/>
        <w:ind w:firstLine="0" w:firstLineChars="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（1）本合同签订后，如乙方擅自终止或解除合同的，乙方应退还甲方已支付的服务费用，对甲方工作造成损害的，乙方应承担赔偿责任。</w:t>
      </w:r>
    </w:p>
    <w:p>
      <w:pPr>
        <w:spacing w:beforeLines="0" w:afterLines="0" w:line="480" w:lineRule="exact"/>
        <w:ind w:firstLine="0" w:firstLineChars="0"/>
        <w:jc w:val="left"/>
        <w:rPr>
          <w:rFonts w:hint="eastAsia"/>
          <w:lang w:val="en"/>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
        </w:rPr>
        <w:t>乙方未按照本合同约定为甲方提供检测服务的</w:t>
      </w:r>
      <w:r>
        <w:rPr>
          <w:rFonts w:hint="eastAsia" w:ascii="宋体" w:hAnsi="宋体" w:cs="宋体"/>
          <w:sz w:val="24"/>
          <w:lang w:val="en"/>
        </w:rPr>
        <w:t>，乙方需按甲方要求采取及时有效的补救措施，并支付合同总价款_</w:t>
      </w:r>
      <w:r>
        <w:rPr>
          <w:rFonts w:hint="eastAsia" w:ascii="宋体" w:hAnsi="宋体" w:cs="宋体"/>
          <w:sz w:val="24"/>
        </w:rPr>
        <w:t>10</w:t>
      </w:r>
      <w:r>
        <w:rPr>
          <w:rFonts w:hint="eastAsia" w:ascii="宋体" w:hAnsi="宋体" w:cs="宋体"/>
          <w:sz w:val="24"/>
          <w:lang w:val="en"/>
        </w:rPr>
        <w:t>_%的违约金。</w:t>
      </w:r>
      <w:r>
        <w:rPr>
          <w:rFonts w:hint="eastAsia" w:ascii="宋体" w:hAnsi="宋体" w:cs="宋体"/>
          <w:sz w:val="24"/>
        </w:rPr>
        <w:t>违约金不足以弥补损失的，乙方应赔偿因此给甲方带来的实际损失。</w:t>
      </w:r>
    </w:p>
    <w:p>
      <w:pPr>
        <w:spacing w:beforeLines="0" w:afterLines="0" w:line="480" w:lineRule="exact"/>
        <w:ind w:firstLine="0" w:firstLineChars="0"/>
        <w:jc w:val="left"/>
        <w:rPr>
          <w:rFonts w:hint="eastAsia" w:ascii="宋体" w:hAnsi="宋体" w:cs="宋体"/>
          <w:sz w:val="24"/>
        </w:rPr>
      </w:pPr>
      <w:r>
        <w:rPr>
          <w:rFonts w:hint="default" w:ascii="宋体" w:hAnsi="宋体" w:cs="宋体"/>
          <w:sz w:val="24"/>
        </w:rPr>
        <w:t>（3）</w:t>
      </w:r>
      <w:r>
        <w:rPr>
          <w:rFonts w:hint="eastAsia" w:ascii="宋体" w:hAnsi="宋体" w:cs="宋体"/>
          <w:sz w:val="24"/>
        </w:rPr>
        <w:t>乙方出具的检验报告不符合合同约定，或者出具虚假报告的，应承担因此产生的一切后果，并赔偿甲方合同总价款 20 %的违约金。</w:t>
      </w:r>
    </w:p>
    <w:p>
      <w:pPr>
        <w:spacing w:beforeLines="0" w:afterLines="0" w:line="480" w:lineRule="exact"/>
        <w:ind w:firstLine="0" w:firstLineChars="0"/>
        <w:jc w:val="left"/>
        <w:rPr>
          <w:rFonts w:hint="eastAsia" w:ascii="宋体" w:hAnsi="宋体" w:cs="宋体"/>
          <w:sz w:val="24"/>
        </w:rPr>
      </w:pPr>
    </w:p>
    <w:p>
      <w:pPr>
        <w:numPr>
          <w:ilvl w:val="0"/>
          <w:numId w:val="0"/>
        </w:numPr>
        <w:tabs>
          <w:tab w:val="left" w:pos="1080"/>
          <w:tab w:val="left" w:pos="1665"/>
        </w:tabs>
        <w:adjustRightInd w:val="0"/>
        <w:snapToGrid w:val="0"/>
        <w:spacing w:before="0" w:beforeLines="0" w:after="0" w:afterLines="0" w:line="480" w:lineRule="exact"/>
        <w:ind w:left="0" w:firstLine="0" w:firstLineChars="0"/>
        <w:jc w:val="left"/>
        <w:rPr>
          <w:rFonts w:ascii="宋体" w:hAnsi="宋体" w:cs="宋体"/>
          <w:b/>
          <w:bCs/>
          <w:sz w:val="24"/>
        </w:rPr>
      </w:pPr>
      <w:r>
        <w:rPr>
          <w:rFonts w:hint="eastAsia" w:ascii="宋体" w:hAnsi="宋体" w:cs="宋体"/>
          <w:b/>
          <w:bCs/>
          <w:sz w:val="24"/>
          <w:lang w:eastAsia="zh-CN"/>
        </w:rPr>
        <w:t>第</w:t>
      </w:r>
      <w:r>
        <w:rPr>
          <w:rFonts w:hint="default" w:ascii="宋体" w:hAnsi="宋体" w:cs="宋体"/>
          <w:b/>
          <w:bCs/>
          <w:sz w:val="24"/>
          <w:lang w:eastAsia="zh-CN"/>
        </w:rPr>
        <w:t>八</w:t>
      </w:r>
      <w:r>
        <w:rPr>
          <w:rFonts w:hint="eastAsia" w:ascii="宋体" w:hAnsi="宋体" w:cs="宋体"/>
          <w:b/>
          <w:bCs/>
          <w:sz w:val="24"/>
          <w:lang w:eastAsia="zh-CN"/>
        </w:rPr>
        <w:t>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0" w:beforeLines="0" w:after="0" w:afterLines="0" w:line="480" w:lineRule="exact"/>
        <w:jc w:val="left"/>
        <w:rPr>
          <w:rFonts w:ascii="宋体" w:hAnsi="宋体"/>
          <w:sz w:val="24"/>
        </w:rPr>
      </w:pPr>
      <w:r>
        <w:rPr>
          <w:rFonts w:hint="default" w:ascii="宋体"/>
          <w:bCs/>
          <w:sz w:val="24"/>
        </w:rPr>
        <w:t>8.1</w:t>
      </w:r>
      <w:r>
        <w:rPr>
          <w:rFonts w:hint="eastAsia" w:ascii="宋体" w:hAnsi="宋体"/>
          <w:sz w:val="24"/>
        </w:rPr>
        <w:t>本合同履行过程中出现以下情形之一的，合同双方中任何一方可以书面通知对方解除合同：</w:t>
      </w:r>
    </w:p>
    <w:p>
      <w:pPr>
        <w:adjustRightInd w:val="0"/>
        <w:snapToGrid w:val="0"/>
        <w:spacing w:before="0" w:beforeLines="0" w:after="0" w:afterLines="0" w:line="480" w:lineRule="exact"/>
        <w:jc w:val="left"/>
        <w:rPr>
          <w:rFonts w:ascii="宋体" w:hAnsi="宋体"/>
          <w:sz w:val="24"/>
        </w:rPr>
      </w:pPr>
      <w:r>
        <w:rPr>
          <w:rFonts w:hint="eastAsia" w:ascii="宋体" w:hAnsi="宋体"/>
          <w:sz w:val="24"/>
        </w:rPr>
        <w:t>□ 非归责于合同双方的原因，项目取消的；</w:t>
      </w:r>
    </w:p>
    <w:p>
      <w:pPr>
        <w:adjustRightInd w:val="0"/>
        <w:snapToGrid w:val="0"/>
        <w:spacing w:before="0" w:beforeLines="0" w:after="0" w:afterLines="0" w:line="480" w:lineRule="exact"/>
        <w:jc w:val="left"/>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rPr>
        <w:t>工作日；</w:t>
      </w:r>
    </w:p>
    <w:p>
      <w:pPr>
        <w:tabs>
          <w:tab w:val="left" w:pos="8100"/>
        </w:tabs>
        <w:adjustRightInd w:val="0"/>
        <w:snapToGrid w:val="0"/>
        <w:spacing w:before="0" w:beforeLines="0" w:after="0" w:afterLines="0" w:line="480" w:lineRule="exact"/>
        <w:jc w:val="left"/>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0" w:beforeLines="0" w:after="0" w:afterLines="0" w:line="480" w:lineRule="exact"/>
        <w:jc w:val="left"/>
        <w:rPr>
          <w:rFonts w:ascii="宋体" w:hAnsi="宋体"/>
          <w:sz w:val="24"/>
        </w:rPr>
      </w:pPr>
      <w:r>
        <w:rPr>
          <w:rFonts w:hint="eastAsia" w:ascii="宋体" w:hAnsi="宋体"/>
          <w:sz w:val="24"/>
        </w:rPr>
        <w:t>本合同履行期间，因上述情形造成合同终止的，甲方按乙方已经完成的工作量</w:t>
      </w:r>
      <w:r>
        <w:rPr>
          <w:rFonts w:hint="eastAsia" w:ascii="宋体" w:hAnsi="宋体"/>
          <w:sz w:val="24"/>
          <w:lang w:eastAsia="zh-CN"/>
        </w:rPr>
        <w:t>核算相应的费用，并</w:t>
      </w:r>
      <w:r>
        <w:rPr>
          <w:rFonts w:hint="eastAsia" w:ascii="宋体" w:hAnsi="宋体"/>
          <w:sz w:val="24"/>
        </w:rPr>
        <w:t>向乙方支付，乙方同时应将已完成的阶段性成果移交甲方。</w:t>
      </w:r>
    </w:p>
    <w:p>
      <w:pPr>
        <w:adjustRightInd w:val="0"/>
        <w:snapToGrid w:val="0"/>
        <w:spacing w:before="0" w:beforeLines="0" w:after="0" w:afterLines="0" w:line="480" w:lineRule="exact"/>
        <w:jc w:val="left"/>
        <w:rPr>
          <w:rFonts w:ascii="宋体" w:hAnsi="宋体"/>
          <w:sz w:val="24"/>
        </w:rPr>
      </w:pPr>
      <w:r>
        <w:rPr>
          <w:rFonts w:hint="eastAsia" w:asciiTheme="majorEastAsia" w:hAnsiTheme="majorEastAsia" w:eastAsiaTheme="majorEastAsia" w:cstheme="majorEastAsia"/>
          <w:bCs/>
          <w:sz w:val="24"/>
        </w:rPr>
        <w:t>8.2</w:t>
      </w:r>
      <w:r>
        <w:rPr>
          <w:rFonts w:hint="eastAsia" w:asciiTheme="majorEastAsia" w:hAnsiTheme="majorEastAsia" w:eastAsiaTheme="majorEastAsia" w:cstheme="majorEastAsia"/>
          <w:sz w:val="24"/>
        </w:rPr>
        <w:t>本合</w:t>
      </w:r>
      <w:r>
        <w:rPr>
          <w:rFonts w:hint="eastAsia" w:ascii="宋体" w:hAnsi="宋体"/>
          <w:sz w:val="24"/>
        </w:rPr>
        <w:t>同履行过程中出现下列情形之一的，甲方有权解除合同：</w:t>
      </w:r>
    </w:p>
    <w:p>
      <w:pPr>
        <w:adjustRightInd w:val="0"/>
        <w:snapToGrid w:val="0"/>
        <w:spacing w:before="0" w:beforeLines="0" w:after="0" w:afterLines="0" w:line="480" w:lineRule="exact"/>
        <w:jc w:val="left"/>
        <w:rPr>
          <w:rFonts w:ascii="宋体" w:hAnsi="宋体"/>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）乙方未</w:t>
      </w:r>
      <w:r>
        <w:rPr>
          <w:rFonts w:hint="eastAsia" w:ascii="宋体" w:hAnsi="宋体"/>
          <w:sz w:val="24"/>
        </w:rPr>
        <w:t>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_</w:t>
      </w:r>
      <w:r>
        <w:rPr>
          <w:rFonts w:hint="eastAsia" w:ascii="宋体" w:hAnsi="宋体"/>
          <w:sz w:val="24"/>
        </w:rPr>
        <w:t>个工作日；</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Cs/>
          <w:sz w:val="24"/>
          <w:lang w:eastAsia="zh-CN"/>
        </w:rPr>
        <w:t>乙方提供的服务不符合合同约定的要求和质量的</w:t>
      </w:r>
      <w:r>
        <w:rPr>
          <w:rFonts w:hint="eastAsia" w:asciiTheme="majorEastAsia" w:hAnsiTheme="majorEastAsia" w:eastAsiaTheme="majorEastAsia" w:cstheme="majorEastAsia"/>
          <w:sz w:val="24"/>
        </w:rPr>
        <w:t xml:space="preserve">，且乙方未按甲方要求采取及时有效的补救措施的； </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）乙方虽如期提交中间成果和最终成果，但连续_次未能通过</w:t>
      </w:r>
      <w:r>
        <w:rPr>
          <w:rFonts w:hint="eastAsia" w:asciiTheme="majorEastAsia" w:hAnsiTheme="majorEastAsia" w:eastAsiaTheme="majorEastAsia" w:cstheme="majorEastAsia"/>
          <w:sz w:val="24"/>
          <w:lang w:eastAsia="zh-CN"/>
        </w:rPr>
        <w:t>甲方验收</w:t>
      </w:r>
      <w:r>
        <w:rPr>
          <w:rFonts w:hint="eastAsia" w:asciiTheme="majorEastAsia" w:hAnsiTheme="majorEastAsia" w:eastAsiaTheme="majorEastAsia" w:cstheme="majorEastAsia"/>
          <w:sz w:val="24"/>
        </w:rPr>
        <w:t>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（4）乙方未经甲方</w:t>
      </w:r>
      <w:r>
        <w:rPr>
          <w:rFonts w:hint="eastAsia" w:asciiTheme="majorEastAsia" w:hAnsiTheme="majorEastAsia" w:eastAsiaTheme="majorEastAsia" w:cstheme="majorEastAsia"/>
          <w:sz w:val="24"/>
          <w:lang w:eastAsia="zh-CN"/>
        </w:rPr>
        <w:t>书面</w:t>
      </w:r>
      <w:r>
        <w:rPr>
          <w:rFonts w:hint="eastAsia" w:asciiTheme="majorEastAsia" w:hAnsiTheme="majorEastAsia" w:eastAsiaTheme="majorEastAsia" w:cstheme="majorEastAsia"/>
          <w:sz w:val="24"/>
        </w:rPr>
        <w:t>同意，擅自将本合同项目与第三方合作，或将本合同标</w:t>
      </w:r>
      <w:bookmarkStart w:id="5" w:name="_GoBack"/>
      <w:bookmarkEnd w:id="5"/>
      <w:r>
        <w:rPr>
          <w:rFonts w:hint="eastAsia" w:asciiTheme="majorEastAsia" w:hAnsiTheme="majorEastAsia" w:eastAsiaTheme="majorEastAsia" w:cstheme="majorEastAsia"/>
          <w:sz w:val="24"/>
        </w:rPr>
        <w:t>的的全部或部分擅自转包给第三方，且未按甲方的要求终止与第三方的合同的；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（5）乙方明确表示或者以自己的行为表明不履行本合同的；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其它情形：</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本合同履行期间，因上述情形造成合同终止的，</w:t>
      </w:r>
      <w:r>
        <w:rPr>
          <w:rFonts w:hint="eastAsia" w:asciiTheme="majorEastAsia" w:hAnsiTheme="majorEastAsia" w:eastAsiaTheme="majorEastAsia" w:cstheme="majorEastAsia"/>
          <w:sz w:val="24"/>
          <w:lang w:eastAsia="zh-CN"/>
        </w:rPr>
        <w:t>甲方不再支付剩余合同价款</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eastAsia="zh-CN"/>
        </w:rPr>
        <w:t>乙方</w:t>
      </w:r>
      <w:r>
        <w:rPr>
          <w:rFonts w:hint="eastAsia" w:asciiTheme="majorEastAsia" w:hAnsiTheme="majorEastAsia" w:eastAsiaTheme="majorEastAsia" w:cstheme="majorEastAsia"/>
          <w:sz w:val="24"/>
        </w:rPr>
        <w:t>应</w:t>
      </w:r>
      <w:r>
        <w:rPr>
          <w:rFonts w:hint="eastAsia" w:asciiTheme="majorEastAsia" w:hAnsiTheme="majorEastAsia" w:eastAsiaTheme="majorEastAsia" w:cstheme="majorEastAsia"/>
          <w:sz w:val="24"/>
          <w:lang w:eastAsia="zh-CN"/>
        </w:rPr>
        <w:t>向甲方</w:t>
      </w:r>
      <w:r>
        <w:rPr>
          <w:rFonts w:hint="eastAsia" w:asciiTheme="majorEastAsia" w:hAnsiTheme="majorEastAsia" w:eastAsiaTheme="majorEastAsia" w:cstheme="majorEastAsia"/>
          <w:sz w:val="24"/>
        </w:rPr>
        <w:t>支付合同总价款</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%的违约金</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同时应将已完成的阶段成果移交给甲方，并退还甲方有关资料。</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8.3</w:t>
      </w:r>
      <w:r>
        <w:rPr>
          <w:rFonts w:hint="eastAsia" w:asciiTheme="majorEastAsia" w:hAnsiTheme="majorEastAsia" w:eastAsiaTheme="majorEastAsia" w:cstheme="majorEastAsia"/>
          <w:sz w:val="24"/>
        </w:rPr>
        <w:t>本合同履行过程中出现下列情形之一的，乙方有权解除合同：</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（1）甲方</w:t>
      </w:r>
      <w:r>
        <w:rPr>
          <w:rFonts w:hint="eastAsia" w:asciiTheme="majorEastAsia" w:hAnsiTheme="majorEastAsia" w:eastAsiaTheme="majorEastAsia" w:cstheme="majorEastAsia"/>
          <w:sz w:val="24"/>
          <w:lang w:eastAsia="zh-CN"/>
        </w:rPr>
        <w:t>无正当理由</w:t>
      </w:r>
      <w:r>
        <w:rPr>
          <w:rFonts w:hint="eastAsia" w:asciiTheme="majorEastAsia" w:hAnsiTheme="majorEastAsia" w:eastAsiaTheme="majorEastAsia" w:cstheme="majorEastAsia"/>
          <w:sz w:val="24"/>
        </w:rPr>
        <w:t>，逾期支付合同价款超过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个工作日；</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rPr>
        <w:t>2</w:t>
      </w:r>
      <w:r>
        <w:rPr>
          <w:rFonts w:hint="eastAsia" w:asciiTheme="majorEastAsia" w:hAnsiTheme="majorEastAsia" w:eastAsiaTheme="majorEastAsia" w:cstheme="majorEastAsia"/>
          <w:sz w:val="24"/>
        </w:rPr>
        <w:t>）甲方明确表示或者以自己的行为表明不履行本合同的；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其它情形：</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本合同履行期间，因上述情形造成合同终止的，乙方未开始项目工作的，</w:t>
      </w:r>
      <w:r>
        <w:rPr>
          <w:rFonts w:hint="eastAsia" w:asciiTheme="majorEastAsia" w:hAnsiTheme="majorEastAsia" w:eastAsiaTheme="majorEastAsia" w:cstheme="majorEastAsia"/>
          <w:sz w:val="24"/>
          <w:lang w:eastAsia="zh-CN"/>
        </w:rPr>
        <w:t>退还甲方已支付的款项</w:t>
      </w:r>
      <w:r>
        <w:rPr>
          <w:rFonts w:hint="eastAsia" w:asciiTheme="majorEastAsia" w:hAnsiTheme="majorEastAsia" w:eastAsiaTheme="majorEastAsia" w:cstheme="majorEastAsia"/>
          <w:sz w:val="24"/>
        </w:rPr>
        <w:t>；已开始项目工作</w:t>
      </w:r>
      <w:r>
        <w:rPr>
          <w:rFonts w:hint="eastAsia" w:asciiTheme="majorEastAsia" w:hAnsiTheme="majorEastAsia" w:eastAsiaTheme="majorEastAsia" w:cstheme="majorEastAsia"/>
          <w:sz w:val="24"/>
          <w:lang w:eastAsia="zh-CN"/>
        </w:rPr>
        <w:t>且阶段性成果与已支付款项相匹配</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lang w:eastAsia="zh-CN"/>
        </w:rPr>
        <w:t>不再退还甲方已支付的合同价款；经甲方核实，甲方已支付款项超过乙方阶段性成果对应的费用，乙方应退还甲方超额支付的费用。</w:t>
      </w:r>
      <w:r>
        <w:rPr>
          <w:rFonts w:hint="eastAsia" w:asciiTheme="majorEastAsia" w:hAnsiTheme="majorEastAsia" w:eastAsiaTheme="majorEastAsia" w:cstheme="majorEastAsia"/>
          <w:sz w:val="24"/>
        </w:rPr>
        <w:t>乙方应将已完成的阶段成果移交给甲方，并退还甲方有关资料。</w:t>
      </w: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bCs/>
          <w:sz w:val="24"/>
          <w:lang w:eastAsia="zh-CN"/>
        </w:rPr>
      </w:pP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eastAsia="zh-CN"/>
        </w:rPr>
        <w:t>第九条</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不可抗力</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9.1</w:t>
      </w:r>
      <w:r>
        <w:rPr>
          <w:rFonts w:hint="eastAsia" w:asciiTheme="majorEastAsia" w:hAnsiTheme="majorEastAsia" w:eastAsiaTheme="majorEastAsia" w:cstheme="majorEastAsia"/>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如不可抗力持续_个月后一方仍无法克服，则双方应立即商议应继续履行或终止合同。商议的结果，应以书面文件作为本合同的不可分割一部分。</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在本合同履约过程中，未受不可抗力影响的本合同条款，双方应继续努力执行。</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9.2</w:t>
      </w:r>
      <w:r>
        <w:rPr>
          <w:rFonts w:hint="eastAsia" w:asciiTheme="majorEastAsia" w:hAnsiTheme="majorEastAsia" w:eastAsiaTheme="majorEastAsia" w:cstheme="majorEastAsia"/>
          <w:sz w:val="24"/>
        </w:rPr>
        <w:t>如合同因不可抗力或其它原因须提前终止的，提出终止的一方须在_天前以书面形式，向另一方提出提前终止要求。合同须提前终止的，双方须签署提前终止协议，规定终止日期。</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eastAsia="zh-CN"/>
        </w:rPr>
        <w:t>第十条</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合同争议的解决方式</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本合同履行期间，双方发生的争议，由双方当事人协商解决。协商不成的，依法向</w:t>
      </w:r>
      <w:r>
        <w:rPr>
          <w:rFonts w:hint="eastAsia" w:asciiTheme="majorEastAsia" w:hAnsiTheme="majorEastAsia" w:eastAsiaTheme="majorEastAsia" w:cstheme="majorEastAsia"/>
          <w:sz w:val="24"/>
          <w:lang w:eastAsia="zh-CN"/>
        </w:rPr>
        <w:t>甲方所在地</w:t>
      </w:r>
      <w:r>
        <w:rPr>
          <w:rFonts w:hint="eastAsia" w:asciiTheme="majorEastAsia" w:hAnsiTheme="majorEastAsia" w:eastAsiaTheme="majorEastAsia" w:cstheme="majorEastAsia"/>
          <w:sz w:val="24"/>
        </w:rPr>
        <w:t>人民法院起诉</w:t>
      </w:r>
      <w:r>
        <w:rPr>
          <w:rFonts w:hint="eastAsia" w:asciiTheme="majorEastAsia" w:hAnsiTheme="majorEastAsia" w:eastAsiaTheme="majorEastAsia" w:cstheme="majorEastAsia"/>
          <w:sz w:val="24"/>
          <w:lang w:eastAsia="zh-CN"/>
        </w:rPr>
        <w:t>。</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eastAsia="zh-CN"/>
        </w:rPr>
        <w:t>第十一条</w:t>
      </w:r>
      <w:r>
        <w:rPr>
          <w:rFonts w:hint="eastAsia" w:asciiTheme="majorEastAsia" w:hAnsiTheme="majorEastAsia" w:eastAsiaTheme="majorEastAsia" w:cstheme="majorEastAsia"/>
          <w:b/>
          <w:sz w:val="24"/>
          <w:lang w:val="en-US" w:eastAsia="zh-CN"/>
        </w:rPr>
        <w:t xml:space="preserve">    </w:t>
      </w:r>
      <w:r>
        <w:rPr>
          <w:rFonts w:hint="eastAsia" w:asciiTheme="majorEastAsia" w:hAnsiTheme="majorEastAsia" w:eastAsiaTheme="majorEastAsia" w:cstheme="majorEastAsia"/>
          <w:b/>
          <w:sz w:val="24"/>
        </w:rPr>
        <w:t>其他条款</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sz w:val="24"/>
        </w:rPr>
        <w:t>1</w:t>
      </w:r>
      <w:r>
        <w:rPr>
          <w:rFonts w:hint="eastAsia" w:asciiTheme="majorEastAsia" w:hAnsiTheme="majorEastAsia" w:eastAsiaTheme="majorEastAsia" w:cstheme="majorEastAsia"/>
          <w:bCs/>
          <w:sz w:val="24"/>
          <w:lang w:eastAsia="zh-CN"/>
        </w:rPr>
        <w:t>1</w:t>
      </w:r>
      <w:r>
        <w:rPr>
          <w:rFonts w:hint="eastAsia" w:asciiTheme="majorEastAsia" w:hAnsiTheme="majorEastAsia" w:eastAsiaTheme="majorEastAsia" w:cstheme="majorEastAsia"/>
          <w:bCs/>
          <w:sz w:val="24"/>
        </w:rPr>
        <w:t xml:space="preserve">.1 </w:t>
      </w:r>
      <w:r>
        <w:rPr>
          <w:rFonts w:hint="eastAsia" w:asciiTheme="majorEastAsia" w:hAnsiTheme="majorEastAsia" w:eastAsiaTheme="majorEastAsia" w:cstheme="majorEastAsia"/>
          <w:sz w:val="24"/>
        </w:rPr>
        <w:t>本合同共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份附件，附件</w:t>
      </w:r>
      <w:r>
        <w:rPr>
          <w:rFonts w:hint="eastAsia" w:asciiTheme="majorEastAsia" w:hAnsiTheme="majorEastAsia" w:eastAsiaTheme="majorEastAsia" w:cstheme="majorEastAsia"/>
          <w:color w:val="auto"/>
          <w:sz w:val="24"/>
        </w:rPr>
        <w:t>与本合同条款对双方具有同等效力。</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color w:val="auto"/>
          <w:sz w:val="24"/>
        </w:rPr>
        <w:t>1</w:t>
      </w:r>
      <w:r>
        <w:rPr>
          <w:rFonts w:hint="eastAsia" w:asciiTheme="majorEastAsia" w:hAnsiTheme="majorEastAsia" w:eastAsiaTheme="majorEastAsia" w:cstheme="majorEastAsia"/>
          <w:bCs/>
          <w:color w:val="auto"/>
          <w:sz w:val="24"/>
          <w:lang w:eastAsia="zh-CN"/>
        </w:rPr>
        <w:t>1</w:t>
      </w:r>
      <w:r>
        <w:rPr>
          <w:rFonts w:hint="eastAsia" w:asciiTheme="majorEastAsia" w:hAnsiTheme="majorEastAsia" w:eastAsiaTheme="majorEastAsia" w:cstheme="majorEastAsia"/>
          <w:bCs/>
          <w:color w:val="auto"/>
          <w:sz w:val="24"/>
        </w:rPr>
        <w:t>.2</w:t>
      </w:r>
      <w:r>
        <w:rPr>
          <w:rFonts w:hint="eastAsia" w:asciiTheme="majorEastAsia" w:hAnsiTheme="majorEastAsia" w:eastAsiaTheme="majorEastAsia" w:cstheme="majorEastAsia"/>
          <w:color w:val="auto"/>
          <w:sz w:val="24"/>
        </w:rPr>
        <w:t>本合同经双方法</w:t>
      </w:r>
      <w:r>
        <w:rPr>
          <w:rFonts w:hint="eastAsia" w:asciiTheme="majorEastAsia" w:hAnsiTheme="majorEastAsia" w:eastAsiaTheme="majorEastAsia" w:cstheme="majorEastAsia"/>
          <w:color w:val="auto"/>
          <w:sz w:val="24"/>
          <w:lang w:eastAsia="zh-CN"/>
        </w:rPr>
        <w:t>定代表人</w:t>
      </w:r>
      <w:r>
        <w:rPr>
          <w:rFonts w:hint="eastAsia" w:asciiTheme="majorEastAsia" w:hAnsiTheme="majorEastAsia" w:eastAsiaTheme="majorEastAsia" w:cstheme="majorEastAsia"/>
          <w:color w:val="auto"/>
          <w:sz w:val="24"/>
        </w:rPr>
        <w:t>或其授权代表签字，并加盖单位印章后，立即生效。</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color w:val="auto"/>
          <w:sz w:val="24"/>
        </w:rPr>
        <w:t>1</w:t>
      </w:r>
      <w:r>
        <w:rPr>
          <w:rFonts w:hint="eastAsia" w:asciiTheme="majorEastAsia" w:hAnsiTheme="majorEastAsia" w:eastAsiaTheme="majorEastAsia" w:cstheme="majorEastAsia"/>
          <w:bCs/>
          <w:color w:val="auto"/>
          <w:sz w:val="24"/>
          <w:lang w:eastAsia="zh-CN"/>
        </w:rPr>
        <w:t>1</w:t>
      </w:r>
      <w:r>
        <w:rPr>
          <w:rFonts w:hint="eastAsia" w:asciiTheme="majorEastAsia" w:hAnsiTheme="majorEastAsia" w:eastAsiaTheme="majorEastAsia" w:cstheme="majorEastAsia"/>
          <w:bCs/>
          <w:color w:val="auto"/>
          <w:sz w:val="24"/>
        </w:rPr>
        <w:t>.3</w:t>
      </w:r>
      <w:r>
        <w:rPr>
          <w:rFonts w:hint="eastAsia" w:asciiTheme="majorEastAsia" w:hAnsiTheme="majorEastAsia" w:eastAsiaTheme="majorEastAsia" w:cstheme="majorEastAsia"/>
          <w:color w:val="auto"/>
          <w:sz w:val="24"/>
        </w:rPr>
        <w:t>本合同一式_份，甲乙双方当事人各执_份。如合同履约过程中，</w:t>
      </w:r>
      <w:r>
        <w:rPr>
          <w:rFonts w:hint="eastAsia" w:asciiTheme="majorEastAsia" w:hAnsiTheme="majorEastAsia" w:eastAsiaTheme="majorEastAsia" w:cstheme="majorEastAsia"/>
          <w:color w:val="auto"/>
          <w:sz w:val="24"/>
          <w:lang w:eastAsia="zh-CN"/>
        </w:rPr>
        <w:t>因工作需要签订补充协议以变更或增减本合同约定的</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eastAsia="zh-CN"/>
        </w:rPr>
        <w:t>补充协议</w:t>
      </w:r>
      <w:r>
        <w:rPr>
          <w:rFonts w:hint="eastAsia" w:asciiTheme="majorEastAsia" w:hAnsiTheme="majorEastAsia" w:eastAsiaTheme="majorEastAsia" w:cstheme="majorEastAsia"/>
          <w:color w:val="auto"/>
          <w:sz w:val="24"/>
        </w:rPr>
        <w:t>均须经双方法</w:t>
      </w:r>
      <w:r>
        <w:rPr>
          <w:rFonts w:hint="eastAsia" w:asciiTheme="majorEastAsia" w:hAnsiTheme="majorEastAsia" w:eastAsiaTheme="majorEastAsia" w:cstheme="majorEastAsia"/>
          <w:color w:val="auto"/>
          <w:sz w:val="24"/>
          <w:lang w:eastAsia="zh-CN"/>
        </w:rPr>
        <w:t>定代表人</w:t>
      </w:r>
      <w:r>
        <w:rPr>
          <w:rFonts w:hint="eastAsia" w:asciiTheme="majorEastAsia" w:hAnsiTheme="majorEastAsia" w:eastAsiaTheme="majorEastAsia" w:cstheme="majorEastAsia"/>
          <w:sz w:val="24"/>
        </w:rPr>
        <w:t>或授权代表签字</w:t>
      </w:r>
      <w:r>
        <w:rPr>
          <w:rFonts w:hint="eastAsia" w:asciiTheme="majorEastAsia" w:hAnsiTheme="majorEastAsia" w:eastAsiaTheme="majorEastAsia" w:cstheme="majorEastAsia"/>
          <w:sz w:val="24"/>
          <w:lang w:eastAsia="zh-CN"/>
        </w:rPr>
        <w:t>和单位盖章</w:t>
      </w:r>
      <w:r>
        <w:rPr>
          <w:rFonts w:hint="eastAsia" w:asciiTheme="majorEastAsia" w:hAnsiTheme="majorEastAsia" w:eastAsiaTheme="majorEastAsia" w:cstheme="majorEastAsia"/>
          <w:sz w:val="24"/>
        </w:rPr>
        <w:t>后生效，成为本合同不可分割的一部分。</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w:t>
      </w:r>
      <w:r>
        <w:rPr>
          <w:rFonts w:hint="eastAsia" w:asciiTheme="majorEastAsia" w:hAnsiTheme="majorEastAsia" w:eastAsiaTheme="majorEastAsia" w:cstheme="majorEastAsia"/>
          <w:b/>
          <w:bCs/>
          <w:color w:val="000000"/>
          <w:sz w:val="24"/>
        </w:rPr>
        <w:t>以下</w:t>
      </w:r>
      <w:r>
        <w:rPr>
          <w:rFonts w:hint="eastAsia" w:asciiTheme="majorEastAsia" w:hAnsiTheme="majorEastAsia" w:eastAsiaTheme="majorEastAsia" w:cstheme="majorEastAsia"/>
          <w:b/>
          <w:bCs/>
          <w:color w:val="000000"/>
          <w:sz w:val="24"/>
          <w:lang w:eastAsia="zh-CN"/>
        </w:rPr>
        <w:t>无</w:t>
      </w:r>
      <w:r>
        <w:rPr>
          <w:rFonts w:hint="eastAsia" w:asciiTheme="majorEastAsia" w:hAnsiTheme="majorEastAsia" w:eastAsiaTheme="majorEastAsia" w:cstheme="majorEastAsia"/>
          <w:b/>
          <w:bCs/>
          <w:color w:val="000000"/>
          <w:sz w:val="24"/>
        </w:rPr>
        <w:t>正文内容</w:t>
      </w:r>
      <w:r>
        <w:rPr>
          <w:rFonts w:hint="eastAsia" w:asciiTheme="majorEastAsia" w:hAnsiTheme="majorEastAsia" w:eastAsiaTheme="majorEastAsia" w:cstheme="majorEastAsia"/>
          <w:color w:val="000000"/>
          <w:sz w:val="24"/>
        </w:rPr>
        <w:t>）</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委托方：</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 xml:space="preserve">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受托方：</w:t>
      </w:r>
      <w:r>
        <w:rPr>
          <w:rFonts w:hint="eastAsia" w:asciiTheme="majorEastAsia" w:hAnsiTheme="majorEastAsia" w:eastAsiaTheme="majorEastAsia" w:cstheme="majorEastAsia"/>
          <w:b/>
          <w:sz w:val="24"/>
          <w:u w:val="single"/>
        </w:rPr>
        <w:t xml:space="preserve">                    </w:t>
      </w: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（甲方）（盖章）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 xml:space="preserve">（乙方）（盖章）   </w:t>
      </w: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法定代表人（签名）：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法定代表人（签名）：</w:t>
      </w:r>
    </w:p>
    <w:p>
      <w:pPr>
        <w:pStyle w:val="2"/>
        <w:spacing w:line="480" w:lineRule="exact"/>
        <w:jc w:val="left"/>
        <w:rPr>
          <w:rFonts w:hint="eastAsia" w:asciiTheme="majorEastAsia" w:hAnsiTheme="majorEastAsia" w:eastAsiaTheme="majorEastAsia" w:cstheme="majorEastAsia"/>
          <w:b/>
          <w:sz w:val="24"/>
        </w:rPr>
      </w:pPr>
    </w:p>
    <w:p>
      <w:pPr>
        <w:pStyle w:val="3"/>
        <w:spacing w:line="480" w:lineRule="exact"/>
        <w:jc w:val="left"/>
        <w:rPr>
          <w:rFonts w:hint="eastAsia"/>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委托代理人（签名）：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委托代理人（签名）：</w:t>
      </w:r>
    </w:p>
    <w:p>
      <w:pPr>
        <w:pStyle w:val="2"/>
        <w:spacing w:line="480" w:lineRule="exact"/>
        <w:jc w:val="left"/>
        <w:rPr>
          <w:rFonts w:hint="eastAsia" w:asciiTheme="majorEastAsia" w:hAnsiTheme="majorEastAsia" w:eastAsiaTheme="majorEastAsia" w:cstheme="majorEastAsia"/>
          <w:b/>
          <w:sz w:val="24"/>
        </w:rPr>
      </w:pPr>
    </w:p>
    <w:p>
      <w:pPr>
        <w:pStyle w:val="3"/>
        <w:spacing w:line="480" w:lineRule="exact"/>
        <w:jc w:val="left"/>
        <w:rPr>
          <w:rFonts w:hint="eastAsia"/>
        </w:rPr>
      </w:pPr>
    </w:p>
    <w:p>
      <w:pPr>
        <w:adjustRightInd w:val="0"/>
        <w:snapToGrid w:val="0"/>
        <w:spacing w:before="0" w:beforeLines="0" w:after="0" w:afterLines="0" w:line="480" w:lineRule="exact"/>
        <w:ind w:firstLine="481" w:firstLineChars="200"/>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____年_月_日</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 xml:space="preserve">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lang w:val="en-US" w:eastAsia="zh-CN"/>
        </w:rPr>
        <w:t xml:space="preserve">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___年_月_日</w:t>
      </w:r>
    </w:p>
    <w:p>
      <w:pPr>
        <w:pStyle w:val="10"/>
        <w:spacing w:after="0" w:line="500" w:lineRule="exact"/>
        <w:ind w:firstLine="481" w:firstLineChars="200"/>
        <w:rPr>
          <w:rFonts w:hint="eastAsia" w:asciiTheme="majorEastAsia" w:hAnsiTheme="majorEastAsia" w:eastAsiaTheme="majorEastAsia" w:cstheme="majorEastAsia"/>
          <w:b/>
          <w:bCs/>
          <w:sz w:val="24"/>
        </w:rPr>
      </w:pPr>
    </w:p>
    <w:p>
      <w:pPr>
        <w:rPr>
          <w:rFonts w:hint="eastAsia" w:asciiTheme="majorEastAsia" w:hAnsiTheme="majorEastAsia" w:eastAsiaTheme="majorEastAsia" w:cstheme="majorEastAsia"/>
        </w:rPr>
      </w:pPr>
    </w:p>
    <w:sectPr>
      <w:footerReference r:id="rId3" w:type="default"/>
      <w:pgSz w:w="12240" w:h="15840"/>
      <w:pgMar w:top="2098" w:right="1474" w:bottom="187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Fonts w:ascii="Times New Roman" w:hAnsi="Times New Roman" w:eastAsia="宋体" w:cs="Times New Roman"/>
      </w:rPr>
    </w:pPr>
    <w:r>
      <w:rPr>
        <w:rStyle w:val="15"/>
        <w:rFonts w:ascii="Times New Roman" w:hAnsi="Times New Roman" w:eastAsia="宋体" w:cs="Times New Roman"/>
      </w:rPr>
      <w:fldChar w:fldCharType="begin"/>
    </w:r>
    <w:r>
      <w:rPr>
        <w:rStyle w:val="15"/>
        <w:rFonts w:ascii="Times New Roman" w:hAnsi="Times New Roman" w:eastAsia="宋体" w:cs="Times New Roman"/>
      </w:rPr>
      <w:instrText xml:space="preserve">PAGE  </w:instrText>
    </w:r>
    <w:r>
      <w:rPr>
        <w:rStyle w:val="15"/>
        <w:rFonts w:ascii="Times New Roman" w:hAnsi="Times New Roman" w:eastAsia="宋体" w:cs="Times New Roman"/>
      </w:rPr>
      <w:fldChar w:fldCharType="separate"/>
    </w:r>
    <w:r>
      <w:rPr>
        <w:rStyle w:val="15"/>
        <w:rFonts w:ascii="Times New Roman" w:hAnsi="Times New Roman" w:eastAsia="宋体" w:cs="Times New Roman"/>
      </w:rPr>
      <w:t>13</w:t>
    </w:r>
    <w:r>
      <w:rPr>
        <w:rStyle w:val="15"/>
        <w:rFonts w:ascii="Times New Roman" w:hAnsi="Times New Roman" w:eastAsia="宋体" w:cs="Times New Roman"/>
      </w:rPr>
      <w:fldChar w:fldCharType="end"/>
    </w:r>
  </w:p>
  <w:p>
    <w:pPr>
      <w:pStyle w:val="7"/>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EC820"/>
    <w:multiLevelType w:val="singleLevel"/>
    <w:tmpl w:val="F51EC820"/>
    <w:lvl w:ilvl="0" w:tentative="0">
      <w:start w:val="2"/>
      <w:numFmt w:val="chineseCounting"/>
      <w:suff w:val="nothing"/>
      <w:lvlText w:val="%1、"/>
      <w:lvlJc w:val="left"/>
      <w:rPr>
        <w:rFonts w:hint="eastAsia"/>
      </w:rPr>
    </w:lvl>
  </w:abstractNum>
  <w:abstractNum w:abstractNumId="1">
    <w:nsid w:val="55E01637"/>
    <w:multiLevelType w:val="multilevel"/>
    <w:tmpl w:val="55E01637"/>
    <w:lvl w:ilvl="0" w:tentative="0">
      <w:start w:val="1"/>
      <w:numFmt w:val="decimal"/>
      <w:suff w:val="nothing"/>
      <w:lvlText w:val="%1、"/>
      <w:lvlJc w:val="left"/>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20"/>
    <w:rsid w:val="00084586"/>
    <w:rsid w:val="000F0A34"/>
    <w:rsid w:val="000F2B93"/>
    <w:rsid w:val="00201386"/>
    <w:rsid w:val="002F207F"/>
    <w:rsid w:val="003D5C8F"/>
    <w:rsid w:val="003D6AAF"/>
    <w:rsid w:val="00656240"/>
    <w:rsid w:val="00B45FB4"/>
    <w:rsid w:val="00CF5220"/>
    <w:rsid w:val="04146A01"/>
    <w:rsid w:val="06EE1C07"/>
    <w:rsid w:val="076F3599"/>
    <w:rsid w:val="08326375"/>
    <w:rsid w:val="0B5E6688"/>
    <w:rsid w:val="0BF53F94"/>
    <w:rsid w:val="10AD1C02"/>
    <w:rsid w:val="14B6605D"/>
    <w:rsid w:val="155362A8"/>
    <w:rsid w:val="177E783E"/>
    <w:rsid w:val="1BDE616B"/>
    <w:rsid w:val="1E930A2B"/>
    <w:rsid w:val="22AA7723"/>
    <w:rsid w:val="28245882"/>
    <w:rsid w:val="28E26225"/>
    <w:rsid w:val="29890093"/>
    <w:rsid w:val="2AC942C3"/>
    <w:rsid w:val="33B74C11"/>
    <w:rsid w:val="33BACF8D"/>
    <w:rsid w:val="364FFD23"/>
    <w:rsid w:val="366051D0"/>
    <w:rsid w:val="3AD97DE0"/>
    <w:rsid w:val="3D204412"/>
    <w:rsid w:val="3E7FA410"/>
    <w:rsid w:val="3EAB0813"/>
    <w:rsid w:val="3FE56532"/>
    <w:rsid w:val="3FE65477"/>
    <w:rsid w:val="3FF34060"/>
    <w:rsid w:val="3FFEDA75"/>
    <w:rsid w:val="3FFF752F"/>
    <w:rsid w:val="426F27F7"/>
    <w:rsid w:val="42CA554C"/>
    <w:rsid w:val="45427B10"/>
    <w:rsid w:val="48FF5C01"/>
    <w:rsid w:val="4B83805C"/>
    <w:rsid w:val="4E3F02BA"/>
    <w:rsid w:val="4ECF3E5A"/>
    <w:rsid w:val="4F7FC423"/>
    <w:rsid w:val="4FBC0304"/>
    <w:rsid w:val="53F73CC7"/>
    <w:rsid w:val="576F1826"/>
    <w:rsid w:val="5CF679CA"/>
    <w:rsid w:val="5E2561DF"/>
    <w:rsid w:val="5EF714B0"/>
    <w:rsid w:val="5F7EA5B5"/>
    <w:rsid w:val="5FDF9606"/>
    <w:rsid w:val="5FFD2068"/>
    <w:rsid w:val="607FF2E4"/>
    <w:rsid w:val="61EA49E2"/>
    <w:rsid w:val="64FE29DC"/>
    <w:rsid w:val="65EABA5A"/>
    <w:rsid w:val="66CB4B3F"/>
    <w:rsid w:val="6885769C"/>
    <w:rsid w:val="69E74D61"/>
    <w:rsid w:val="69F4306E"/>
    <w:rsid w:val="6CFF7BB2"/>
    <w:rsid w:val="6D2A6A64"/>
    <w:rsid w:val="6DF6B68E"/>
    <w:rsid w:val="6EBFD0D4"/>
    <w:rsid w:val="6EC86534"/>
    <w:rsid w:val="6EF74650"/>
    <w:rsid w:val="6F39937D"/>
    <w:rsid w:val="6F3F138A"/>
    <w:rsid w:val="6FFF5EFC"/>
    <w:rsid w:val="71CFA43E"/>
    <w:rsid w:val="72F5F40D"/>
    <w:rsid w:val="73AFEB3B"/>
    <w:rsid w:val="73C3632E"/>
    <w:rsid w:val="73FE32FA"/>
    <w:rsid w:val="76785BA0"/>
    <w:rsid w:val="76FF1525"/>
    <w:rsid w:val="77F710FA"/>
    <w:rsid w:val="799C2A97"/>
    <w:rsid w:val="79F30943"/>
    <w:rsid w:val="7A3F95BC"/>
    <w:rsid w:val="7B6A14CC"/>
    <w:rsid w:val="7B768CD1"/>
    <w:rsid w:val="7B784585"/>
    <w:rsid w:val="7BCF76DB"/>
    <w:rsid w:val="7BE6043D"/>
    <w:rsid w:val="7C6504BD"/>
    <w:rsid w:val="7D73BEC2"/>
    <w:rsid w:val="7DBF614E"/>
    <w:rsid w:val="7EBEA7B6"/>
    <w:rsid w:val="7EF9DD3C"/>
    <w:rsid w:val="7F2F4925"/>
    <w:rsid w:val="7F7A18E1"/>
    <w:rsid w:val="7F7B2EB3"/>
    <w:rsid w:val="7FAFBC25"/>
    <w:rsid w:val="7FAFD680"/>
    <w:rsid w:val="7FDD5E84"/>
    <w:rsid w:val="7FE935E2"/>
    <w:rsid w:val="7FF278E0"/>
    <w:rsid w:val="7FFCEE51"/>
    <w:rsid w:val="7FFF1D2B"/>
    <w:rsid w:val="7FFFE40C"/>
    <w:rsid w:val="8BBFE342"/>
    <w:rsid w:val="8F57C930"/>
    <w:rsid w:val="9BFD581C"/>
    <w:rsid w:val="9FB6A0EE"/>
    <w:rsid w:val="B97AC768"/>
    <w:rsid w:val="BBF8558E"/>
    <w:rsid w:val="BC97D989"/>
    <w:rsid w:val="BCAF65BB"/>
    <w:rsid w:val="BDE41FD8"/>
    <w:rsid w:val="BE5FCCE1"/>
    <w:rsid w:val="BF63C465"/>
    <w:rsid w:val="BFDD1793"/>
    <w:rsid w:val="C3A77901"/>
    <w:rsid w:val="CD9F3D43"/>
    <w:rsid w:val="CE7E4109"/>
    <w:rsid w:val="CEBDEFE5"/>
    <w:rsid w:val="CED2028F"/>
    <w:rsid w:val="CEE79963"/>
    <w:rsid w:val="D0FFF52F"/>
    <w:rsid w:val="D37429FE"/>
    <w:rsid w:val="D6BDDF5D"/>
    <w:rsid w:val="DB3F4677"/>
    <w:rsid w:val="DDBFFADE"/>
    <w:rsid w:val="DF7BEEC0"/>
    <w:rsid w:val="DF7FA56F"/>
    <w:rsid w:val="DFFF7263"/>
    <w:rsid w:val="EACFE9F5"/>
    <w:rsid w:val="EE9F2914"/>
    <w:rsid w:val="EF6FDE9D"/>
    <w:rsid w:val="EF7D6330"/>
    <w:rsid w:val="EF7F7213"/>
    <w:rsid w:val="EF9F7A2D"/>
    <w:rsid w:val="EFDB3217"/>
    <w:rsid w:val="EFFD1640"/>
    <w:rsid w:val="F54BAAC4"/>
    <w:rsid w:val="F70DC4FF"/>
    <w:rsid w:val="F77E1DA6"/>
    <w:rsid w:val="F9FD8533"/>
    <w:rsid w:val="FA7B3481"/>
    <w:rsid w:val="FABE8271"/>
    <w:rsid w:val="FACABC9F"/>
    <w:rsid w:val="FB5F70B6"/>
    <w:rsid w:val="FB7FD47D"/>
    <w:rsid w:val="FB9B0024"/>
    <w:rsid w:val="FBFFA127"/>
    <w:rsid w:val="FDDFF88C"/>
    <w:rsid w:val="FDFF78D0"/>
    <w:rsid w:val="FE768D6C"/>
    <w:rsid w:val="FECBA53C"/>
    <w:rsid w:val="FEFFD1DF"/>
    <w:rsid w:val="FF113FDF"/>
    <w:rsid w:val="FF83D281"/>
    <w:rsid w:val="FF955435"/>
    <w:rsid w:val="FFBF4C03"/>
    <w:rsid w:val="FFCF4BB1"/>
    <w:rsid w:val="FFE73B62"/>
    <w:rsid w:val="FFECC951"/>
    <w:rsid w:val="FFF37DA4"/>
    <w:rsid w:val="FFF59E20"/>
    <w:rsid w:val="FFF996E6"/>
    <w:rsid w:val="FFFBA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4">
    <w:name w:val="Normal Indent"/>
    <w:basedOn w:val="1"/>
    <w:next w:val="2"/>
    <w:qFormat/>
    <w:uiPriority w:val="99"/>
    <w:pPr>
      <w:ind w:firstLine="420" w:firstLineChars="200"/>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pPr>
      <w:widowControl w:val="0"/>
      <w:jc w:val="both"/>
    </w:pPr>
    <w:rPr>
      <w:rFonts w:ascii="宋体" w:hAnsi="Courier New" w:eastAsia="宋体"/>
      <w:kern w:val="2"/>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val="0"/>
      <w:jc w:val="both"/>
    </w:pPr>
    <w:rPr>
      <w:kern w:val="2"/>
      <w:sz w:val="24"/>
      <w:szCs w:val="24"/>
    </w:rPr>
  </w:style>
  <w:style w:type="paragraph" w:styleId="10">
    <w:name w:val="Body Text First Indent"/>
    <w:basedOn w:val="2"/>
    <w:qFormat/>
    <w:uiPriority w:val="0"/>
    <w:pPr>
      <w:spacing w:after="120" w:line="240" w:lineRule="auto"/>
      <w:ind w:firstLine="420" w:firstLineChars="100"/>
    </w:pPr>
  </w:style>
  <w:style w:type="paragraph" w:styleId="11">
    <w:name w:val="Body Text First Indent 2"/>
    <w:basedOn w:val="5"/>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paragraph" w:customStyle="1" w:styleId="16">
    <w:name w:val="样式 (西文) 宋体 行距: 1.5 倍行距"/>
    <w:basedOn w:val="1"/>
    <w:qFormat/>
    <w:uiPriority w:val="0"/>
    <w:pPr>
      <w:widowControl w:val="0"/>
      <w:spacing w:line="360" w:lineRule="auto"/>
      <w:jc w:val="both"/>
    </w:pPr>
    <w:rPr>
      <w:rFonts w:ascii="宋体" w:hAnsi="宋体" w:eastAsia="宋体" w:cs="宋体"/>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7469</Words>
  <Characters>8023</Characters>
  <Lines>94</Lines>
  <Paragraphs>26</Paragraphs>
  <TotalTime>8</TotalTime>
  <ScaleCrop>false</ScaleCrop>
  <LinksUpToDate>false</LinksUpToDate>
  <CharactersWithSpaces>9999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2026-02-11T10:45:00Z</dcterms:created>
  <dc:creator>Administrator</dc:creator>
  <cp:lastModifiedBy>zhl</cp:lastModifiedBy>
  <dcterms:modified xsi:type="dcterms:W3CDTF">2026-04-16T09:23:19Z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eyJoZGlkIjoiNTQ0ZTUxN2QzYjQxZDgwMjdmZTg2MzAyYjhjZDk4OWMiLCJ1c2VySWQiOiI2NzMzMDgzNTUifQ==</vt:lpwstr>
  </property>
  <property fmtid="{D5CDD505-2E9C-101B-9397-08002B2CF9AE}" pid="4" name="ICV">
    <vt:lpwstr>06E2E63E4EEE4C918B4ED909C9671B87_13</vt:lpwstr>
  </property>
</Properties>
</file>