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缙熙园项目选房交通指引和注意事项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选房现场停车位有限，为环保低碳，建议绿色出行。请选房家庭认真仔细阅读以下事项：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选房交通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选房家庭可选择以下任意一种形式前往项目选房现场——缙熙园营销中心，地址：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悦兴路168号信城·缙熙园营销中心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true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您的位置——九龙山花园总站（M258、M545）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）考虑到选房现场接待能力有限，为了营造顺畅、良好的选房环境，请每个选房家庭尽量最多安排两人现场选房。另从安全角度考虑，请选房家庭尽量不要带老人、儿童进入选房现场。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）为了保证选房家庭人身安全，请遵循现场工作人员统一安排，不要在选房现场随意走动，以免发生意外。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4E1066"/>
    <w:rsid w:val="00514678"/>
    <w:rsid w:val="005545EB"/>
    <w:rsid w:val="00583E70"/>
    <w:rsid w:val="005C5DA7"/>
    <w:rsid w:val="006142AA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578D3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8ED33CE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AA520E2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1E6AE1"/>
    <w:rsid w:val="60950FEB"/>
    <w:rsid w:val="62B4296D"/>
    <w:rsid w:val="63A95C34"/>
    <w:rsid w:val="67563204"/>
    <w:rsid w:val="6A8E5191"/>
    <w:rsid w:val="6F74028D"/>
    <w:rsid w:val="72E651DB"/>
    <w:rsid w:val="737F4B77"/>
    <w:rsid w:val="74B509F1"/>
    <w:rsid w:val="776745B9"/>
    <w:rsid w:val="7C046EB9"/>
    <w:rsid w:val="7D0F137A"/>
    <w:rsid w:val="7E066731"/>
    <w:rsid w:val="7F1A98F7"/>
    <w:rsid w:val="AF9E3B96"/>
    <w:rsid w:val="BEEF7028"/>
    <w:rsid w:val="F4B7B7A0"/>
    <w:rsid w:val="F733C99F"/>
    <w:rsid w:val="FBF727E3"/>
    <w:rsid w:val="FFD71DAE"/>
    <w:rsid w:val="FFEF4358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984</Words>
  <Characters>1056</Characters>
  <Lines>8</Lines>
  <Paragraphs>2</Paragraphs>
  <TotalTime>2</TotalTime>
  <ScaleCrop>false</ScaleCrop>
  <LinksUpToDate>false</LinksUpToDate>
  <CharactersWithSpaces>1058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2022-04-17T01:41:00Z</dcterms:created>
  <dc:creator>Yuan Zhiting</dc:creator>
  <cp:lastModifiedBy>bzs_cdn</cp:lastModifiedBy>
  <dcterms:modified xsi:type="dcterms:W3CDTF">2026-04-15T14:44:32Z</dcterms:modified>
  <dc:title>缙熙园项目选房交通指引和注意事项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D7D96C66D70F4BDEA3C470A5E550FDD1_13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