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20"/>
        <w:jc w:val="center"/>
        <w:rPr>
          <w:rFonts w:ascii="宋体" w:eastAsia="宋体"/>
          <w:b/>
          <w:sz w:val="44"/>
        </w:rPr>
      </w:pPr>
      <w:r>
        <w:rPr>
          <w:rFonts w:hint="eastAsia" w:ascii="宋体" w:eastAsia="宋体"/>
          <w:b/>
          <w:sz w:val="44"/>
        </w:rPr>
        <w:t>伟城贤德瑞府项目安居型商品房</w:t>
      </w:r>
    </w:p>
    <w:p>
      <w:pPr>
        <w:ind w:left="220"/>
        <w:jc w:val="center"/>
        <w:rPr>
          <w:rFonts w:ascii="宋体" w:eastAsia="宋体"/>
          <w:b/>
          <w:sz w:val="44"/>
        </w:rPr>
      </w:pPr>
      <w:r>
        <w:rPr>
          <w:rFonts w:hint="eastAsia" w:ascii="宋体" w:eastAsia="宋体"/>
          <w:b/>
          <w:sz w:val="44"/>
        </w:rPr>
        <w:t>看房交通指引和注意事项</w:t>
      </w:r>
    </w:p>
    <w:p>
      <w:pPr>
        <w:ind w:left="220"/>
        <w:jc w:val="center"/>
        <w:rPr>
          <w:rFonts w:ascii="宋体" w:eastAsia="宋体"/>
          <w:b/>
          <w:sz w:val="44"/>
        </w:rPr>
      </w:pPr>
    </w:p>
    <w:p>
      <w:pPr>
        <w:pStyle w:val="2"/>
        <w:spacing w:line="360" w:lineRule="auto"/>
        <w:ind w:right="409" w:firstLine="602" w:firstLineChars="200"/>
        <w:jc w:val="both"/>
        <w:rPr>
          <w:b/>
          <w:bCs/>
          <w:kern w:val="2"/>
          <w:lang w:bidi="ar-SA"/>
        </w:rPr>
      </w:pPr>
      <w:r>
        <w:rPr>
          <w:rFonts w:hint="eastAsia"/>
          <w:b/>
          <w:bCs/>
          <w:kern w:val="2"/>
          <w:lang w:bidi="ar-SA"/>
        </w:rPr>
        <w:t>看房现场不提供停车位，建议绿色出行。请看房家庭认真仔细阅读以下事项：</w:t>
      </w:r>
    </w:p>
    <w:p>
      <w:pPr>
        <w:pStyle w:val="2"/>
        <w:spacing w:line="360" w:lineRule="auto"/>
        <w:ind w:right="409" w:firstLine="602" w:firstLineChars="200"/>
        <w:jc w:val="both"/>
      </w:pPr>
      <w:r>
        <w:rPr>
          <w:rFonts w:hint="eastAsia"/>
          <w:b/>
          <w:bCs/>
        </w:rPr>
        <w:t>一、看房交通</w:t>
      </w:r>
    </w:p>
    <w:p>
      <w:pPr>
        <w:pStyle w:val="2"/>
        <w:spacing w:line="360" w:lineRule="auto"/>
        <w:ind w:right="409" w:firstLine="600" w:firstLineChars="200"/>
        <w:jc w:val="both"/>
      </w:pPr>
      <w:r>
        <w:rPr>
          <w:rFonts w:hint="eastAsia"/>
        </w:rPr>
        <w:t>看房家庭可选择以下任意一种形式前往项目现场看房（</w:t>
      </w:r>
      <w:r>
        <w:rPr>
          <w:rFonts w:hint="eastAsia"/>
          <w:lang w:val="en-US"/>
        </w:rPr>
        <w:t>伟城贤德瑞府项目展示中心</w:t>
      </w:r>
      <w:r>
        <w:rPr>
          <w:rFonts w:hint="eastAsia"/>
        </w:rPr>
        <w:t>（以下简称营销中心），地址：深圳市</w:t>
      </w:r>
      <w:r>
        <w:rPr>
          <w:rFonts w:hint="eastAsia"/>
          <w:lang w:val="en-US"/>
        </w:rPr>
        <w:t>光明区公明李松蓢大园路与李松蓢炮台路交汇处西南侧</w:t>
      </w:r>
      <w:r>
        <w:rPr>
          <w:rFonts w:hint="eastAsia"/>
        </w:rPr>
        <w:t>。</w:t>
      </w:r>
    </w:p>
    <w:p>
      <w:pPr>
        <w:pStyle w:val="2"/>
        <w:spacing w:line="360" w:lineRule="auto"/>
        <w:ind w:right="409" w:firstLine="602" w:firstLineChars="200"/>
        <w:jc w:val="both"/>
        <w:rPr>
          <w:b/>
          <w:bCs/>
          <w:lang w:val="en-US"/>
        </w:rPr>
      </w:pPr>
      <w:r>
        <w:rPr>
          <w:rFonts w:hint="eastAsia"/>
          <w:b/>
          <w:bCs/>
        </w:rPr>
        <w:t>（一）乘坐地铁</w:t>
      </w:r>
      <w:r>
        <w:rPr>
          <w:rFonts w:hint="eastAsia"/>
        </w:rPr>
        <w:t>（请密切留意最新公共交通信息）</w:t>
      </w:r>
    </w:p>
    <w:p>
      <w:pPr>
        <w:pStyle w:val="2"/>
        <w:spacing w:before="7" w:line="360" w:lineRule="auto"/>
        <w:ind w:right="259" w:firstLine="600" w:firstLineChars="200"/>
        <w:rPr>
          <w:rFonts w:hint="eastAsia" w:eastAsia="仿宋"/>
          <w:lang w:eastAsia="zh-CN"/>
        </w:rPr>
      </w:pPr>
      <w:r>
        <w:rPr>
          <w:rFonts w:hint="eastAsia"/>
        </w:rPr>
        <w:t>您的位置-地铁</w:t>
      </w:r>
      <w:r>
        <w:rPr>
          <w:rFonts w:hint="eastAsia"/>
          <w:lang w:val="en-US" w:eastAsia="zh-CN"/>
        </w:rPr>
        <w:t>13</w:t>
      </w:r>
      <w:r>
        <w:rPr>
          <w:rFonts w:hint="eastAsia"/>
        </w:rPr>
        <w:t>号线</w:t>
      </w:r>
      <w:r>
        <w:rPr>
          <w:rFonts w:hint="eastAsia"/>
          <w:b/>
          <w:bCs/>
          <w:lang w:val="en-US" w:eastAsia="zh-CN"/>
        </w:rPr>
        <w:t>李松蓢</w:t>
      </w:r>
      <w:r>
        <w:rPr>
          <w:rFonts w:hint="eastAsia"/>
          <w:b/>
          <w:bCs/>
          <w:lang w:val="en-US"/>
        </w:rPr>
        <w:t>站</w:t>
      </w:r>
      <w:r>
        <w:rPr>
          <w:b/>
          <w:bCs/>
          <w:lang w:val="en-US"/>
        </w:rPr>
        <w:t>A</w:t>
      </w:r>
      <w:r>
        <w:rPr>
          <w:rFonts w:hint="eastAsia"/>
          <w:b/>
          <w:bCs/>
          <w:lang w:val="en-US"/>
        </w:rPr>
        <w:t>出口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出站后右正方约100米处为</w:t>
      </w:r>
      <w:r>
        <w:rPr>
          <w:rFonts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项目营销中心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正门</w:t>
      </w:r>
      <w:r>
        <w:rPr>
          <w:rFonts w:hint="eastAsia"/>
          <w:lang w:val="en-US" w:eastAsia="zh-CN"/>
        </w:rPr>
        <w:t>，您可通过人行道过马路后</w:t>
      </w:r>
      <w:r>
        <w:rPr>
          <w:rFonts w:hint="eastAsia"/>
          <w:lang w:val="en-US"/>
        </w:rPr>
        <w:t>至伟城贤德瑞府</w:t>
      </w:r>
      <w:r>
        <w:rPr>
          <w:rFonts w:hint="eastAsia"/>
          <w:lang w:val="en-US" w:eastAsia="zh-CN"/>
        </w:rPr>
        <w:t>。</w:t>
      </w:r>
    </w:p>
    <w:p>
      <w:pPr>
        <w:pStyle w:val="2"/>
        <w:spacing w:before="7" w:line="360" w:lineRule="auto"/>
        <w:ind w:right="259"/>
      </w:pPr>
      <w:r>
        <w:drawing>
          <wp:inline distT="0" distB="0" distL="114300" distR="114300">
            <wp:extent cx="5640705" cy="2616835"/>
            <wp:effectExtent l="0" t="0" r="1079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40705" cy="26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>
      <w:pPr>
        <w:pStyle w:val="2"/>
        <w:spacing w:before="7" w:line="360" w:lineRule="auto"/>
        <w:ind w:right="259" w:firstLine="602" w:firstLineChars="200"/>
      </w:pPr>
      <w:r>
        <w:rPr>
          <w:rFonts w:hint="eastAsia"/>
          <w:b/>
          <w:bCs/>
        </w:rPr>
        <w:t>（</w:t>
      </w:r>
      <w:r>
        <w:rPr>
          <w:rFonts w:hint="eastAsia"/>
          <w:b/>
          <w:bCs/>
          <w:lang w:val="en-US"/>
        </w:rPr>
        <w:t>二</w:t>
      </w:r>
      <w:r>
        <w:rPr>
          <w:rFonts w:hint="eastAsia"/>
          <w:b/>
          <w:bCs/>
        </w:rPr>
        <w:t>）乘坐公交</w:t>
      </w:r>
      <w:r>
        <w:rPr>
          <w:rFonts w:hint="eastAsia"/>
        </w:rPr>
        <w:t>（请密切留意最新公共交通信息）</w:t>
      </w:r>
    </w:p>
    <w:p>
      <w:pPr>
        <w:pStyle w:val="2"/>
        <w:spacing w:before="7" w:line="360" w:lineRule="auto"/>
        <w:ind w:right="259" w:firstLine="600" w:firstLineChars="200"/>
      </w:pPr>
      <w:r>
        <w:rPr>
          <w:rFonts w:hint="eastAsia"/>
        </w:rPr>
        <w:t>您的位置-</w:t>
      </w:r>
      <w:r>
        <w:rPr>
          <w:rFonts w:hint="eastAsia"/>
          <w:b/>
          <w:bCs/>
          <w:lang w:val="en-US"/>
        </w:rPr>
        <w:t>李松蓢学校站/炮台路口站/河堤路口站/城德轩科技园站/李松蓢体育中心等公交站</w:t>
      </w:r>
      <w:r>
        <w:rPr>
          <w:rFonts w:hint="eastAsia"/>
          <w:lang w:val="en-US"/>
        </w:rPr>
        <w:t>-</w:t>
      </w:r>
      <w:r>
        <w:rPr>
          <w:rFonts w:hint="eastAsia"/>
        </w:rPr>
        <w:t>步行约</w:t>
      </w:r>
      <w:r>
        <w:rPr>
          <w:lang w:val="en-US"/>
        </w:rPr>
        <w:t>1000</w:t>
      </w:r>
      <w:r>
        <w:rPr>
          <w:rFonts w:hint="eastAsia"/>
        </w:rPr>
        <w:t>米到项目营销中心。</w:t>
      </w:r>
    </w:p>
    <w:p>
      <w:pPr>
        <w:pStyle w:val="2"/>
        <w:numPr>
          <w:ilvl w:val="0"/>
          <w:numId w:val="1"/>
        </w:numPr>
        <w:spacing w:before="7" w:line="360" w:lineRule="auto"/>
        <w:ind w:right="259" w:firstLine="600" w:firstLineChars="200"/>
        <w:rPr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/>
          <w:lang w:val="en-US"/>
        </w:rPr>
        <w:t>您的位置→李松蓢学校站、炮台路口、河堤路口站（B</w:t>
      </w:r>
      <w:r>
        <w:rPr>
          <w:lang w:val="en-US"/>
        </w:rPr>
        <w:t>899</w:t>
      </w:r>
      <w:r>
        <w:rPr>
          <w:rFonts w:hint="eastAsia"/>
          <w:lang w:val="en-US"/>
        </w:rPr>
        <w:t>路）</w:t>
      </w:r>
      <w:bookmarkStart w:id="0" w:name="_Hlk49887349"/>
      <w:r>
        <w:rPr>
          <w:rFonts w:hint="eastAsia"/>
          <w:lang w:val="en-US"/>
        </w:rPr>
        <w:t>下车→</w:t>
      </w:r>
      <w:r>
        <w:rPr>
          <w:rFonts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步行约</w:t>
      </w:r>
      <w:r>
        <w:rPr>
          <w:color w:val="000000" w:themeColor="text1"/>
          <w:lang w:val="en-US"/>
          <w14:textFill>
            <w14:solidFill>
              <w14:schemeClr w14:val="tx1"/>
            </w14:solidFill>
          </w14:textFill>
        </w:rPr>
        <w:t>500</w:t>
      </w:r>
      <w:r>
        <w:rPr>
          <w:rFonts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米，到达项目营销中心。</w:t>
      </w:r>
      <w:bookmarkEnd w:id="0"/>
    </w:p>
    <w:p>
      <w:pPr>
        <w:pStyle w:val="2"/>
        <w:numPr>
          <w:ilvl w:val="0"/>
          <w:numId w:val="1"/>
        </w:numPr>
        <w:spacing w:before="7" w:line="360" w:lineRule="auto"/>
        <w:ind w:right="259" w:firstLine="600" w:firstLineChars="200"/>
        <w:rPr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您的位置→城德轩科技园站（</w:t>
      </w:r>
      <w:r>
        <w:rPr>
          <w:color w:val="000000" w:themeColor="text1"/>
          <w:lang w:val="en-US"/>
          <w14:textFill>
            <w14:solidFill>
              <w14:schemeClr w14:val="tx1"/>
            </w14:solidFill>
          </w14:textFill>
        </w:rPr>
        <w:t>M216</w:t>
      </w:r>
      <w:r>
        <w:rPr>
          <w:rFonts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路）下车→步行约</w:t>
      </w:r>
      <w:r>
        <w:rPr>
          <w:color w:val="000000" w:themeColor="text1"/>
          <w:lang w:val="en-US"/>
          <w14:textFill>
            <w14:solidFill>
              <w14:schemeClr w14:val="tx1"/>
            </w14:solidFill>
          </w14:textFill>
        </w:rPr>
        <w:t>591</w:t>
      </w:r>
      <w:r>
        <w:rPr>
          <w:rFonts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米，到达项目营销中心。</w:t>
      </w:r>
    </w:p>
    <w:p>
      <w:pPr>
        <w:pStyle w:val="2"/>
        <w:numPr>
          <w:ilvl w:val="0"/>
          <w:numId w:val="1"/>
        </w:numPr>
        <w:spacing w:before="7" w:line="360" w:lineRule="auto"/>
        <w:ind w:right="259" w:firstLine="600" w:firstLineChars="200"/>
        <w:rPr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您的位置→李松蓢体育中心（</w:t>
      </w:r>
      <w:r>
        <w:rPr>
          <w:color w:val="000000" w:themeColor="text1"/>
          <w:lang w:val="en-US"/>
          <w14:textFill>
            <w14:solidFill>
              <w14:schemeClr w14:val="tx1"/>
            </w14:solidFill>
          </w14:textFill>
        </w:rPr>
        <w:t>655</w:t>
      </w:r>
      <w:r>
        <w:rPr>
          <w:rFonts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路）下车→步行约</w:t>
      </w:r>
      <w:r>
        <w:rPr>
          <w:color w:val="000000" w:themeColor="text1"/>
          <w:lang w:val="en-US"/>
          <w14:textFill>
            <w14:solidFill>
              <w14:schemeClr w14:val="tx1"/>
            </w14:solidFill>
          </w14:textFill>
        </w:rPr>
        <w:t>678</w:t>
      </w:r>
      <w:r>
        <w:rPr>
          <w:rFonts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米，到达项目营销中心。</w:t>
      </w:r>
    </w:p>
    <w:p>
      <w:pPr>
        <w:pStyle w:val="2"/>
        <w:spacing w:before="7" w:line="360" w:lineRule="auto"/>
        <w:ind w:left="0" w:right="259"/>
        <w:rPr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641975" cy="2675255"/>
            <wp:effectExtent l="0" t="0" r="9525" b="444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41975" cy="267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="7" w:line="360" w:lineRule="auto"/>
        <w:ind w:right="259"/>
      </w:pPr>
    </w:p>
    <w:p>
      <w:pPr>
        <w:spacing w:line="360" w:lineRule="auto"/>
        <w:ind w:left="640"/>
        <w:rPr>
          <w:b/>
          <w:bCs/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  <w:lang w:val="en-US"/>
        </w:rPr>
        <w:t>三</w:t>
      </w:r>
      <w:r>
        <w:rPr>
          <w:rFonts w:hint="eastAsia"/>
          <w:sz w:val="30"/>
          <w:szCs w:val="30"/>
        </w:rPr>
        <w:t>）</w:t>
      </w:r>
      <w:r>
        <w:rPr>
          <w:rFonts w:hint="eastAsia"/>
          <w:b/>
          <w:bCs/>
          <w:sz w:val="30"/>
          <w:szCs w:val="30"/>
          <w:lang w:val="en-US"/>
        </w:rPr>
        <w:t>自驾车：</w:t>
      </w:r>
      <w:r>
        <w:rPr>
          <w:rFonts w:hint="eastAsia"/>
          <w:b/>
          <w:bCs/>
          <w:sz w:val="30"/>
          <w:szCs w:val="30"/>
        </w:rPr>
        <w:t>导航“</w:t>
      </w:r>
      <w:r>
        <w:rPr>
          <w:rFonts w:hint="eastAsia"/>
          <w:b/>
          <w:bCs/>
          <w:sz w:val="30"/>
          <w:szCs w:val="30"/>
          <w:lang w:val="en-US"/>
        </w:rPr>
        <w:t>伟城贤德瑞府展示中心</w:t>
      </w:r>
      <w:r>
        <w:rPr>
          <w:rFonts w:hint="eastAsia"/>
          <w:b/>
          <w:bCs/>
          <w:sz w:val="30"/>
          <w:szCs w:val="30"/>
        </w:rPr>
        <w:t>”即可（注：现场停车位较少，建议绿色出行）</w:t>
      </w:r>
    </w:p>
    <w:p>
      <w:pPr>
        <w:spacing w:line="560" w:lineRule="exact"/>
        <w:ind w:firstLine="64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bidi="ar-SA"/>
        </w:rPr>
        <w:t>从罗湖出发：滨河大道-G</w:t>
      </w:r>
      <w:r>
        <w:rPr>
          <w:rFonts w:ascii="仿宋_GB2312" w:hAnsi="Times New Roman" w:eastAsia="仿宋_GB2312" w:cs="Times New Roman"/>
          <w:color w:val="000000"/>
          <w:sz w:val="32"/>
          <w:szCs w:val="32"/>
          <w:lang w:val="en-US" w:bidi="ar-SA"/>
        </w:rPr>
        <w:t>4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bidi="ar-SA"/>
        </w:rPr>
        <w:t>京港澳高速-同乐路-S</w:t>
      </w:r>
      <w:r>
        <w:rPr>
          <w:rFonts w:ascii="仿宋_GB2312" w:hAnsi="Times New Roman" w:eastAsia="仿宋_GB2312" w:cs="Times New Roman"/>
          <w:color w:val="000000"/>
          <w:sz w:val="32"/>
          <w:szCs w:val="32"/>
          <w:lang w:val="en-US" w:bidi="ar-SA"/>
        </w:rPr>
        <w:t>33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bidi="ar-SA"/>
        </w:rPr>
        <w:t>南光高速</w:t>
      </w:r>
      <w:r>
        <w:rPr>
          <w:rFonts w:ascii="仿宋_GB2312" w:hAnsi="Times New Roman" w:eastAsia="仿宋_GB2312" w:cs="Times New Roman"/>
          <w:color w:val="000000"/>
          <w:sz w:val="32"/>
          <w:szCs w:val="32"/>
          <w:lang w:val="en-US" w:bidi="ar-SA"/>
        </w:rPr>
        <w:t>-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bidi="ar-SA"/>
        </w:rPr>
        <w:t>公明北环大道-李松蓢炮台路-则坑路-伟城贤德瑞府营销中心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；</w:t>
      </w:r>
    </w:p>
    <w:p>
      <w:pPr>
        <w:spacing w:line="560" w:lineRule="exact"/>
        <w:ind w:firstLine="64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bidi="ar-SA"/>
        </w:rPr>
        <w:t>从福田出发：深南大道- G</w:t>
      </w:r>
      <w:r>
        <w:rPr>
          <w:rFonts w:ascii="仿宋_GB2312" w:hAnsi="Times New Roman" w:eastAsia="仿宋_GB2312" w:cs="Times New Roman"/>
          <w:color w:val="000000"/>
          <w:sz w:val="32"/>
          <w:szCs w:val="32"/>
          <w:lang w:val="en-US" w:bidi="ar-SA"/>
        </w:rPr>
        <w:t>4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bidi="ar-SA"/>
        </w:rPr>
        <w:t>京港澳高速-同乐路-S</w:t>
      </w:r>
      <w:r>
        <w:rPr>
          <w:rFonts w:ascii="仿宋_GB2312" w:hAnsi="Times New Roman" w:eastAsia="仿宋_GB2312" w:cs="Times New Roman"/>
          <w:color w:val="000000"/>
          <w:sz w:val="32"/>
          <w:szCs w:val="32"/>
          <w:lang w:val="en-US" w:bidi="ar-SA"/>
        </w:rPr>
        <w:t>33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bidi="ar-SA"/>
        </w:rPr>
        <w:t>南光高速-公明北环大道-李松蓢炮台路-则坑路-伟城贤德瑞府营销中心；</w:t>
      </w:r>
    </w:p>
    <w:p>
      <w:pPr>
        <w:spacing w:line="560" w:lineRule="exact"/>
        <w:ind w:firstLine="640"/>
        <w:rPr>
          <w:rFonts w:ascii="仿宋_GB2312" w:hAnsi="Times New Roman" w:eastAsia="仿宋_GB2312" w:cs="Times New Roman"/>
          <w:color w:val="000000"/>
          <w:sz w:val="32"/>
          <w:szCs w:val="32"/>
          <w:lang w:val="en-US" w:bidi="ar-SA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bidi="ar-SA"/>
        </w:rPr>
        <w:t>从宝安出发：宝安大道-北环大道-南海大道- S</w:t>
      </w:r>
      <w:r>
        <w:rPr>
          <w:rFonts w:ascii="仿宋_GB2312" w:hAnsi="Times New Roman" w:eastAsia="仿宋_GB2312" w:cs="Times New Roman"/>
          <w:color w:val="000000"/>
          <w:sz w:val="32"/>
          <w:szCs w:val="32"/>
          <w:lang w:val="en-US" w:bidi="ar-SA"/>
        </w:rPr>
        <w:t>33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bidi="ar-SA"/>
        </w:rPr>
        <w:t>南光高速-公明北环大道-李松蓢炮台路-则坑路-伟城贤德瑞府营销中心；</w:t>
      </w:r>
    </w:p>
    <w:p>
      <w:pPr>
        <w:spacing w:line="560" w:lineRule="exact"/>
        <w:ind w:firstLine="64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bidi="ar-SA"/>
        </w:rPr>
        <w:t>从龙华出发：福龙路-S</w:t>
      </w:r>
      <w:r>
        <w:rPr>
          <w:rFonts w:ascii="仿宋_GB2312" w:hAnsi="Times New Roman" w:eastAsia="仿宋_GB2312" w:cs="Times New Roman"/>
          <w:color w:val="000000"/>
          <w:sz w:val="32"/>
          <w:szCs w:val="32"/>
          <w:lang w:val="en-US" w:bidi="ar-SA"/>
        </w:rPr>
        <w:t>31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bidi="ar-SA"/>
        </w:rPr>
        <w:t>龙大高速-河堤路-则坑路-伟城贤德瑞府营销中心</w:t>
      </w:r>
    </w:p>
    <w:p>
      <w:pPr>
        <w:spacing w:line="560" w:lineRule="exact"/>
        <w:ind w:firstLine="64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bidi="ar-SA"/>
        </w:rPr>
        <w:t>从南山出发：南海大道- S</w:t>
      </w:r>
      <w:r>
        <w:rPr>
          <w:rFonts w:ascii="仿宋_GB2312" w:hAnsi="Times New Roman" w:eastAsia="仿宋_GB2312" w:cs="Times New Roman"/>
          <w:color w:val="000000"/>
          <w:sz w:val="32"/>
          <w:szCs w:val="32"/>
          <w:lang w:val="en-US" w:bidi="ar-SA"/>
        </w:rPr>
        <w:t>33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bidi="ar-SA"/>
        </w:rPr>
        <w:t>南光高速-公明北环大道-李松蓢炮台路-则坑路-伟城贤德瑞府营销中心；</w:t>
      </w:r>
    </w:p>
    <w:p>
      <w:pPr>
        <w:spacing w:line="360" w:lineRule="auto"/>
        <w:ind w:left="640"/>
        <w:rPr>
          <w:b/>
          <w:bCs/>
          <w:color w:val="C00000"/>
          <w:kern w:val="2"/>
          <w:sz w:val="24"/>
          <w:szCs w:val="24"/>
          <w:lang w:val="en-US" w:bidi="ar-SA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bidi="ar-SA"/>
        </w:rPr>
        <w:t>从龙岗出发：龙翔大道-龙城大道-盐龙大道-龙凤路-伟城贤德瑞府营销中心</w:t>
      </w:r>
      <w:r>
        <w:rPr>
          <w:rFonts w:hint="eastAsia"/>
          <w:b/>
          <w:bCs/>
          <w:color w:val="C00000"/>
          <w:kern w:val="2"/>
          <w:sz w:val="24"/>
          <w:szCs w:val="24"/>
          <w:lang w:val="en-US" w:bidi="ar-SA"/>
        </w:rPr>
        <w:t xml:space="preserve"> </w:t>
      </w:r>
    </w:p>
    <w:p>
      <w:pPr>
        <w:spacing w:before="55"/>
        <w:ind w:firstLine="602" w:firstLineChars="20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二、交通区位图</w:t>
      </w:r>
    </w:p>
    <w:p>
      <w:pPr>
        <w:jc w:val="center"/>
        <w:rPr>
          <w:sz w:val="30"/>
          <w:szCs w:val="30"/>
          <w:highlight w:val="yellow"/>
        </w:rPr>
      </w:pPr>
      <w:r>
        <w:drawing>
          <wp:inline distT="0" distB="0" distL="114300" distR="114300">
            <wp:extent cx="5643880" cy="2664460"/>
            <wp:effectExtent l="0" t="0" r="7620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43880" cy="26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="58"/>
        <w:ind w:left="0" w:firstLine="602" w:firstLineChars="200"/>
        <w:rPr>
          <w:b/>
          <w:bCs/>
        </w:rPr>
      </w:pPr>
      <w:r>
        <w:rPr>
          <w:b/>
          <w:bCs/>
        </w:rPr>
        <w:t>三、注意事项</w:t>
      </w:r>
    </w:p>
    <w:p>
      <w:pPr>
        <w:spacing w:line="360" w:lineRule="auto"/>
        <w:ind w:firstLine="640"/>
        <w:rPr>
          <w:sz w:val="30"/>
          <w:szCs w:val="30"/>
        </w:rPr>
      </w:pPr>
      <w:r>
        <w:rPr>
          <w:rFonts w:hint="eastAsia"/>
          <w:sz w:val="30"/>
          <w:szCs w:val="30"/>
        </w:rPr>
        <w:t>（一）看房家庭须按约定的时间，凭申请人身份证、预约看房回执单参加看房活动。</w:t>
      </w:r>
    </w:p>
    <w:p>
      <w:pPr>
        <w:spacing w:line="360" w:lineRule="auto"/>
        <w:ind w:firstLine="640"/>
        <w:rPr>
          <w:sz w:val="30"/>
          <w:szCs w:val="30"/>
        </w:rPr>
      </w:pPr>
      <w:r>
        <w:rPr>
          <w:rFonts w:hint="eastAsia"/>
          <w:sz w:val="30"/>
          <w:szCs w:val="30"/>
        </w:rPr>
        <w:t>（二）考虑到看房现场接待能力有限，为了营造顺畅、良好的看房环境，请每个看房家庭最多安排两人现场看房。从安全角度考虑，请看房家庭尽量不要携带老人、儿童。</w:t>
      </w:r>
    </w:p>
    <w:p>
      <w:pPr>
        <w:spacing w:line="360" w:lineRule="auto"/>
        <w:ind w:firstLine="640"/>
        <w:rPr>
          <w:sz w:val="30"/>
          <w:szCs w:val="30"/>
        </w:rPr>
      </w:pPr>
      <w:r>
        <w:rPr>
          <w:rFonts w:hint="eastAsia"/>
          <w:sz w:val="30"/>
          <w:szCs w:val="30"/>
        </w:rPr>
        <w:t>（三）为了保证看房家庭人身安全，请遵循现场工作人员统一安排，不要在看房现场随意走动，以免发生意外。</w:t>
      </w:r>
    </w:p>
    <w:p>
      <w:pPr>
        <w:spacing w:line="360" w:lineRule="auto"/>
        <w:ind w:firstLine="900" w:firstLineChars="300"/>
        <w:rPr>
          <w:sz w:val="30"/>
          <w:szCs w:val="30"/>
        </w:rPr>
      </w:pPr>
      <w:r>
        <w:rPr>
          <w:rFonts w:hint="eastAsia"/>
          <w:sz w:val="30"/>
          <w:szCs w:val="30"/>
        </w:rPr>
        <w:t>如有任何疑问，欢迎来电咨询：</w:t>
      </w:r>
      <w:r>
        <w:rPr>
          <w:sz w:val="30"/>
          <w:szCs w:val="30"/>
        </w:rPr>
        <w:t>0755-8865 6566</w:t>
      </w:r>
    </w:p>
    <w:p>
      <w:pPr>
        <w:spacing w:line="360" w:lineRule="auto"/>
        <w:ind w:firstLine="900" w:firstLineChars="300"/>
        <w:rPr>
          <w:sz w:val="30"/>
          <w:szCs w:val="30"/>
        </w:rPr>
      </w:pPr>
    </w:p>
    <w:p>
      <w:pPr>
        <w:spacing w:line="360" w:lineRule="auto"/>
        <w:ind w:firstLine="900" w:firstLineChars="300"/>
        <w:jc w:val="right"/>
        <w:rPr>
          <w:sz w:val="30"/>
          <w:szCs w:val="30"/>
        </w:rPr>
      </w:pPr>
      <w:r>
        <w:rPr>
          <w:rFonts w:hint="eastAsia"/>
          <w:sz w:val="30"/>
          <w:szCs w:val="30"/>
          <w:lang w:val="en-US"/>
        </w:rPr>
        <w:t>深圳市伟城房地产开发</w:t>
      </w:r>
      <w:r>
        <w:rPr>
          <w:rFonts w:hint="eastAsia"/>
          <w:sz w:val="30"/>
          <w:szCs w:val="30"/>
        </w:rPr>
        <w:t>有限公司</w:t>
      </w:r>
    </w:p>
    <w:p>
      <w:pPr>
        <w:wordWrap w:val="0"/>
        <w:spacing w:line="360" w:lineRule="auto"/>
        <w:ind w:firstLine="900" w:firstLineChars="300"/>
        <w:jc w:val="right"/>
        <w:rPr>
          <w:sz w:val="30"/>
          <w:szCs w:val="30"/>
          <w:lang w:val="en-US"/>
        </w:rPr>
      </w:pPr>
      <w:r>
        <w:rPr>
          <w:rFonts w:hint="eastAsia"/>
          <w:sz w:val="30"/>
          <w:szCs w:val="30"/>
          <w:lang w:val="en-US"/>
        </w:rPr>
        <w:t xml:space="preserve">        </w:t>
      </w:r>
    </w:p>
    <w:p>
      <w:pPr>
        <w:autoSpaceDE/>
        <w:autoSpaceDN/>
        <w:adjustRightInd w:val="0"/>
        <w:snapToGrid w:val="0"/>
        <w:spacing w:line="360" w:lineRule="auto"/>
        <w:jc w:val="center"/>
        <w:rPr>
          <w:sz w:val="30"/>
          <w:szCs w:val="30"/>
        </w:rPr>
      </w:pPr>
    </w:p>
    <w:p>
      <w:pPr>
        <w:autoSpaceDE/>
        <w:autoSpaceDN/>
        <w:adjustRightInd w:val="0"/>
        <w:snapToGrid w:val="0"/>
        <w:spacing w:line="360" w:lineRule="auto"/>
        <w:jc w:val="center"/>
        <w:rPr>
          <w:sz w:val="30"/>
          <w:szCs w:val="30"/>
        </w:rPr>
      </w:pPr>
    </w:p>
    <w:p>
      <w:pPr>
        <w:autoSpaceDE/>
        <w:autoSpaceDN/>
        <w:adjustRightInd w:val="0"/>
        <w:snapToGrid w:val="0"/>
        <w:spacing w:line="360" w:lineRule="auto"/>
        <w:jc w:val="both"/>
        <w:rPr>
          <w:sz w:val="30"/>
          <w:szCs w:val="30"/>
        </w:rPr>
      </w:pPr>
    </w:p>
    <w:p>
      <w:pPr>
        <w:autoSpaceDE/>
        <w:autoSpaceDN/>
        <w:adjustRightInd w:val="0"/>
        <w:snapToGrid w:val="0"/>
        <w:spacing w:line="360" w:lineRule="auto"/>
        <w:jc w:val="center"/>
        <w:rPr>
          <w:sz w:val="30"/>
          <w:szCs w:val="30"/>
        </w:rPr>
      </w:pPr>
    </w:p>
    <w:p>
      <w:pPr>
        <w:autoSpaceDE/>
        <w:autoSpaceDN/>
        <w:adjustRightInd w:val="0"/>
        <w:snapToGrid w:val="0"/>
        <w:spacing w:line="360" w:lineRule="auto"/>
        <w:jc w:val="center"/>
        <w:rPr>
          <w:sz w:val="30"/>
          <w:szCs w:val="30"/>
          <w:lang w:val="en-US"/>
        </w:rPr>
      </w:pPr>
      <w:r>
        <w:rPr>
          <w:rFonts w:hint="eastAsia"/>
          <w:sz w:val="30"/>
          <w:szCs w:val="30"/>
          <w:lang w:val="en-US"/>
        </w:rPr>
        <w:t>伟城贤德瑞府项目定位二维码（高德地图）:</w:t>
      </w:r>
    </w:p>
    <w:p>
      <w:pPr>
        <w:autoSpaceDE/>
        <w:autoSpaceDN/>
        <w:adjustRightInd w:val="0"/>
        <w:snapToGrid w:val="0"/>
        <w:spacing w:line="360" w:lineRule="auto"/>
        <w:jc w:val="center"/>
        <w:rPr>
          <w:sz w:val="28"/>
          <w:szCs w:val="28"/>
          <w:lang w:val="en-US"/>
        </w:rPr>
      </w:pPr>
      <w:r>
        <w:drawing>
          <wp:inline distT="0" distB="0" distL="114300" distR="114300">
            <wp:extent cx="3321050" cy="2929890"/>
            <wp:effectExtent l="0" t="0" r="6350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21050" cy="292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10" w:h="16840"/>
      <w:pgMar w:top="1600" w:right="1420" w:bottom="280" w:left="1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B7785"/>
    <w:multiLevelType w:val="singleLevel"/>
    <w:tmpl w:val="462B778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trackRevisions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wNTQ5NTBlNzkyN2VjZjdmNmU1OGM2YTNmYWFkNmIifQ=="/>
  </w:docVars>
  <w:rsids>
    <w:rsidRoot w:val="004E04FF"/>
    <w:rsid w:val="000D1C3E"/>
    <w:rsid w:val="0011387D"/>
    <w:rsid w:val="00150CB6"/>
    <w:rsid w:val="00261920"/>
    <w:rsid w:val="002D6CED"/>
    <w:rsid w:val="00373E91"/>
    <w:rsid w:val="00384E8F"/>
    <w:rsid w:val="003A45EC"/>
    <w:rsid w:val="003F45A3"/>
    <w:rsid w:val="00427B26"/>
    <w:rsid w:val="004E04FF"/>
    <w:rsid w:val="005045A7"/>
    <w:rsid w:val="007D6133"/>
    <w:rsid w:val="00811848"/>
    <w:rsid w:val="00A03086"/>
    <w:rsid w:val="00A21576"/>
    <w:rsid w:val="00AF7EE9"/>
    <w:rsid w:val="00D01698"/>
    <w:rsid w:val="00E81056"/>
    <w:rsid w:val="00F12D4B"/>
    <w:rsid w:val="011D4B2B"/>
    <w:rsid w:val="018469EA"/>
    <w:rsid w:val="027C0F0B"/>
    <w:rsid w:val="03725063"/>
    <w:rsid w:val="05BD7626"/>
    <w:rsid w:val="0613690F"/>
    <w:rsid w:val="061662BB"/>
    <w:rsid w:val="08075FA8"/>
    <w:rsid w:val="08345AA6"/>
    <w:rsid w:val="094B67A2"/>
    <w:rsid w:val="0B6176B6"/>
    <w:rsid w:val="0F555CB2"/>
    <w:rsid w:val="10C43C3D"/>
    <w:rsid w:val="11A4130A"/>
    <w:rsid w:val="11C51F54"/>
    <w:rsid w:val="12A534DE"/>
    <w:rsid w:val="19247D07"/>
    <w:rsid w:val="19D61256"/>
    <w:rsid w:val="19E405BC"/>
    <w:rsid w:val="1A4062D5"/>
    <w:rsid w:val="1A4E4EBA"/>
    <w:rsid w:val="1AAD3A1D"/>
    <w:rsid w:val="1BF41E67"/>
    <w:rsid w:val="1CAA2BD6"/>
    <w:rsid w:val="1ECC60B9"/>
    <w:rsid w:val="21E9488E"/>
    <w:rsid w:val="22DC4FDA"/>
    <w:rsid w:val="2423153B"/>
    <w:rsid w:val="25D047C9"/>
    <w:rsid w:val="268B3C0D"/>
    <w:rsid w:val="29335FEA"/>
    <w:rsid w:val="2B1C0F58"/>
    <w:rsid w:val="2B9729AA"/>
    <w:rsid w:val="2E2B6FCF"/>
    <w:rsid w:val="2F3972E9"/>
    <w:rsid w:val="30FB7C67"/>
    <w:rsid w:val="33853A7D"/>
    <w:rsid w:val="33907FF3"/>
    <w:rsid w:val="340454BF"/>
    <w:rsid w:val="34EB2404"/>
    <w:rsid w:val="34FA1C97"/>
    <w:rsid w:val="35D80881"/>
    <w:rsid w:val="361D5846"/>
    <w:rsid w:val="37347377"/>
    <w:rsid w:val="37362EDC"/>
    <w:rsid w:val="37D42E21"/>
    <w:rsid w:val="38487419"/>
    <w:rsid w:val="399972E5"/>
    <w:rsid w:val="39BD4514"/>
    <w:rsid w:val="3AE94FE6"/>
    <w:rsid w:val="3BB7106B"/>
    <w:rsid w:val="3D3114FC"/>
    <w:rsid w:val="3EBA4F1D"/>
    <w:rsid w:val="3F3A5357"/>
    <w:rsid w:val="3F6019A4"/>
    <w:rsid w:val="3FD339BE"/>
    <w:rsid w:val="3FE21E53"/>
    <w:rsid w:val="409A11CA"/>
    <w:rsid w:val="413904B5"/>
    <w:rsid w:val="41E00614"/>
    <w:rsid w:val="436D3191"/>
    <w:rsid w:val="43A157E6"/>
    <w:rsid w:val="4457098C"/>
    <w:rsid w:val="45540A8B"/>
    <w:rsid w:val="46E30A01"/>
    <w:rsid w:val="477B433D"/>
    <w:rsid w:val="49A60395"/>
    <w:rsid w:val="49E968B4"/>
    <w:rsid w:val="4B416599"/>
    <w:rsid w:val="4E975B26"/>
    <w:rsid w:val="4FEB3F4F"/>
    <w:rsid w:val="539668ED"/>
    <w:rsid w:val="54433110"/>
    <w:rsid w:val="54E85290"/>
    <w:rsid w:val="55890DA9"/>
    <w:rsid w:val="57835872"/>
    <w:rsid w:val="589A5F81"/>
    <w:rsid w:val="58B33F35"/>
    <w:rsid w:val="5AA46388"/>
    <w:rsid w:val="5DA54AC0"/>
    <w:rsid w:val="5DD05191"/>
    <w:rsid w:val="5E4302CA"/>
    <w:rsid w:val="5EAA2CCB"/>
    <w:rsid w:val="5FDE5D3B"/>
    <w:rsid w:val="60395667"/>
    <w:rsid w:val="60C02134"/>
    <w:rsid w:val="61C65C04"/>
    <w:rsid w:val="62EC1187"/>
    <w:rsid w:val="636B44B0"/>
    <w:rsid w:val="63911317"/>
    <w:rsid w:val="63EC0681"/>
    <w:rsid w:val="64225A6A"/>
    <w:rsid w:val="65C14D81"/>
    <w:rsid w:val="6844250D"/>
    <w:rsid w:val="684D7F02"/>
    <w:rsid w:val="68F96A0A"/>
    <w:rsid w:val="6ACA3981"/>
    <w:rsid w:val="6AD12CF2"/>
    <w:rsid w:val="6CF93170"/>
    <w:rsid w:val="6FF915FB"/>
    <w:rsid w:val="70563CE5"/>
    <w:rsid w:val="714A181D"/>
    <w:rsid w:val="752C60AA"/>
    <w:rsid w:val="75F25C45"/>
    <w:rsid w:val="76D909DA"/>
    <w:rsid w:val="773211D1"/>
    <w:rsid w:val="7825635E"/>
    <w:rsid w:val="789F3387"/>
    <w:rsid w:val="79663D4B"/>
    <w:rsid w:val="7B0765E0"/>
    <w:rsid w:val="7C671271"/>
    <w:rsid w:val="7D2324B9"/>
    <w:rsid w:val="7EBF593B"/>
    <w:rsid w:val="7F1030A6"/>
    <w:rsid w:val="7FF4F16B"/>
    <w:rsid w:val="F7F20571"/>
    <w:rsid w:val="FFCDD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"/>
      <w:ind w:left="100"/>
    </w:pPr>
    <w:rPr>
      <w:sz w:val="30"/>
      <w:szCs w:val="30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paragraph" w:customStyle="1" w:styleId="11">
    <w:name w:val="修订1"/>
    <w:hidden/>
    <w:unhideWhenUsed/>
    <w:qFormat/>
    <w:uiPriority w:val="99"/>
    <w:rPr>
      <w:rFonts w:ascii="仿宋" w:hAnsi="仿宋" w:eastAsia="仿宋" w:cs="仿宋"/>
      <w:sz w:val="22"/>
      <w:szCs w:val="22"/>
      <w:lang w:val="zh-CN" w:eastAsia="zh-CN" w:bidi="zh-CN"/>
    </w:rPr>
  </w:style>
  <w:style w:type="character" w:customStyle="1" w:styleId="12">
    <w:name w:val="页眉 字符"/>
    <w:basedOn w:val="6"/>
    <w:link w:val="4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3">
    <w:name w:val="页脚 字符"/>
    <w:basedOn w:val="6"/>
    <w:link w:val="3"/>
    <w:qFormat/>
    <w:uiPriority w:val="0"/>
    <w:rPr>
      <w:rFonts w:ascii="仿宋" w:hAnsi="仿宋" w:eastAsia="仿宋" w:cs="仿宋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999</Words>
  <Characters>1058</Characters>
  <Lines>7</Lines>
  <Paragraphs>2</Paragraphs>
  <TotalTime>34</TotalTime>
  <ScaleCrop>false</ScaleCrop>
  <LinksUpToDate>false</LinksUpToDate>
  <CharactersWithSpaces>1072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2024-01-02T15:17:00Z</dcterms:created>
  <dc:creator>Administrator.DESKTOP-UBJIL0S</dc:creator>
  <cp:lastModifiedBy>Administrator</cp:lastModifiedBy>
  <cp:lastPrinted>2025-11-14T18:17:00Z</cp:lastPrinted>
  <dcterms:modified xsi:type="dcterms:W3CDTF">2026-07-10T03:10:52Z</dcterms:modified>
  <dc:title>龙誉花园看房交通指引和注意事项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2021-07-12T00:00:00Z</vt:filetime>
  </property>
  <property fmtid="{D5CDD505-2E9C-101B-9397-08002B2CF9AE}" pid="5" name="KSOProductBuildVer">
    <vt:lpwstr>2052-11.8.2.8361</vt:lpwstr>
  </property>
  <property fmtid="{D5CDD505-2E9C-101B-9397-08002B2CF9AE}" pid="6" name="ICV">
    <vt:lpwstr>1391BC5C24E54384B1A89F0DCB09696D</vt:lpwstr>
  </property>
  <property fmtid="{D5CDD505-2E9C-101B-9397-08002B2CF9AE}" pid="7" name="KSOTemplateDocerSaveRecord">
    <vt:lpwstr>eyJoZGlkIjoiMmUwZmM3ZWVjMTdkYjRmYzZmZjMyODkzNDRmYWE4ODIiLCJ1c2VySWQiOiI1ODcyOTY5MDcifQ==</vt:lpwstr>
  </property>
</Properties>
</file>