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bidi w:val="0"/>
        <w:ind w:left="0" w:leftChars="0" w:firstLine="0" w:firstLineChars="0"/>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1</w:t>
      </w:r>
      <w:bookmarkStart w:id="0" w:name="_GoBack"/>
      <w:bookmarkEnd w:id="0"/>
    </w:p>
    <w:p>
      <w:pPr>
        <w:widowControl w:val="0"/>
        <w:bidi w:val="0"/>
        <w:spacing w:line="640" w:lineRule="exact"/>
        <w:jc w:val="center"/>
        <w:outlineLvl w:val="0"/>
        <w:rPr>
          <w:rFonts w:hint="eastAsia" w:ascii="方正小标宋简体" w:hAnsi="方正小标宋简体" w:eastAsia="方正小标宋简体" w:cs="Times New Roman"/>
          <w:sz w:val="44"/>
          <w:szCs w:val="44"/>
        </w:rPr>
      </w:pPr>
    </w:p>
    <w:p>
      <w:pPr>
        <w:widowControl w:val="0"/>
        <w:bidi w:val="0"/>
        <w:spacing w:line="640" w:lineRule="exact"/>
        <w:jc w:val="center"/>
        <w:outlineLvl w:val="0"/>
        <w:rPr>
          <w:rFonts w:hint="eastAsia"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关于严厉惩处建设工程安全生产违法违规</w:t>
      </w:r>
    </w:p>
    <w:p>
      <w:pPr>
        <w:widowControl w:val="0"/>
        <w:bidi w:val="0"/>
        <w:spacing w:line="640" w:lineRule="exact"/>
        <w:jc w:val="center"/>
        <w:outlineLvl w:val="0"/>
        <w:rPr>
          <w:rFonts w:hint="eastAsia"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行为的若干措施（试行）</w:t>
      </w:r>
    </w:p>
    <w:p>
      <w:pPr>
        <w:widowControl w:val="0"/>
        <w:snapToGrid w:val="0"/>
        <w:spacing w:line="324" w:lineRule="auto"/>
        <w:jc w:val="center"/>
        <w:rPr>
          <w:rFonts w:ascii="宋体" w:hAnsi="宋体" w:eastAsia="宋体" w:cs="宋体"/>
          <w:b/>
          <w:bCs/>
          <w:sz w:val="44"/>
          <w:szCs w:val="44"/>
        </w:rPr>
      </w:pPr>
    </w:p>
    <w:p>
      <w:pPr>
        <w:widowControl w:val="0"/>
        <w:snapToGrid w:val="0"/>
        <w:spacing w:line="324" w:lineRule="auto"/>
        <w:ind w:firstLine="640" w:firstLineChars="200"/>
        <w:jc w:val="both"/>
        <w:rPr>
          <w:rFonts w:hint="eastAsia" w:ascii="仿宋_GB2312" w:hAnsi="宋体" w:eastAsia="仿宋_GB2312" w:cs="仿宋_GB2312"/>
          <w:bCs/>
          <w:color w:val="000000"/>
          <w:sz w:val="32"/>
          <w:szCs w:val="32"/>
        </w:rPr>
      </w:pPr>
      <w:r>
        <w:rPr>
          <w:rFonts w:hint="eastAsia" w:ascii="仿宋_GB2312" w:hAnsi="宋体" w:eastAsia="仿宋_GB2312" w:cs="仿宋_GB2312"/>
          <w:bCs/>
          <w:color w:val="000000"/>
          <w:sz w:val="32"/>
          <w:szCs w:val="32"/>
        </w:rPr>
        <w:t>为贯彻落实习近平总书记关于“发展决不能以牺牲安全为代价”的重要指示精神,严厉惩处建设工程安全生产违法违规行为，有效提升我市工程建设安全生产水平，切实维护人民群众生命财产安全，根据《中共中央 国务院关于推进安全生产领域改革发展的意见》以及相关法律规定，结合本市实际，制定本措施。</w:t>
      </w:r>
    </w:p>
    <w:p>
      <w:pPr>
        <w:widowControl w:val="0"/>
        <w:snapToGrid w:val="0"/>
        <w:spacing w:line="324" w:lineRule="auto"/>
        <w:ind w:firstLine="640"/>
        <w:jc w:val="both"/>
        <w:rPr>
          <w:rFonts w:hint="eastAsia" w:ascii="黑体" w:hAnsi="黑体" w:eastAsia="黑体" w:cs="黑体"/>
          <w:bCs/>
          <w:sz w:val="32"/>
          <w:szCs w:val="32"/>
        </w:rPr>
      </w:pPr>
      <w:r>
        <w:rPr>
          <w:rFonts w:hint="eastAsia" w:ascii="黑体" w:hAnsi="黑体" w:eastAsia="黑体" w:cs="黑体"/>
          <w:bCs/>
          <w:sz w:val="32"/>
          <w:szCs w:val="32"/>
        </w:rPr>
        <w:t>一、加大对建设工程违法违规行为的惩治力度</w:t>
      </w:r>
    </w:p>
    <w:p>
      <w:pPr>
        <w:widowControl w:val="0"/>
        <w:snapToGrid w:val="0"/>
        <w:spacing w:line="324" w:lineRule="auto"/>
        <w:ind w:firstLine="64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设、交通运输、水务等行政主管部门（以下简称相关主管部门）和安全生产监督管理部门应根据职责分工，加强监管力度，强化建设工程安全隐患预控防治，对本市行政区域内发生的建设工程安全生产违法违规行为依法从重从快查处。</w:t>
      </w:r>
    </w:p>
    <w:p>
      <w:pPr>
        <w:widowControl w:val="0"/>
        <w:numPr>
          <w:ilvl w:val="0"/>
          <w:numId w:val="1"/>
        </w:numPr>
        <w:snapToGrid w:val="0"/>
        <w:spacing w:line="324" w:lineRule="auto"/>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公布建设工程安全生产情况</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建设、监理、施工单位应在施工现场实时公示重大风险源清单、存在的安全隐患以及安全责任人名单。相关主管部门应在门户网站或者其他公共媒体上公布安全问题突出工地名单、安全事故情况，接受社会监督。</w:t>
      </w:r>
    </w:p>
    <w:p>
      <w:pPr>
        <w:widowControl w:val="0"/>
        <w:snapToGrid w:val="0"/>
        <w:spacing w:line="324" w:lineRule="auto"/>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三、实施建设工程安全生产红、黄色警示制度</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建设工程出现下列情形之一的，对施工单位予以红色警示，在警示期内，依法禁止被警示企业在本市承接新的业务和投标：</w:t>
      </w:r>
    </w:p>
    <w:p>
      <w:pPr>
        <w:widowControl w:val="0"/>
        <w:snapToGrid w:val="0"/>
        <w:spacing w:line="324" w:lineRule="auto"/>
        <w:jc w:val="both"/>
        <w:rPr>
          <w:rFonts w:hint="eastAsia" w:ascii="仿宋_GB2312" w:hAnsi="仿宋_GB2312" w:eastAsia="仿宋_GB2312" w:cs="仿宋_GB2312"/>
          <w:bCs/>
          <w:sz w:val="32"/>
          <w:szCs w:val="32"/>
        </w:rPr>
      </w:pPr>
      <w:r>
        <w:rPr>
          <w:rFonts w:hint="eastAsia" w:ascii="宋体" w:hAnsi="宋体" w:eastAsia="宋体" w:cs="宋体"/>
          <w:bCs/>
          <w:sz w:val="32"/>
          <w:szCs w:val="32"/>
        </w:rPr>
        <w:t xml:space="preserve">   </w:t>
      </w:r>
      <w:r>
        <w:rPr>
          <w:rFonts w:hint="eastAsia" w:ascii="仿宋_GB2312" w:hAnsi="仿宋_GB2312" w:eastAsia="仿宋_GB2312" w:cs="仿宋_GB2312"/>
          <w:bCs/>
          <w:sz w:val="32"/>
          <w:szCs w:val="32"/>
        </w:rPr>
        <w:t>（一）发生安全事故一次死亡1人的，红色警示3个月；</w:t>
      </w:r>
    </w:p>
    <w:p>
      <w:pPr>
        <w:widowControl w:val="0"/>
        <w:numPr>
          <w:ilvl w:val="0"/>
          <w:numId w:val="2"/>
        </w:numPr>
        <w:snapToGrid w:val="0"/>
        <w:spacing w:line="324" w:lineRule="auto"/>
        <w:ind w:firstLine="480" w:firstLineChars="15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发生安全事故一次死亡2人的，红色警示6个月；</w:t>
      </w:r>
    </w:p>
    <w:p>
      <w:pPr>
        <w:widowControl w:val="0"/>
        <w:snapToGrid w:val="0"/>
        <w:spacing w:line="324" w:lineRule="auto"/>
        <w:jc w:val="both"/>
        <w:rPr>
          <w:rFonts w:hint="eastAsia" w:ascii="宋体" w:hAnsi="宋体" w:eastAsia="宋体" w:cs="宋体"/>
          <w:bCs/>
          <w:sz w:val="32"/>
          <w:szCs w:val="32"/>
        </w:rPr>
      </w:pPr>
      <w:r>
        <w:rPr>
          <w:rFonts w:hint="eastAsia" w:ascii="仿宋_GB2312" w:hAnsi="仿宋_GB2312" w:eastAsia="仿宋_GB2312" w:cs="仿宋_GB2312"/>
          <w:bCs/>
          <w:sz w:val="32"/>
          <w:szCs w:val="32"/>
        </w:rPr>
        <w:t xml:space="preserve">   （三）发生安全事故一次死亡3-9人的，红色警示1年；</w:t>
      </w:r>
    </w:p>
    <w:p>
      <w:pPr>
        <w:widowControl w:val="0"/>
        <w:snapToGrid w:val="0"/>
        <w:spacing w:line="324" w:lineRule="auto"/>
        <w:ind w:firstLine="480" w:firstLineChars="150"/>
        <w:jc w:val="both"/>
        <w:rPr>
          <w:rFonts w:hint="eastAsia" w:ascii="宋体" w:hAnsi="宋体" w:eastAsia="宋体" w:cs="宋体"/>
          <w:bCs/>
          <w:sz w:val="32"/>
          <w:szCs w:val="32"/>
        </w:rPr>
      </w:pPr>
      <w:r>
        <w:rPr>
          <w:rFonts w:hint="eastAsia" w:ascii="仿宋_GB2312" w:hAnsi="仿宋_GB2312" w:eastAsia="仿宋_GB2312" w:cs="仿宋_GB2312"/>
          <w:bCs/>
          <w:sz w:val="32"/>
          <w:szCs w:val="32"/>
        </w:rPr>
        <w:t>（四）发生安全事故一次死亡10人及以上的，给予无限期红色警示；</w:t>
      </w:r>
    </w:p>
    <w:p>
      <w:pPr>
        <w:widowControl w:val="0"/>
        <w:snapToGrid w:val="0"/>
        <w:spacing w:line="324" w:lineRule="auto"/>
        <w:ind w:firstLine="320" w:firstLineChars="1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（五）施工现场存在重大安全隐患未按期整改，或者被责令停工拒不停工的，红色警示2个月；</w:t>
      </w:r>
    </w:p>
    <w:p>
      <w:pPr>
        <w:widowControl w:val="0"/>
        <w:snapToGrid w:val="0"/>
        <w:spacing w:line="324" w:lineRule="auto"/>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（六）施工现场发生事故或者险情，虽未造成人员死亡但对公共安全构成严重威胁或者社会影响恶劣的，红色警示2个月。</w:t>
      </w:r>
    </w:p>
    <w:p>
      <w:pPr>
        <w:widowControl w:val="0"/>
        <w:snapToGrid w:val="0"/>
        <w:spacing w:line="324" w:lineRule="auto"/>
        <w:ind w:firstLine="320" w:firstLineChars="1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经调查，建设、监理、勘察、设计、材料设备供应商、检验检测等单位对安全事故造成人员死亡负有责任的，按照前款第（一）至（四）项的规定给予红色警示。</w:t>
      </w:r>
    </w:p>
    <w:p>
      <w:pPr>
        <w:widowControl w:val="0"/>
        <w:snapToGrid w:val="0"/>
        <w:spacing w:line="324" w:lineRule="auto"/>
        <w:ind w:firstLine="320" w:firstLineChars="1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按照本条第一款、第二款规定，相关涉事单位受到红色警示的，其项目负责人、项目经理、项目总监理工程师等责任人员应一并给予红色警示，警示期与所属单位的警示期相同。</w:t>
      </w:r>
    </w:p>
    <w:p>
      <w:pPr>
        <w:widowControl w:val="0"/>
        <w:snapToGrid w:val="0"/>
        <w:spacing w:line="324" w:lineRule="auto"/>
        <w:ind w:firstLine="320" w:firstLineChars="1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安全生产违法违规行为未达到第一款规定情形的，相关主管部门可以对涉事单位及相关责任人员给予黄色警示，具体情形及警示期限由相关主管部门另行制定。   </w:t>
      </w:r>
    </w:p>
    <w:p>
      <w:pPr>
        <w:widowControl w:val="0"/>
        <w:snapToGrid w:val="0"/>
        <w:spacing w:line="324" w:lineRule="auto"/>
        <w:ind w:firstLine="480" w:firstLineChars="150"/>
        <w:jc w:val="both"/>
        <w:rPr>
          <w:rFonts w:hint="eastAsia" w:ascii="黑体" w:hAnsi="黑体" w:eastAsia="黑体" w:cs="黑体"/>
          <w:bCs/>
          <w:sz w:val="32"/>
          <w:szCs w:val="32"/>
        </w:rPr>
      </w:pPr>
      <w:r>
        <w:rPr>
          <w:rFonts w:hint="eastAsia" w:ascii="仿宋_GB2312" w:hAnsi="仿宋_GB2312" w:eastAsia="仿宋_GB2312" w:cs="仿宋_GB2312"/>
          <w:bCs/>
          <w:sz w:val="32"/>
          <w:szCs w:val="32"/>
        </w:rPr>
        <w:t xml:space="preserve"> </w:t>
      </w:r>
      <w:r>
        <w:rPr>
          <w:rFonts w:hint="eastAsia" w:ascii="黑体" w:hAnsi="黑体" w:eastAsia="黑体" w:cs="黑体"/>
          <w:bCs/>
          <w:sz w:val="32"/>
          <w:szCs w:val="32"/>
        </w:rPr>
        <w:t>四、</w:t>
      </w:r>
      <w:r>
        <w:rPr>
          <w:rFonts w:hint="eastAsia" w:ascii="黑体" w:hAnsi="黑体" w:eastAsia="黑体" w:cs="黑体"/>
          <w:bCs/>
          <w:color w:val="222222"/>
          <w:sz w:val="32"/>
          <w:szCs w:val="32"/>
        </w:rPr>
        <w:t>加强</w:t>
      </w:r>
      <w:r>
        <w:rPr>
          <w:rFonts w:hint="eastAsia" w:ascii="黑体" w:hAnsi="黑体" w:eastAsia="黑体" w:cs="黑体"/>
          <w:bCs/>
          <w:sz w:val="32"/>
          <w:szCs w:val="32"/>
        </w:rPr>
        <w:t>行政执法与刑事司法衔接</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相关主管部门与公安部门应建立健全安全生产事故案件联合查处工作机制。公安部门接到相关主管部门联合查处请求应及时介入，并依法进行调查处理。</w:t>
      </w:r>
    </w:p>
    <w:p>
      <w:pPr>
        <w:widowControl w:val="0"/>
        <w:snapToGrid w:val="0"/>
        <w:spacing w:line="324" w:lineRule="auto"/>
        <w:ind w:firstLine="320" w:firstLineChars="1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经市、区人民政府批准成立的事故调查组应对相关责任单位或者人员是否涉嫌重大责任事故罪、工程重大安全事故罪、强令冒险违章作业罪等进行核查。发现涉嫌犯罪的，调查组应及时移送司法机关处理。</w:t>
      </w:r>
    </w:p>
    <w:p>
      <w:pPr>
        <w:widowControl w:val="0"/>
        <w:numPr>
          <w:ilvl w:val="0"/>
          <w:numId w:val="3"/>
        </w:numPr>
        <w:snapToGrid w:val="0"/>
        <w:spacing w:line="324" w:lineRule="auto"/>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全面实行停工检查、约谈警示、挂牌督办、公开道歉制度</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设工程发生安全事故导致人员死亡的，相关主管部门应责令涉事工程停工整改，并加强对涉事施工单位在本市其他在建工程的安全检查，检查发现其他在建工程存在安全隐患的，依法责令停止施工现场有关作业。同时，相关主管部门应约谈涉事建设、施工、监理等单位的安全生产负责人，并对涉事工地进行挂牌督办。</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发生《生产安全事故报告和调查处理条例》第三条所规定的较大及以上安全事故的，涉事工程建设、施工、监理单位及其法定代表人应于事故发生之日起7日内在《深圳特区报》或者《深圳商报》等公共媒体上向社会公众公开道歉。</w:t>
      </w:r>
    </w:p>
    <w:p>
      <w:pPr>
        <w:widowControl w:val="0"/>
        <w:snapToGrid w:val="0"/>
        <w:spacing w:line="324" w:lineRule="auto"/>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六、严查项目建设组织管理情况</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建设工程发生安全事故导致人员死亡的，事故调查组应调查涉事工程是否存在转包、挂靠及违法分包行为，同时，应调查建设单位是否存在下列行为：</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（一）不合理压缩施工工期；</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（二）不合理压缩工程造价或者安全文明施工措施费，或者不按合同约定及时支付上述费用；</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（三）强令他人违章冒险作业；</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（四）不优先选择安全生产情况良好、信用等级高的投标人；</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（五）违规指定分包单位或者不将单独发包的专业工程纳入总包管理；</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（六）违法发包，对工程转包挂靠、违法分包，项目经理、总监理工程师、安全管理人员不到岗履职，工程安全生产文明施工混乱等情况不制止、不报告相关主管部门；</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（七）其他违反安全生产法律规定的行为。</w:t>
      </w:r>
    </w:p>
    <w:p>
      <w:pPr>
        <w:widowControl w:val="0"/>
        <w:snapToGrid w:val="0"/>
        <w:spacing w:line="324" w:lineRule="auto"/>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七、强化企业安全生产资质条件核查</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建设工程发生安全事故导致人员死亡或者安全问题突出的，相关主管部门应对施工单位开展资质动态核查和安全生产条件核查：</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（一）资质动态核查不达标的，应责令其限期整改并向社会公布；整改后仍未达标的，提请发证机关依法撤回其建筑业企业资质证书；</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（二）安全生产条件核查不达标的，提请发证机关依法暂扣其安全生产许可证并限期整改；情节严重的，提请发证机关依法吊销其安全生产许可证。</w:t>
      </w:r>
    </w:p>
    <w:p>
      <w:pPr>
        <w:widowControl w:val="0"/>
        <w:snapToGrid w:val="0"/>
        <w:spacing w:line="324" w:lineRule="auto"/>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八、建立政府工程生产安全事故违约金制度</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政府投资工程应将发生生产安全事故列入违约条款。发生生产安全事故导致人员死亡的，涉事施工单位按约定的标准支付违约金,违约金的标准原则上应结合合同金额和事故等级进行确定。建设单位应将违约金列入安全文明施工措施费，并监督施工单位合理使用。</w:t>
      </w:r>
    </w:p>
    <w:p>
      <w:pPr>
        <w:widowControl w:val="0"/>
        <w:snapToGrid w:val="0"/>
        <w:spacing w:line="324" w:lineRule="auto"/>
        <w:ind w:firstLine="640" w:firstLineChars="200"/>
        <w:jc w:val="both"/>
        <w:rPr>
          <w:rFonts w:hint="eastAsia" w:ascii="黑体" w:hAnsi="黑体" w:eastAsia="黑体" w:cs="仿宋_GB2312"/>
          <w:bCs/>
          <w:sz w:val="32"/>
          <w:szCs w:val="32"/>
        </w:rPr>
      </w:pPr>
      <w:r>
        <w:rPr>
          <w:rFonts w:hint="eastAsia" w:ascii="黑体" w:hAnsi="黑体" w:eastAsia="黑体" w:cs="仿宋_GB2312"/>
          <w:bCs/>
          <w:sz w:val="32"/>
          <w:szCs w:val="32"/>
        </w:rPr>
        <w:t>九、建立信用分级管理和招投标联动机制</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相关主管部门应建立健全建设工程信用管理制度，并将红、黄色警示纳入信用管理负面清单。因安全生产被红色警示的相关单位和人员，红色警示期内列入信用最低等级，纳入全市失信联合惩戒体系，在红色警示期届满后1年内不予升至信用最高等级。</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加强建设工程安全生产与招投标联动，招标人应在资格审查及定标环节查询投标人安全生产记录情况和信用等级，优先选择安全生产情况良好、信用等级高的投标人。</w:t>
      </w:r>
    </w:p>
    <w:p>
      <w:pPr>
        <w:widowControl w:val="0"/>
        <w:snapToGrid w:val="0"/>
        <w:spacing w:line="324" w:lineRule="auto"/>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十、加大生产安全事故问责力度</w:t>
      </w:r>
    </w:p>
    <w:p>
      <w:pPr>
        <w:widowControl w:val="0"/>
        <w:snapToGrid w:val="0"/>
        <w:spacing w:line="324" w:lineRule="auto"/>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建设工程发生生产安全事故导致人员死亡的，建设、施工、监理等单位应进行内部责任倒查，并对所有涉事责任人员启动问责。相关主管部门应按照“尽职照单免责，失职照单追责”的原则对相关执法人员在涉事工地履职情况进行考核。</w:t>
      </w:r>
    </w:p>
    <w:p>
      <w:pPr>
        <w:widowControl w:val="0"/>
        <w:snapToGrid w:val="0"/>
        <w:spacing w:line="324" w:lineRule="auto"/>
        <w:jc w:val="both"/>
        <w:rPr>
          <w:rFonts w:hint="default" w:ascii="Times New Roman" w:hAnsi="Times New Roman" w:eastAsia="宋体" w:cs="Times New Roman"/>
          <w:szCs w:val="24"/>
          <w:lang w:val="en" w:eastAsia="zh-CN"/>
        </w:rPr>
      </w:pPr>
      <w:r>
        <w:rPr>
          <w:rFonts w:hint="eastAsia" w:ascii="仿宋_GB2312" w:hAnsi="仿宋_GB2312" w:eastAsia="仿宋_GB2312" w:cs="仿宋_GB2312"/>
          <w:bCs/>
          <w:sz w:val="32"/>
          <w:szCs w:val="32"/>
        </w:rPr>
        <w:t xml:space="preserve">    本措施自发布之日起施行，有效期3年。市建设、交通运输、水务、安监等部门应根据本措施在3个月内制定具体操作办法。</w:t>
      </w:r>
    </w:p>
    <w:sectPr>
      <w:pgSz w:w="11906" w:h="16838"/>
      <w:pgMar w:top="2041" w:right="1531" w:bottom="187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2F247"/>
    <w:multiLevelType w:val="singleLevel"/>
    <w:tmpl w:val="5962F247"/>
    <w:lvl w:ilvl="0" w:tentative="0">
      <w:start w:val="2"/>
      <w:numFmt w:val="chineseCounting"/>
      <w:suff w:val="nothing"/>
      <w:lvlText w:val="（%1）"/>
      <w:lvlJc w:val="left"/>
    </w:lvl>
  </w:abstractNum>
  <w:abstractNum w:abstractNumId="1">
    <w:nsid w:val="5993ACD7"/>
    <w:multiLevelType w:val="singleLevel"/>
    <w:tmpl w:val="5993ACD7"/>
    <w:lvl w:ilvl="0" w:tentative="0">
      <w:start w:val="2"/>
      <w:numFmt w:val="chineseCounting"/>
      <w:suff w:val="nothing"/>
      <w:lvlText w:val="%1、"/>
      <w:lvlJc w:val="left"/>
    </w:lvl>
  </w:abstractNum>
  <w:abstractNum w:abstractNumId="2">
    <w:nsid w:val="5993AD3E"/>
    <w:multiLevelType w:val="singleLevel"/>
    <w:tmpl w:val="5993AD3E"/>
    <w:lvl w:ilvl="0" w:tentative="0">
      <w:start w:val="5"/>
      <w:numFmt w:val="chineseCounting"/>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7206"/>
    <w:rsid w:val="000E7206"/>
    <w:rsid w:val="00AB1309"/>
    <w:rsid w:val="00F943B8"/>
    <w:rsid w:val="023B6BC5"/>
    <w:rsid w:val="04067354"/>
    <w:rsid w:val="0B1F3F49"/>
    <w:rsid w:val="0E9E3317"/>
    <w:rsid w:val="15E41BE4"/>
    <w:rsid w:val="1C2D15D8"/>
    <w:rsid w:val="1FFD0B01"/>
    <w:rsid w:val="231A4823"/>
    <w:rsid w:val="372633C5"/>
    <w:rsid w:val="4D5634BA"/>
    <w:rsid w:val="4FBF37CC"/>
    <w:rsid w:val="523D7AA5"/>
    <w:rsid w:val="59423BE6"/>
    <w:rsid w:val="5958BB8C"/>
    <w:rsid w:val="5AFE9599"/>
    <w:rsid w:val="5FFB1A18"/>
    <w:rsid w:val="65FA8523"/>
    <w:rsid w:val="6BD74869"/>
    <w:rsid w:val="6DFFA4E5"/>
    <w:rsid w:val="74345B31"/>
    <w:rsid w:val="75BE3905"/>
    <w:rsid w:val="793F2B10"/>
    <w:rsid w:val="7B763779"/>
    <w:rsid w:val="7CD327A1"/>
    <w:rsid w:val="7DF748D6"/>
    <w:rsid w:val="7FAF2E4A"/>
    <w:rsid w:val="7FFE4A5C"/>
    <w:rsid w:val="8BF7EC27"/>
    <w:rsid w:val="9D56124B"/>
    <w:rsid w:val="AAFB08D0"/>
    <w:rsid w:val="ABDFB1ED"/>
    <w:rsid w:val="BBEF16C4"/>
    <w:rsid w:val="BD394569"/>
    <w:rsid w:val="BDBFE17D"/>
    <w:rsid w:val="CB7F922A"/>
    <w:rsid w:val="D2A76D26"/>
    <w:rsid w:val="DFAB4714"/>
    <w:rsid w:val="DFFBDA1C"/>
    <w:rsid w:val="E7E9C1D4"/>
    <w:rsid w:val="ECEEF73B"/>
    <w:rsid w:val="EDEDA0D2"/>
    <w:rsid w:val="EFDFCC08"/>
    <w:rsid w:val="F3571ECD"/>
    <w:rsid w:val="F5FD61E4"/>
    <w:rsid w:val="F7BF01DD"/>
    <w:rsid w:val="FB7C4269"/>
    <w:rsid w:val="FDB6A510"/>
    <w:rsid w:val="FF75824C"/>
    <w:rsid w:val="FF7D1FF8"/>
    <w:rsid w:val="FFF7885E"/>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BT01"/>
    <w:next w:val="7"/>
    <w:qFormat/>
    <w:uiPriority w:val="0"/>
    <w:pPr>
      <w:keepNext w:val="0"/>
      <w:widowControl w:val="0"/>
      <w:spacing w:line="560" w:lineRule="exact"/>
      <w:ind w:firstLine="880" w:firstLineChars="200"/>
      <w:jc w:val="both"/>
      <w:outlineLvl w:val="1"/>
    </w:pPr>
    <w:rPr>
      <w:rFonts w:ascii="黑体" w:hAnsi="黑体" w:eastAsia="方正黑体_GBK" w:cs="Times New Roman"/>
      <w:sz w:val="32"/>
      <w:szCs w:val="32"/>
    </w:rPr>
  </w:style>
  <w:style w:type="paragraph" w:customStyle="1" w:styleId="7">
    <w:name w:val="BZWFS"/>
    <w:qFormat/>
    <w:uiPriority w:val="0"/>
    <w:pPr>
      <w:widowControl w:val="0"/>
      <w:spacing w:line="560" w:lineRule="exact"/>
      <w:ind w:firstLine="880" w:firstLineChars="200"/>
      <w:jc w:val="both"/>
    </w:pPr>
    <w:rPr>
      <w:rFonts w:ascii="仿宋_GB2312" w:hAnsi="仿宋_GB2312" w:eastAsia="仿宋_GB2312" w:cs="Times New Roman"/>
      <w:sz w:val="32"/>
      <w:szCs w:val="32"/>
    </w:rPr>
  </w:style>
  <w:style w:type="paragraph" w:customStyle="1" w:styleId="8">
    <w:name w:val="Basiclf"/>
    <w:qFormat/>
    <w:uiPriority w:val="0"/>
    <w:pPr>
      <w:widowControl w:val="0"/>
      <w:spacing w:line="560" w:lineRule="exact"/>
      <w:jc w:val="both"/>
    </w:pPr>
    <w:rPr>
      <w:rFonts w:ascii="仿宋_GB2312" w:hAnsi="仿宋_GB2312" w:eastAsia="仿宋_GB2312" w:cs="Times New Roman"/>
      <w:sz w:val="32"/>
      <w:szCs w:val="32"/>
    </w:rPr>
  </w:style>
  <w:style w:type="paragraph" w:customStyle="1" w:styleId="9">
    <w:name w:val="BT00"/>
    <w:qFormat/>
    <w:uiPriority w:val="0"/>
    <w:pPr>
      <w:widowControl w:val="0"/>
      <w:spacing w:line="640" w:lineRule="exact"/>
      <w:jc w:val="center"/>
      <w:outlineLvl w:val="0"/>
    </w:pPr>
    <w:rPr>
      <w:rFonts w:ascii="方正小标宋简体" w:hAnsi="方正小标宋简体" w:eastAsia="方正小标宋简体" w:cs="Times New Roman"/>
      <w:sz w:val="44"/>
      <w:szCs w:val="44"/>
    </w:rPr>
  </w:style>
  <w:style w:type="character" w:customStyle="1" w:styleId="10">
    <w:name w:val="l-btn-left2"/>
    <w:basedOn w:val="4"/>
    <w:qFormat/>
    <w:uiPriority w:val="0"/>
  </w:style>
  <w:style w:type="character" w:customStyle="1" w:styleId="11">
    <w:name w:val="l-btn-empty"/>
    <w:basedOn w:val="4"/>
    <w:qFormat/>
    <w:uiPriority w:val="0"/>
  </w:style>
  <w:style w:type="character" w:customStyle="1" w:styleId="12">
    <w:name w:val="l-btn-left"/>
    <w:basedOn w:val="4"/>
    <w:qFormat/>
    <w:uiPriority w:val="0"/>
  </w:style>
  <w:style w:type="character" w:customStyle="1" w:styleId="13">
    <w:name w:val="l-btn-left1"/>
    <w:basedOn w:val="4"/>
    <w:qFormat/>
    <w:uiPriority w:val="0"/>
  </w:style>
  <w:style w:type="character" w:customStyle="1" w:styleId="14">
    <w:name w:val="l-btn-left3"/>
    <w:basedOn w:val="4"/>
    <w:qFormat/>
    <w:uiPriority w:val="0"/>
  </w:style>
  <w:style w:type="character" w:customStyle="1" w:styleId="15">
    <w:name w:val="l-btn-text"/>
    <w:basedOn w:val="4"/>
    <w:qFormat/>
    <w:uiPriority w:val="0"/>
  </w:style>
  <w:style w:type="paragraph" w:customStyle="1" w:styleId="16">
    <w:name w:val="BT04"/>
    <w:qFormat/>
    <w:uiPriority w:val="0"/>
    <w:pPr>
      <w:spacing w:beforeLines="0" w:afterLines="0" w:line="560" w:lineRule="exact"/>
      <w:ind w:firstLine="880" w:firstLineChars="200"/>
    </w:pPr>
    <w:rPr>
      <w:rFonts w:ascii="楷体_GB2312" w:hAnsi="楷体_GB2312" w:eastAsia="楷体_GB2312" w:cs="楷体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9295</Words>
  <Characters>9470</Characters>
  <Lines>2</Lines>
  <Paragraphs>1</Paragraphs>
  <TotalTime>2</TotalTime>
  <ScaleCrop>false</ScaleCrop>
  <LinksUpToDate>false</LinksUpToDate>
  <CharactersWithSpaces>9677</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2020-08-24T07:09:00Z</dcterms:created>
  <dc:creator>陈泽波</dc:creator>
  <cp:lastModifiedBy>zhangl</cp:lastModifiedBy>
  <dcterms:modified xsi:type="dcterms:W3CDTF">2026-08-25T15:27:54Z</dcterms:modified>
  <dc:title>深建规〔2023〕XX号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KSOTemplateDocerSaveRecord">
    <vt:lpwstr>eyJoZGlkIjoiNDNmNzQ3YzY0YWJlZmRjZGU0OWU5ZWQ1MTY4ZTg2ZDIiLCJ1c2VySWQiOiI0MzQxNTMzODUifQ==</vt:lpwstr>
  </property>
  <property fmtid="{D5CDD505-2E9C-101B-9397-08002B2CF9AE}" pid="4" name="ICV">
    <vt:lpwstr>8B240EBC2ACF4FC284049FC5AF00B5F3_12</vt:lpwstr>
  </property>
</Properties>
</file>