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bidi w:val="0"/>
        <w:ind w:left="0" w:leftChars="0" w:firstLine="0" w:firstLineChars="0"/>
        <w:rPr>
          <w:rFonts w:hint="eastAsia"/>
          <w:lang w:val="en-US" w:eastAsia="zh-CN"/>
        </w:rPr>
      </w:pPr>
      <w:r>
        <w:rPr>
          <w:rFonts w:hint="eastAsia"/>
          <w:lang w:val="en-US" w:eastAsia="zh-CN"/>
        </w:rPr>
        <w:t>附件2</w:t>
      </w:r>
    </w:p>
    <w:p>
      <w:pPr>
        <w:pStyle w:val="7"/>
        <w:rPr>
          <w:rFonts w:hint="eastAsia"/>
          <w:lang w:val="en-US" w:eastAsia="zh-CN"/>
        </w:rPr>
      </w:pPr>
    </w:p>
    <w:p>
      <w:pPr>
        <w:widowControl w:val="0"/>
        <w:spacing w:line="560" w:lineRule="exact"/>
        <w:ind w:left="0" w:leftChars="0" w:firstLine="0" w:firstLineChars="0"/>
        <w:jc w:val="center"/>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rPr>
        <w:t>关于严厉惩处建设工程安全生产违法违规</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outlineLvl w:val="0"/>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rPr>
        <w:t>行为的若干措施（试行）的实施细则</w:t>
      </w:r>
    </w:p>
    <w:p>
      <w:pPr>
        <w:widowControl w:val="0"/>
        <w:spacing w:line="560" w:lineRule="exact"/>
        <w:ind w:firstLine="640" w:firstLineChars="200"/>
        <w:jc w:val="both"/>
        <w:rPr>
          <w:rFonts w:hint="eastAsia" w:ascii="仿宋_GB2312" w:hAnsi="仿宋_GB2312" w:eastAsia="仿宋_GB2312" w:cs="Times New Roman"/>
          <w:color w:val="auto"/>
          <w:sz w:val="32"/>
          <w:szCs w:val="32"/>
          <w:lang w:val="en-US" w:eastAsia="zh-CN"/>
        </w:rPr>
      </w:pP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为深入贯彻执行《关于严厉惩处建设工程安全生产违法违规行为的若干措施（试行）》（深建规〔2017〕11号，以下简称为《若干措施》），增强《若干措施》的可操作性，特制定本实施细则。</w:t>
      </w:r>
    </w:p>
    <w:p>
      <w:pPr>
        <w:keepNext w:val="0"/>
        <w:widowControl w:val="0"/>
        <w:spacing w:line="560" w:lineRule="exact"/>
        <w:ind w:firstLine="640" w:firstLineChars="200"/>
        <w:jc w:val="both"/>
        <w:outlineLvl w:val="0"/>
        <w:rPr>
          <w:rFonts w:hint="eastAsia" w:ascii="黑体" w:hAnsi="黑体" w:eastAsia="黑体" w:cs="Times New Roman"/>
          <w:color w:val="auto"/>
          <w:sz w:val="32"/>
          <w:szCs w:val="32"/>
        </w:rPr>
      </w:pPr>
      <w:r>
        <w:rPr>
          <w:rFonts w:hint="eastAsia" w:ascii="黑体" w:hAnsi="黑体" w:eastAsia="黑体" w:cs="Times New Roman"/>
          <w:color w:val="auto"/>
          <w:sz w:val="32"/>
          <w:szCs w:val="32"/>
        </w:rPr>
        <w:t>一、加大对建设工程违法违规行为的惩治力度</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《若干措施》第一条所列“对本市行政区域内发生的建设工程安全生产违法违规行为依法从重从快查处”是指：</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（一）涉及行政处罚自由裁量权行使的，按照国家、广东省及我市有关建设工程安全生产法律、法规、规章所设处罚的上限执行；</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（二）涉及法定处理期限的，在法定期限内从快处理。</w:t>
      </w:r>
    </w:p>
    <w:p>
      <w:pPr>
        <w:keepNext w:val="0"/>
        <w:widowControl w:val="0"/>
        <w:spacing w:line="560" w:lineRule="exact"/>
        <w:ind w:firstLine="640" w:firstLineChars="200"/>
        <w:jc w:val="both"/>
        <w:outlineLvl w:val="0"/>
        <w:rPr>
          <w:rFonts w:hint="eastAsia" w:ascii="黑体" w:hAnsi="黑体" w:eastAsia="黑体" w:cs="Times New Roman"/>
          <w:color w:val="auto"/>
          <w:sz w:val="32"/>
          <w:szCs w:val="32"/>
        </w:rPr>
      </w:pPr>
      <w:r>
        <w:rPr>
          <w:rFonts w:hint="eastAsia" w:ascii="黑体" w:hAnsi="黑体" w:eastAsia="黑体" w:cs="Times New Roman"/>
          <w:color w:val="auto"/>
          <w:sz w:val="32"/>
          <w:szCs w:val="32"/>
        </w:rPr>
        <w:t>二、公布建设工程安全生产情况</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《若干措施》第二条中的“安全问题突出工地”按下列情形进行认定并公布：</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（一）施工现场发生事故造成人员死亡的，由市、区建设行政主管部门认定并公布；</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（二）被责令停工拒不停工的，由市、区工程质量安全监督机构提请市、区建设行政主管部门认定并公布；</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（三）因安全生产问题被国家、省、市、区建设或者应急管理部门列入督办范围的，由市、区建设行政主管部门认定并公布；</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（四）其他安全问题突出工地，由市、区建设行政主管部门认定并公布，或者由市、区工程质量安全监督机构提请市、区建设行政主管部门认定并公布。</w:t>
      </w:r>
    </w:p>
    <w:p>
      <w:pPr>
        <w:keepNext w:val="0"/>
        <w:widowControl w:val="0"/>
        <w:spacing w:line="560" w:lineRule="exact"/>
        <w:ind w:firstLine="640" w:firstLineChars="200"/>
        <w:jc w:val="both"/>
        <w:outlineLvl w:val="0"/>
        <w:rPr>
          <w:rFonts w:hint="eastAsia" w:ascii="黑体" w:hAnsi="黑体" w:eastAsia="黑体" w:cs="Times New Roman"/>
          <w:color w:val="auto"/>
          <w:sz w:val="32"/>
          <w:szCs w:val="32"/>
        </w:rPr>
      </w:pPr>
      <w:r>
        <w:rPr>
          <w:rFonts w:hint="eastAsia" w:ascii="黑体" w:hAnsi="黑体" w:eastAsia="黑体" w:cs="Times New Roman"/>
          <w:color w:val="auto"/>
          <w:sz w:val="32"/>
          <w:szCs w:val="32"/>
        </w:rPr>
        <w:t>三、实施建设工程安全生产红、黄色警示制度</w:t>
      </w:r>
    </w:p>
    <w:p>
      <w:pPr>
        <w:pStyle w:val="16"/>
        <w:rPr>
          <w:rFonts w:hint="eastAsia"/>
          <w:color w:val="auto"/>
        </w:rPr>
      </w:pPr>
      <w:r>
        <w:rPr>
          <w:rFonts w:hint="eastAsia"/>
          <w:color w:val="auto"/>
        </w:rPr>
        <w:t>（一）红色警示</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1.建设工程发生安全事故造成人员死亡的，或者虽未造成人员死亡但对公共安全构成严重威胁或者社会影响恶劣的，市、区建设行政主管部门应当在发现或收到安全事故或险情通报后立即按照《若干措施》对施工单位及其项目负责人、项目经理等责任人员作出红色警示的决定。</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2.建设工程存在重大安全隐患未按期整改或者被责令停工拒不停工的，市、区建设行政主管部门应当按照《若干措施》立即对施工单位及其项目负责人、项目经理等责任人员作出红色警示的决定。</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3.经事故调查组认定，建设、监理、勘察、设计、材料设备供应商、检验检测等单位对安全事故造成人员死亡负有责任的，市、区建设行政主管部门应当在正式收到经批复的事故调查报告后立即按照《若干措施》对上述责任单位及其项目负责人、项目经理、项目总监理工程师等责任人员作出红色警示的决定。</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4.红色警示决定由市、区工程质量安全监督机构具体实施。</w:t>
      </w:r>
    </w:p>
    <w:p>
      <w:pPr>
        <w:pStyle w:val="16"/>
        <w:rPr>
          <w:rFonts w:hint="eastAsia"/>
          <w:color w:val="auto"/>
        </w:rPr>
      </w:pPr>
      <w:r>
        <w:rPr>
          <w:rFonts w:hint="eastAsia"/>
          <w:color w:val="auto"/>
        </w:rPr>
        <w:t>（二）黄色警示</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1.安全生产违法违规行为情节较轻，未达到红色警示标准的，市、区建设行政主管部门可以根据实际情形（详见附表）对涉事单位及相关责任人员作出黄色警示的决定，警示期限为2个月。市建设行政主管部门可以根据情况适时调整黄色警示的情形。黄色警示信息纳入建筑市场主体诚信管理。</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2.黄色警示决定由市、区工程质量安全监督机构负责具体实施。</w:t>
      </w:r>
    </w:p>
    <w:p>
      <w:pPr>
        <w:pStyle w:val="16"/>
        <w:rPr>
          <w:rFonts w:hint="eastAsia"/>
          <w:color w:val="auto"/>
        </w:rPr>
      </w:pPr>
      <w:r>
        <w:rPr>
          <w:rFonts w:hint="eastAsia"/>
          <w:color w:val="auto"/>
        </w:rPr>
        <w:t>（三）同时给予多项红、黄色警示的合并执行</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建设工程依法需要同时给予多项红色警示的，市、区建设行政主管部门按规定分别作出警示决定后，按其中最长的红色警示期限执行</w:t>
      </w:r>
      <w:r>
        <w:rPr>
          <w:rFonts w:hint="eastAsia" w:ascii="仿宋_GB2312" w:hAnsi="仿宋_GB2312" w:eastAsia="仿宋_GB2312" w:cs="Times New Roman"/>
          <w:color w:val="auto"/>
          <w:sz w:val="32"/>
          <w:szCs w:val="32"/>
          <w:lang w:eastAsia="zh-CN"/>
        </w:rPr>
        <w:t>。</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建设工程依法需要同时给予多项黄色警示的，市、区建设行政主管部门按规定分别作出黄色警示决定后，黄色警示期限累计执行</w:t>
      </w:r>
      <w:r>
        <w:rPr>
          <w:rFonts w:hint="eastAsia" w:ascii="仿宋_GB2312" w:hAnsi="仿宋_GB2312" w:eastAsia="仿宋_GB2312" w:cs="Times New Roman"/>
          <w:color w:val="auto"/>
          <w:sz w:val="32"/>
          <w:szCs w:val="32"/>
          <w:lang w:eastAsia="zh-CN"/>
        </w:rPr>
        <w:t>。</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建设工程依法需要同时给予多项红色警示和黄色警示的，市、区建设行政主管部门分别按前两款规定作出红、黄色警示的决定。</w:t>
      </w:r>
    </w:p>
    <w:p>
      <w:pPr>
        <w:pStyle w:val="16"/>
        <w:rPr>
          <w:rFonts w:hint="eastAsia"/>
          <w:color w:val="auto"/>
        </w:rPr>
      </w:pPr>
      <w:r>
        <w:rPr>
          <w:rFonts w:hint="eastAsia"/>
          <w:color w:val="auto"/>
        </w:rPr>
        <w:t>（四）警示期内又被给予警示的合并执行</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在红色警示期内，涉事单位又发生安全生产违法违规行为依法需要给予红色警示的，市、区建设行政主管部门按规定给予红色警示。新红色警示与未执行完毕的红色警示合并执行，以二者中截止日期较远的红色警示期限为最终执行的红色警示期限。</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在黄色警示期内，涉事单位又发生安全生产违法违规行为依法需要给予黄色警示的，市、区建设行政主管部门按规定给予黄色警示。新黄色警示期限与未执行完毕的黄色警示期限累计计算。</w:t>
      </w:r>
    </w:p>
    <w:p>
      <w:pPr>
        <w:pStyle w:val="16"/>
        <w:rPr>
          <w:rFonts w:hint="eastAsia"/>
          <w:color w:val="auto"/>
        </w:rPr>
      </w:pPr>
      <w:r>
        <w:rPr>
          <w:rFonts w:hint="eastAsia"/>
          <w:color w:val="auto"/>
        </w:rPr>
        <w:t>（五）警示信息的录入及生效</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市、区工程质量安全监督机构应当在红、黄色警示决定作出的当日将警示内容录入相关信息系统，红、黄色警示信息自录入系统后的次日</w:t>
      </w:r>
      <w:r>
        <w:rPr>
          <w:rFonts w:hint="eastAsia" w:ascii="仿宋_GB2312" w:hAnsi="仿宋_GB2312" w:eastAsia="仿宋_GB2312" w:cs="Times New Roman"/>
          <w:color w:val="auto"/>
          <w:sz w:val="32"/>
          <w:szCs w:val="32"/>
          <w:lang w:eastAsia="zh-CN"/>
        </w:rPr>
        <w:t>零时</w:t>
      </w:r>
      <w:r>
        <w:rPr>
          <w:rFonts w:hint="eastAsia" w:ascii="仿宋_GB2312" w:hAnsi="仿宋_GB2312" w:eastAsia="仿宋_GB2312" w:cs="Times New Roman"/>
          <w:color w:val="auto"/>
          <w:sz w:val="32"/>
          <w:szCs w:val="32"/>
        </w:rPr>
        <w:t>起生效。</w:t>
      </w:r>
    </w:p>
    <w:p>
      <w:pPr>
        <w:pStyle w:val="16"/>
        <w:rPr>
          <w:rFonts w:hint="eastAsia"/>
          <w:color w:val="auto"/>
        </w:rPr>
      </w:pPr>
      <w:r>
        <w:rPr>
          <w:rFonts w:hint="eastAsia"/>
          <w:color w:val="auto"/>
        </w:rPr>
        <w:t>（六）依法禁止红色警示对象在本市承接新的业务和投标</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1.公开招标的项目，红色警示在截标前已经生效的，招标人应拒绝红色警示单位或人员参与投标。深圳市建设工程交易服务平台可以通过技术措施对红色警示单位或人员进行锁定。建设、施工、监理单位及其项目负责人、项目经理、总监理工程师等责任人员被红色警示的，在红色警示生效期间，依法不予办理质量安全监督登记手续和施工许可。在红色警示生效前已经签订合同或者取得中标通知书的除外。</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2.建设、施工、监理单位的项目负责人、项目经理、总监理工程师等责任人员在12个月内被2次红色警示的，用人单位必须对红色警示人员进行更换，更换人员的任职条件不得低于原岗位人员要求。</w:t>
      </w:r>
    </w:p>
    <w:p>
      <w:pPr>
        <w:pStyle w:val="16"/>
        <w:rPr>
          <w:rFonts w:hint="eastAsia"/>
          <w:color w:val="auto"/>
        </w:rPr>
      </w:pPr>
      <w:r>
        <w:rPr>
          <w:rFonts w:hint="eastAsia"/>
          <w:color w:val="auto"/>
        </w:rPr>
        <w:t>（七）红、黄色警示的申诉处理</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被警示单位或个人对红、黄色警示有异议的，可向市、区建设行政主管部门提出申诉：</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1.非因人员伤亡事故被警示的，被警示单位或个人可以自执法文书送达之日起10日内，向下达执法文书的建设行政主管部门提出申诉，逾期视为无异议；</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2.因人员伤亡事故被警示，但事故不被认定为安全生产责任事故或相关部门决定不予立案调查的，被警示单位或个人可以自相关认定或决定作出后10日内，向下达执法文书的建设行政主管部门提出申诉，逾期视为无异议。</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建设行政主管部门受理申诉后，由工程质量安全监督机构在5个工作日内予以处理。申诉理由成立的，依法撤销红、黄色警示，并及时变更系统中的相关记录信息。申诉理由不成立的，工程质量安全监督机构应当向申诉人说明理由。</w:t>
      </w:r>
    </w:p>
    <w:p>
      <w:pPr>
        <w:keepNext w:val="0"/>
        <w:widowControl w:val="0"/>
        <w:spacing w:line="560" w:lineRule="exact"/>
        <w:ind w:firstLine="640" w:firstLineChars="200"/>
        <w:jc w:val="both"/>
        <w:outlineLvl w:val="0"/>
        <w:rPr>
          <w:rFonts w:hint="eastAsia" w:ascii="黑体" w:hAnsi="黑体" w:eastAsia="黑体" w:cs="Times New Roman"/>
          <w:color w:val="auto"/>
          <w:sz w:val="32"/>
          <w:szCs w:val="32"/>
        </w:rPr>
      </w:pPr>
      <w:r>
        <w:rPr>
          <w:rFonts w:hint="eastAsia" w:ascii="黑体" w:hAnsi="黑体" w:eastAsia="黑体" w:cs="Times New Roman"/>
          <w:color w:val="auto"/>
          <w:sz w:val="32"/>
          <w:szCs w:val="32"/>
        </w:rPr>
        <w:t>四、加强行政执法与刑事司法衔接</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建设工程发生1人</w:t>
      </w:r>
      <w:r>
        <w:rPr>
          <w:rFonts w:hint="eastAsia" w:ascii="仿宋_GB2312" w:hAnsi="仿宋_GB2312" w:eastAsia="仿宋_GB2312" w:cs="Times New Roman"/>
          <w:color w:val="auto"/>
          <w:sz w:val="32"/>
          <w:szCs w:val="32"/>
          <w:lang w:eastAsia="zh-CN"/>
        </w:rPr>
        <w:t>及</w:t>
      </w:r>
      <w:r>
        <w:rPr>
          <w:rFonts w:hint="eastAsia" w:ascii="仿宋_GB2312" w:hAnsi="仿宋_GB2312" w:eastAsia="仿宋_GB2312" w:cs="Times New Roman"/>
          <w:color w:val="auto"/>
          <w:sz w:val="32"/>
          <w:szCs w:val="32"/>
        </w:rPr>
        <w:t>以上死亡或3人</w:t>
      </w:r>
      <w:r>
        <w:rPr>
          <w:rFonts w:hint="eastAsia" w:ascii="仿宋_GB2312" w:hAnsi="仿宋_GB2312" w:eastAsia="仿宋_GB2312" w:cs="Times New Roman"/>
          <w:color w:val="auto"/>
          <w:sz w:val="32"/>
          <w:szCs w:val="32"/>
          <w:lang w:eastAsia="zh-CN"/>
        </w:rPr>
        <w:t>及</w:t>
      </w:r>
      <w:r>
        <w:rPr>
          <w:rFonts w:hint="eastAsia" w:ascii="仿宋_GB2312" w:hAnsi="仿宋_GB2312" w:eastAsia="仿宋_GB2312" w:cs="Times New Roman"/>
          <w:color w:val="auto"/>
          <w:sz w:val="32"/>
          <w:szCs w:val="32"/>
        </w:rPr>
        <w:t>以上重伤</w:t>
      </w:r>
      <w:r>
        <w:rPr>
          <w:rFonts w:hint="eastAsia" w:ascii="仿宋_GB2312" w:hAnsi="仿宋_GB2312" w:eastAsia="仿宋_GB2312" w:cs="Times New Roman"/>
          <w:color w:val="auto"/>
          <w:sz w:val="32"/>
          <w:szCs w:val="32"/>
          <w:lang w:eastAsia="zh-CN"/>
        </w:rPr>
        <w:t>的</w:t>
      </w:r>
      <w:r>
        <w:rPr>
          <w:rFonts w:hint="eastAsia" w:ascii="仿宋_GB2312" w:hAnsi="仿宋_GB2312" w:eastAsia="仿宋_GB2312" w:cs="Times New Roman"/>
          <w:color w:val="auto"/>
          <w:sz w:val="32"/>
          <w:szCs w:val="32"/>
        </w:rPr>
        <w:t>安全事故，或虽未造成人员伤亡但对公共安全构成严重威胁或者社会影响恶劣的，市、区建设行政主管部门应当按照《关于加强住建行政执法与公安刑事司法衔接的工作意见》（深公法字〔2016〕276号）规定，商请市、区公安部门提前介入，并联合查处。</w:t>
      </w:r>
    </w:p>
    <w:p>
      <w:pPr>
        <w:keepNext w:val="0"/>
        <w:widowControl w:val="0"/>
        <w:spacing w:line="560" w:lineRule="exact"/>
        <w:ind w:firstLine="640" w:firstLineChars="200"/>
        <w:jc w:val="both"/>
        <w:outlineLvl w:val="0"/>
        <w:rPr>
          <w:rFonts w:hint="eastAsia" w:ascii="黑体" w:hAnsi="黑体" w:eastAsia="黑体" w:cs="Times New Roman"/>
          <w:color w:val="auto"/>
          <w:sz w:val="32"/>
          <w:szCs w:val="32"/>
        </w:rPr>
      </w:pPr>
      <w:r>
        <w:rPr>
          <w:rFonts w:hint="eastAsia" w:ascii="黑体" w:hAnsi="黑体" w:eastAsia="黑体" w:cs="Times New Roman"/>
          <w:color w:val="auto"/>
          <w:sz w:val="32"/>
          <w:szCs w:val="32"/>
        </w:rPr>
        <w:t>五、全面实行停工检查、约谈警示、挂牌督办制度</w:t>
      </w:r>
    </w:p>
    <w:p>
      <w:pPr>
        <w:pStyle w:val="16"/>
        <w:rPr>
          <w:rFonts w:hint="eastAsia"/>
          <w:color w:val="auto"/>
        </w:rPr>
      </w:pPr>
      <w:r>
        <w:rPr>
          <w:rFonts w:hint="eastAsia"/>
          <w:color w:val="auto"/>
        </w:rPr>
        <w:t>（一）关于停工检查</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1.建设工程发生安全事故的，市、区工程质量安全监督机构应及时下发停工整改通知书。死亡1人的，停工整改期限原则上不少于7天；死亡2人及以上的，停工整改期限原则上不少于15天。停工整改完成后，施工单位应组织安全生产条件评估，满足复工条件的，应向作出停工整改决定的工程质量安全监督机构提交经建设、监理、施工单位共同签署的复工申请，经工程质量安全监督机构复查并下达复工通知书后方可复工。</w:t>
      </w:r>
    </w:p>
    <w:p>
      <w:pPr>
        <w:widowControl w:val="0"/>
        <w:spacing w:line="560" w:lineRule="exact"/>
        <w:ind w:firstLine="640" w:firstLineChars="200"/>
        <w:jc w:val="both"/>
        <w:rPr>
          <w:rFonts w:hint="eastAsia" w:ascii="仿宋_GB2312" w:hAnsi="仿宋_GB2312" w:eastAsia="仿宋_GB2312" w:cs="Times New Roman"/>
          <w:color w:val="auto"/>
          <w:sz w:val="32"/>
          <w:szCs w:val="32"/>
          <w:highlight w:val="cyan"/>
        </w:rPr>
      </w:pPr>
      <w:r>
        <w:rPr>
          <w:rFonts w:hint="eastAsia" w:ascii="仿宋_GB2312" w:hAnsi="仿宋_GB2312" w:eastAsia="仿宋_GB2312" w:cs="Times New Roman"/>
          <w:color w:val="auto"/>
          <w:sz w:val="32"/>
          <w:szCs w:val="32"/>
        </w:rPr>
        <w:t>2.市、区建设行政主管部门应及时将事故信息包括涉事施工单位信息在门户网站进行公示</w:t>
      </w:r>
      <w:r>
        <w:rPr>
          <w:rFonts w:hint="eastAsia" w:ascii="仿宋_GB2312" w:hAnsi="仿宋_GB2312" w:eastAsia="仿宋_GB2312" w:cs="Times New Roman"/>
          <w:color w:val="auto"/>
          <w:sz w:val="32"/>
          <w:szCs w:val="32"/>
          <w:lang w:eastAsia="zh-CN"/>
        </w:rPr>
        <w:t>，</w:t>
      </w:r>
      <w:r>
        <w:rPr>
          <w:rFonts w:hint="eastAsia" w:ascii="仿宋_GB2312" w:hAnsi="仿宋_GB2312" w:eastAsia="仿宋_GB2312" w:cs="Times New Roman"/>
          <w:color w:val="auto"/>
          <w:sz w:val="32"/>
          <w:szCs w:val="32"/>
        </w:rPr>
        <w:t>市、区工程质量安全监督机构应加强对涉事施工单位在本市参与施工的其他工地的监督执法。涉事施工单位应组织不少于3天的安全生产自查自纠工作</w:t>
      </w:r>
      <w:r>
        <w:rPr>
          <w:rFonts w:hint="eastAsia" w:ascii="仿宋_GB2312" w:hAnsi="仿宋_GB2312" w:eastAsia="仿宋_GB2312" w:cs="Times New Roman"/>
          <w:color w:val="auto"/>
          <w:sz w:val="32"/>
          <w:szCs w:val="32"/>
          <w:lang w:eastAsia="zh-CN"/>
        </w:rPr>
        <w:t>，</w:t>
      </w:r>
      <w:r>
        <w:rPr>
          <w:rFonts w:hint="eastAsia" w:ascii="仿宋_GB2312" w:hAnsi="仿宋_GB2312" w:eastAsia="仿宋_GB2312" w:cs="Times New Roman"/>
          <w:color w:val="auto"/>
          <w:sz w:val="32"/>
          <w:szCs w:val="32"/>
          <w:highlight w:val="none"/>
          <w:lang w:eastAsia="zh-CN"/>
        </w:rPr>
        <w:t>对存在的</w:t>
      </w:r>
      <w:r>
        <w:rPr>
          <w:rFonts w:hint="eastAsia" w:ascii="仿宋_GB2312" w:hAnsi="仿宋_GB2312" w:eastAsia="仿宋_GB2312" w:cs="Times New Roman"/>
          <w:color w:val="auto"/>
          <w:sz w:val="32"/>
          <w:szCs w:val="32"/>
          <w:highlight w:val="none"/>
        </w:rPr>
        <w:t>安全隐患</w:t>
      </w:r>
      <w:r>
        <w:rPr>
          <w:rFonts w:hint="eastAsia" w:ascii="仿宋_GB2312" w:hAnsi="仿宋_GB2312" w:eastAsia="仿宋_GB2312" w:cs="Times New Roman"/>
          <w:color w:val="auto"/>
          <w:sz w:val="32"/>
          <w:szCs w:val="32"/>
          <w:highlight w:val="none"/>
          <w:lang w:eastAsia="zh-CN"/>
        </w:rPr>
        <w:t>及时整改，</w:t>
      </w:r>
      <w:r>
        <w:rPr>
          <w:rFonts w:hint="eastAsia" w:ascii="仿宋_GB2312" w:hAnsi="仿宋_GB2312" w:eastAsia="仿宋_GB2312" w:cs="Times New Roman"/>
          <w:color w:val="auto"/>
          <w:sz w:val="32"/>
          <w:szCs w:val="32"/>
          <w:highlight w:val="none"/>
        </w:rPr>
        <w:t>直至安全隐患全部予以消除并经建设、监理、施工单位共同签字确认后方可复工。</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3.应急抢险、隐患整改以及为保证安全必须连续实施的作业内容不纳入停工范围。</w:t>
      </w:r>
    </w:p>
    <w:p>
      <w:pPr>
        <w:pStyle w:val="16"/>
        <w:rPr>
          <w:rFonts w:hint="eastAsia"/>
          <w:color w:val="auto"/>
        </w:rPr>
      </w:pPr>
      <w:r>
        <w:rPr>
          <w:rFonts w:hint="eastAsia"/>
          <w:color w:val="auto"/>
        </w:rPr>
        <w:t>（二）关于约谈警示</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事故工地应当在工地现场召开现场警示会。市、区工程质量安全监督机构应当约谈事故工地的建设、施工、监理单位的安全生产有关责任人。</w:t>
      </w:r>
    </w:p>
    <w:p>
      <w:pPr>
        <w:pStyle w:val="16"/>
        <w:rPr>
          <w:rFonts w:hint="eastAsia"/>
          <w:color w:val="auto"/>
        </w:rPr>
      </w:pPr>
      <w:r>
        <w:rPr>
          <w:rFonts w:hint="eastAsia"/>
          <w:color w:val="auto"/>
        </w:rPr>
        <w:t>（三）关于挂牌督办</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对事故工地和安全问题突出工地进行挂牌督办。市、区工程质量安全监督机构应当在事故工地门口醒目位置加挂“生产安全事故整治督办工地”牌，在安全问题突出工地门口醒目位置加挂“安全生产综合整治督办工地”牌，挂牌时间不得少于2个月。挂牌期限届满，挂牌工地可向市、区工程质量安全监督机构申请摘牌。</w:t>
      </w:r>
    </w:p>
    <w:p>
      <w:pPr>
        <w:keepNext w:val="0"/>
        <w:widowControl w:val="0"/>
        <w:spacing w:line="560" w:lineRule="exact"/>
        <w:ind w:firstLine="640" w:firstLineChars="200"/>
        <w:jc w:val="both"/>
        <w:outlineLvl w:val="0"/>
        <w:rPr>
          <w:rFonts w:hint="eastAsia" w:ascii="黑体" w:hAnsi="黑体" w:eastAsia="黑体" w:cs="Times New Roman"/>
          <w:color w:val="auto"/>
          <w:sz w:val="32"/>
          <w:szCs w:val="32"/>
        </w:rPr>
      </w:pPr>
      <w:r>
        <w:rPr>
          <w:rFonts w:hint="eastAsia" w:ascii="黑体" w:hAnsi="黑体" w:eastAsia="黑体" w:cs="Times New Roman"/>
          <w:color w:val="auto"/>
          <w:sz w:val="32"/>
          <w:szCs w:val="32"/>
        </w:rPr>
        <w:t>六、强化企业安全生产资质条件核查</w:t>
      </w:r>
    </w:p>
    <w:p>
      <w:pPr>
        <w:widowControl w:val="0"/>
        <w:spacing w:line="560" w:lineRule="exact"/>
        <w:ind w:firstLine="640" w:firstLineChars="200"/>
        <w:jc w:val="both"/>
        <w:rPr>
          <w:rFonts w:hint="eastAsia" w:ascii="FangSong_GB2312" w:hAnsi="FangSong_GB2312" w:eastAsia="FangSong_GB2312" w:cs="Times New Roman"/>
          <w:color w:val="auto"/>
          <w:sz w:val="32"/>
          <w:szCs w:val="32"/>
        </w:rPr>
      </w:pPr>
      <w:r>
        <w:rPr>
          <w:rFonts w:hint="eastAsia" w:ascii="仿宋_GB2312" w:hAnsi="仿宋_GB2312" w:eastAsia="仿宋_GB2312" w:cs="Times New Roman"/>
          <w:color w:val="auto"/>
          <w:sz w:val="32"/>
          <w:szCs w:val="32"/>
        </w:rPr>
        <w:t>施工单位的安全生产条件及资质动态核查由市、区建设行政</w:t>
      </w:r>
      <w:r>
        <w:rPr>
          <w:rFonts w:hint="eastAsia" w:ascii="FangSong_GB2312" w:hAnsi="FangSong_GB2312" w:eastAsia="FangSong_GB2312" w:cs="Times New Roman"/>
          <w:color w:val="auto"/>
          <w:sz w:val="32"/>
          <w:szCs w:val="32"/>
        </w:rPr>
        <w:t>主管部门或市、区工程质量安全监督机构组织实施。外地企业的安全生产条件或相关资质经核查不符合法律要求的，由市、区建设行政主管部门移送发证机关依法处理。</w:t>
      </w:r>
    </w:p>
    <w:p>
      <w:pPr>
        <w:keepNext w:val="0"/>
        <w:widowControl w:val="0"/>
        <w:spacing w:line="560" w:lineRule="exact"/>
        <w:ind w:firstLine="640" w:firstLineChars="200"/>
        <w:jc w:val="both"/>
        <w:outlineLvl w:val="0"/>
        <w:rPr>
          <w:rFonts w:hint="eastAsia" w:ascii="黑体" w:hAnsi="黑体" w:eastAsia="黑体" w:cs="Times New Roman"/>
          <w:color w:val="auto"/>
          <w:sz w:val="32"/>
          <w:szCs w:val="32"/>
        </w:rPr>
      </w:pPr>
      <w:r>
        <w:rPr>
          <w:rFonts w:hint="eastAsia" w:ascii="黑体" w:hAnsi="黑体" w:eastAsia="黑体" w:cs="Times New Roman"/>
          <w:color w:val="auto"/>
          <w:sz w:val="32"/>
          <w:szCs w:val="32"/>
        </w:rPr>
        <w:t>七、建立政府工程安全生产事故违约金制度</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工程安全生产事故违约金的标准结合合同金额和事故等级进行确定，原则上不得低于100万元/人，并由当事人双方在合同中约定。在建项目原施工合同未对生产安全事故违约金进行约定的，在双方协商一致的情况下可以签订补充协议进行约定。</w:t>
      </w:r>
    </w:p>
    <w:p>
      <w:pPr>
        <w:keepNext w:val="0"/>
        <w:widowControl w:val="0"/>
        <w:spacing w:line="560" w:lineRule="exact"/>
        <w:ind w:firstLine="640" w:firstLineChars="200"/>
        <w:jc w:val="both"/>
        <w:outlineLvl w:val="0"/>
        <w:rPr>
          <w:rFonts w:hint="eastAsia" w:ascii="黑体" w:hAnsi="黑体" w:eastAsia="黑体" w:cs="Times New Roman"/>
          <w:color w:val="auto"/>
          <w:sz w:val="32"/>
          <w:szCs w:val="32"/>
        </w:rPr>
      </w:pPr>
      <w:r>
        <w:rPr>
          <w:rFonts w:hint="eastAsia" w:ascii="黑体" w:hAnsi="黑体" w:eastAsia="黑体" w:cs="Times New Roman"/>
          <w:color w:val="auto"/>
          <w:sz w:val="32"/>
          <w:szCs w:val="32"/>
        </w:rPr>
        <w:t>八、加大生产安全事故问责力度</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对相关执法人员在涉事工地的履职情况考核工作由市、区建设行政主管部门实施，市、区工程质量安全监督机构应当全力配合，提供有关管理制度以及监督执法记录文书。考核工作应当遵循“尽职照单免责，失职照单追责”的原则。</w:t>
      </w:r>
    </w:p>
    <w:p>
      <w:pPr>
        <w:keepNext w:val="0"/>
        <w:widowControl w:val="0"/>
        <w:spacing w:line="560" w:lineRule="exact"/>
        <w:ind w:firstLine="640" w:firstLineChars="200"/>
        <w:jc w:val="both"/>
        <w:outlineLvl w:val="0"/>
        <w:rPr>
          <w:rFonts w:hint="eastAsia" w:ascii="黑体" w:hAnsi="黑体" w:eastAsia="黑体" w:cs="Times New Roman"/>
          <w:color w:val="auto"/>
          <w:sz w:val="32"/>
          <w:szCs w:val="32"/>
        </w:rPr>
      </w:pPr>
      <w:r>
        <w:rPr>
          <w:rFonts w:hint="eastAsia" w:ascii="黑体" w:hAnsi="黑体" w:eastAsia="黑体" w:cs="Times New Roman"/>
          <w:color w:val="auto"/>
          <w:sz w:val="32"/>
          <w:szCs w:val="32"/>
        </w:rPr>
        <w:t>九、相关术语</w:t>
      </w:r>
    </w:p>
    <w:p>
      <w:pPr>
        <w:widowControl w:val="0"/>
        <w:spacing w:line="560" w:lineRule="exact"/>
        <w:ind w:firstLine="640" w:firstLineChars="200"/>
        <w:jc w:val="both"/>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（一）《若干措施》所称的重大安全隐患是指，作业现场、设施设备存在不安全因素</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rPr>
        <w:t>或现场作业人员的操作行为不规范，或存在管理缺陷，可能导致较大及以上级别的生产安全事故、造成重大经济损失或恶劣社会影响的安全隐患。</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（二）《若干措施》中所称的涉事施工单位一般包括与安全事故相关的施工总承包企业、专业承包企业、劳务分包企业。</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（三）除特别注明外，《若干措施》中所称的天数均为自然日。</w:t>
      </w:r>
    </w:p>
    <w:p>
      <w:pPr>
        <w:keepNext w:val="0"/>
        <w:widowControl w:val="0"/>
        <w:spacing w:line="560" w:lineRule="exact"/>
        <w:ind w:firstLine="640" w:firstLineChars="200"/>
        <w:jc w:val="both"/>
        <w:outlineLvl w:val="0"/>
        <w:rPr>
          <w:rFonts w:hint="eastAsia" w:ascii="黑体" w:hAnsi="黑体" w:eastAsia="黑体" w:cs="Times New Roman"/>
          <w:color w:val="auto"/>
          <w:sz w:val="32"/>
          <w:szCs w:val="32"/>
        </w:rPr>
      </w:pPr>
      <w:r>
        <w:rPr>
          <w:rFonts w:hint="eastAsia" w:ascii="黑体" w:hAnsi="黑体" w:eastAsia="黑体" w:cs="Times New Roman"/>
          <w:color w:val="auto"/>
          <w:sz w:val="32"/>
          <w:szCs w:val="32"/>
        </w:rPr>
        <w:t>十、生效时间</w:t>
      </w:r>
    </w:p>
    <w:p>
      <w:pPr>
        <w:widowControl w:val="0"/>
        <w:spacing w:line="560" w:lineRule="exact"/>
        <w:ind w:firstLine="640" w:firstLineChars="200"/>
        <w:jc w:val="both"/>
        <w:rPr>
          <w:rFonts w:hint="eastAsia" w:ascii="仿宋_GB2312" w:hAnsi="仿宋_GB2312" w:eastAsia="仿宋_GB2312" w:cs="Times New Roman"/>
          <w:color w:val="auto"/>
          <w:sz w:val="32"/>
          <w:szCs w:val="32"/>
        </w:rPr>
      </w:pPr>
      <w:r>
        <w:rPr>
          <w:rFonts w:hint="eastAsia" w:ascii="仿宋_GB2312" w:hAnsi="仿宋_GB2312" w:eastAsia="仿宋_GB2312" w:cs="Times New Roman"/>
          <w:color w:val="auto"/>
          <w:sz w:val="32"/>
          <w:szCs w:val="32"/>
        </w:rPr>
        <w:t>本细则自</w:t>
      </w:r>
      <w:r>
        <w:rPr>
          <w:rFonts w:hint="eastAsia" w:ascii="仿宋_GB2312" w:hAnsi="仿宋_GB2312" w:eastAsia="仿宋_GB2312" w:cs="Times New Roman"/>
          <w:color w:val="auto"/>
          <w:sz w:val="32"/>
          <w:szCs w:val="32"/>
          <w:lang w:val="en-US" w:eastAsia="zh-CN"/>
        </w:rPr>
        <w:t>2019</w:t>
      </w:r>
      <w:r>
        <w:rPr>
          <w:rFonts w:hint="eastAsia" w:ascii="仿宋_GB2312" w:hAnsi="仿宋_GB2312" w:eastAsia="仿宋_GB2312" w:cs="Times New Roman"/>
          <w:color w:val="auto"/>
          <w:sz w:val="32"/>
          <w:szCs w:val="32"/>
        </w:rPr>
        <w:t>年</w:t>
      </w:r>
      <w:r>
        <w:rPr>
          <w:rFonts w:hint="eastAsia" w:ascii="仿宋_GB2312" w:hAnsi="仿宋_GB2312" w:eastAsia="仿宋_GB2312" w:cs="Times New Roman"/>
          <w:color w:val="auto"/>
          <w:sz w:val="32"/>
          <w:szCs w:val="32"/>
          <w:lang w:val="en-US" w:eastAsia="zh-CN"/>
        </w:rPr>
        <w:t>4</w:t>
      </w:r>
      <w:r>
        <w:rPr>
          <w:rFonts w:hint="eastAsia" w:ascii="仿宋_GB2312" w:hAnsi="仿宋_GB2312" w:eastAsia="仿宋_GB2312" w:cs="Times New Roman"/>
          <w:color w:val="auto"/>
          <w:sz w:val="32"/>
          <w:szCs w:val="32"/>
        </w:rPr>
        <w:t>月</w:t>
      </w:r>
      <w:r>
        <w:rPr>
          <w:rFonts w:hint="eastAsia" w:ascii="仿宋_GB2312" w:hAnsi="仿宋_GB2312" w:eastAsia="仿宋_GB2312" w:cs="Times New Roman"/>
          <w:color w:val="auto"/>
          <w:sz w:val="32"/>
          <w:szCs w:val="32"/>
          <w:lang w:val="en-US" w:eastAsia="zh-CN"/>
        </w:rPr>
        <w:t>1</w:t>
      </w:r>
      <w:r>
        <w:rPr>
          <w:rFonts w:hint="eastAsia" w:ascii="仿宋_GB2312" w:hAnsi="仿宋_GB2312" w:eastAsia="仿宋_GB2312" w:cs="Times New Roman"/>
          <w:color w:val="auto"/>
          <w:sz w:val="32"/>
          <w:szCs w:val="32"/>
        </w:rPr>
        <w:t>日起实施，有效期</w:t>
      </w:r>
      <w:r>
        <w:rPr>
          <w:rFonts w:hint="eastAsia" w:ascii="仿宋_GB2312" w:hAnsi="仿宋_GB2312" w:eastAsia="仿宋_GB2312" w:cs="Times New Roman"/>
          <w:color w:val="auto"/>
          <w:sz w:val="32"/>
          <w:szCs w:val="32"/>
          <w:lang w:eastAsia="zh-CN"/>
        </w:rPr>
        <w:t>与</w:t>
      </w:r>
      <w:r>
        <w:rPr>
          <w:rFonts w:hint="eastAsia" w:ascii="仿宋_GB2312" w:hAnsi="仿宋_GB2312" w:eastAsia="仿宋_GB2312" w:cs="Times New Roman"/>
          <w:color w:val="auto"/>
          <w:sz w:val="32"/>
          <w:szCs w:val="32"/>
        </w:rPr>
        <w:t>《若干措施》相同。</w:t>
      </w:r>
    </w:p>
    <w:p>
      <w:pPr>
        <w:ind w:firstLine="0"/>
        <w:rPr>
          <w:rFonts w:hint="eastAsia" w:ascii="Calibri" w:hAnsi="Calibri" w:eastAsia="宋体" w:cs="黑体"/>
          <w:color w:val="auto"/>
          <w:szCs w:val="24"/>
        </w:rPr>
      </w:pPr>
      <w:bookmarkStart w:id="0" w:name="_GoBack"/>
      <w:bookmarkEnd w:id="0"/>
    </w:p>
    <w:p>
      <w:pPr>
        <w:ind w:firstLine="0"/>
        <w:rPr>
          <w:rFonts w:ascii="黑体" w:hAnsi="黑体" w:eastAsia="黑体" w:cs="黑体"/>
          <w:color w:val="auto"/>
          <w:sz w:val="32"/>
          <w:szCs w:val="32"/>
          <w:shd w:val="clear" w:color="auto" w:fill="FFFFFF"/>
        </w:rPr>
      </w:pPr>
      <w:r>
        <w:rPr>
          <w:rFonts w:hint="eastAsia" w:ascii="Calibri" w:hAnsi="Calibri" w:eastAsia="宋体" w:cs="黑体"/>
          <w:color w:val="auto"/>
          <w:szCs w:val="24"/>
        </w:rPr>
        <w:br w:type="page"/>
      </w:r>
      <w:r>
        <w:rPr>
          <w:rFonts w:hint="eastAsia" w:ascii="黑体" w:hAnsi="黑体" w:eastAsia="黑体" w:cs="黑体"/>
          <w:color w:val="auto"/>
          <w:sz w:val="32"/>
          <w:szCs w:val="32"/>
          <w:shd w:val="clear" w:color="auto" w:fill="FFFFFF"/>
        </w:rPr>
        <w:t>附表：</w:t>
      </w:r>
    </w:p>
    <w:p>
      <w:pPr>
        <w:jc w:val="center"/>
        <w:rPr>
          <w:rFonts w:ascii="Calibri" w:hAnsi="Calibri" w:eastAsia="宋体" w:cs="黑体"/>
          <w:b/>
          <w:bCs/>
          <w:color w:val="auto"/>
          <w:sz w:val="36"/>
          <w:szCs w:val="36"/>
        </w:rPr>
      </w:pPr>
      <w:r>
        <w:rPr>
          <w:rFonts w:hint="eastAsia" w:ascii="Calibri" w:hAnsi="Calibri" w:eastAsia="宋体" w:cs="黑体"/>
          <w:b/>
          <w:bCs/>
          <w:color w:val="auto"/>
          <w:sz w:val="36"/>
          <w:szCs w:val="36"/>
        </w:rPr>
        <w:t>黄色警示情形一览表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6521"/>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top"/>
          </w:tcPr>
          <w:p>
            <w:pPr>
              <w:jc w:val="center"/>
              <w:rPr>
                <w:rFonts w:hint="eastAsia" w:ascii="黑体" w:hAnsi="黑体" w:eastAsia="黑体" w:cs="黑体"/>
                <w:color w:val="auto"/>
                <w:sz w:val="28"/>
                <w:szCs w:val="28"/>
              </w:rPr>
            </w:pPr>
            <w:r>
              <w:rPr>
                <w:rFonts w:hint="eastAsia" w:ascii="黑体" w:hAnsi="黑体" w:eastAsia="黑体" w:cs="黑体"/>
                <w:color w:val="auto"/>
                <w:sz w:val="28"/>
                <w:szCs w:val="28"/>
              </w:rPr>
              <w:t>序号</w:t>
            </w:r>
          </w:p>
        </w:tc>
        <w:tc>
          <w:tcPr>
            <w:tcW w:w="6521" w:type="dxa"/>
            <w:noWrap w:val="0"/>
            <w:vAlign w:val="top"/>
          </w:tcPr>
          <w:p>
            <w:pPr>
              <w:jc w:val="center"/>
              <w:rPr>
                <w:rFonts w:hint="eastAsia" w:ascii="黑体" w:hAnsi="黑体" w:eastAsia="黑体" w:cs="黑体"/>
                <w:color w:val="auto"/>
                <w:sz w:val="28"/>
                <w:szCs w:val="28"/>
              </w:rPr>
            </w:pPr>
            <w:r>
              <w:rPr>
                <w:rFonts w:hint="eastAsia" w:ascii="黑体" w:hAnsi="黑体" w:eastAsia="黑体" w:cs="黑体"/>
                <w:color w:val="auto"/>
                <w:sz w:val="28"/>
                <w:szCs w:val="28"/>
              </w:rPr>
              <w:t>违法违规行为</w:t>
            </w:r>
          </w:p>
        </w:tc>
        <w:tc>
          <w:tcPr>
            <w:tcW w:w="1184" w:type="dxa"/>
            <w:noWrap w:val="0"/>
            <w:vAlign w:val="top"/>
          </w:tcPr>
          <w:p>
            <w:pPr>
              <w:jc w:val="center"/>
              <w:rPr>
                <w:rFonts w:hint="eastAsia" w:ascii="黑体" w:hAnsi="黑体" w:eastAsia="黑体" w:cs="黑体"/>
                <w:color w:val="auto"/>
                <w:sz w:val="28"/>
                <w:szCs w:val="28"/>
              </w:rPr>
            </w:pPr>
            <w:r>
              <w:rPr>
                <w:rFonts w:hint="eastAsia" w:ascii="黑体" w:hAnsi="黑体" w:eastAsia="黑体" w:cs="黑体"/>
                <w:color w:val="auto"/>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2" w:type="dxa"/>
            <w:gridSpan w:val="3"/>
            <w:noWrap w:val="0"/>
            <w:vAlign w:val="top"/>
          </w:tcPr>
          <w:p>
            <w:pPr>
              <w:rPr>
                <w:rFonts w:ascii="Calibri" w:hAnsi="Calibri" w:eastAsia="宋体" w:cs="黑体"/>
                <w:color w:val="auto"/>
                <w:sz w:val="28"/>
                <w:szCs w:val="28"/>
              </w:rPr>
            </w:pPr>
            <w:r>
              <w:rPr>
                <w:rFonts w:hint="eastAsia" w:ascii="Calibri" w:hAnsi="Calibri" w:eastAsia="宋体" w:cs="黑体"/>
                <w:b/>
                <w:bCs/>
                <w:color w:val="auto"/>
                <w:sz w:val="28"/>
                <w:szCs w:val="28"/>
              </w:rPr>
              <w:t>一、建设单位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ascii="仿宋_GB2312" w:hAnsi="Calibri" w:eastAsia="仿宋_GB2312" w:cs="黑体"/>
                <w:color w:val="auto"/>
                <w:szCs w:val="24"/>
              </w:rPr>
            </w:pPr>
            <w:r>
              <w:rPr>
                <w:rFonts w:hint="eastAsia" w:ascii="仿宋_GB2312" w:hAnsi="Calibri" w:eastAsia="仿宋_GB2312" w:cs="黑体"/>
                <w:color w:val="auto"/>
                <w:szCs w:val="24"/>
              </w:rPr>
              <w:t>1</w:t>
            </w:r>
          </w:p>
        </w:tc>
        <w:tc>
          <w:tcPr>
            <w:tcW w:w="6521" w:type="dxa"/>
            <w:noWrap w:val="0"/>
            <w:vAlign w:val="center"/>
          </w:tcPr>
          <w:p>
            <w:pPr>
              <w:rPr>
                <w:rFonts w:ascii="仿宋_GB2312" w:hAnsi="Calibri" w:eastAsia="仿宋_GB2312" w:cs="黑体"/>
                <w:color w:val="auto"/>
                <w:szCs w:val="24"/>
              </w:rPr>
            </w:pPr>
            <w:r>
              <w:rPr>
                <w:rFonts w:hint="eastAsia" w:ascii="仿宋_GB2312" w:hAnsi="Calibri" w:eastAsia="仿宋_GB2312" w:cs="黑体"/>
                <w:color w:val="auto"/>
                <w:szCs w:val="24"/>
              </w:rPr>
              <w:t>未取得施工许可擅自施工或超越施工许可规定范围施工的</w:t>
            </w:r>
          </w:p>
        </w:tc>
        <w:tc>
          <w:tcPr>
            <w:tcW w:w="1184" w:type="dxa"/>
            <w:vMerge w:val="restart"/>
            <w:noWrap w:val="0"/>
            <w:vAlign w:val="center"/>
          </w:tcPr>
          <w:p>
            <w:pPr>
              <w:jc w:val="center"/>
              <w:rPr>
                <w:rFonts w:ascii="仿宋_GB2312" w:hAnsi="Calibri" w:eastAsia="仿宋_GB2312" w:cs="黑体"/>
                <w:color w:val="auto"/>
                <w:szCs w:val="24"/>
              </w:rPr>
            </w:pPr>
            <w:r>
              <w:rPr>
                <w:rFonts w:ascii="仿宋_GB2312" w:hAnsi="Calibri" w:eastAsia="仿宋_GB2312" w:cs="黑体"/>
                <w:color w:val="auto"/>
                <w:szCs w:val="24"/>
              </w:rPr>
              <w:t>施工许可及资质管理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ascii="仿宋_GB2312" w:hAnsi="Calibri" w:eastAsia="仿宋_GB2312" w:cs="黑体"/>
                <w:color w:val="auto"/>
                <w:szCs w:val="24"/>
              </w:rPr>
            </w:pPr>
            <w:r>
              <w:rPr>
                <w:rFonts w:hint="eastAsia" w:ascii="仿宋_GB2312" w:hAnsi="Calibri" w:eastAsia="仿宋_GB2312" w:cs="黑体"/>
                <w:color w:val="auto"/>
                <w:szCs w:val="24"/>
              </w:rPr>
              <w:t>2</w:t>
            </w:r>
          </w:p>
        </w:tc>
        <w:tc>
          <w:tcPr>
            <w:tcW w:w="6521" w:type="dxa"/>
            <w:noWrap w:val="0"/>
            <w:vAlign w:val="center"/>
          </w:tcPr>
          <w:p>
            <w:pPr>
              <w:rPr>
                <w:rFonts w:ascii="仿宋_GB2312" w:hAnsi="Calibri" w:eastAsia="仿宋_GB2312" w:cs="黑体"/>
                <w:color w:val="auto"/>
                <w:szCs w:val="24"/>
              </w:rPr>
            </w:pPr>
            <w:r>
              <w:rPr>
                <w:rFonts w:hint="eastAsia" w:ascii="仿宋_GB2312" w:hAnsi="Calibri" w:eastAsia="仿宋_GB2312" w:cs="黑体"/>
                <w:color w:val="auto"/>
                <w:szCs w:val="24"/>
              </w:rPr>
              <w:t>将工程发包给无相应施工资质或安全生产许可证的建筑业企业的</w:t>
            </w:r>
          </w:p>
        </w:tc>
        <w:tc>
          <w:tcPr>
            <w:tcW w:w="1184" w:type="dxa"/>
            <w:vMerge w:val="continue"/>
            <w:noWrap w:val="0"/>
            <w:vAlign w:val="top"/>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3</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施工图设计文件或重大设计变更未按规定组织第三方审图的</w:t>
            </w:r>
          </w:p>
        </w:tc>
        <w:tc>
          <w:tcPr>
            <w:tcW w:w="1184" w:type="dxa"/>
            <w:vMerge w:val="restart"/>
            <w:noWrap w:val="0"/>
            <w:vAlign w:val="center"/>
          </w:tcPr>
          <w:p>
            <w:pPr>
              <w:jc w:val="center"/>
              <w:rPr>
                <w:rFonts w:ascii="仿宋_GB2312" w:hAnsi="Calibri" w:eastAsia="仿宋_GB2312" w:cs="黑体"/>
                <w:color w:val="auto"/>
                <w:szCs w:val="24"/>
              </w:rPr>
            </w:pPr>
            <w:r>
              <w:rPr>
                <w:rFonts w:ascii="仿宋_GB2312" w:hAnsi="Calibri" w:eastAsia="仿宋_GB2312" w:cs="黑体"/>
                <w:color w:val="auto"/>
                <w:szCs w:val="24"/>
              </w:rPr>
              <w:t>安全行为管理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4</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未按规定落实“三层三级”安全检查，或“三层三级”安全检查资料弄虚作假的</w:t>
            </w:r>
          </w:p>
        </w:tc>
        <w:tc>
          <w:tcPr>
            <w:tcW w:w="1184" w:type="dxa"/>
            <w:vMerge w:val="continue"/>
            <w:noWrap w:val="0"/>
            <w:vAlign w:val="top"/>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ascii="仿宋_GB2312" w:hAnsi="Calibri" w:eastAsia="仿宋_GB2312" w:cs="黑体"/>
                <w:color w:val="auto"/>
                <w:szCs w:val="24"/>
              </w:rPr>
            </w:pPr>
            <w:r>
              <w:rPr>
                <w:rFonts w:hint="eastAsia" w:ascii="仿宋_GB2312" w:hAnsi="Calibri" w:eastAsia="仿宋_GB2312" w:cs="黑体"/>
                <w:color w:val="auto"/>
                <w:szCs w:val="24"/>
              </w:rPr>
              <w:t>5</w:t>
            </w:r>
          </w:p>
        </w:tc>
        <w:tc>
          <w:tcPr>
            <w:tcW w:w="6521" w:type="dxa"/>
            <w:noWrap w:val="0"/>
            <w:vAlign w:val="center"/>
          </w:tcPr>
          <w:p>
            <w:pPr>
              <w:rPr>
                <w:rFonts w:ascii="仿宋_GB2312" w:hAnsi="Calibri" w:eastAsia="仿宋_GB2312" w:cs="黑体"/>
                <w:color w:val="auto"/>
                <w:szCs w:val="24"/>
              </w:rPr>
            </w:pPr>
            <w:r>
              <w:rPr>
                <w:rFonts w:hint="eastAsia" w:ascii="仿宋_GB2312" w:hAnsi="Calibri" w:eastAsia="仿宋_GB2312" w:cs="黑体"/>
                <w:color w:val="auto"/>
                <w:szCs w:val="24"/>
              </w:rPr>
              <w:t>未按照施工合同约定及时支付危大工程施工技术措施费或者相应的安全防护文明施工措施费的</w:t>
            </w:r>
          </w:p>
        </w:tc>
        <w:tc>
          <w:tcPr>
            <w:tcW w:w="1184" w:type="dxa"/>
            <w:vMerge w:val="continue"/>
            <w:noWrap w:val="0"/>
            <w:vAlign w:val="top"/>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6</w:t>
            </w:r>
          </w:p>
        </w:tc>
        <w:tc>
          <w:tcPr>
            <w:tcW w:w="6521" w:type="dxa"/>
            <w:noWrap w:val="0"/>
            <w:vAlign w:val="center"/>
          </w:tcPr>
          <w:p>
            <w:pPr>
              <w:rPr>
                <w:rFonts w:hint="eastAsia" w:ascii="仿宋_GB2312" w:hAnsi="Calibri" w:eastAsia="仿宋_GB2312" w:cs="黑体"/>
                <w:color w:val="auto"/>
                <w:szCs w:val="24"/>
              </w:rPr>
            </w:pPr>
            <w:r>
              <w:rPr>
                <w:rFonts w:ascii="仿宋_GB2312" w:hAnsi="Calibri" w:eastAsia="仿宋_GB2312" w:cs="黑体"/>
                <w:color w:val="auto"/>
                <w:szCs w:val="24"/>
              </w:rPr>
              <w:t>在燃气管道安全保护或者控制范围内从事活动</w:t>
            </w:r>
            <w:r>
              <w:rPr>
                <w:rFonts w:hint="eastAsia" w:ascii="仿宋_GB2312" w:hAnsi="Calibri" w:eastAsia="仿宋_GB2312" w:cs="黑体"/>
                <w:color w:val="auto"/>
                <w:szCs w:val="24"/>
              </w:rPr>
              <w:t>未与管道燃气企业签订安全保护协议擅自施工的，或在地铁安全保护区从事施工活动，未与地铁运营单位签订安全文明施工协议的</w:t>
            </w:r>
          </w:p>
        </w:tc>
        <w:tc>
          <w:tcPr>
            <w:tcW w:w="1184" w:type="dxa"/>
            <w:vMerge w:val="continue"/>
            <w:noWrap w:val="0"/>
            <w:vAlign w:val="top"/>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7</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未根据专家评审意见对基坑、暗挖工程设计方案进行完善的</w:t>
            </w:r>
          </w:p>
        </w:tc>
        <w:tc>
          <w:tcPr>
            <w:tcW w:w="1184" w:type="dxa"/>
            <w:vMerge w:val="restart"/>
            <w:noWrap w:val="0"/>
            <w:vAlign w:val="center"/>
          </w:tcPr>
          <w:p>
            <w:pPr>
              <w:jc w:val="center"/>
              <w:rPr>
                <w:rFonts w:ascii="仿宋_GB2312" w:hAnsi="Calibri" w:eastAsia="仿宋_GB2312" w:cs="黑体"/>
                <w:color w:val="auto"/>
                <w:szCs w:val="24"/>
              </w:rPr>
            </w:pPr>
            <w:r>
              <w:rPr>
                <w:rFonts w:ascii="仿宋_GB2312" w:hAnsi="Calibri" w:eastAsia="仿宋_GB2312" w:cs="黑体"/>
                <w:color w:val="auto"/>
                <w:szCs w:val="24"/>
              </w:rPr>
              <w:t>危大工程管理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ascii="仿宋_GB2312" w:hAnsi="Calibri" w:eastAsia="仿宋_GB2312" w:cs="黑体"/>
                <w:color w:val="auto"/>
                <w:szCs w:val="24"/>
              </w:rPr>
            </w:pPr>
            <w:r>
              <w:rPr>
                <w:rFonts w:hint="eastAsia" w:ascii="仿宋_GB2312" w:hAnsi="Calibri" w:eastAsia="仿宋_GB2312" w:cs="黑体"/>
                <w:color w:val="auto"/>
                <w:szCs w:val="24"/>
              </w:rPr>
              <w:t>8</w:t>
            </w:r>
          </w:p>
        </w:tc>
        <w:tc>
          <w:tcPr>
            <w:tcW w:w="6521" w:type="dxa"/>
            <w:noWrap w:val="0"/>
            <w:vAlign w:val="center"/>
          </w:tcPr>
          <w:p>
            <w:pPr>
              <w:rPr>
                <w:rFonts w:ascii="仿宋_GB2312" w:hAnsi="Calibri" w:eastAsia="仿宋_GB2312" w:cs="黑体"/>
                <w:color w:val="auto"/>
                <w:szCs w:val="24"/>
              </w:rPr>
            </w:pPr>
            <w:r>
              <w:rPr>
                <w:rFonts w:hint="eastAsia" w:ascii="仿宋_GB2312" w:hAnsi="Calibri" w:eastAsia="仿宋_GB2312" w:cs="黑体"/>
                <w:color w:val="auto"/>
                <w:szCs w:val="24"/>
              </w:rPr>
              <w:t>危大工程未按规定委托具有相应勘察资质的单位进行第三方监测，或未对第三方监测单位报告的异常情况组织采取处置措施的</w:t>
            </w:r>
          </w:p>
        </w:tc>
        <w:tc>
          <w:tcPr>
            <w:tcW w:w="1184" w:type="dxa"/>
            <w:vMerge w:val="continue"/>
            <w:noWrap w:val="0"/>
            <w:vAlign w:val="top"/>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2" w:type="dxa"/>
            <w:gridSpan w:val="3"/>
            <w:noWrap w:val="0"/>
            <w:vAlign w:val="top"/>
          </w:tcPr>
          <w:p>
            <w:pPr>
              <w:rPr>
                <w:rFonts w:ascii="Calibri" w:hAnsi="Calibri" w:eastAsia="宋体" w:cs="黑体"/>
                <w:color w:val="auto"/>
                <w:sz w:val="28"/>
                <w:szCs w:val="28"/>
              </w:rPr>
            </w:pPr>
            <w:r>
              <w:rPr>
                <w:rFonts w:hint="eastAsia" w:ascii="Calibri" w:hAnsi="Calibri" w:eastAsia="宋体" w:cs="黑体"/>
                <w:b/>
                <w:bCs/>
                <w:color w:val="auto"/>
                <w:sz w:val="28"/>
                <w:szCs w:val="28"/>
              </w:rPr>
              <w:t>二、施工单位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1</w:t>
            </w:r>
          </w:p>
        </w:tc>
        <w:tc>
          <w:tcPr>
            <w:tcW w:w="6521" w:type="dxa"/>
            <w:noWrap w:val="0"/>
            <w:vAlign w:val="center"/>
          </w:tcPr>
          <w:p>
            <w:pPr>
              <w:jc w:val="both"/>
              <w:rPr>
                <w:rFonts w:hint="eastAsia" w:ascii="仿宋_GB2312" w:hAnsi="Calibri" w:eastAsia="仿宋_GB2312" w:cs="黑体"/>
                <w:color w:val="auto"/>
                <w:szCs w:val="24"/>
              </w:rPr>
            </w:pPr>
            <w:r>
              <w:rPr>
                <w:rFonts w:hint="eastAsia" w:ascii="仿宋_GB2312" w:hAnsi="Calibri" w:eastAsia="仿宋_GB2312" w:cs="黑体"/>
                <w:color w:val="auto"/>
                <w:szCs w:val="24"/>
              </w:rPr>
              <w:t>项目经理不在岗履职或特殊天气条件下（台风白色、暴雨黄色及以上预警期间）项目经理未在岗值守的</w:t>
            </w:r>
          </w:p>
        </w:tc>
        <w:tc>
          <w:tcPr>
            <w:tcW w:w="1184" w:type="dxa"/>
            <w:vMerge w:val="restart"/>
            <w:noWrap w:val="0"/>
            <w:vAlign w:val="center"/>
          </w:tcPr>
          <w:p>
            <w:pPr>
              <w:jc w:val="center"/>
              <w:rPr>
                <w:rFonts w:ascii="仿宋_GB2312" w:hAnsi="Calibri" w:eastAsia="仿宋_GB2312" w:cs="黑体"/>
                <w:color w:val="auto"/>
                <w:szCs w:val="24"/>
              </w:rPr>
            </w:pPr>
            <w:r>
              <w:rPr>
                <w:rFonts w:ascii="仿宋_GB2312" w:hAnsi="Calibri" w:eastAsia="仿宋_GB2312" w:cs="黑体"/>
                <w:color w:val="auto"/>
                <w:szCs w:val="24"/>
              </w:rPr>
              <w:t>人员在岗履职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2</w:t>
            </w:r>
          </w:p>
        </w:tc>
        <w:tc>
          <w:tcPr>
            <w:tcW w:w="6521" w:type="dxa"/>
            <w:noWrap w:val="0"/>
            <w:vAlign w:val="center"/>
          </w:tcPr>
          <w:p>
            <w:pPr>
              <w:jc w:val="both"/>
              <w:rPr>
                <w:rFonts w:hint="eastAsia" w:ascii="仿宋_GB2312" w:hAnsi="Calibri" w:eastAsia="仿宋_GB2312" w:cs="黑体"/>
                <w:color w:val="auto"/>
                <w:szCs w:val="24"/>
              </w:rPr>
            </w:pPr>
            <w:r>
              <w:rPr>
                <w:rFonts w:hint="eastAsia" w:ascii="仿宋_GB2312" w:hAnsi="Calibri" w:eastAsia="仿宋_GB2312" w:cs="黑体"/>
                <w:color w:val="auto"/>
                <w:szCs w:val="24"/>
              </w:rPr>
              <w:t>周末、节假日未落实施工单位主要项目管理人员（项目经理、生产经理）领导值班制度的</w:t>
            </w:r>
          </w:p>
        </w:tc>
        <w:tc>
          <w:tcPr>
            <w:tcW w:w="1184" w:type="dxa"/>
            <w:vMerge w:val="continue"/>
            <w:noWrap w:val="0"/>
            <w:vAlign w:val="top"/>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3</w:t>
            </w:r>
          </w:p>
        </w:tc>
        <w:tc>
          <w:tcPr>
            <w:tcW w:w="6521" w:type="dxa"/>
            <w:noWrap w:val="0"/>
            <w:vAlign w:val="center"/>
          </w:tcPr>
          <w:p>
            <w:pPr>
              <w:jc w:val="both"/>
              <w:rPr>
                <w:rFonts w:hint="eastAsia" w:ascii="仿宋_GB2312" w:hAnsi="Calibri" w:eastAsia="仿宋_GB2312" w:cs="黑体"/>
                <w:color w:val="auto"/>
                <w:szCs w:val="24"/>
              </w:rPr>
            </w:pPr>
            <w:r>
              <w:rPr>
                <w:rFonts w:hint="eastAsia" w:ascii="仿宋_GB2312" w:hAnsi="Calibri" w:eastAsia="仿宋_GB2312" w:cs="黑体"/>
                <w:color w:val="auto"/>
                <w:szCs w:val="24"/>
              </w:rPr>
              <w:t>专职安全生产管理人员配备不符合要求或不在岗履职的</w:t>
            </w:r>
          </w:p>
        </w:tc>
        <w:tc>
          <w:tcPr>
            <w:tcW w:w="1184" w:type="dxa"/>
            <w:vMerge w:val="continue"/>
            <w:noWrap w:val="0"/>
            <w:vAlign w:val="top"/>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4</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未按规定落实 “三层三级”安全检查，或“三层三级”安全检查资料弄虚作假的</w:t>
            </w:r>
          </w:p>
        </w:tc>
        <w:tc>
          <w:tcPr>
            <w:tcW w:w="1184" w:type="dxa"/>
            <w:vMerge w:val="restart"/>
            <w:noWrap w:val="0"/>
            <w:vAlign w:val="center"/>
          </w:tcPr>
          <w:p>
            <w:pPr>
              <w:jc w:val="center"/>
              <w:rPr>
                <w:rFonts w:ascii="仿宋_GB2312" w:hAnsi="Calibri" w:eastAsia="仿宋_GB2312" w:cs="黑体"/>
                <w:color w:val="auto"/>
                <w:szCs w:val="24"/>
              </w:rPr>
            </w:pPr>
            <w:r>
              <w:rPr>
                <w:rFonts w:ascii="仿宋_GB2312" w:hAnsi="Calibri" w:eastAsia="仿宋_GB2312" w:cs="黑体"/>
                <w:color w:val="auto"/>
                <w:szCs w:val="24"/>
              </w:rPr>
              <w:t>安全行为管理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5</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作业人员未接受三级安全教育或安全技术交底的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6</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特种作业人员未持有效证件上岗作业的，或未在“深圳市住房和建设局实名制和分账制管理平台”实名登记并学习考试合格即上岗作业的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7</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危大工程施工前未按规定编审、论证专项施工方案的，或未按经审批合格的专项施工方案组织施工的</w:t>
            </w:r>
          </w:p>
        </w:tc>
        <w:tc>
          <w:tcPr>
            <w:tcW w:w="1184" w:type="dxa"/>
            <w:vMerge w:val="restart"/>
            <w:noWrap w:val="0"/>
            <w:vAlign w:val="center"/>
          </w:tcPr>
          <w:p>
            <w:pPr>
              <w:jc w:val="center"/>
              <w:rPr>
                <w:rFonts w:ascii="仿宋_GB2312" w:hAnsi="Calibri" w:eastAsia="仿宋_GB2312" w:cs="黑体"/>
                <w:color w:val="auto"/>
                <w:szCs w:val="24"/>
              </w:rPr>
            </w:pPr>
            <w:r>
              <w:rPr>
                <w:rFonts w:ascii="仿宋_GB2312" w:hAnsi="Calibri" w:eastAsia="仿宋_GB2312" w:cs="黑体"/>
                <w:color w:val="auto"/>
                <w:szCs w:val="24"/>
              </w:rPr>
              <w:t>危大工程管理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8</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未根据专家论证报告对超过一定规模的危大工程专项施工方案进行修改，或者未按规定重新组织专家论证的</w:t>
            </w:r>
          </w:p>
        </w:tc>
        <w:tc>
          <w:tcPr>
            <w:tcW w:w="1184" w:type="dxa"/>
            <w:vMerge w:val="continue"/>
            <w:noWrap w:val="0"/>
            <w:vAlign w:val="top"/>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9</w:t>
            </w:r>
          </w:p>
        </w:tc>
        <w:tc>
          <w:tcPr>
            <w:tcW w:w="6521" w:type="dxa"/>
            <w:noWrap w:val="0"/>
            <w:vAlign w:val="center"/>
          </w:tcPr>
          <w:p>
            <w:pPr>
              <w:rPr>
                <w:rFonts w:hint="eastAsia" w:ascii="仿宋_GB2312" w:hAnsi="Calibri" w:eastAsia="仿宋_GB2312" w:cs="黑体"/>
                <w:color w:val="auto"/>
                <w:szCs w:val="24"/>
              </w:rPr>
            </w:pPr>
            <w:r>
              <w:rPr>
                <w:rFonts w:ascii="仿宋_GB2312" w:hAnsi="Calibri" w:eastAsia="仿宋_GB2312" w:cs="黑体"/>
                <w:color w:val="auto"/>
                <w:szCs w:val="24"/>
              </w:rPr>
              <w:t>专项施工方案因规划调整、设计变更等原因确需调整，</w:t>
            </w:r>
            <w:r>
              <w:rPr>
                <w:rFonts w:hint="eastAsia" w:ascii="仿宋_GB2312" w:hAnsi="Calibri" w:eastAsia="仿宋_GB2312" w:cs="黑体"/>
                <w:color w:val="auto"/>
                <w:szCs w:val="24"/>
              </w:rPr>
              <w:t>但</w:t>
            </w:r>
            <w:r>
              <w:rPr>
                <w:rFonts w:ascii="仿宋_GB2312" w:hAnsi="Calibri" w:eastAsia="仿宋_GB2312" w:cs="黑体"/>
                <w:color w:val="auto"/>
                <w:szCs w:val="24"/>
              </w:rPr>
              <w:t>修改后的专项施工方案</w:t>
            </w:r>
            <w:r>
              <w:rPr>
                <w:rFonts w:hint="eastAsia" w:ascii="仿宋_GB2312" w:hAnsi="Calibri" w:eastAsia="仿宋_GB2312" w:cs="黑体"/>
                <w:color w:val="auto"/>
                <w:szCs w:val="24"/>
              </w:rPr>
              <w:t>未</w:t>
            </w:r>
            <w:r>
              <w:rPr>
                <w:rFonts w:ascii="仿宋_GB2312" w:hAnsi="Calibri" w:eastAsia="仿宋_GB2312" w:cs="黑体"/>
                <w:color w:val="auto"/>
                <w:szCs w:val="24"/>
              </w:rPr>
              <w:t>按照规定重新审核</w:t>
            </w:r>
            <w:r>
              <w:rPr>
                <w:rFonts w:hint="eastAsia" w:ascii="仿宋_GB2312" w:hAnsi="Calibri" w:eastAsia="仿宋_GB2312" w:cs="黑体"/>
                <w:color w:val="auto"/>
                <w:szCs w:val="24"/>
              </w:rPr>
              <w:t>或</w:t>
            </w:r>
            <w:r>
              <w:rPr>
                <w:rFonts w:ascii="仿宋_GB2312" w:hAnsi="Calibri" w:eastAsia="仿宋_GB2312" w:cs="黑体"/>
                <w:color w:val="auto"/>
                <w:szCs w:val="24"/>
              </w:rPr>
              <w:t>论证</w:t>
            </w:r>
            <w:r>
              <w:rPr>
                <w:rFonts w:hint="eastAsia" w:ascii="仿宋_GB2312" w:hAnsi="Calibri" w:eastAsia="仿宋_GB2312" w:cs="黑体"/>
                <w:color w:val="auto"/>
                <w:szCs w:val="24"/>
              </w:rPr>
              <w:t>的</w:t>
            </w:r>
          </w:p>
        </w:tc>
        <w:tc>
          <w:tcPr>
            <w:tcW w:w="1184" w:type="dxa"/>
            <w:vMerge w:val="continue"/>
            <w:noWrap w:val="0"/>
            <w:vAlign w:val="top"/>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10</w:t>
            </w:r>
          </w:p>
        </w:tc>
        <w:tc>
          <w:tcPr>
            <w:tcW w:w="6521" w:type="dxa"/>
            <w:noWrap w:val="0"/>
            <w:vAlign w:val="center"/>
          </w:tcPr>
          <w:p>
            <w:pPr>
              <w:widowControl w:val="0"/>
              <w:rPr>
                <w:rFonts w:hint="eastAsia" w:ascii="仿宋_GB2312" w:hAnsi="Calibri" w:eastAsia="仿宋_GB2312" w:cs="黑体"/>
                <w:color w:val="auto"/>
                <w:szCs w:val="24"/>
              </w:rPr>
            </w:pPr>
            <w:r>
              <w:rPr>
                <w:rFonts w:hint="eastAsia" w:ascii="仿宋_GB2312" w:hAnsi="Calibri" w:eastAsia="仿宋_GB2312" w:cs="黑体"/>
                <w:color w:val="auto"/>
                <w:szCs w:val="24"/>
              </w:rPr>
              <w:t>未按规定组织危大工程监测、巡视或验收的</w:t>
            </w:r>
          </w:p>
        </w:tc>
        <w:tc>
          <w:tcPr>
            <w:tcW w:w="1184" w:type="dxa"/>
            <w:vMerge w:val="continue"/>
            <w:noWrap w:val="0"/>
            <w:vAlign w:val="top"/>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11</w:t>
            </w:r>
          </w:p>
        </w:tc>
        <w:tc>
          <w:tcPr>
            <w:tcW w:w="6521" w:type="dxa"/>
            <w:noWrap w:val="0"/>
            <w:vAlign w:val="center"/>
          </w:tcPr>
          <w:p>
            <w:pPr>
              <w:rPr>
                <w:rFonts w:ascii="仿宋_GB2312" w:hAnsi="Calibri" w:eastAsia="仿宋_GB2312" w:cs="黑体"/>
                <w:color w:val="auto"/>
                <w:szCs w:val="24"/>
              </w:rPr>
            </w:pPr>
            <w:r>
              <w:rPr>
                <w:rFonts w:hint="eastAsia" w:ascii="仿宋_GB2312" w:hAnsi="Calibri" w:eastAsia="仿宋_GB2312" w:cs="黑体"/>
                <w:color w:val="auto"/>
                <w:szCs w:val="24"/>
              </w:rPr>
              <w:t>基坑、暗挖工程未按经审查合格的施工图设计文件组织施工的</w:t>
            </w:r>
          </w:p>
        </w:tc>
        <w:tc>
          <w:tcPr>
            <w:tcW w:w="1184" w:type="dxa"/>
            <w:vMerge w:val="restart"/>
            <w:noWrap w:val="0"/>
            <w:vAlign w:val="center"/>
          </w:tcPr>
          <w:p>
            <w:pPr>
              <w:jc w:val="center"/>
              <w:rPr>
                <w:rFonts w:ascii="仿宋_GB2312" w:hAnsi="Calibri" w:eastAsia="仿宋_GB2312" w:cs="黑体"/>
                <w:color w:val="auto"/>
                <w:szCs w:val="24"/>
              </w:rPr>
            </w:pPr>
            <w:r>
              <w:rPr>
                <w:rFonts w:ascii="仿宋_GB2312" w:hAnsi="Calibri" w:eastAsia="仿宋_GB2312" w:cs="黑体"/>
                <w:color w:val="auto"/>
                <w:szCs w:val="24"/>
              </w:rPr>
              <w:t>基坑</w:t>
            </w:r>
            <w:r>
              <w:rPr>
                <w:rFonts w:hint="eastAsia" w:ascii="仿宋_GB2312" w:hAnsi="Calibri" w:eastAsia="仿宋_GB2312" w:cs="黑体"/>
                <w:color w:val="auto"/>
                <w:szCs w:val="24"/>
              </w:rPr>
              <w:t>、</w:t>
            </w:r>
            <w:r>
              <w:rPr>
                <w:rFonts w:ascii="仿宋_GB2312" w:hAnsi="Calibri" w:eastAsia="仿宋_GB2312" w:cs="黑体"/>
                <w:color w:val="auto"/>
                <w:szCs w:val="24"/>
              </w:rPr>
              <w:t>暗挖工程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12</w:t>
            </w:r>
          </w:p>
        </w:tc>
        <w:tc>
          <w:tcPr>
            <w:tcW w:w="6521" w:type="dxa"/>
            <w:noWrap w:val="0"/>
            <w:vAlign w:val="center"/>
          </w:tcPr>
          <w:p>
            <w:pPr>
              <w:rPr>
                <w:rFonts w:ascii="仿宋_GB2312" w:hAnsi="Calibri" w:eastAsia="仿宋_GB2312" w:cs="黑体"/>
                <w:color w:val="auto"/>
                <w:szCs w:val="24"/>
              </w:rPr>
            </w:pPr>
            <w:r>
              <w:rPr>
                <w:rFonts w:hint="eastAsia" w:ascii="仿宋_GB2312" w:hAnsi="Calibri" w:eastAsia="仿宋_GB2312" w:cs="黑体"/>
                <w:color w:val="auto"/>
                <w:szCs w:val="24"/>
              </w:rPr>
              <w:t>监测数据累计值或日增量超控制值，未及时采取有效处置措施并报告的</w:t>
            </w:r>
          </w:p>
        </w:tc>
        <w:tc>
          <w:tcPr>
            <w:tcW w:w="1184" w:type="dxa"/>
            <w:vMerge w:val="continue"/>
            <w:noWrap w:val="0"/>
            <w:vAlign w:val="top"/>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13</w:t>
            </w:r>
          </w:p>
        </w:tc>
        <w:tc>
          <w:tcPr>
            <w:tcW w:w="6521" w:type="dxa"/>
            <w:noWrap w:val="0"/>
            <w:vAlign w:val="center"/>
          </w:tcPr>
          <w:p>
            <w:pPr>
              <w:rPr>
                <w:rFonts w:ascii="仿宋_GB2312" w:hAnsi="Calibri" w:eastAsia="仿宋_GB2312" w:cs="黑体"/>
                <w:color w:val="auto"/>
                <w:szCs w:val="24"/>
              </w:rPr>
            </w:pPr>
            <w:r>
              <w:rPr>
                <w:rFonts w:hint="eastAsia" w:ascii="仿宋_GB2312" w:hAnsi="Calibri" w:eastAsia="仿宋_GB2312" w:cs="黑体"/>
                <w:color w:val="auto"/>
                <w:szCs w:val="24"/>
              </w:rPr>
              <w:t>盾构施工，建筑起重机械安拆、顶升（附着）等重要环节施工前未组织作业安全条件审核的</w:t>
            </w:r>
          </w:p>
        </w:tc>
        <w:tc>
          <w:tcPr>
            <w:tcW w:w="1184" w:type="dxa"/>
            <w:vMerge w:val="restart"/>
            <w:noWrap w:val="0"/>
            <w:vAlign w:val="center"/>
          </w:tcPr>
          <w:p>
            <w:pPr>
              <w:jc w:val="center"/>
              <w:rPr>
                <w:rFonts w:ascii="仿宋_GB2312" w:hAnsi="Calibri" w:eastAsia="仿宋_GB2312" w:cs="黑体"/>
                <w:color w:val="auto"/>
                <w:szCs w:val="24"/>
              </w:rPr>
            </w:pPr>
            <w:r>
              <w:rPr>
                <w:rFonts w:ascii="仿宋_GB2312" w:hAnsi="Calibri" w:eastAsia="仿宋_GB2312" w:cs="黑体"/>
                <w:color w:val="auto"/>
                <w:szCs w:val="24"/>
              </w:rPr>
              <w:t>盾构</w:t>
            </w:r>
            <w:r>
              <w:rPr>
                <w:rFonts w:hint="eastAsia" w:ascii="仿宋_GB2312" w:hAnsi="Calibri" w:eastAsia="仿宋_GB2312" w:cs="黑体"/>
                <w:color w:val="auto"/>
                <w:szCs w:val="24"/>
              </w:rPr>
              <w:t>、</w:t>
            </w:r>
            <w:r>
              <w:rPr>
                <w:rFonts w:ascii="仿宋_GB2312" w:hAnsi="Calibri" w:eastAsia="仿宋_GB2312" w:cs="黑体"/>
                <w:color w:val="auto"/>
                <w:szCs w:val="24"/>
              </w:rPr>
              <w:t>起重机械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14</w:t>
            </w:r>
          </w:p>
        </w:tc>
        <w:tc>
          <w:tcPr>
            <w:tcW w:w="6521" w:type="dxa"/>
            <w:noWrap w:val="0"/>
            <w:vAlign w:val="center"/>
          </w:tcPr>
          <w:p>
            <w:pPr>
              <w:jc w:val="both"/>
              <w:rPr>
                <w:rFonts w:hint="eastAsia" w:ascii="仿宋_GB2312" w:hAnsi="Calibri" w:eastAsia="仿宋_GB2312" w:cs="黑体"/>
                <w:color w:val="auto"/>
                <w:szCs w:val="24"/>
              </w:rPr>
            </w:pPr>
            <w:r>
              <w:rPr>
                <w:rFonts w:hint="eastAsia" w:ascii="仿宋_GB2312" w:hAnsi="Calibri" w:eastAsia="仿宋_GB2312" w:cs="黑体"/>
                <w:color w:val="auto"/>
                <w:szCs w:val="24"/>
              </w:rPr>
              <w:t>施工电梯的防坠器超过标定期限或未定期进行防坠落试验的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15</w:t>
            </w:r>
          </w:p>
        </w:tc>
        <w:tc>
          <w:tcPr>
            <w:tcW w:w="6521" w:type="dxa"/>
            <w:noWrap w:val="0"/>
            <w:vAlign w:val="center"/>
          </w:tcPr>
          <w:p>
            <w:pPr>
              <w:widowControl w:val="0"/>
              <w:jc w:val="both"/>
              <w:rPr>
                <w:rFonts w:hint="eastAsia" w:ascii="仿宋_GB2312" w:hAnsi="Calibri" w:eastAsia="仿宋_GB2312" w:cs="黑体"/>
                <w:color w:val="auto"/>
                <w:kern w:val="2"/>
                <w:szCs w:val="24"/>
              </w:rPr>
            </w:pPr>
            <w:r>
              <w:rPr>
                <w:rFonts w:hint="eastAsia" w:ascii="仿宋_GB2312" w:hAnsi="Calibri" w:eastAsia="仿宋_GB2312" w:cs="黑体"/>
                <w:color w:val="auto"/>
                <w:szCs w:val="24"/>
              </w:rPr>
              <w:t>未制定并落实多塔作业防碰撞措施的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16</w:t>
            </w:r>
          </w:p>
        </w:tc>
        <w:tc>
          <w:tcPr>
            <w:tcW w:w="6521" w:type="dxa"/>
            <w:noWrap w:val="0"/>
            <w:vAlign w:val="center"/>
          </w:tcPr>
          <w:p>
            <w:pPr>
              <w:widowControl w:val="0"/>
              <w:jc w:val="both"/>
              <w:rPr>
                <w:rFonts w:hint="eastAsia" w:ascii="仿宋_GB2312" w:hAnsi="Calibri" w:eastAsia="仿宋_GB2312" w:cs="黑体"/>
                <w:color w:val="auto"/>
                <w:szCs w:val="24"/>
              </w:rPr>
            </w:pPr>
            <w:r>
              <w:rPr>
                <w:rFonts w:hint="eastAsia" w:ascii="仿宋_GB2312" w:hAnsi="Calibri" w:eastAsia="仿宋_GB2312" w:cs="黑体"/>
                <w:color w:val="auto"/>
                <w:kern w:val="2"/>
                <w:szCs w:val="24"/>
              </w:rPr>
              <w:t>存在工人在吊物下方或起吊位置附近作业、不同种类（长度）物料混合捆扎吊装、歪拉斜吊或捆绑不牢进行吊装作业的；散料吊装未采用专用容器或容器内装的物品过满的；吊装区未设立警戒区，无专人值守的</w:t>
            </w:r>
          </w:p>
        </w:tc>
        <w:tc>
          <w:tcPr>
            <w:tcW w:w="1184" w:type="dxa"/>
            <w:noWrap w:val="0"/>
            <w:vAlign w:val="center"/>
          </w:tcPr>
          <w:p>
            <w:pPr>
              <w:jc w:val="center"/>
              <w:rPr>
                <w:rFonts w:ascii="仿宋_GB2312" w:hAnsi="Calibri" w:eastAsia="仿宋_GB2312" w:cs="黑体"/>
                <w:color w:val="auto"/>
                <w:szCs w:val="24"/>
              </w:rPr>
            </w:pPr>
            <w:r>
              <w:rPr>
                <w:rFonts w:hint="eastAsia" w:ascii="仿宋_GB2312" w:hAnsi="Calibri" w:eastAsia="仿宋_GB2312" w:cs="黑体"/>
                <w:color w:val="auto"/>
                <w:szCs w:val="24"/>
              </w:rPr>
              <w:t>起重吊装管理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17</w:t>
            </w:r>
          </w:p>
        </w:tc>
        <w:tc>
          <w:tcPr>
            <w:tcW w:w="6521" w:type="dxa"/>
            <w:noWrap w:val="0"/>
            <w:vAlign w:val="center"/>
          </w:tcPr>
          <w:p>
            <w:pPr>
              <w:jc w:val="both"/>
              <w:rPr>
                <w:rFonts w:hint="eastAsia" w:ascii="仿宋_GB2312" w:hAnsi="Calibri" w:eastAsia="仿宋_GB2312" w:cs="黑体"/>
                <w:color w:val="auto"/>
                <w:szCs w:val="24"/>
              </w:rPr>
            </w:pPr>
            <w:r>
              <w:rPr>
                <w:rFonts w:hint="eastAsia" w:ascii="仿宋_GB2312" w:hAnsi="Calibri" w:eastAsia="仿宋_GB2312" w:cs="黑体"/>
                <w:color w:val="auto"/>
                <w:szCs w:val="24"/>
              </w:rPr>
              <w:t>抽查发现3处及以上临边、洞口防护缺失，3名及以上高处作业人员未系安全带，或超过3.6米的支模架未设置水平兜网的</w:t>
            </w:r>
          </w:p>
        </w:tc>
        <w:tc>
          <w:tcPr>
            <w:tcW w:w="1184" w:type="dxa"/>
            <w:vMerge w:val="restart"/>
            <w:noWrap w:val="0"/>
            <w:vAlign w:val="center"/>
          </w:tcPr>
          <w:p>
            <w:pPr>
              <w:jc w:val="center"/>
              <w:rPr>
                <w:rFonts w:ascii="仿宋_GB2312" w:hAnsi="Calibri" w:eastAsia="仿宋_GB2312" w:cs="黑体"/>
                <w:color w:val="auto"/>
                <w:szCs w:val="24"/>
              </w:rPr>
            </w:pPr>
            <w:r>
              <w:rPr>
                <w:rFonts w:hint="eastAsia" w:ascii="仿宋_GB2312" w:hAnsi="Calibri" w:eastAsia="仿宋_GB2312" w:cs="黑体"/>
                <w:color w:val="auto"/>
                <w:szCs w:val="24"/>
              </w:rPr>
              <w:t>高处作业管理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18</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高处作业吊篮未经检测和验收合格投入使用的；防坠安全锁超过标定期限的；高处作业吊篮内同时有2名以上（不含2名）作业人员的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19</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未按规定编审施工现场临时用电组织设计，或未按要求组织实施的</w:t>
            </w:r>
          </w:p>
        </w:tc>
        <w:tc>
          <w:tcPr>
            <w:tcW w:w="1184" w:type="dxa"/>
            <w:vMerge w:val="restart"/>
            <w:noWrap w:val="0"/>
            <w:vAlign w:val="center"/>
          </w:tcPr>
          <w:p>
            <w:pPr>
              <w:jc w:val="center"/>
              <w:rPr>
                <w:rFonts w:ascii="仿宋_GB2312" w:hAnsi="Calibri" w:eastAsia="仿宋_GB2312" w:cs="黑体"/>
                <w:color w:val="auto"/>
                <w:szCs w:val="24"/>
              </w:rPr>
            </w:pPr>
            <w:r>
              <w:rPr>
                <w:rFonts w:ascii="仿宋_GB2312" w:hAnsi="Calibri" w:eastAsia="仿宋_GB2312" w:cs="黑体"/>
                <w:color w:val="auto"/>
                <w:szCs w:val="24"/>
              </w:rPr>
              <w:t>施工临时用电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20</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施工临时用电未按规定采用三级配电两级漏电保护系统或TN-S接零保护系统的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21</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交流弧焊机未使用二次空载降压保护器的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22</w:t>
            </w:r>
          </w:p>
        </w:tc>
        <w:tc>
          <w:tcPr>
            <w:tcW w:w="6521" w:type="dxa"/>
            <w:noWrap w:val="0"/>
            <w:vAlign w:val="center"/>
          </w:tcPr>
          <w:p>
            <w:pPr>
              <w:rPr>
                <w:rFonts w:ascii="仿宋_GB2312" w:hAnsi="Calibri" w:eastAsia="仿宋_GB2312" w:cs="黑体"/>
                <w:color w:val="auto"/>
                <w:szCs w:val="24"/>
              </w:rPr>
            </w:pPr>
            <w:r>
              <w:rPr>
                <w:rFonts w:hint="eastAsia" w:ascii="仿宋_GB2312" w:hAnsi="Calibri" w:eastAsia="仿宋_GB2312" w:cs="黑体"/>
                <w:color w:val="auto"/>
                <w:szCs w:val="24"/>
              </w:rPr>
              <w:t>动火作业时，未按规定审批、监护和采取防火措施的</w:t>
            </w:r>
          </w:p>
        </w:tc>
        <w:tc>
          <w:tcPr>
            <w:tcW w:w="1184" w:type="dxa"/>
            <w:vMerge w:val="restart"/>
            <w:noWrap w:val="0"/>
            <w:vAlign w:val="center"/>
          </w:tcPr>
          <w:p>
            <w:pPr>
              <w:jc w:val="center"/>
              <w:rPr>
                <w:rFonts w:ascii="仿宋_GB2312" w:hAnsi="Calibri" w:eastAsia="仿宋_GB2312" w:cs="黑体"/>
                <w:color w:val="auto"/>
                <w:szCs w:val="24"/>
              </w:rPr>
            </w:pPr>
            <w:r>
              <w:rPr>
                <w:rFonts w:ascii="仿宋_GB2312" w:hAnsi="Calibri" w:eastAsia="仿宋_GB2312" w:cs="黑体"/>
                <w:color w:val="auto"/>
                <w:szCs w:val="24"/>
              </w:rPr>
              <w:t>施工消防安全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23</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办公区或生活区板房所用材料燃烧性能等级、安全网燃烧性能不符合要求的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24</w:t>
            </w:r>
          </w:p>
        </w:tc>
        <w:tc>
          <w:tcPr>
            <w:tcW w:w="6521" w:type="dxa"/>
            <w:noWrap w:val="0"/>
            <w:vAlign w:val="center"/>
          </w:tcPr>
          <w:p>
            <w:pPr>
              <w:rPr>
                <w:rFonts w:ascii="仿宋_GB2312" w:hAnsi="Calibri" w:eastAsia="仿宋_GB2312" w:cs="黑体"/>
                <w:color w:val="auto"/>
                <w:szCs w:val="24"/>
              </w:rPr>
            </w:pPr>
            <w:r>
              <w:rPr>
                <w:rFonts w:hint="eastAsia" w:ascii="仿宋_GB2312" w:hAnsi="Calibri" w:eastAsia="仿宋_GB2312" w:cs="黑体"/>
                <w:color w:val="auto"/>
                <w:szCs w:val="24"/>
              </w:rPr>
              <w:t>工人宿舍有使用220伏用电插座的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25</w:t>
            </w:r>
          </w:p>
        </w:tc>
        <w:tc>
          <w:tcPr>
            <w:tcW w:w="6521" w:type="dxa"/>
            <w:noWrap w:val="0"/>
            <w:vAlign w:val="center"/>
          </w:tcPr>
          <w:p>
            <w:pPr>
              <w:rPr>
                <w:rFonts w:ascii="仿宋_GB2312" w:hAnsi="Calibri" w:eastAsia="仿宋_GB2312" w:cs="黑体"/>
                <w:color w:val="auto"/>
                <w:szCs w:val="24"/>
              </w:rPr>
            </w:pPr>
            <w:r>
              <w:rPr>
                <w:rFonts w:hint="eastAsia" w:ascii="仿宋_GB2312" w:hAnsi="Calibri" w:eastAsia="仿宋_GB2312" w:cs="黑体"/>
                <w:color w:val="auto"/>
                <w:szCs w:val="24"/>
              </w:rPr>
              <w:t>未按规定编制文明施工专项方案及安全施工专项方案并组织落实安全文明施工标准化措施的</w:t>
            </w:r>
          </w:p>
        </w:tc>
        <w:tc>
          <w:tcPr>
            <w:tcW w:w="1184" w:type="dxa"/>
            <w:vMerge w:val="restart"/>
            <w:noWrap w:val="0"/>
            <w:vAlign w:val="center"/>
          </w:tcPr>
          <w:p>
            <w:pPr>
              <w:jc w:val="center"/>
              <w:rPr>
                <w:rFonts w:ascii="仿宋_GB2312" w:hAnsi="Calibri" w:eastAsia="仿宋_GB2312" w:cs="黑体"/>
                <w:color w:val="auto"/>
                <w:szCs w:val="24"/>
              </w:rPr>
            </w:pPr>
            <w:r>
              <w:rPr>
                <w:rFonts w:ascii="仿宋_GB2312" w:hAnsi="Calibri" w:eastAsia="仿宋_GB2312" w:cs="黑体"/>
                <w:color w:val="auto"/>
                <w:szCs w:val="24"/>
              </w:rPr>
              <w:t>安全文明施工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26</w:t>
            </w:r>
          </w:p>
        </w:tc>
        <w:tc>
          <w:tcPr>
            <w:tcW w:w="6521" w:type="dxa"/>
            <w:noWrap w:val="0"/>
            <w:vAlign w:val="center"/>
          </w:tcPr>
          <w:p>
            <w:pPr>
              <w:rPr>
                <w:rFonts w:ascii="仿宋_GB2312" w:hAnsi="Calibri" w:eastAsia="仿宋_GB2312" w:cs="黑体"/>
                <w:color w:val="auto"/>
                <w:szCs w:val="24"/>
              </w:rPr>
            </w:pPr>
            <w:r>
              <w:rPr>
                <w:rFonts w:ascii="仿宋_GB2312" w:hAnsi="Calibri" w:eastAsia="仿宋_GB2312" w:cs="黑体"/>
                <w:color w:val="auto"/>
                <w:szCs w:val="24"/>
              </w:rPr>
              <w:t>未按要求落实工地扬尘</w:t>
            </w:r>
            <w:r>
              <w:rPr>
                <w:rFonts w:hint="eastAsia" w:ascii="仿宋_GB2312" w:hAnsi="Calibri" w:eastAsia="仿宋_GB2312" w:cs="黑体"/>
                <w:color w:val="auto"/>
                <w:szCs w:val="24"/>
                <w:lang w:eastAsia="zh-CN"/>
              </w:rPr>
              <w:t>污染防治</w:t>
            </w:r>
            <w:r>
              <w:rPr>
                <w:rFonts w:hint="eastAsia" w:ascii="仿宋_GB2312" w:hAnsi="Calibri" w:eastAsia="仿宋_GB2312" w:cs="黑体"/>
                <w:color w:val="auto"/>
                <w:szCs w:val="24"/>
              </w:rPr>
              <w:t xml:space="preserve"> “6个100%”工作要求的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27</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未对安全文明措施实行专款专用的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28</w:t>
            </w:r>
          </w:p>
        </w:tc>
        <w:tc>
          <w:tcPr>
            <w:tcW w:w="6521" w:type="dxa"/>
            <w:noWrap w:val="0"/>
            <w:vAlign w:val="center"/>
          </w:tcPr>
          <w:p>
            <w:pPr>
              <w:rPr>
                <w:rFonts w:ascii="仿宋_GB2312" w:hAnsi="Calibri" w:eastAsia="仿宋_GB2312" w:cs="黑体"/>
                <w:color w:val="auto"/>
                <w:szCs w:val="24"/>
              </w:rPr>
            </w:pPr>
            <w:r>
              <w:rPr>
                <w:rFonts w:hint="eastAsia" w:ascii="仿宋_GB2312" w:hAnsi="Calibri" w:eastAsia="仿宋_GB2312" w:cs="黑体"/>
                <w:color w:val="auto"/>
                <w:szCs w:val="24"/>
              </w:rPr>
              <w:t>未落实地下管线、设施保护“6个100%”措施的</w:t>
            </w:r>
          </w:p>
        </w:tc>
        <w:tc>
          <w:tcPr>
            <w:tcW w:w="1184" w:type="dxa"/>
            <w:vMerge w:val="restart"/>
            <w:noWrap w:val="0"/>
            <w:vAlign w:val="center"/>
          </w:tcPr>
          <w:p>
            <w:pPr>
              <w:jc w:val="center"/>
              <w:rPr>
                <w:rFonts w:ascii="仿宋_GB2312" w:hAnsi="Calibri" w:eastAsia="仿宋_GB2312" w:cs="黑体"/>
                <w:color w:val="auto"/>
                <w:szCs w:val="24"/>
              </w:rPr>
            </w:pPr>
            <w:r>
              <w:rPr>
                <w:rFonts w:hint="eastAsia" w:ascii="仿宋_GB2312" w:hAnsi="Calibri" w:eastAsia="仿宋_GB2312" w:cs="黑体"/>
                <w:color w:val="auto"/>
                <w:szCs w:val="24"/>
              </w:rPr>
              <w:t>地下管线、设施保护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29</w:t>
            </w:r>
          </w:p>
        </w:tc>
        <w:tc>
          <w:tcPr>
            <w:tcW w:w="6521" w:type="dxa"/>
            <w:noWrap w:val="0"/>
            <w:vAlign w:val="center"/>
          </w:tcPr>
          <w:p>
            <w:pPr>
              <w:rPr>
                <w:rFonts w:ascii="仿宋_GB2312" w:hAnsi="Calibri" w:eastAsia="仿宋_GB2312" w:cs="黑体"/>
                <w:color w:val="auto"/>
                <w:szCs w:val="24"/>
              </w:rPr>
            </w:pPr>
            <w:r>
              <w:rPr>
                <w:rFonts w:hint="eastAsia" w:ascii="仿宋_GB2312" w:hAnsi="Calibri" w:eastAsia="仿宋_GB2312" w:cs="黑体"/>
                <w:color w:val="auto"/>
                <w:szCs w:val="24"/>
              </w:rPr>
              <w:t>违反安全文明施工有关规定，污染或损坏市政道路，损坏供水、供电等市政管线的（</w:t>
            </w:r>
            <w:r>
              <w:rPr>
                <w:rFonts w:hint="eastAsia" w:ascii="仿宋_GB2312" w:hAnsi="Calibri" w:eastAsia="仿宋_GB2312" w:cs="黑体"/>
                <w:color w:val="auto"/>
                <w:szCs w:val="24"/>
                <w:lang w:eastAsia="zh-CN"/>
              </w:rPr>
              <w:t>对公共安全构成严重威胁或者</w:t>
            </w:r>
            <w:r>
              <w:rPr>
                <w:rFonts w:hint="eastAsia" w:ascii="仿宋_GB2312" w:hAnsi="Calibri" w:eastAsia="仿宋_GB2312" w:cs="黑体"/>
                <w:color w:val="auto"/>
                <w:szCs w:val="24"/>
              </w:rPr>
              <w:t>社会影响</w:t>
            </w:r>
            <w:r>
              <w:rPr>
                <w:rFonts w:hint="eastAsia" w:ascii="仿宋_GB2312" w:hAnsi="Calibri" w:eastAsia="仿宋_GB2312" w:cs="黑体"/>
                <w:color w:val="auto"/>
                <w:szCs w:val="24"/>
                <w:lang w:eastAsia="zh-CN"/>
              </w:rPr>
              <w:t>恶劣</w:t>
            </w:r>
            <w:r>
              <w:rPr>
                <w:rFonts w:hint="eastAsia" w:ascii="仿宋_GB2312" w:hAnsi="Calibri" w:eastAsia="仿宋_GB2312" w:cs="黑体"/>
                <w:color w:val="auto"/>
                <w:szCs w:val="24"/>
              </w:rPr>
              <w:t>的，按</w:t>
            </w:r>
            <w:r>
              <w:rPr>
                <w:rFonts w:hint="eastAsia" w:ascii="仿宋_GB2312" w:hAnsi="Calibri" w:eastAsia="仿宋_GB2312" w:cs="黑体"/>
                <w:color w:val="auto"/>
                <w:szCs w:val="24"/>
                <w:lang w:eastAsia="zh-CN"/>
              </w:rPr>
              <w:t>规定</w:t>
            </w:r>
            <w:r>
              <w:rPr>
                <w:rFonts w:hint="eastAsia" w:ascii="仿宋_GB2312" w:hAnsi="Calibri" w:eastAsia="仿宋_GB2312" w:cs="黑体"/>
                <w:color w:val="auto"/>
                <w:szCs w:val="24"/>
              </w:rPr>
              <w:t>给予红色警示）</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30</w:t>
            </w:r>
          </w:p>
        </w:tc>
        <w:tc>
          <w:tcPr>
            <w:tcW w:w="6521" w:type="dxa"/>
            <w:noWrap w:val="0"/>
            <w:vAlign w:val="center"/>
          </w:tcPr>
          <w:p>
            <w:pPr>
              <w:rPr>
                <w:rFonts w:ascii="仿宋_GB2312" w:hAnsi="Calibri" w:eastAsia="仿宋_GB2312" w:cs="黑体"/>
                <w:color w:val="auto"/>
                <w:szCs w:val="24"/>
              </w:rPr>
            </w:pPr>
            <w:r>
              <w:rPr>
                <w:rFonts w:hint="eastAsia" w:ascii="仿宋_GB2312" w:hAnsi="Calibri" w:eastAsia="仿宋_GB2312" w:cs="黑体"/>
                <w:color w:val="auto"/>
                <w:szCs w:val="24"/>
              </w:rPr>
              <w:t>未按规定对从业人员进行实名制安全教育培训及考核，从业人员未掌握本职工作所需的安全生产知识、技能、规章制度和安全操作规程的</w:t>
            </w:r>
          </w:p>
        </w:tc>
        <w:tc>
          <w:tcPr>
            <w:tcW w:w="1184" w:type="dxa"/>
            <w:vMerge w:val="restart"/>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实名制管理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31</w:t>
            </w:r>
          </w:p>
        </w:tc>
        <w:tc>
          <w:tcPr>
            <w:tcW w:w="6521" w:type="dxa"/>
            <w:noWrap w:val="0"/>
            <w:vAlign w:val="center"/>
          </w:tcPr>
          <w:p>
            <w:pPr>
              <w:rPr>
                <w:rFonts w:ascii="仿宋_GB2312" w:hAnsi="Calibri" w:eastAsia="仿宋_GB2312" w:cs="黑体"/>
                <w:color w:val="auto"/>
                <w:szCs w:val="24"/>
              </w:rPr>
            </w:pPr>
            <w:r>
              <w:rPr>
                <w:rFonts w:hint="eastAsia" w:ascii="仿宋_GB2312" w:hAnsi="Calibri" w:eastAsia="仿宋_GB2312" w:cs="黑体"/>
                <w:color w:val="auto"/>
                <w:szCs w:val="24"/>
              </w:rPr>
              <w:t>对未按规定开展劳务工实名制和分账制管理工作，造成质量安全管理隐患、维稳事件，被责令整改拒不整改或整改后仍不合格的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32</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在季度专项整治行动中被列入安全生产综合整治督办工地的</w:t>
            </w:r>
          </w:p>
        </w:tc>
        <w:tc>
          <w:tcPr>
            <w:tcW w:w="1184"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综合整治督办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522" w:type="dxa"/>
            <w:gridSpan w:val="3"/>
            <w:noWrap w:val="0"/>
            <w:vAlign w:val="center"/>
          </w:tcPr>
          <w:p>
            <w:pPr>
              <w:rPr>
                <w:rFonts w:ascii="仿宋_GB2312" w:hAnsi="Calibri" w:eastAsia="仿宋_GB2312" w:cs="黑体"/>
                <w:color w:val="auto"/>
                <w:szCs w:val="24"/>
              </w:rPr>
            </w:pPr>
            <w:r>
              <w:rPr>
                <w:rFonts w:hint="eastAsia" w:ascii="Calibri" w:hAnsi="Calibri" w:eastAsia="宋体" w:cs="黑体"/>
                <w:b/>
                <w:bCs/>
                <w:color w:val="auto"/>
                <w:sz w:val="28"/>
                <w:szCs w:val="28"/>
              </w:rPr>
              <w:t>三、监理单位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1</w:t>
            </w:r>
          </w:p>
        </w:tc>
        <w:tc>
          <w:tcPr>
            <w:tcW w:w="6521" w:type="dxa"/>
            <w:noWrap w:val="0"/>
            <w:vAlign w:val="center"/>
          </w:tcPr>
          <w:p>
            <w:pPr>
              <w:jc w:val="both"/>
              <w:rPr>
                <w:rFonts w:hint="eastAsia" w:ascii="仿宋_GB2312" w:hAnsi="Calibri" w:eastAsia="仿宋_GB2312" w:cs="黑体"/>
                <w:color w:val="auto"/>
                <w:szCs w:val="24"/>
              </w:rPr>
            </w:pPr>
            <w:r>
              <w:rPr>
                <w:rFonts w:hint="eastAsia" w:ascii="仿宋_GB2312" w:hAnsi="Calibri" w:eastAsia="仿宋_GB2312" w:cs="黑体"/>
                <w:color w:val="auto"/>
                <w:szCs w:val="24"/>
              </w:rPr>
              <w:t>项目总监不在岗履职或特殊天气条件下（台风白色、暴雨黄色及以上预警期间）项目总监未在岗值守的</w:t>
            </w:r>
          </w:p>
        </w:tc>
        <w:tc>
          <w:tcPr>
            <w:tcW w:w="1184" w:type="dxa"/>
            <w:vMerge w:val="restart"/>
            <w:noWrap w:val="0"/>
            <w:vAlign w:val="center"/>
          </w:tcPr>
          <w:p>
            <w:pPr>
              <w:jc w:val="center"/>
              <w:rPr>
                <w:rFonts w:ascii="仿宋_GB2312" w:hAnsi="Calibri" w:eastAsia="仿宋_GB2312" w:cs="黑体"/>
                <w:color w:val="auto"/>
                <w:szCs w:val="24"/>
              </w:rPr>
            </w:pPr>
            <w:r>
              <w:rPr>
                <w:rFonts w:ascii="仿宋_GB2312" w:hAnsi="Calibri" w:eastAsia="仿宋_GB2312" w:cs="黑体"/>
                <w:color w:val="auto"/>
                <w:szCs w:val="24"/>
              </w:rPr>
              <w:t>人员在岗履职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2</w:t>
            </w:r>
          </w:p>
        </w:tc>
        <w:tc>
          <w:tcPr>
            <w:tcW w:w="6521" w:type="dxa"/>
            <w:noWrap w:val="0"/>
            <w:vAlign w:val="center"/>
          </w:tcPr>
          <w:p>
            <w:pPr>
              <w:jc w:val="both"/>
              <w:rPr>
                <w:rFonts w:hint="eastAsia" w:ascii="仿宋_GB2312" w:hAnsi="Calibri" w:eastAsia="仿宋_GB2312" w:cs="黑体"/>
                <w:color w:val="auto"/>
                <w:szCs w:val="24"/>
              </w:rPr>
            </w:pPr>
            <w:r>
              <w:rPr>
                <w:rFonts w:hint="eastAsia" w:ascii="仿宋_GB2312" w:hAnsi="Calibri" w:eastAsia="仿宋_GB2312" w:cs="黑体"/>
                <w:color w:val="auto"/>
                <w:szCs w:val="24"/>
              </w:rPr>
              <w:t>周末、节假日未落实监理单位主要项目管理人员（项目总监、总监代表）领导值班制度的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3</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未按规定落实“三层三级”安全检查，或“三层三级”安全检查资料弄虚作假的</w:t>
            </w:r>
          </w:p>
        </w:tc>
        <w:tc>
          <w:tcPr>
            <w:tcW w:w="1184" w:type="dxa"/>
            <w:vMerge w:val="restart"/>
            <w:noWrap w:val="0"/>
            <w:vAlign w:val="center"/>
          </w:tcPr>
          <w:p>
            <w:pPr>
              <w:jc w:val="center"/>
              <w:rPr>
                <w:rFonts w:ascii="仿宋_GB2312" w:hAnsi="Calibri" w:eastAsia="仿宋_GB2312" w:cs="黑体"/>
                <w:color w:val="auto"/>
                <w:szCs w:val="24"/>
              </w:rPr>
            </w:pPr>
            <w:r>
              <w:rPr>
                <w:rFonts w:ascii="仿宋_GB2312" w:hAnsi="Calibri" w:eastAsia="仿宋_GB2312" w:cs="黑体"/>
                <w:color w:val="auto"/>
                <w:szCs w:val="24"/>
              </w:rPr>
              <w:t>安全行为管理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4</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未按规定审查施工单位资质（含专业承包、劳务分包）和安全生产许可证、特种作业人员证件、“三类人员”考核合格证的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5</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对检查发现的隐患，未跟踪整改落实情况的，或施工单位拒不整改时未及时向建设单位及监督机构报告的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6</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未按规定审查危大工程、安全文明施工专项方案的</w:t>
            </w:r>
          </w:p>
        </w:tc>
        <w:tc>
          <w:tcPr>
            <w:tcW w:w="1184" w:type="dxa"/>
            <w:vMerge w:val="restart"/>
            <w:noWrap w:val="0"/>
            <w:vAlign w:val="center"/>
          </w:tcPr>
          <w:p>
            <w:pPr>
              <w:jc w:val="center"/>
              <w:rPr>
                <w:rFonts w:ascii="仿宋_GB2312" w:hAnsi="Calibri" w:eastAsia="仿宋_GB2312" w:cs="黑体"/>
                <w:color w:val="auto"/>
                <w:szCs w:val="24"/>
              </w:rPr>
            </w:pPr>
            <w:r>
              <w:rPr>
                <w:rFonts w:ascii="仿宋_GB2312" w:hAnsi="Calibri" w:eastAsia="仿宋_GB2312" w:cs="黑体"/>
                <w:color w:val="auto"/>
                <w:szCs w:val="24"/>
              </w:rPr>
              <w:t>危大工程管理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7</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未</w:t>
            </w:r>
            <w:r>
              <w:rPr>
                <w:rFonts w:ascii="仿宋_GB2312" w:hAnsi="Calibri" w:eastAsia="仿宋_GB2312" w:cs="黑体"/>
                <w:color w:val="auto"/>
                <w:szCs w:val="24"/>
              </w:rPr>
              <w:t>结合危大工程专项施工方案编制监理实施细则</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8</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未按规定对危大工程实施</w:t>
            </w:r>
            <w:r>
              <w:rPr>
                <w:rFonts w:ascii="仿宋_GB2312" w:hAnsi="Calibri" w:eastAsia="仿宋_GB2312" w:cs="黑体"/>
                <w:color w:val="auto"/>
                <w:szCs w:val="24"/>
              </w:rPr>
              <w:t>专项巡视检查</w:t>
            </w:r>
            <w:r>
              <w:rPr>
                <w:rFonts w:hint="eastAsia" w:ascii="仿宋_GB2312" w:hAnsi="Calibri" w:eastAsia="仿宋_GB2312" w:cs="黑体"/>
                <w:color w:val="auto"/>
                <w:szCs w:val="24"/>
              </w:rPr>
              <w:t>或验收的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9</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盾构施工，建筑起重机械安拆、顶升（附着）等重要环节施工前未组织作业安全条件审核的</w:t>
            </w:r>
          </w:p>
        </w:tc>
        <w:tc>
          <w:tcPr>
            <w:tcW w:w="1184" w:type="dxa"/>
            <w:vMerge w:val="continue"/>
            <w:noWrap w:val="0"/>
            <w:vAlign w:val="center"/>
          </w:tcPr>
          <w:p>
            <w:pPr>
              <w:jc w:val="center"/>
              <w:rPr>
                <w:rFonts w:ascii="仿宋_GB2312" w:hAnsi="Calibri" w:eastAsia="仿宋_GB2312" w:cs="黑体"/>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817" w:type="dxa"/>
            <w:noWrap w:val="0"/>
            <w:vAlign w:val="center"/>
          </w:tcPr>
          <w:p>
            <w:pPr>
              <w:jc w:val="center"/>
              <w:rPr>
                <w:rFonts w:hint="eastAsia" w:ascii="仿宋_GB2312" w:hAnsi="Calibri" w:eastAsia="仿宋_GB2312" w:cs="黑体"/>
                <w:color w:val="auto"/>
                <w:szCs w:val="24"/>
              </w:rPr>
            </w:pPr>
            <w:r>
              <w:rPr>
                <w:rFonts w:hint="eastAsia" w:ascii="仿宋_GB2312" w:hAnsi="Calibri" w:eastAsia="仿宋_GB2312" w:cs="黑体"/>
                <w:color w:val="auto"/>
                <w:szCs w:val="24"/>
              </w:rPr>
              <w:t>10</w:t>
            </w:r>
          </w:p>
        </w:tc>
        <w:tc>
          <w:tcPr>
            <w:tcW w:w="6521" w:type="dxa"/>
            <w:noWrap w:val="0"/>
            <w:vAlign w:val="center"/>
          </w:tcPr>
          <w:p>
            <w:pPr>
              <w:rPr>
                <w:rFonts w:hint="eastAsia" w:ascii="仿宋_GB2312" w:hAnsi="Calibri" w:eastAsia="仿宋_GB2312" w:cs="黑体"/>
                <w:color w:val="auto"/>
                <w:szCs w:val="24"/>
              </w:rPr>
            </w:pPr>
            <w:r>
              <w:rPr>
                <w:rFonts w:hint="eastAsia" w:ascii="仿宋_GB2312" w:hAnsi="Calibri" w:eastAsia="仿宋_GB2312" w:cs="黑体"/>
                <w:color w:val="auto"/>
                <w:szCs w:val="24"/>
              </w:rPr>
              <w:t>未组织对应在开工前实施的临时设施、安全文明措施、地下管线保护进行开工条件验收的</w:t>
            </w:r>
          </w:p>
        </w:tc>
        <w:tc>
          <w:tcPr>
            <w:tcW w:w="1184" w:type="dxa"/>
            <w:noWrap w:val="0"/>
            <w:vAlign w:val="center"/>
          </w:tcPr>
          <w:p>
            <w:pPr>
              <w:jc w:val="center"/>
              <w:rPr>
                <w:rFonts w:ascii="仿宋_GB2312" w:hAnsi="Calibri" w:eastAsia="仿宋_GB2312" w:cs="黑体"/>
                <w:color w:val="auto"/>
                <w:szCs w:val="24"/>
              </w:rPr>
            </w:pPr>
            <w:r>
              <w:rPr>
                <w:rFonts w:ascii="仿宋_GB2312" w:hAnsi="Calibri" w:eastAsia="仿宋_GB2312" w:cs="黑体"/>
                <w:color w:val="auto"/>
                <w:szCs w:val="24"/>
              </w:rPr>
              <w:t>安全文明施工</w:t>
            </w:r>
          </w:p>
        </w:tc>
      </w:tr>
    </w:tbl>
    <w:p>
      <w:pPr>
        <w:widowControl w:val="0"/>
        <w:spacing w:line="240" w:lineRule="auto"/>
        <w:ind w:firstLine="480" w:firstLineChars="200"/>
        <w:jc w:val="both"/>
        <w:rPr>
          <w:rFonts w:hint="default" w:ascii="仿宋_GB2312" w:hAnsi="仿宋_GB2312" w:eastAsia="仿宋_GB2312" w:cs="Times New Roman"/>
          <w:color w:val="auto"/>
          <w:sz w:val="24"/>
          <w:szCs w:val="24"/>
          <w:lang w:eastAsia="zh-CN"/>
        </w:rPr>
      </w:pPr>
      <w:r>
        <w:rPr>
          <w:rFonts w:hint="default" w:ascii="仿宋_GB2312" w:hAnsi="仿宋_GB2312" w:eastAsia="仿宋_GB2312" w:cs="Times New Roman"/>
          <w:color w:val="auto"/>
          <w:sz w:val="24"/>
          <w:szCs w:val="24"/>
          <w:lang w:eastAsia="zh-CN"/>
        </w:rPr>
        <w:t>注：</w:t>
      </w:r>
      <w:r>
        <w:rPr>
          <w:rFonts w:hint="default" w:ascii="仿宋_GB2312" w:hAnsi="仿宋_GB2312" w:eastAsia="仿宋_GB2312" w:cs="Times New Roman"/>
          <w:color w:val="auto"/>
          <w:sz w:val="24"/>
          <w:szCs w:val="24"/>
          <w:lang w:val="en-US" w:eastAsia="zh-CN"/>
        </w:rPr>
        <w:t>1.</w:t>
      </w:r>
      <w:r>
        <w:rPr>
          <w:rFonts w:ascii="仿宋_GB2312" w:hAnsi="仿宋_GB2312" w:eastAsia="仿宋_GB2312" w:cs="Times New Roman"/>
          <w:color w:val="auto"/>
          <w:sz w:val="24"/>
          <w:szCs w:val="24"/>
        </w:rPr>
        <w:t>扬尘</w:t>
      </w:r>
      <w:r>
        <w:rPr>
          <w:rFonts w:hint="eastAsia" w:ascii="仿宋_GB2312" w:hAnsi="仿宋_GB2312" w:eastAsia="仿宋_GB2312" w:cs="Times New Roman"/>
          <w:color w:val="auto"/>
          <w:sz w:val="24"/>
          <w:szCs w:val="24"/>
          <w:lang w:eastAsia="zh-CN"/>
        </w:rPr>
        <w:t>污染防治</w:t>
      </w:r>
      <w:r>
        <w:rPr>
          <w:rFonts w:hint="default" w:ascii="仿宋_GB2312" w:hAnsi="仿宋_GB2312" w:eastAsia="仿宋_GB2312" w:cs="Times New Roman"/>
          <w:color w:val="auto"/>
          <w:sz w:val="24"/>
          <w:szCs w:val="24"/>
        </w:rPr>
        <w:t xml:space="preserve"> “6个100%”工作要求</w:t>
      </w:r>
      <w:r>
        <w:rPr>
          <w:rFonts w:hint="default" w:ascii="仿宋_GB2312" w:hAnsi="仿宋_GB2312" w:eastAsia="仿宋_GB2312" w:cs="Times New Roman"/>
          <w:color w:val="auto"/>
          <w:sz w:val="24"/>
          <w:szCs w:val="24"/>
          <w:lang w:eastAsia="zh-CN"/>
        </w:rPr>
        <w:t>是指：</w:t>
      </w:r>
      <w:r>
        <w:rPr>
          <w:rFonts w:hint="eastAsia" w:ascii="仿宋_GB2312" w:hAnsi="仿宋_GB2312" w:eastAsia="仿宋_GB2312" w:cs="Times New Roman"/>
          <w:color w:val="auto"/>
          <w:sz w:val="24"/>
          <w:szCs w:val="24"/>
          <w:lang w:eastAsia="zh-CN"/>
        </w:rPr>
        <w:t>施工围挡及外架100%全封闭、出入口及车行道100%硬底化、出入口100%安装冲洗设施、易起尘作业面100%湿法施工、裸露土及易起尘物料100%覆盖、出入口100%安装TSP在线监测设备。</w:t>
      </w:r>
    </w:p>
    <w:p>
      <w:pPr>
        <w:widowControl w:val="0"/>
        <w:spacing w:line="240" w:lineRule="auto"/>
        <w:ind w:firstLine="480" w:firstLineChars="200"/>
        <w:jc w:val="both"/>
        <w:rPr>
          <w:rFonts w:hint="default" w:ascii="仿宋_GB2312" w:hAnsi="仿宋_GB2312" w:eastAsia="仿宋_GB2312" w:cs="Times New Roman"/>
          <w:color w:val="auto"/>
          <w:sz w:val="24"/>
          <w:szCs w:val="24"/>
        </w:rPr>
      </w:pPr>
      <w:r>
        <w:rPr>
          <w:rFonts w:hint="eastAsia" w:ascii="仿宋_GB2312" w:hAnsi="仿宋_GB2312" w:eastAsia="仿宋_GB2312" w:cs="Times New Roman"/>
          <w:color w:val="auto"/>
          <w:sz w:val="24"/>
          <w:szCs w:val="24"/>
          <w:lang w:val="en-US" w:eastAsia="zh-CN"/>
        </w:rPr>
        <w:t xml:space="preserve">   </w:t>
      </w:r>
      <w:r>
        <w:rPr>
          <w:rFonts w:hint="default" w:ascii="仿宋_GB2312" w:hAnsi="仿宋_GB2312" w:eastAsia="仿宋_GB2312" w:cs="Times New Roman"/>
          <w:color w:val="auto"/>
          <w:sz w:val="24"/>
          <w:szCs w:val="24"/>
          <w:lang w:val="en-US" w:eastAsia="zh-CN"/>
        </w:rPr>
        <w:t>2.</w:t>
      </w:r>
      <w:r>
        <w:rPr>
          <w:rFonts w:hint="default" w:ascii="仿宋_GB2312" w:hAnsi="仿宋_GB2312" w:eastAsia="仿宋_GB2312" w:cs="Times New Roman"/>
          <w:color w:val="auto"/>
          <w:sz w:val="24"/>
          <w:szCs w:val="24"/>
        </w:rPr>
        <w:t>地下管线、设施保护“6个100%”措施</w:t>
      </w:r>
      <w:r>
        <w:rPr>
          <w:rFonts w:hint="default" w:ascii="仿宋_GB2312" w:hAnsi="仿宋_GB2312" w:eastAsia="仿宋_GB2312" w:cs="Times New Roman"/>
          <w:color w:val="auto"/>
          <w:sz w:val="24"/>
          <w:szCs w:val="24"/>
          <w:lang w:eastAsia="zh-CN"/>
        </w:rPr>
        <w:t>是指：</w:t>
      </w:r>
      <w:r>
        <w:rPr>
          <w:rFonts w:hint="default" w:ascii="仿宋_GB2312" w:hAnsi="仿宋_GB2312" w:eastAsia="仿宋_GB2312" w:cs="Times New Roman"/>
          <w:color w:val="auto"/>
          <w:sz w:val="24"/>
          <w:szCs w:val="24"/>
        </w:rPr>
        <w:t>100%签署地下管线保护协议</w:t>
      </w:r>
      <w:r>
        <w:rPr>
          <w:rFonts w:hint="default" w:ascii="仿宋_GB2312" w:hAnsi="仿宋_GB2312" w:eastAsia="仿宋_GB2312" w:cs="Times New Roman"/>
          <w:color w:val="auto"/>
          <w:sz w:val="24"/>
          <w:szCs w:val="24"/>
          <w:lang w:val="en-US" w:eastAsia="zh-CN"/>
        </w:rPr>
        <w:t>,</w:t>
      </w:r>
      <w:r>
        <w:rPr>
          <w:rFonts w:hint="default" w:ascii="仿宋_GB2312" w:hAnsi="仿宋_GB2312" w:eastAsia="仿宋_GB2312" w:cs="Times New Roman"/>
          <w:color w:val="auto"/>
          <w:sz w:val="24"/>
          <w:szCs w:val="24"/>
        </w:rPr>
        <w:t>100%查明地下管线分布情况</w:t>
      </w:r>
      <w:r>
        <w:rPr>
          <w:rFonts w:hint="default" w:ascii="仿宋_GB2312" w:hAnsi="仿宋_GB2312" w:eastAsia="仿宋_GB2312" w:cs="Times New Roman"/>
          <w:color w:val="auto"/>
          <w:sz w:val="24"/>
          <w:szCs w:val="24"/>
          <w:lang w:eastAsia="zh-CN"/>
        </w:rPr>
        <w:t>，</w:t>
      </w:r>
      <w:r>
        <w:rPr>
          <w:rFonts w:hint="default" w:ascii="仿宋_GB2312" w:hAnsi="仿宋_GB2312" w:eastAsia="仿宋_GB2312" w:cs="Times New Roman"/>
          <w:color w:val="auto"/>
          <w:sz w:val="24"/>
          <w:szCs w:val="24"/>
        </w:rPr>
        <w:t>100%制定地下管线保护方案</w:t>
      </w:r>
      <w:r>
        <w:rPr>
          <w:rFonts w:hint="default" w:ascii="仿宋_GB2312" w:hAnsi="仿宋_GB2312" w:eastAsia="仿宋_GB2312" w:cs="Times New Roman"/>
          <w:color w:val="auto"/>
          <w:sz w:val="24"/>
          <w:szCs w:val="24"/>
          <w:lang w:eastAsia="zh-CN"/>
        </w:rPr>
        <w:t>，</w:t>
      </w:r>
      <w:r>
        <w:rPr>
          <w:rFonts w:hint="default" w:ascii="仿宋_GB2312" w:hAnsi="仿宋_GB2312" w:eastAsia="仿宋_GB2312" w:cs="Times New Roman"/>
          <w:color w:val="auto"/>
          <w:sz w:val="24"/>
          <w:szCs w:val="24"/>
        </w:rPr>
        <w:t>100%配备管线工程师</w:t>
      </w:r>
      <w:r>
        <w:rPr>
          <w:rFonts w:hint="default" w:ascii="仿宋_GB2312" w:hAnsi="仿宋_GB2312" w:eastAsia="仿宋_GB2312" w:cs="Times New Roman"/>
          <w:color w:val="auto"/>
          <w:sz w:val="24"/>
          <w:szCs w:val="24"/>
          <w:lang w:eastAsia="zh-CN"/>
        </w:rPr>
        <w:t>，</w:t>
      </w:r>
      <w:r>
        <w:rPr>
          <w:rFonts w:hint="default" w:ascii="仿宋_GB2312" w:hAnsi="仿宋_GB2312" w:eastAsia="仿宋_GB2312" w:cs="Times New Roman"/>
          <w:color w:val="auto"/>
          <w:sz w:val="24"/>
          <w:szCs w:val="24"/>
        </w:rPr>
        <w:t>100%实施《动土令》制度</w:t>
      </w:r>
      <w:r>
        <w:rPr>
          <w:rFonts w:hint="default" w:ascii="仿宋_GB2312" w:hAnsi="仿宋_GB2312" w:eastAsia="仿宋_GB2312" w:cs="Times New Roman"/>
          <w:color w:val="auto"/>
          <w:sz w:val="24"/>
          <w:szCs w:val="24"/>
          <w:lang w:eastAsia="zh-CN"/>
        </w:rPr>
        <w:t>，</w:t>
      </w:r>
      <w:r>
        <w:rPr>
          <w:rFonts w:hint="default" w:ascii="仿宋_GB2312" w:hAnsi="仿宋_GB2312" w:eastAsia="仿宋_GB2312" w:cs="Times New Roman"/>
          <w:color w:val="auto"/>
          <w:sz w:val="24"/>
          <w:szCs w:val="24"/>
        </w:rPr>
        <w:t>100%做好作业技术交底。</w:t>
      </w:r>
    </w:p>
    <w:p>
      <w:pPr>
        <w:pStyle w:val="8"/>
        <w:pBdr>
          <w:bottom w:val="none" w:color="auto" w:sz="0" w:space="1"/>
        </w:pBdr>
        <w:spacing w:beforeLines="0" w:afterLines="0" w:line="240" w:lineRule="auto"/>
        <w:rPr>
          <w:rFonts w:hint="eastAsia"/>
          <w:color w:val="auto"/>
          <w:sz w:val="28"/>
          <w:lang w:val="en-US" w:eastAsia="zh-CN"/>
        </w:rPr>
      </w:pPr>
    </w:p>
    <w:p>
      <w:pPr>
        <w:pStyle w:val="8"/>
        <w:pBdr>
          <w:bottom w:val="none" w:color="auto" w:sz="0" w:space="1"/>
        </w:pBdr>
        <w:spacing w:beforeLines="0" w:afterLines="0" w:line="240" w:lineRule="auto"/>
        <w:rPr>
          <w:rFonts w:hint="default"/>
          <w:color w:val="auto"/>
          <w:sz w:val="28"/>
          <w:lang w:val="en-US" w:eastAsia="zh-CN"/>
        </w:rPr>
      </w:pPr>
    </w:p>
    <w:p>
      <w:pPr>
        <w:widowControl/>
        <w:tabs>
          <w:tab w:val="left" w:pos="1809"/>
        </w:tabs>
        <w:spacing w:line="240" w:lineRule="auto"/>
        <w:ind w:firstLine="0" w:firstLineChars="0"/>
        <w:jc w:val="left"/>
        <w:rPr>
          <w:rFonts w:hint="default"/>
          <w:lang w:val="en" w:eastAsia="zh-CN"/>
        </w:rPr>
      </w:pPr>
    </w:p>
    <w:p>
      <w:pPr>
        <w:rPr>
          <w:rFonts w:hint="default" w:ascii="Times New Roman" w:hAnsi="Times New Roman" w:eastAsia="宋体" w:cs="Times New Roman"/>
          <w:szCs w:val="24"/>
          <w:lang w:val="en" w:eastAsia="zh-CN"/>
        </w:rPr>
      </w:pPr>
    </w:p>
    <w:sectPr>
      <w:pgSz w:w="11906" w:h="16838"/>
      <w:pgMar w:top="2041" w:right="1531" w:bottom="1871"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E7206"/>
    <w:rsid w:val="000E7206"/>
    <w:rsid w:val="00AB1309"/>
    <w:rsid w:val="00F943B8"/>
    <w:rsid w:val="023B6BC5"/>
    <w:rsid w:val="04067354"/>
    <w:rsid w:val="0B1F3F49"/>
    <w:rsid w:val="0E9E3317"/>
    <w:rsid w:val="15E41BE4"/>
    <w:rsid w:val="1C2D15D8"/>
    <w:rsid w:val="1FFD0B01"/>
    <w:rsid w:val="21FA68B7"/>
    <w:rsid w:val="231A4823"/>
    <w:rsid w:val="372633C5"/>
    <w:rsid w:val="4D5634BA"/>
    <w:rsid w:val="4FBF37CC"/>
    <w:rsid w:val="523D7AA5"/>
    <w:rsid w:val="59423BE6"/>
    <w:rsid w:val="5958BB8C"/>
    <w:rsid w:val="5AFE9599"/>
    <w:rsid w:val="5FFB1A18"/>
    <w:rsid w:val="65FA8523"/>
    <w:rsid w:val="6BD74869"/>
    <w:rsid w:val="6DFFA4E5"/>
    <w:rsid w:val="74345B31"/>
    <w:rsid w:val="75BE3905"/>
    <w:rsid w:val="793F2B10"/>
    <w:rsid w:val="7B763779"/>
    <w:rsid w:val="7CD327A1"/>
    <w:rsid w:val="7DF748D6"/>
    <w:rsid w:val="7FAF2E4A"/>
    <w:rsid w:val="7FFE4A5C"/>
    <w:rsid w:val="8BF7EC27"/>
    <w:rsid w:val="9D56124B"/>
    <w:rsid w:val="AAFB08D0"/>
    <w:rsid w:val="ABDFB1ED"/>
    <w:rsid w:val="BBEF16C4"/>
    <w:rsid w:val="BD394569"/>
    <w:rsid w:val="BDBFE17D"/>
    <w:rsid w:val="CB7F922A"/>
    <w:rsid w:val="D2A76D26"/>
    <w:rsid w:val="DFAB4714"/>
    <w:rsid w:val="DFFBDA1C"/>
    <w:rsid w:val="E7E9C1D4"/>
    <w:rsid w:val="ECEEF73B"/>
    <w:rsid w:val="EDEDA0D2"/>
    <w:rsid w:val="F3571ECD"/>
    <w:rsid w:val="F5FD61E4"/>
    <w:rsid w:val="F7BF01DD"/>
    <w:rsid w:val="FB7C4269"/>
    <w:rsid w:val="FDB6A510"/>
    <w:rsid w:val="FF75824C"/>
    <w:rsid w:val="FF7D1FF8"/>
    <w:rsid w:val="FFF7885E"/>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paragraph" w:customStyle="1" w:styleId="6">
    <w:name w:val="BT01"/>
    <w:next w:val="7"/>
    <w:qFormat/>
    <w:uiPriority w:val="0"/>
    <w:pPr>
      <w:keepNext w:val="0"/>
      <w:widowControl w:val="0"/>
      <w:spacing w:line="560" w:lineRule="exact"/>
      <w:ind w:firstLine="880" w:firstLineChars="200"/>
      <w:jc w:val="both"/>
      <w:outlineLvl w:val="1"/>
    </w:pPr>
    <w:rPr>
      <w:rFonts w:ascii="黑体" w:hAnsi="黑体" w:eastAsia="方正黑体_GBK" w:cs="Times New Roman"/>
      <w:sz w:val="32"/>
      <w:szCs w:val="32"/>
    </w:rPr>
  </w:style>
  <w:style w:type="paragraph" w:customStyle="1" w:styleId="7">
    <w:name w:val="BZWFS"/>
    <w:qFormat/>
    <w:uiPriority w:val="0"/>
    <w:pPr>
      <w:widowControl w:val="0"/>
      <w:spacing w:line="560" w:lineRule="exact"/>
      <w:ind w:firstLine="880" w:firstLineChars="200"/>
      <w:jc w:val="both"/>
    </w:pPr>
    <w:rPr>
      <w:rFonts w:ascii="仿宋_GB2312" w:hAnsi="仿宋_GB2312" w:eastAsia="仿宋_GB2312" w:cs="Times New Roman"/>
      <w:sz w:val="32"/>
      <w:szCs w:val="32"/>
    </w:rPr>
  </w:style>
  <w:style w:type="paragraph" w:customStyle="1" w:styleId="8">
    <w:name w:val="Basiclf"/>
    <w:qFormat/>
    <w:uiPriority w:val="0"/>
    <w:pPr>
      <w:widowControl w:val="0"/>
      <w:spacing w:line="560" w:lineRule="exact"/>
      <w:jc w:val="both"/>
    </w:pPr>
    <w:rPr>
      <w:rFonts w:ascii="仿宋_GB2312" w:hAnsi="仿宋_GB2312" w:eastAsia="仿宋_GB2312" w:cs="Times New Roman"/>
      <w:sz w:val="32"/>
      <w:szCs w:val="32"/>
    </w:rPr>
  </w:style>
  <w:style w:type="paragraph" w:customStyle="1" w:styleId="9">
    <w:name w:val="BT00"/>
    <w:qFormat/>
    <w:uiPriority w:val="0"/>
    <w:pPr>
      <w:widowControl w:val="0"/>
      <w:spacing w:line="640" w:lineRule="exact"/>
      <w:jc w:val="center"/>
      <w:outlineLvl w:val="0"/>
    </w:pPr>
    <w:rPr>
      <w:rFonts w:ascii="方正小标宋简体" w:hAnsi="方正小标宋简体" w:eastAsia="方正小标宋简体" w:cs="Times New Roman"/>
      <w:sz w:val="44"/>
      <w:szCs w:val="44"/>
    </w:rPr>
  </w:style>
  <w:style w:type="character" w:customStyle="1" w:styleId="10">
    <w:name w:val="l-btn-left2"/>
    <w:basedOn w:val="4"/>
    <w:qFormat/>
    <w:uiPriority w:val="0"/>
  </w:style>
  <w:style w:type="character" w:customStyle="1" w:styleId="11">
    <w:name w:val="l-btn-empty"/>
    <w:basedOn w:val="4"/>
    <w:qFormat/>
    <w:uiPriority w:val="0"/>
  </w:style>
  <w:style w:type="character" w:customStyle="1" w:styleId="12">
    <w:name w:val="l-btn-left"/>
    <w:basedOn w:val="4"/>
    <w:qFormat/>
    <w:uiPriority w:val="0"/>
  </w:style>
  <w:style w:type="character" w:customStyle="1" w:styleId="13">
    <w:name w:val="l-btn-left1"/>
    <w:basedOn w:val="4"/>
    <w:qFormat/>
    <w:uiPriority w:val="0"/>
  </w:style>
  <w:style w:type="character" w:customStyle="1" w:styleId="14">
    <w:name w:val="l-btn-left3"/>
    <w:basedOn w:val="4"/>
    <w:qFormat/>
    <w:uiPriority w:val="0"/>
  </w:style>
  <w:style w:type="character" w:customStyle="1" w:styleId="15">
    <w:name w:val="l-btn-text"/>
    <w:basedOn w:val="4"/>
    <w:qFormat/>
    <w:uiPriority w:val="0"/>
  </w:style>
  <w:style w:type="paragraph" w:customStyle="1" w:styleId="16">
    <w:name w:val="BT04"/>
    <w:qFormat/>
    <w:uiPriority w:val="0"/>
    <w:pPr>
      <w:spacing w:beforeLines="0" w:afterLines="0" w:line="560" w:lineRule="exact"/>
      <w:ind w:firstLine="880" w:firstLineChars="200"/>
    </w:pPr>
    <w:rPr>
      <w:rFonts w:ascii="楷体_GB2312" w:hAnsi="楷体_GB2312" w:eastAsia="楷体_GB2312" w:cs="楷体_GB2312"/>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16</Pages>
  <Words>9295</Words>
  <Characters>9470</Characters>
  <Lines>2</Lines>
  <Paragraphs>1</Paragraphs>
  <TotalTime>1</TotalTime>
  <ScaleCrop>false</ScaleCrop>
  <LinksUpToDate>false</LinksUpToDate>
  <CharactersWithSpaces>9677</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2020-08-24T07:09:00Z</dcterms:created>
  <dc:creator>陈泽波</dc:creator>
  <cp:lastModifiedBy>zhangl</cp:lastModifiedBy>
  <dcterms:modified xsi:type="dcterms:W3CDTF">2026-08-25T15:28:47Z</dcterms:modified>
  <dc:title>深建规〔2023〕XX号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KSOTemplateDocerSaveRecord">
    <vt:lpwstr>eyJoZGlkIjoiNDNmNzQ3YzY0YWJlZmRjZGU0OWU5ZWQ1MTY4ZTg2ZDIiLCJ1c2VySWQiOiI0MzQxNTMzODUifQ==</vt:lpwstr>
  </property>
  <property fmtid="{D5CDD505-2E9C-101B-9397-08002B2CF9AE}" pid="4" name="ICV">
    <vt:lpwstr>8B240EBC2ACF4FC284049FC5AF00B5F3_12</vt:lpwstr>
  </property>
</Properties>
</file>