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Style w:val="2"/>
        <w:widowControl/>
        <w:wordWrap w:val="0"/>
        <w:spacing w:before="0" w:beforeAutospacing="0" w:after="0" w:afterAutospacing="0"/>
        <w:jc w:val="center"/>
        <w:rPr>
          <w:rFonts w:hint="eastAsia" w:cs="宋体"/>
          <w:bCs/>
          <w:sz w:val="44"/>
          <w:szCs w:val="44"/>
        </w:rPr>
      </w:pPr>
      <w:bookmarkStart w:id="0" w:name="OLE_LINK7"/>
      <w:r>
        <w:rPr>
          <w:rFonts w:cs="宋体"/>
          <w:bCs/>
          <w:sz w:val="44"/>
          <w:szCs w:val="44"/>
        </w:rPr>
        <w:t>深圳市住房和建设局关于公布</w:t>
      </w:r>
      <w:r>
        <w:rPr>
          <w:rFonts w:hint="eastAsia" w:cs="宋体"/>
          <w:bCs/>
          <w:sz w:val="44"/>
          <w:szCs w:val="44"/>
          <w:lang w:eastAsia="zh-CN"/>
        </w:rPr>
        <w:t>《</w:t>
      </w:r>
      <w:r>
        <w:rPr>
          <w:rFonts w:hint="eastAsia" w:cs="宋体"/>
          <w:bCs/>
          <w:sz w:val="44"/>
          <w:szCs w:val="44"/>
        </w:rPr>
        <w:t>深圳地铁车辆段上盖建筑结构设计标准（征求意见稿）》</w:t>
      </w:r>
    </w:p>
    <w:p>
      <w:pPr>
        <w:pStyle w:val="2"/>
        <w:widowControl/>
        <w:wordWrap w:val="0"/>
        <w:spacing w:before="0" w:beforeAutospacing="0" w:after="0" w:afterAutospacing="0"/>
        <w:jc w:val="center"/>
        <w:rPr>
          <w:rFonts w:cs="宋体"/>
          <w:bCs/>
          <w:sz w:val="44"/>
          <w:szCs w:val="44"/>
        </w:rPr>
      </w:pPr>
      <w:r>
        <w:rPr>
          <w:rFonts w:cs="宋体"/>
          <w:bCs/>
          <w:sz w:val="44"/>
          <w:szCs w:val="44"/>
        </w:rPr>
        <w:t>意见征集采纳情况的反馈</w:t>
      </w:r>
    </w:p>
    <w:bookmarkEnd w:id="0"/>
    <w:p/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bookmarkStart w:id="3" w:name="_GoBack"/>
      <w:bookmarkEnd w:id="3"/>
      <w:bookmarkStart w:id="1" w:name="OLE_LINK3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各有关单位和个人：</w:t>
      </w:r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日至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18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日,深圳市住房和建设局通过门户网站对</w:t>
      </w:r>
      <w:bookmarkStart w:id="2" w:name="OLE_LINK6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《深圳地铁车辆段上盖建筑结构设计标准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（征求意见稿）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》</w:t>
      </w:r>
      <w:bookmarkEnd w:id="2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进行了公开征求意见,现将收集采纳市民群众意见和建议情况公告如下:</w:t>
      </w:r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shd w:val="clear" w:color="auto" w:fill="FFFFFF"/>
        </w:rPr>
        <w:t>一、收集意见和建议情况</w:t>
      </w:r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公开征求意见通知公布在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深圳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市住房和建设局门户网站,市民群众可以通过网站直接反馈意见和建议,此次共收到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份反馈意见,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6条有效意见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黑体" w:hAnsi="黑体" w:eastAsia="黑体" w:cs="黑体"/>
          <w:color w:val="auto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auto"/>
          <w:sz w:val="32"/>
          <w:szCs w:val="32"/>
          <w:shd w:val="clear" w:color="auto" w:fill="FFFFFF"/>
        </w:rPr>
        <w:t>二、部分采纳情况（详见附件）</w:t>
      </w:r>
      <w:bookmarkEnd w:id="1"/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感谢市民群众的积极参与并提出宝贵意见。</w:t>
      </w:r>
    </w:p>
    <w:p>
      <w:pPr>
        <w:snapToGrid w:val="0"/>
        <w:spacing w:line="560" w:lineRule="exact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附件：《深圳地铁车辆段上盖建筑结构设计标准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（征求意见稿）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》征求意见及处理情况统计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表（部分）</w:t>
      </w:r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</w:p>
    <w:p>
      <w:pPr>
        <w:pStyle w:val="13"/>
        <w:widowControl/>
        <w:shd w:val="clear" w:color="auto" w:fill="FFFFFF"/>
        <w:wordWrap w:val="0"/>
        <w:snapToGrid w:val="0"/>
        <w:spacing w:before="0" w:beforeAutospacing="0" w:after="0" w:afterAutospacing="0" w:line="24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</w:p>
    <w:p>
      <w:pPr>
        <w:pStyle w:val="13"/>
        <w:widowControl/>
        <w:shd w:val="clear" w:color="auto" w:fill="FFFFFF"/>
        <w:snapToGrid w:val="0"/>
        <w:spacing w:before="0" w:beforeAutospacing="0" w:after="0" w:afterAutospacing="0" w:line="240" w:lineRule="auto"/>
        <w:jc w:val="righ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深圳市住房和建设局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 xml:space="preserve">                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日</w:t>
      </w:r>
    </w:p>
    <w:p>
      <w:pPr>
        <w:sectPr>
          <w:pgSz w:w="11906" w:h="16838"/>
          <w:pgMar w:top="2041" w:right="1531" w:bottom="1871" w:left="1587" w:header="851" w:footer="992" w:gutter="0"/>
          <w:cols w:space="720" w:num="1"/>
          <w:docGrid w:type="lines" w:linePitch="312" w:charSpace="0"/>
        </w:sectPr>
      </w:pPr>
      <w:r>
        <w:br w:type="page"/>
      </w:r>
    </w:p>
    <w:p>
      <w:pPr>
        <w:pStyle w:val="13"/>
        <w:keepNext w:val="0"/>
        <w:keepLines w:val="0"/>
        <w:widowControl/>
        <w:suppressLineNumbers w:val="0"/>
        <w:shd w:val="clear" w:fill="FFFFFF"/>
        <w:wordWrap w:val="0"/>
        <w:snapToGrid w:val="0"/>
        <w:spacing w:before="0" w:beforeAutospacing="0" w:after="0" w:afterAutospacing="0" w:line="560" w:lineRule="exact"/>
        <w:ind w:right="0"/>
        <w:jc w:val="both"/>
        <w:rPr>
          <w:rFonts w:hint="eastAsia" w:ascii="Calibri" w:hAnsi="Calibri" w:eastAsia="宋体" w:cs="Times New Roman"/>
          <w:b/>
          <w:kern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/>
          <w:kern w:val="0"/>
          <w:sz w:val="24"/>
          <w:szCs w:val="24"/>
          <w:shd w:val="clear" w:fill="FFFFFF"/>
          <w:lang w:val="en-US" w:eastAsia="zh-CN" w:bidi="ar"/>
        </w:rPr>
        <w:t>附件：</w:t>
      </w:r>
    </w:p>
    <w:p>
      <w:pPr>
        <w:pStyle w:val="13"/>
        <w:keepNext w:val="0"/>
        <w:keepLines w:val="0"/>
        <w:widowControl/>
        <w:suppressLineNumbers w:val="0"/>
        <w:shd w:val="clear" w:fill="FFFFFF"/>
        <w:wordWrap w:val="0"/>
        <w:snapToGrid w:val="0"/>
        <w:spacing w:before="0" w:beforeAutospacing="0" w:after="0" w:afterAutospacing="0" w:line="560" w:lineRule="exact"/>
        <w:ind w:left="0" w:right="0"/>
        <w:jc w:val="center"/>
        <w:rPr>
          <w:rFonts w:hint="eastAsia" w:ascii="仿宋_GB2312" w:eastAsia="仿宋_GB2312" w:cs="仿宋_GB2312"/>
          <w:kern w:val="0"/>
          <w:sz w:val="32"/>
          <w:szCs w:val="32"/>
          <w:shd w:val="clear" w:fill="FFFFFF"/>
        </w:rPr>
      </w:pPr>
      <w:r>
        <w:rPr>
          <w:rFonts w:hint="eastAsia" w:ascii="仿宋_GB2312" w:hAnsi="宋体" w:eastAsia="仿宋_GB2312" w:cs="仿宋_GB2312"/>
          <w:kern w:val="0"/>
          <w:sz w:val="32"/>
          <w:szCs w:val="32"/>
          <w:shd w:val="clear" w:fill="FFFFFF"/>
          <w:lang w:val="en-US" w:eastAsia="zh-CN" w:bidi="ar"/>
        </w:rPr>
        <w:t>《深圳地铁车辆段上盖建筑结构设计标准（征求意见稿）》征求意见</w:t>
      </w:r>
    </w:p>
    <w:p>
      <w:pPr>
        <w:pStyle w:val="13"/>
        <w:keepNext w:val="0"/>
        <w:keepLines w:val="0"/>
        <w:widowControl/>
        <w:suppressLineNumbers w:val="0"/>
        <w:shd w:val="clear" w:fill="FFFFFF"/>
        <w:wordWrap w:val="0"/>
        <w:snapToGrid w:val="0"/>
        <w:spacing w:before="0" w:beforeAutospacing="0" w:after="0" w:afterAutospacing="0" w:line="560" w:lineRule="exact"/>
        <w:ind w:left="0" w:right="0"/>
        <w:jc w:val="center"/>
        <w:rPr>
          <w:rFonts w:hint="eastAsia" w:ascii="Calibri" w:hAnsi="Calibri" w:eastAsia="宋体" w:cs="Times New Roman"/>
          <w:b/>
          <w:kern w:val="0"/>
          <w:sz w:val="24"/>
          <w:szCs w:val="24"/>
          <w:shd w:val="clear" w:fill="FFFFFF"/>
        </w:rPr>
      </w:pPr>
      <w:r>
        <w:rPr>
          <w:rFonts w:hint="eastAsia" w:ascii="仿宋_GB2312" w:hAnsi="宋体" w:eastAsia="仿宋_GB2312" w:cs="仿宋_GB2312"/>
          <w:kern w:val="0"/>
          <w:sz w:val="32"/>
          <w:szCs w:val="32"/>
          <w:shd w:val="clear" w:fill="FFFFFF"/>
          <w:lang w:val="en-US" w:eastAsia="zh-CN" w:bidi="ar"/>
        </w:rPr>
        <w:t>及处理情况统计表（部分）</w:t>
      </w:r>
    </w:p>
    <w:tbl>
      <w:tblPr>
        <w:tblStyle w:val="14"/>
        <w:tblW w:w="138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1160"/>
        <w:gridCol w:w="6339"/>
        <w:gridCol w:w="1095"/>
        <w:gridCol w:w="443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9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99999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</w:rPr>
            </w:pPr>
            <w:r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116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9999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条文</w:t>
            </w:r>
          </w:p>
        </w:tc>
        <w:tc>
          <w:tcPr>
            <w:tcW w:w="6339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9999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修改意见</w:t>
            </w:r>
          </w:p>
        </w:tc>
        <w:tc>
          <w:tcPr>
            <w:tcW w:w="1095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9999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处理情况</w:t>
            </w:r>
          </w:p>
        </w:tc>
        <w:tc>
          <w:tcPr>
            <w:tcW w:w="4437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99999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原因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9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.1.3</w:t>
            </w:r>
          </w:p>
        </w:tc>
        <w:tc>
          <w:tcPr>
            <w:tcW w:w="63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车辆基地 “地铁系统的车辆停修和后勤保障基地，通常包括车辆段（停车场）、综合维修中心、物资总库、培训中心等部分，”基地一般指“上盖”以下的功能，“培训中心”为学习场所，一般设置在“盖上”，故建议取消“培训中心”字眼。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解释说明</w:t>
            </w:r>
          </w:p>
        </w:tc>
        <w:tc>
          <w:tcPr>
            <w:tcW w:w="4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此处仅解释“车辆基地”所包含的相关设施或场所。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9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.1.6</w:t>
            </w:r>
          </w:p>
        </w:tc>
        <w:tc>
          <w:tcPr>
            <w:tcW w:w="63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 xml:space="preserve">盖板 </w:t>
            </w:r>
            <w:r>
              <w:rPr>
                <w:rFonts w:hint="default" w:ascii="Calibri" w:hAnsi="Calibri" w:eastAsia="宋体" w:cs="Calibri"/>
                <w:kern w:val="2"/>
                <w:sz w:val="21"/>
                <w:szCs w:val="21"/>
                <w:lang w:val="en-US" w:eastAsia="zh-CN" w:bidi="ar"/>
              </w:rPr>
              <w:t xml:space="preserve">top cover plan 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通常指车辆基地与其上部其他功能场所之间的分隔楼板，区别于白地（与车辆基地上部空间同时出让的周边其它土地），是车辆基地上方建造的、承载上盖建筑的分界面。</w:t>
            </w:r>
            <w:r>
              <w:rPr>
                <w:rFonts w:hint="default" w:ascii="Calibri" w:hAnsi="Calibri" w:eastAsia="宋体" w:cs="Calibri"/>
                <w:kern w:val="2"/>
                <w:sz w:val="21"/>
                <w:szCs w:val="21"/>
                <w:lang w:val="en-US" w:eastAsia="zh-CN" w:bidi="ar"/>
              </w:rPr>
              <w:t>---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定义不明确，建议改为“通常指车辆基地与其上盖建筑之间的分隔楼板，区别于白地（与车辆基地上部空间同时出让的周边其它土地），可视为上盖建筑的地下室底板。”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部分采纳</w:t>
            </w:r>
          </w:p>
        </w:tc>
        <w:tc>
          <w:tcPr>
            <w:tcW w:w="4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9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.0.1</w:t>
            </w:r>
          </w:p>
        </w:tc>
        <w:tc>
          <w:tcPr>
            <w:tcW w:w="63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车辆基地与上盖建筑宜统一规划，优先采用一体化设计。分期开发时，车辆基地布置宜为上盖建筑功能布局提供灵活性；上盖建筑布局宜为车辆基地空间提供自然采光和自然通风的条件；上盖建筑结构设计时，应对盖下结构的承载力和变形能力进行复核，保证盖下及整体结构安全。</w:t>
            </w:r>
            <w:r>
              <w:rPr>
                <w:rFonts w:hint="default" w:ascii="Calibri" w:hAnsi="Calibri" w:eastAsia="宋体" w:cs="Calibri"/>
                <w:kern w:val="2"/>
                <w:sz w:val="21"/>
                <w:szCs w:val="21"/>
                <w:lang w:val="en-US" w:eastAsia="zh-CN" w:bidi="ar"/>
              </w:rPr>
              <w:t>----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建议改为“</w:t>
            </w:r>
            <w:r>
              <w:rPr>
                <w:rFonts w:hint="default" w:ascii="Calibri" w:hAnsi="Calibri" w:eastAsia="宋体" w:cs="Calibri"/>
                <w:kern w:val="2"/>
                <w:sz w:val="21"/>
                <w:szCs w:val="21"/>
                <w:lang w:val="en-US" w:eastAsia="zh-CN" w:bidi="ar"/>
              </w:rPr>
              <w:t>3.0.1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车辆基地建设与上盖开发宜统一规划与功能策划，优先采用一体化设计。上盖开发主体不一致或分期开发时，车辆基地设计院应提供已策划的上盖概念方案，车辆基地布置宜为上盖建筑功能布局提供灵活性；上盖建筑布局宜为车辆基地空间提供自然采光和自然通风的条件；上盖建筑设计院进行结构设计时，应由盖下车辆基地设计院复核并确认结构的承载力和变形能力，保证盖下及整体结构安全。”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解释说明</w:t>
            </w:r>
          </w:p>
        </w:tc>
        <w:tc>
          <w:tcPr>
            <w:tcW w:w="4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、“规划”包含“功能策划”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hint="eastAsia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、盖板土地确权是一个复杂的过程，分期开发已可确定开发主体不一致。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、车辆基地设计与上盖设计分属工业建筑与民用建筑，车辆基地设计院不可能，也没有能力策划上盖概念方案。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、车辆基地设计院对车辆基地使用安全负责，上盖设计院对结构整体安全负责，指定车辆基地设计院复核承载力容易造成权责不清。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9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4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.0.1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.0.2</w:t>
            </w:r>
          </w:p>
        </w:tc>
        <w:tc>
          <w:tcPr>
            <w:tcW w:w="63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出现了“上盖建筑”与“上盖空间”，“上盖建筑开发”与“物业开发”等不同用词，意思是否一致？要否解释？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部分采纳</w:t>
            </w:r>
          </w:p>
        </w:tc>
        <w:tc>
          <w:tcPr>
            <w:tcW w:w="4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9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.2.6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.2.7</w:t>
            </w:r>
          </w:p>
        </w:tc>
        <w:tc>
          <w:tcPr>
            <w:tcW w:w="63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当车辆基地楼层既是薄弱层又是软弱层时</w:t>
            </w:r>
            <w:r>
              <w:rPr>
                <w:rFonts w:hint="default" w:ascii="Calibri" w:hAnsi="Calibri" w:eastAsia="宋体" w:cs="Calibri"/>
                <w:kern w:val="2"/>
                <w:sz w:val="21"/>
                <w:szCs w:val="21"/>
                <w:lang w:val="en-US" w:eastAsia="zh-CN" w:bidi="ar"/>
              </w:rPr>
              <w:t>...----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“车辆基地楼层”是否指“盖板”？车辆基地建筑不应包含在“上盖建筑”的内容。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解释说明</w:t>
            </w:r>
          </w:p>
        </w:tc>
        <w:tc>
          <w:tcPr>
            <w:tcW w:w="4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车辆基地与上盖建筑虽然是分期开发，但完成后是一个整体建筑，设计需按整体分析，盖板只是整体建筑的一层楼板，</w:t>
            </w:r>
            <w:r>
              <w:rPr>
                <w:rFonts w:hint="eastAsia" w:ascii="Calibri" w:hAnsi="Calibri" w:eastAsia="宋体" w:cs="Times New Roman"/>
                <w:kern w:val="0"/>
                <w:sz w:val="21"/>
                <w:szCs w:val="21"/>
                <w:lang w:val="en-US" w:eastAsia="zh-CN" w:bidi="ar"/>
              </w:rPr>
              <w:t>而“楼层”是建筑整层空间。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9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.2.9</w:t>
            </w:r>
          </w:p>
        </w:tc>
        <w:tc>
          <w:tcPr>
            <w:tcW w:w="6339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车辆基地盖板的厚度不宜小于</w:t>
            </w:r>
            <w:r>
              <w:rPr>
                <w:rFonts w:hint="default" w:ascii="Calibri" w:hAnsi="Calibri" w:eastAsia="宋体" w:cs="Calibri"/>
                <w:kern w:val="2"/>
                <w:sz w:val="21"/>
                <w:szCs w:val="21"/>
                <w:lang w:val="en-US" w:eastAsia="zh-CN" w:bidi="ar"/>
              </w:rPr>
              <w:t>200mm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。考虑盖板商业业态与防火，建议按地下室底板的设计厚度，改厚度“</w:t>
            </w:r>
            <w:r>
              <w:rPr>
                <w:rFonts w:hint="default" w:ascii="Calibri" w:hAnsi="Calibri" w:eastAsia="宋体" w:cs="Calibri"/>
                <w:kern w:val="2"/>
                <w:sz w:val="21"/>
                <w:szCs w:val="21"/>
                <w:lang w:val="en-US" w:eastAsia="zh-CN" w:bidi="ar"/>
              </w:rPr>
              <w:t>300mm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”。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解释说明</w:t>
            </w:r>
          </w:p>
        </w:tc>
        <w:tc>
          <w:tcPr>
            <w:tcW w:w="4437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color w:val="000000"/>
                <w:kern w:val="0"/>
                <w:sz w:val="21"/>
                <w:szCs w:val="21"/>
                <w:lang w:val="en-US" w:eastAsia="zh-CN" w:bidi="ar"/>
              </w:rPr>
              <w:t>楼板厚度控制为“</w:t>
            </w:r>
            <w:r>
              <w:rPr>
                <w:rFonts w:hint="default" w:ascii="Calibri" w:hAnsi="Calibri" w:eastAsia="宋体" w:cs="Calibri"/>
                <w:color w:val="000000"/>
                <w:kern w:val="0"/>
                <w:sz w:val="21"/>
                <w:szCs w:val="21"/>
                <w:lang w:val="en-US" w:eastAsia="zh-CN" w:bidi="ar"/>
              </w:rPr>
              <w:t>200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”是基于结构受力和防火而定的最小厚度，设计时，工程师可根据实际情况选择板厚度。</w:t>
            </w:r>
          </w:p>
        </w:tc>
      </w:tr>
    </w:tbl>
    <w:p/>
    <w:p>
      <w:pPr>
        <w:rPr>
          <w:rFonts w:hint="eastAsia"/>
          <w:lang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E0904A"/>
    <w:multiLevelType w:val="multilevel"/>
    <w:tmpl w:val="5FE0904A"/>
    <w:lvl w:ilvl="0" w:tentative="0">
      <w:start w:val="1"/>
      <w:numFmt w:val="japaneseCounting"/>
      <w:lvlText w:val="第%1条"/>
      <w:lvlJc w:val="left"/>
      <w:pPr>
        <w:tabs>
          <w:tab w:val="left" w:pos="1200"/>
        </w:tabs>
        <w:ind w:left="1200" w:hanging="960"/>
      </w:pPr>
      <w:rPr>
        <w:rFonts w:hint="eastAsia"/>
      </w:rPr>
    </w:lvl>
    <w:lvl w:ilvl="1" w:tentative="0">
      <w:start w:val="1"/>
      <w:numFmt w:val="decimal"/>
      <w:pStyle w:val="3"/>
      <w:lvlText w:val="%2."/>
      <w:lvlJc w:val="left"/>
      <w:pPr>
        <w:tabs>
          <w:tab w:val="left" w:pos="1779"/>
        </w:tabs>
        <w:ind w:left="1779" w:hanging="360"/>
      </w:pPr>
      <w:rPr>
        <w:rFonts w:hint="eastAsia"/>
      </w:rPr>
    </w:lvl>
    <w:lvl w:ilvl="2" w:tentative="0">
      <w:start w:val="1"/>
      <w:numFmt w:val="decimal"/>
      <w:pStyle w:val="4"/>
      <w:lvlText w:val="%3."/>
      <w:lvlJc w:val="left"/>
      <w:pPr>
        <w:tabs>
          <w:tab w:val="left" w:pos="2400"/>
        </w:tabs>
        <w:ind w:left="2400" w:hanging="360"/>
      </w:pPr>
      <w:rPr>
        <w:rFonts w:hint="eastAsia"/>
      </w:rPr>
    </w:lvl>
    <w:lvl w:ilvl="3" w:tentative="0">
      <w:start w:val="1"/>
      <w:numFmt w:val="decimal"/>
      <w:pStyle w:val="5"/>
      <w:lvlText w:val="%4."/>
      <w:lvlJc w:val="left"/>
      <w:pPr>
        <w:tabs>
          <w:tab w:val="left" w:pos="3120"/>
        </w:tabs>
        <w:ind w:left="3120" w:hanging="360"/>
      </w:pPr>
      <w:rPr>
        <w:rFonts w:hint="eastAsia"/>
      </w:rPr>
    </w:lvl>
    <w:lvl w:ilvl="4" w:tentative="0">
      <w:start w:val="1"/>
      <w:numFmt w:val="decimal"/>
      <w:pStyle w:val="6"/>
      <w:lvlText w:val="%5."/>
      <w:lvlJc w:val="left"/>
      <w:pPr>
        <w:tabs>
          <w:tab w:val="left" w:pos="3840"/>
        </w:tabs>
        <w:ind w:left="3840" w:hanging="360"/>
      </w:pPr>
      <w:rPr>
        <w:rFonts w:hint="eastAsia"/>
      </w:rPr>
    </w:lvl>
    <w:lvl w:ilvl="5" w:tentative="0">
      <w:start w:val="1"/>
      <w:numFmt w:val="decimal"/>
      <w:pStyle w:val="7"/>
      <w:lvlText w:val="%6."/>
      <w:lvlJc w:val="left"/>
      <w:pPr>
        <w:tabs>
          <w:tab w:val="left" w:pos="4560"/>
        </w:tabs>
        <w:ind w:left="4560" w:hanging="360"/>
      </w:pPr>
      <w:rPr>
        <w:rFonts w:hint="eastAsia"/>
      </w:rPr>
    </w:lvl>
    <w:lvl w:ilvl="6" w:tentative="0">
      <w:start w:val="1"/>
      <w:numFmt w:val="decimal"/>
      <w:pStyle w:val="8"/>
      <w:lvlText w:val="%7."/>
      <w:lvlJc w:val="left"/>
      <w:pPr>
        <w:tabs>
          <w:tab w:val="left" w:pos="5280"/>
        </w:tabs>
        <w:ind w:left="5280" w:hanging="360"/>
      </w:pPr>
      <w:rPr>
        <w:rFonts w:hint="eastAsia"/>
      </w:rPr>
    </w:lvl>
    <w:lvl w:ilvl="7" w:tentative="0">
      <w:start w:val="1"/>
      <w:numFmt w:val="decimal"/>
      <w:pStyle w:val="9"/>
      <w:lvlText w:val="%8."/>
      <w:lvlJc w:val="left"/>
      <w:pPr>
        <w:tabs>
          <w:tab w:val="left" w:pos="6000"/>
        </w:tabs>
        <w:ind w:left="6000" w:hanging="360"/>
      </w:pPr>
      <w:rPr>
        <w:rFonts w:hint="eastAsia"/>
      </w:rPr>
    </w:lvl>
    <w:lvl w:ilvl="8" w:tentative="0">
      <w:start w:val="1"/>
      <w:numFmt w:val="decimal"/>
      <w:pStyle w:val="10"/>
      <w:lvlText w:val="%9."/>
      <w:lvlJc w:val="left"/>
      <w:pPr>
        <w:tabs>
          <w:tab w:val="left" w:pos="6720"/>
        </w:tabs>
        <w:ind w:left="6720" w:hanging="36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normal"/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B82A4B"/>
    <w:rsid w:val="007E610C"/>
    <w:rsid w:val="01145CB6"/>
    <w:rsid w:val="0620248E"/>
    <w:rsid w:val="0A7E5877"/>
    <w:rsid w:val="0CC05682"/>
    <w:rsid w:val="0E802F48"/>
    <w:rsid w:val="0EEA0632"/>
    <w:rsid w:val="17192B79"/>
    <w:rsid w:val="1C0B0620"/>
    <w:rsid w:val="37201F96"/>
    <w:rsid w:val="41BB2C77"/>
    <w:rsid w:val="456B6D6F"/>
    <w:rsid w:val="4DB82A4B"/>
    <w:rsid w:val="4E012214"/>
    <w:rsid w:val="4F7C607A"/>
    <w:rsid w:val="5168630F"/>
    <w:rsid w:val="54263B4E"/>
    <w:rsid w:val="69E901F3"/>
    <w:rsid w:val="6C2B30CA"/>
    <w:rsid w:val="6F3749E7"/>
    <w:rsid w:val="70BB3504"/>
    <w:rsid w:val="746C302B"/>
    <w:rsid w:val="78470B2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qFormat="1"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0"/>
    <w:pPr>
      <w:keepNext/>
      <w:keepLines/>
      <w:tabs>
        <w:tab w:val="left" w:pos="567"/>
      </w:tabs>
      <w:spacing w:before="200" w:beforeLines="0" w:after="200" w:afterLines="0" w:line="360" w:lineRule="auto"/>
      <w:jc w:val="center"/>
      <w:outlineLvl w:val="0"/>
    </w:pPr>
    <w:rPr>
      <w:rFonts w:ascii="宋体" w:hAnsi="宋体" w:eastAsia="黑体" w:cs="Times New Roman"/>
      <w:b/>
      <w:bCs/>
      <w:kern w:val="44"/>
      <w:sz w:val="28"/>
      <w:szCs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1"/>
      </w:numPr>
      <w:spacing w:before="260" w:beforeLines="0" w:beforeAutospacing="0" w:after="260" w:afterLines="0" w:afterAutospacing="0" w:line="413" w:lineRule="auto"/>
      <w:ind w:left="1779" w:hanging="360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20"/>
    <w:unhideWhenUsed/>
    <w:qFormat/>
    <w:uiPriority w:val="0"/>
    <w:pPr>
      <w:keepNext/>
      <w:keepLines/>
      <w:numPr>
        <w:ilvl w:val="2"/>
        <w:numId w:val="1"/>
      </w:numPr>
      <w:tabs>
        <w:tab w:val="left" w:pos="720"/>
      </w:tabs>
      <w:spacing w:before="260" w:beforeLines="0" w:after="260" w:afterLines="0" w:line="416" w:lineRule="auto"/>
      <w:outlineLvl w:val="2"/>
    </w:pPr>
    <w:rPr>
      <w:rFonts w:ascii="黑体" w:hAnsi="黑体" w:eastAsia="黑体" w:cs="黑体"/>
      <w:b/>
      <w:bCs/>
      <w:szCs w:val="21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3120" w:hanging="360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3840" w:hanging="360"/>
      <w:outlineLvl w:val="4"/>
    </w:pPr>
    <w:rPr>
      <w:b/>
      <w:sz w:val="28"/>
    </w:rPr>
  </w:style>
  <w:style w:type="paragraph" w:styleId="7">
    <w:name w:val="heading 6"/>
    <w:basedOn w:val="1"/>
    <w:next w:val="1"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4560" w:hanging="360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5280" w:hanging="360"/>
      <w:outlineLvl w:val="6"/>
    </w:pPr>
    <w:rPr>
      <w:b/>
      <w:sz w:val="24"/>
    </w:rPr>
  </w:style>
  <w:style w:type="paragraph" w:styleId="9">
    <w:name w:val="heading 8"/>
    <w:basedOn w:val="1"/>
    <w:next w:val="1"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6000" w:hanging="36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6720" w:hanging="360"/>
      <w:outlineLvl w:val="8"/>
    </w:pPr>
    <w:rPr>
      <w:rFonts w:ascii="Arial" w:hAnsi="Arial" w:eastAsia="黑体"/>
      <w:sz w:val="21"/>
    </w:rPr>
  </w:style>
  <w:style w:type="character" w:default="1" w:styleId="15">
    <w:name w:val="Default Paragraph Font"/>
    <w:unhideWhenUsed/>
    <w:qFormat/>
    <w:uiPriority w:val="1"/>
  </w:style>
  <w:style w:type="table" w:default="1" w:styleId="14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Number 2"/>
    <w:basedOn w:val="1"/>
    <w:link w:val="18"/>
    <w:uiPriority w:val="0"/>
    <w:pPr>
      <w:tabs>
        <w:tab w:val="left" w:pos="780"/>
      </w:tabs>
      <w:spacing w:line="360" w:lineRule="auto"/>
      <w:ind w:left="780" w:leftChars="200" w:hanging="360" w:hangingChars="200"/>
      <w:jc w:val="both"/>
    </w:pPr>
    <w:rPr>
      <w:rFonts w:ascii="Times New Roman" w:hAnsi="Times New Roman" w:eastAsia="黑体" w:cs="Times New Roman"/>
    </w:rPr>
  </w:style>
  <w:style w:type="paragraph" w:styleId="12">
    <w:name w:val="List Number"/>
    <w:basedOn w:val="1"/>
    <w:next w:val="1"/>
    <w:link w:val="19"/>
    <w:qFormat/>
    <w:uiPriority w:val="0"/>
    <w:pPr>
      <w:tabs>
        <w:tab w:val="left" w:pos="360"/>
      </w:tabs>
      <w:spacing w:beforeLines="0" w:afterLines="0" w:line="360" w:lineRule="auto"/>
      <w:ind w:left="560" w:hanging="560" w:hangingChars="200"/>
      <w:jc w:val="both"/>
    </w:pPr>
    <w:rPr>
      <w:rFonts w:ascii="Times New Roman" w:hAnsi="Times New Roman" w:eastAsia="黑体" w:cs="Times New Roman"/>
      <w:b/>
      <w:color w:val="333300"/>
      <w:szCs w:val="21"/>
    </w:rPr>
  </w:style>
  <w:style w:type="paragraph" w:styleId="13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customStyle="1" w:styleId="16">
    <w:name w:val="条的编号 黑体5号"/>
    <w:basedOn w:val="1"/>
    <w:qFormat/>
    <w:uiPriority w:val="0"/>
    <w:pPr>
      <w:spacing w:beforeLines="0" w:afterLines="0" w:line="288" w:lineRule="auto"/>
      <w:jc w:val="both"/>
    </w:pPr>
    <w:rPr>
      <w:rFonts w:ascii="Times New Roman" w:hAnsi="Times New Roman" w:eastAsia="黑体" w:cs="Times New Roman"/>
    </w:rPr>
  </w:style>
  <w:style w:type="character" w:customStyle="1" w:styleId="17">
    <w:name w:val="标题 1 Char"/>
    <w:basedOn w:val="15"/>
    <w:link w:val="2"/>
    <w:qFormat/>
    <w:locked/>
    <w:uiPriority w:val="0"/>
    <w:rPr>
      <w:rFonts w:ascii="宋体" w:hAnsi="宋体" w:eastAsia="黑体" w:cs="Times New Roman"/>
      <w:b/>
      <w:bCs/>
      <w:kern w:val="44"/>
      <w:sz w:val="28"/>
      <w:szCs w:val="44"/>
      <w:lang w:val="en-US" w:eastAsia="zh-CN" w:bidi="ar-SA"/>
    </w:rPr>
  </w:style>
  <w:style w:type="character" w:customStyle="1" w:styleId="18">
    <w:name w:val="列表编号 2 Char"/>
    <w:link w:val="11"/>
    <w:uiPriority w:val="99"/>
    <w:rPr>
      <w:rFonts w:ascii="Times New Roman" w:hAnsi="Times New Roman" w:eastAsia="黑体" w:cs="Times New Roman"/>
    </w:rPr>
  </w:style>
  <w:style w:type="character" w:customStyle="1" w:styleId="19">
    <w:name w:val="列表编号 Char"/>
    <w:link w:val="12"/>
    <w:qFormat/>
    <w:uiPriority w:val="99"/>
    <w:rPr>
      <w:rFonts w:ascii="Times New Roman" w:hAnsi="Times New Roman" w:eastAsia="黑体" w:cs="Times New Roman"/>
      <w:b/>
      <w:color w:val="333300"/>
      <w:szCs w:val="21"/>
    </w:rPr>
  </w:style>
  <w:style w:type="character" w:customStyle="1" w:styleId="20">
    <w:name w:val="标题 3 Char"/>
    <w:basedOn w:val="15"/>
    <w:link w:val="4"/>
    <w:qFormat/>
    <w:uiPriority w:val="0"/>
    <w:rPr>
      <w:rFonts w:ascii="黑体" w:hAnsi="黑体" w:eastAsia="黑体" w:cs="黑体"/>
      <w:b/>
      <w:bCs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2022-03-09T03:17:00Z</dcterms:created>
  <dc:creator>张希</dc:creator>
  <cp:lastModifiedBy>  M</cp:lastModifiedBy>
  <dcterms:modified xsi:type="dcterms:W3CDTF">2022-03-10T01:26:35Z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603A32FD15EF456491253D9163FE2986</vt:lpwstr>
  </property>
</Properties>
</file>