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widowControl/>
        <w:spacing w:beforeAutospacing="0" w:afterAutospacing="0" w:line="560" w:lineRule="exact"/>
        <w:jc w:val="both"/>
        <w:rPr>
          <w:rFonts w:hint="eastAsia" w:ascii="黑体" w:hAnsi="黑体" w:eastAsia="黑体" w:cs="黑体"/>
          <w:sz w:val="32"/>
          <w:szCs w:val="32"/>
          <w:lang w:val="en" w:bidi="ar"/>
        </w:rPr>
      </w:pPr>
      <w:r>
        <w:rPr>
          <w:rFonts w:hint="eastAsia" w:ascii="黑体" w:hAnsi="黑体" w:eastAsia="黑体" w:cs="黑体"/>
          <w:sz w:val="32"/>
          <w:szCs w:val="32"/>
          <w:lang w:val="en" w:bidi="ar"/>
        </w:rPr>
        <w:t>附件</w:t>
      </w:r>
    </w:p>
    <w:p>
      <w:pPr>
        <w:pStyle w:val="7"/>
        <w:widowControl/>
        <w:spacing w:beforeAutospacing="0" w:afterAutospacing="0" w:line="560" w:lineRule="exact"/>
        <w:jc w:val="center"/>
        <w:rPr>
          <w:rFonts w:hint="eastAsia" w:ascii="方正小标宋简体" w:hAnsi="方正小标宋简体" w:eastAsia="方正小标宋简体" w:cs="方正小标宋简体"/>
          <w:sz w:val="32"/>
          <w:szCs w:val="32"/>
          <w:lang w:bidi="ar"/>
        </w:rPr>
      </w:pPr>
      <w:r>
        <w:rPr>
          <w:rFonts w:hint="eastAsia" w:ascii="方正小标宋简体" w:hAnsi="方正小标宋简体" w:eastAsia="方正小标宋简体" w:cs="方正小标宋简体"/>
          <w:sz w:val="32"/>
          <w:szCs w:val="32"/>
          <w:lang w:val="en-US" w:eastAsia="zh-CN" w:bidi="ar"/>
        </w:rPr>
        <w:t>《深圳市建设工程竣工联合验收管理办法（修订征求意见稿）》</w:t>
      </w:r>
      <w:r>
        <w:rPr>
          <w:rFonts w:hint="eastAsia" w:ascii="方正小标宋简体" w:hAnsi="方正小标宋简体" w:eastAsia="方正小标宋简体" w:cs="方正小标宋简体"/>
          <w:sz w:val="32"/>
          <w:szCs w:val="32"/>
          <w:lang w:bidi="ar"/>
        </w:rPr>
        <w:t>公开征求意见及采纳情况汇总表</w:t>
      </w:r>
    </w:p>
    <w:p>
      <w:pPr>
        <w:spacing w:line="560" w:lineRule="exact"/>
        <w:jc w:val="center"/>
        <w:rPr>
          <w:rFonts w:hint="eastAsia" w:ascii="仿宋_GB2312" w:hAnsi="仿宋_GB2312" w:eastAsia="仿宋_GB2312" w:cs="仿宋_GB2312"/>
          <w:color w:val="000000" w:themeColor="text1"/>
          <w:sz w:val="24"/>
          <w:szCs w:val="24"/>
          <w14:textFill>
            <w14:solidFill>
              <w14:schemeClr w14:val="tx1"/>
            </w14:solidFill>
          </w14:textFill>
        </w:rPr>
      </w:pPr>
      <w:r>
        <w:rPr>
          <w:rFonts w:hint="eastAsia" w:ascii="仿宋_GB2312" w:hAnsi="仿宋_GB2312" w:eastAsia="仿宋_GB2312" w:cs="仿宋_GB2312"/>
          <w:color w:val="000000" w:themeColor="text1"/>
          <w:sz w:val="24"/>
          <w:szCs w:val="24"/>
          <w14:textFill>
            <w14:solidFill>
              <w14:schemeClr w14:val="tx1"/>
            </w14:solidFill>
          </w14:textFill>
        </w:rPr>
        <w:t>（本次</w:t>
      </w:r>
      <w:r>
        <w:rPr>
          <w:rFonts w:hint="eastAsia" w:ascii="仿宋_GB2312" w:hAnsi="仿宋_GB2312" w:eastAsia="仿宋_GB2312" w:cs="仿宋_GB2312"/>
          <w:color w:val="000000" w:themeColor="text1"/>
          <w:sz w:val="24"/>
          <w:szCs w:val="24"/>
          <w:lang w:val="en"/>
          <w14:textFill>
            <w14:solidFill>
              <w14:schemeClr w14:val="tx1"/>
            </w14:solidFill>
          </w14:textFill>
        </w:rPr>
        <w:t>共收到有效意见</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10</w:t>
      </w:r>
      <w:r>
        <w:rPr>
          <w:rFonts w:hint="eastAsia" w:ascii="仿宋_GB2312" w:hAnsi="仿宋_GB2312" w:eastAsia="仿宋_GB2312" w:cs="仿宋_GB2312"/>
          <w:color w:val="000000" w:themeColor="text1"/>
          <w:sz w:val="24"/>
          <w:szCs w:val="24"/>
          <w:lang w:val="en"/>
          <w14:textFill>
            <w14:solidFill>
              <w14:schemeClr w14:val="tx1"/>
            </w14:solidFill>
          </w14:textFill>
        </w:rPr>
        <w:t>条，采纳</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1</w:t>
      </w:r>
      <w:r>
        <w:rPr>
          <w:rFonts w:hint="eastAsia" w:ascii="仿宋_GB2312" w:hAnsi="仿宋_GB2312" w:eastAsia="仿宋_GB2312" w:cs="仿宋_GB2312"/>
          <w:color w:val="000000" w:themeColor="text1"/>
          <w:sz w:val="24"/>
          <w:szCs w:val="24"/>
          <w:lang w:val="en"/>
          <w14:textFill>
            <w14:solidFill>
              <w14:schemeClr w14:val="tx1"/>
            </w14:solidFill>
          </w14:textFill>
        </w:rPr>
        <w:t>条</w:t>
      </w:r>
      <w:r>
        <w:rPr>
          <w:rFonts w:hint="eastAsia" w:ascii="仿宋_GB2312" w:hAnsi="仿宋_GB2312" w:eastAsia="仿宋_GB2312" w:cs="仿宋_GB2312"/>
          <w:color w:val="000000" w:themeColor="text1"/>
          <w:sz w:val="24"/>
          <w:szCs w:val="24"/>
          <w:lang w:val="en" w:eastAsia="zh-CN"/>
          <w14:textFill>
            <w14:solidFill>
              <w14:schemeClr w14:val="tx1"/>
            </w14:solidFill>
          </w14:textFill>
        </w:rPr>
        <w:t>，解释说明</w:t>
      </w:r>
      <w:r>
        <w:rPr>
          <w:rFonts w:hint="eastAsia" w:ascii="仿宋_GB2312" w:hAnsi="仿宋_GB2312" w:eastAsia="仿宋_GB2312" w:cs="仿宋_GB2312"/>
          <w:color w:val="000000" w:themeColor="text1"/>
          <w:sz w:val="24"/>
          <w:szCs w:val="24"/>
          <w:lang w:val="en-US" w:eastAsia="zh-CN"/>
          <w14:textFill>
            <w14:solidFill>
              <w14:schemeClr w14:val="tx1"/>
            </w14:solidFill>
          </w14:textFill>
        </w:rPr>
        <w:t>8条、不采纳1条</w:t>
      </w:r>
      <w:r>
        <w:rPr>
          <w:rFonts w:hint="eastAsia" w:ascii="仿宋_GB2312" w:hAnsi="仿宋_GB2312" w:eastAsia="仿宋_GB2312" w:cs="仿宋_GB2312"/>
          <w:color w:val="000000" w:themeColor="text1"/>
          <w:sz w:val="24"/>
          <w:szCs w:val="24"/>
          <w14:textFill>
            <w14:solidFill>
              <w14:schemeClr w14:val="tx1"/>
            </w14:solidFill>
          </w14:textFill>
        </w:rPr>
        <w:t>）</w:t>
      </w:r>
    </w:p>
    <w:tbl>
      <w:tblPr>
        <w:tblStyle w:val="10"/>
        <w:tblW w:w="494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2"/>
        <w:gridCol w:w="6394"/>
        <w:gridCol w:w="1295"/>
        <w:gridCol w:w="5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tblHeader/>
          <w:jc w:val="center"/>
        </w:trPr>
        <w:tc>
          <w:tcPr>
            <w:tcW w:w="283" w:type="pct"/>
            <w:shd w:val="clear" w:color="auto" w:fill="BEBEBE" w:themeFill="background1" w:themeFillShade="BF"/>
            <w:vAlign w:val="center"/>
          </w:tcPr>
          <w:p>
            <w:pPr>
              <w:spacing w:line="380" w:lineRule="exact"/>
              <w:jc w:val="center"/>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序号</w:t>
            </w:r>
          </w:p>
        </w:tc>
        <w:tc>
          <w:tcPr>
            <w:tcW w:w="2282" w:type="pct"/>
            <w:shd w:val="clear" w:color="auto" w:fill="BEBEBE" w:themeFill="background1" w:themeFillShade="BF"/>
            <w:vAlign w:val="center"/>
          </w:tcPr>
          <w:p>
            <w:pPr>
              <w:spacing w:line="380" w:lineRule="exact"/>
              <w:jc w:val="center"/>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建议修改内容</w:t>
            </w:r>
          </w:p>
        </w:tc>
        <w:tc>
          <w:tcPr>
            <w:tcW w:w="462" w:type="pct"/>
            <w:shd w:val="clear" w:color="auto" w:fill="BEBEBE" w:themeFill="background1" w:themeFillShade="BF"/>
            <w:vAlign w:val="center"/>
          </w:tcPr>
          <w:p>
            <w:pPr>
              <w:spacing w:line="380" w:lineRule="exact"/>
              <w:jc w:val="center"/>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采纳情况</w:t>
            </w:r>
          </w:p>
        </w:tc>
        <w:tc>
          <w:tcPr>
            <w:tcW w:w="1971" w:type="pct"/>
            <w:shd w:val="clear" w:color="auto" w:fill="BEBEBE" w:themeFill="background1" w:themeFillShade="BF"/>
            <w:vAlign w:val="center"/>
          </w:tcPr>
          <w:p>
            <w:pPr>
              <w:spacing w:line="380" w:lineRule="exact"/>
              <w:jc w:val="center"/>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283" w:type="pct"/>
            <w:vAlign w:val="center"/>
          </w:tcPr>
          <w:p>
            <w:pPr>
              <w:pStyle w:val="16"/>
              <w:numPr>
                <w:ilvl w:val="255"/>
                <w:numId w:val="0"/>
              </w:numPr>
              <w:adjustRightInd w:val="0"/>
              <w:snapToGrid w:val="0"/>
              <w:spacing w:line="296" w:lineRule="auto"/>
              <w:ind w:left="0" w:leftChars="0" w:firstLine="0" w:firstLineChars="0"/>
              <w:jc w:val="center"/>
              <w:rPr>
                <w:rFonts w:hint="eastAsia" w:ascii="仿宋_GB2312" w:hAnsi="仿宋_GB2312" w:eastAsia="仿宋_GB2312" w:cs="仿宋_GB2312"/>
                <w:kern w:val="0"/>
                <w:sz w:val="24"/>
                <w:szCs w:val="24"/>
                <w:lang w:val="en" w:eastAsia="zh-CN" w:bidi="ar-SA"/>
              </w:rPr>
            </w:pPr>
            <w:r>
              <w:rPr>
                <w:rFonts w:hint="eastAsia" w:ascii="仿宋_GB2312" w:hAnsi="仿宋_GB2312" w:eastAsia="仿宋_GB2312" w:cs="仿宋_GB2312"/>
                <w:kern w:val="0"/>
                <w:sz w:val="24"/>
                <w:szCs w:val="24"/>
                <w:lang w:val="en"/>
              </w:rPr>
              <w:t>1</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第八条 第2款由建设单位组织的竣工验收包含人防、水土、环评、档案、防雷、节水、排水、海绵城市、通信及其他需要与建设项目同时交付使用的相关配套设施等验收事项。竣工验收报告应当载明各验收事项合格或备案与否的结论。 在海绵城市后面是否增加装配式建筑、绿色建筑</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default"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1、</w:t>
            </w:r>
            <w:r>
              <w:rPr>
                <w:rFonts w:hint="eastAsia" w:ascii="仿宋_GB2312" w:hAnsi="仿宋_GB2312" w:eastAsia="仿宋_GB2312" w:cs="仿宋_GB2312"/>
                <w:kern w:val="0"/>
                <w:sz w:val="24"/>
                <w:szCs w:val="24"/>
                <w:lang w:val="en" w:eastAsia="zh-CN"/>
              </w:rPr>
              <w:t>根据《深圳经济特区绿色建筑条例》“在竣工验收前组织设计、施工、监理等有关单位进行绿色建筑专项验收，并出具专项验收报告。不符合工程</w:t>
            </w:r>
            <w:r>
              <w:rPr>
                <w:rFonts w:hint="eastAsia" w:ascii="仿宋_GB2312" w:hAnsi="仿宋_GB2312" w:eastAsia="仿宋_GB2312" w:cs="仿宋_GB2312"/>
                <w:kern w:val="0"/>
                <w:sz w:val="24"/>
                <w:szCs w:val="24"/>
                <w:lang w:val="en-US" w:eastAsia="zh-CN"/>
              </w:rPr>
              <w:t>建设标准、施工图设计文件和绿色专篇要求的，不得出具专项验收合格报告，不得通过竣工验收。</w:t>
            </w:r>
            <w:r>
              <w:rPr>
                <w:rFonts w:hint="eastAsia" w:ascii="仿宋_GB2312" w:hAnsi="仿宋_GB2312" w:eastAsia="仿宋_GB2312" w:cs="仿宋_GB2312"/>
                <w:kern w:val="0"/>
                <w:sz w:val="24"/>
                <w:szCs w:val="24"/>
                <w:lang w:val="en" w:eastAsia="zh-CN"/>
              </w:rPr>
              <w:t>”的规定，绿色建筑为竣工验收的前置提件，而非竣工验收的内容；</w:t>
            </w:r>
            <w:r>
              <w:rPr>
                <w:rFonts w:hint="eastAsia" w:ascii="仿宋_GB2312" w:hAnsi="仿宋_GB2312" w:eastAsia="仿宋_GB2312" w:cs="仿宋_GB2312"/>
                <w:kern w:val="0"/>
                <w:sz w:val="24"/>
                <w:szCs w:val="24"/>
                <w:lang w:val="en-US" w:eastAsia="zh-CN"/>
              </w:rPr>
              <w:t>2、</w:t>
            </w:r>
            <w:r>
              <w:rPr>
                <w:rFonts w:hint="eastAsia" w:ascii="仿宋_GB2312" w:hAnsi="仿宋_GB2312" w:eastAsia="仿宋_GB2312" w:cs="仿宋_GB2312"/>
                <w:kern w:val="0"/>
                <w:sz w:val="24"/>
                <w:szCs w:val="24"/>
                <w:lang w:val="en" w:eastAsia="zh-CN"/>
              </w:rPr>
              <w:t>根据《深圳市装配式建筑项目建设管理办法》“建设单位在绿色建筑专项验收阶段，应当组织设计、施工、监理、预制构件生产等各责任主体单位，按照验收资料重新复核装配式建筑技术评分，在专项验收报告中对绿色专篇中装配式建筑相关内容的实施情况进行说明。不符合工程建设标准、施工图设计文件和绿色专篇要求的，建设单位不得通过竣工验收。”的规定，</w:t>
            </w:r>
            <w:bookmarkStart w:id="0" w:name="_GoBack"/>
            <w:bookmarkEnd w:id="0"/>
            <w:r>
              <w:rPr>
                <w:rFonts w:hint="eastAsia" w:ascii="仿宋_GB2312" w:hAnsi="仿宋_GB2312" w:eastAsia="仿宋_GB2312" w:cs="仿宋_GB2312"/>
                <w:kern w:val="0"/>
                <w:sz w:val="24"/>
                <w:szCs w:val="24"/>
                <w:lang w:val="en" w:eastAsia="zh-CN"/>
              </w:rPr>
              <w:t>装配式建筑为绿色建筑专项验收中的其中一项评分项，非专项验收事项。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283" w:type="pct"/>
            <w:vAlign w:val="center"/>
          </w:tcPr>
          <w:p>
            <w:pPr>
              <w:pStyle w:val="16"/>
              <w:numPr>
                <w:ilvl w:val="255"/>
                <w:numId w:val="0"/>
              </w:numPr>
              <w:adjustRightInd w:val="0"/>
              <w:snapToGrid w:val="0"/>
              <w:spacing w:line="296" w:lineRule="auto"/>
              <w:ind w:left="0" w:leftChars="0" w:firstLine="0" w:firstLineChars="0"/>
              <w:jc w:val="center"/>
              <w:rPr>
                <w:rFonts w:hint="eastAsia" w:ascii="仿宋_GB2312" w:hAnsi="仿宋_GB2312" w:eastAsia="仿宋_GB2312" w:cs="仿宋_GB2312"/>
                <w:kern w:val="0"/>
                <w:sz w:val="24"/>
                <w:szCs w:val="24"/>
                <w:lang w:val="en" w:eastAsia="zh-CN" w:bidi="ar-SA"/>
              </w:rPr>
            </w:pPr>
            <w:r>
              <w:rPr>
                <w:rFonts w:hint="eastAsia" w:ascii="仿宋_GB2312" w:hAnsi="仿宋_GB2312" w:eastAsia="仿宋_GB2312" w:cs="仿宋_GB2312"/>
                <w:kern w:val="0"/>
                <w:sz w:val="24"/>
                <w:szCs w:val="24"/>
                <w:lang w:val="en"/>
              </w:rPr>
              <w:t>2</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第十条 （一）已完成移交协议的签订建议修改为</w:t>
            </w:r>
            <w:r>
              <w:rPr>
                <w:rFonts w:hint="eastAsia" w:ascii="仿宋_GB2312" w:hAnsi="仿宋_GB2312" w:eastAsia="仿宋_GB2312" w:cs="仿宋_GB2312"/>
                <w:color w:val="auto"/>
                <w:kern w:val="0"/>
                <w:sz w:val="24"/>
                <w:szCs w:val="24"/>
                <w:lang w:val="en-US" w:eastAsia="zh-CN"/>
              </w:rPr>
              <w:t>“已完成移交意向协议的签订”。</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仿宋_GB2312" w:hAnsi="仿宋_GB2312" w:eastAsia="仿宋_GB2312" w:cs="仿宋_GB2312"/>
                <w:kern w:val="0"/>
                <w:sz w:val="24"/>
                <w:szCs w:val="24"/>
                <w:lang w:val="en-US" w:eastAsia="zh-CN"/>
              </w:rPr>
            </w:pPr>
            <w:r>
              <w:rPr>
                <w:rFonts w:hint="default" w:ascii="仿宋_GB2312" w:hAnsi="仿宋_GB2312" w:eastAsia="仿宋_GB2312" w:cs="仿宋_GB2312"/>
                <w:kern w:val="0"/>
                <w:sz w:val="24"/>
                <w:szCs w:val="24"/>
                <w:lang w:val="en-US" w:eastAsia="zh-CN"/>
              </w:rPr>
              <w:t>采纳</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96" w:lineRule="auto"/>
              <w:ind w:firstLine="0" w:firstLineChars="0"/>
              <w:jc w:val="center"/>
              <w:textAlignment w:val="center"/>
              <w:rPr>
                <w:rFonts w:hint="default"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修改为“已完成移交协议或移交意向协议的签订”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283" w:type="pct"/>
            <w:vAlign w:val="center"/>
          </w:tcPr>
          <w:p>
            <w:pPr>
              <w:pStyle w:val="16"/>
              <w:numPr>
                <w:ilvl w:val="255"/>
                <w:numId w:val="0"/>
              </w:numPr>
              <w:adjustRightInd w:val="0"/>
              <w:snapToGrid w:val="0"/>
              <w:spacing w:line="296" w:lineRule="auto"/>
              <w:ind w:left="0" w:leftChars="0" w:firstLine="0" w:firstLineChars="0"/>
              <w:jc w:val="center"/>
              <w:rPr>
                <w:rFonts w:hint="eastAsia" w:ascii="仿宋_GB2312" w:hAnsi="仿宋_GB2312" w:eastAsia="仿宋_GB2312" w:cs="仿宋_GB2312"/>
                <w:kern w:val="0"/>
                <w:sz w:val="24"/>
                <w:szCs w:val="24"/>
                <w:lang w:val="en" w:eastAsia="zh-CN" w:bidi="ar-SA"/>
              </w:rPr>
            </w:pPr>
            <w:r>
              <w:rPr>
                <w:rFonts w:hint="eastAsia" w:ascii="仿宋_GB2312" w:hAnsi="仿宋_GB2312" w:eastAsia="仿宋_GB2312" w:cs="仿宋_GB2312"/>
                <w:kern w:val="0"/>
                <w:sz w:val="24"/>
                <w:szCs w:val="24"/>
                <w:lang w:val="en"/>
              </w:rPr>
              <w:t>3</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US" w:eastAsia="zh-CN"/>
              </w:rPr>
              <w:t>第十条（六）水保、环评、防雷、节水、排水、燃气、海绵城市、通信、住宅有线电视网络等专项验收或备案以及其他法律法规要求完成的事项已完成。在海绵城市后面是否增加装配式建筑、绿色建筑。</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default" w:ascii="仿宋_GB2312" w:hAnsi="仿宋_GB2312" w:eastAsia="仿宋_GB2312" w:cs="仿宋_GB2312"/>
                <w:kern w:val="0"/>
                <w:sz w:val="24"/>
                <w:szCs w:val="24"/>
                <w:lang w:val="en-US"/>
              </w:rPr>
            </w:pPr>
            <w:r>
              <w:rPr>
                <w:rFonts w:hint="eastAsia" w:ascii="仿宋_GB2312" w:hAnsi="仿宋_GB2312" w:eastAsia="仿宋_GB2312" w:cs="仿宋_GB2312"/>
                <w:kern w:val="0"/>
                <w:sz w:val="24"/>
                <w:szCs w:val="24"/>
                <w:lang w:val="en-US" w:eastAsia="zh-C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 w:eastAsia="zh-CN"/>
              </w:rPr>
              <w:t>联合验收的前置条件为竣工验收合格，而绿色建筑为竣工验收的前置条件，不宜在此处增加。且应与前文保持一致。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283" w:type="pct"/>
            <w:vAlign w:val="center"/>
          </w:tcPr>
          <w:p>
            <w:pPr>
              <w:pStyle w:val="16"/>
              <w:numPr>
                <w:ilvl w:val="255"/>
                <w:numId w:val="0"/>
              </w:numPr>
              <w:adjustRightInd w:val="0"/>
              <w:snapToGrid w:val="0"/>
              <w:spacing w:line="296" w:lineRule="auto"/>
              <w:ind w:left="0" w:leftChars="0" w:firstLine="0" w:firstLineChars="0"/>
              <w:jc w:val="center"/>
              <w:rPr>
                <w:rFonts w:hint="eastAsia" w:ascii="仿宋_GB2312" w:hAnsi="仿宋_GB2312" w:eastAsia="仿宋_GB2312" w:cs="仿宋_GB2312"/>
                <w:kern w:val="0"/>
                <w:sz w:val="24"/>
                <w:szCs w:val="24"/>
                <w:lang w:val="en" w:eastAsia="zh-CN" w:bidi="ar-SA"/>
              </w:rPr>
            </w:pPr>
            <w:r>
              <w:rPr>
                <w:rFonts w:hint="eastAsia" w:ascii="仿宋_GB2312" w:hAnsi="仿宋_GB2312" w:eastAsia="仿宋_GB2312" w:cs="仿宋_GB2312"/>
                <w:kern w:val="0"/>
                <w:sz w:val="24"/>
                <w:szCs w:val="24"/>
                <w:lang w:val="en"/>
              </w:rPr>
              <w:t>4</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第二十三条 竣工联合验收办理时限为十个工作日，自项目受理通过之日起计算，至在线审批平台出具联合验收意见书结束。建议修改为“自项目正式受理通过之日起计算”，初步受理一般需要整改才能达到验收规定。</w:t>
            </w:r>
          </w:p>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第3款，整改闭合工作和复查工作不计入竣工联合验收事项办理时限内。建议后面增加一款，自联合验收申请受理超过90天，仍未整理闭合，系统自动退回本次验收申请，由建设单位重新申请。</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与上级文件保持一致。《关于房屋建筑和市政基础设施工程竣工联合验收的管理办法（试行）》（粤建规范〔2022〕2号）第九条表述“联合验收时限应当自受理之日起</w:t>
            </w:r>
            <w:r>
              <w:rPr>
                <w:rFonts w:hint="default" w:ascii="仿宋_GB2312" w:hAnsi="仿宋_GB2312" w:eastAsia="仿宋_GB2312" w:cs="仿宋_GB2312"/>
                <w:kern w:val="0"/>
                <w:sz w:val="24"/>
                <w:szCs w:val="24"/>
                <w:lang w:val="en" w:eastAsia="zh-CN"/>
              </w:rPr>
              <w:t>......</w:t>
            </w:r>
            <w:r>
              <w:rPr>
                <w:rFonts w:hint="eastAsia" w:ascii="仿宋_GB2312" w:hAnsi="仿宋_GB2312" w:eastAsia="仿宋_GB2312" w:cs="仿宋_GB2312"/>
                <w:kern w:val="0"/>
                <w:sz w:val="24"/>
                <w:szCs w:val="24"/>
                <w:lang w:val="en-US" w:eastAsia="zh-CN"/>
              </w:rPr>
              <w:t>”。</w:t>
            </w:r>
          </w:p>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《办法》第二十三条第</w:t>
            </w:r>
            <w:r>
              <w:rPr>
                <w:rFonts w:hint="eastAsia" w:ascii="仿宋_GB2312" w:hAnsi="仿宋_GB2312" w:eastAsia="仿宋_GB2312" w:cs="仿宋_GB2312"/>
                <w:kern w:val="0"/>
                <w:sz w:val="24"/>
                <w:szCs w:val="24"/>
                <w:lang w:val="en-US" w:eastAsia="zh-CN"/>
              </w:rPr>
              <w:t>2款明确了</w:t>
            </w:r>
            <w:r>
              <w:rPr>
                <w:rFonts w:hint="eastAsia" w:ascii="仿宋_GB2312" w:hAnsi="仿宋_GB2312" w:eastAsia="仿宋_GB2312" w:cs="仿宋_GB2312"/>
                <w:kern w:val="0"/>
                <w:sz w:val="24"/>
                <w:szCs w:val="24"/>
                <w:lang w:val="en" w:eastAsia="zh-CN"/>
              </w:rPr>
              <w:t>整改闭合及复查的工作期限，即最长不超过</w:t>
            </w:r>
            <w:r>
              <w:rPr>
                <w:rFonts w:hint="eastAsia" w:ascii="仿宋_GB2312" w:hAnsi="仿宋_GB2312" w:eastAsia="仿宋_GB2312" w:cs="仿宋_GB2312"/>
                <w:kern w:val="0"/>
                <w:sz w:val="24"/>
                <w:szCs w:val="24"/>
                <w:lang w:val="en-US" w:eastAsia="zh-CN"/>
              </w:rPr>
              <w:t>18个工作日；</w:t>
            </w:r>
            <w:r>
              <w:rPr>
                <w:rFonts w:hint="eastAsia" w:ascii="仿宋_GB2312" w:hAnsi="仿宋_GB2312" w:eastAsia="仿宋_GB2312" w:cs="仿宋_GB2312"/>
                <w:kern w:val="0"/>
                <w:sz w:val="24"/>
                <w:szCs w:val="24"/>
                <w:lang w:val="en" w:eastAsia="zh-CN"/>
              </w:rPr>
              <w:t>第二十条（四）已明确“逾期未提交复验申请的项目，在线审批平台自动填写验收意见为“不合格”。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jc w:val="center"/>
        </w:trPr>
        <w:tc>
          <w:tcPr>
            <w:tcW w:w="283" w:type="pct"/>
            <w:vAlign w:val="center"/>
          </w:tcPr>
          <w:p>
            <w:pPr>
              <w:pStyle w:val="16"/>
              <w:numPr>
                <w:ilvl w:val="255"/>
                <w:numId w:val="0"/>
              </w:numPr>
              <w:adjustRightInd w:val="0"/>
              <w:snapToGrid w:val="0"/>
              <w:spacing w:line="296" w:lineRule="auto"/>
              <w:jc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5</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第二十七条 验收部门、建设单位可以根据验收工作实际需要，委托独立第三方社会中介机构协助开展验收工作或者提供咨询服务。强烈建议删除建设单位，建设单位是验收主体责任人，不建议委托第三方来协助开展验收工作，是否委托由建设单位自行决定。建议第二款全部删除，这样规定是不合时宜的，与行政许可法相违背，有些专项验收是属于法定行政许可事项，不适合委托，第三方仅仅可以进行技术协助。</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修订稿中第二十七条第</w:t>
            </w:r>
            <w:r>
              <w:rPr>
                <w:rFonts w:hint="eastAsia" w:ascii="仿宋_GB2312" w:hAnsi="仿宋_GB2312" w:eastAsia="仿宋_GB2312" w:cs="仿宋_GB2312"/>
                <w:kern w:val="0"/>
                <w:sz w:val="24"/>
                <w:szCs w:val="24"/>
                <w:lang w:val="en-US" w:eastAsia="zh-CN"/>
              </w:rPr>
              <w:t>2款与原文一致，并未改动。本款旨在解决</w:t>
            </w:r>
            <w:r>
              <w:rPr>
                <w:rFonts w:hint="eastAsia" w:ascii="仿宋_GB2312" w:hAnsi="仿宋_GB2312" w:eastAsia="仿宋_GB2312" w:cs="仿宋_GB2312"/>
                <w:kern w:val="0"/>
                <w:sz w:val="24"/>
                <w:szCs w:val="24"/>
                <w:lang w:val="en" w:eastAsia="zh-CN"/>
              </w:rPr>
              <w:t>个别单位因专业水平不足、技术力量有限的情况下，可以委托第三方机构作为开展技术审查，咨询等服务。第三方机构仅为辅助验收，并不能替代建设建设的主体的责任。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4" w:hRule="atLeast"/>
          <w:jc w:val="center"/>
        </w:trPr>
        <w:tc>
          <w:tcPr>
            <w:tcW w:w="283" w:type="pct"/>
            <w:vAlign w:val="center"/>
          </w:tcPr>
          <w:p>
            <w:pPr>
              <w:pStyle w:val="16"/>
              <w:numPr>
                <w:ilvl w:val="255"/>
                <w:numId w:val="0"/>
              </w:numPr>
              <w:adjustRightInd w:val="0"/>
              <w:snapToGrid w:val="0"/>
              <w:spacing w:line="296" w:lineRule="auto"/>
              <w:jc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6</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对相邻建筑日照与采光权保障不修订稿虽整合了规划、消防等验收事项，但未将日照与采光权列为强制审查内容。根据国家标准《住宅项目规范》、《城市居住区规划设计规范》（GB 50180-2018），新建建筑需满足大寒日≥3小时日照标准，但修订稿仅要求规划核实，未明确要求提交第三方日照分析报告或公示结果。若验收后出现日照不达标问题（如洛阳诉讼案例），可能引发民事纠纷。建议：将日照分析作为验收前置条件，并在系统中公开结果，接受公众监督。</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建筑日照与采光已在规划方案中按规定设计，并在核发工程规划许可证时同步公示规划设计方案。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2" w:hRule="atLeast"/>
          <w:jc w:val="center"/>
        </w:trPr>
        <w:tc>
          <w:tcPr>
            <w:tcW w:w="283" w:type="pct"/>
            <w:vAlign w:val="center"/>
          </w:tcPr>
          <w:p>
            <w:pPr>
              <w:pStyle w:val="16"/>
              <w:numPr>
                <w:ilvl w:val="255"/>
                <w:numId w:val="0"/>
              </w:numPr>
              <w:adjustRightInd w:val="0"/>
              <w:snapToGrid w:val="0"/>
              <w:spacing w:line="296" w:lineRule="auto"/>
              <w:jc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7</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相邻建筑安全协同验收机制缺失修订稿未明确对相邻建筑结构安全的联合检测要求。例如，高层建筑基坑施工可能导致周边建筑地基沉降、裂缝等问题，但验收流程仅涉及项目自身安全，未要求对500米范围内既有建筑进行安全抽查。建议：由住建部门牵头，联合应急管理、市政检测机构，开展相邻建筑裂缝、地基稳定性专项检查，并将结果纳入验收结论。</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不采纳</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工程竣工验收规定已明确验收的实施主体，验收内容和程序。建议中提出的检查内容不属于联合验收的范围。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1" w:hRule="atLeast"/>
          <w:jc w:val="center"/>
        </w:trPr>
        <w:tc>
          <w:tcPr>
            <w:tcW w:w="283" w:type="pct"/>
            <w:vAlign w:val="center"/>
          </w:tcPr>
          <w:p>
            <w:pPr>
              <w:pStyle w:val="16"/>
              <w:numPr>
                <w:ilvl w:val="255"/>
                <w:numId w:val="0"/>
              </w:numPr>
              <w:adjustRightInd w:val="0"/>
              <w:snapToGrid w:val="0"/>
              <w:spacing w:line="296" w:lineRule="auto"/>
              <w:jc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8</w:t>
            </w:r>
          </w:p>
        </w:tc>
        <w:tc>
          <w:tcPr>
            <w:tcW w:w="2282" w:type="pct"/>
            <w:vAlign w:val="center"/>
          </w:tcPr>
          <w:p>
            <w:pPr>
              <w:keepNext w:val="0"/>
              <w:keepLines w:val="0"/>
              <w:pageBreakBefore w:val="0"/>
              <w:widowControl/>
              <w:tabs>
                <w:tab w:val="left" w:pos="3906"/>
              </w:tabs>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信息共享与透明度不足，修订稿新增了城建档案电子化上传要求，但未建立多部门数据实时校验平台。规划、消防、环保等部门数据互通滞后，可能导致验收信息不完整（如消防通道设计影响采光）。建议：强制要求各部门在验收前完成数据交叉核验，并开放公众查询端口，提升透明度。​</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联合验收业务通过一窗平台填报的信息及材料，均向规划、消防等验收部门共享，在业务审批环节，已实现数据交叉核验。公众如需查询某项目验收材料，可根据《中华人民共和国政府信息公开条例》的规定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283" w:type="pct"/>
            <w:vAlign w:val="center"/>
          </w:tcPr>
          <w:p>
            <w:pPr>
              <w:pStyle w:val="16"/>
              <w:numPr>
                <w:ilvl w:val="255"/>
                <w:numId w:val="0"/>
              </w:numPr>
              <w:adjustRightInd w:val="0"/>
              <w:snapToGrid w:val="0"/>
              <w:spacing w:line="296" w:lineRule="auto"/>
              <w:jc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9</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取消节能验收后的环保风险，修订稿删除节能专项验收，但未将绿色建筑指标（如遮阳系数、立体绿化面积）纳入规划核实环节。例如，建筑遮阳设计不足可能加剧热岛效应，间接影响相邻区域微气候。建议：将绿色建筑评价标准纳入规划验收，由生态环境部门参与联合审查。</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根据《深圳经济特区绿色建筑条例》规定，建设单位应当在组织建色建设专项验收前委托第三方评估机构对绿色建筑等级进行符合性评价。在竣工验收前组织设计、施工、监理等有关单位进行绿色建筑专项验收。因此，绿色建筑专项验收为工程竣工验收的前置条件，非联合验收前置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283" w:type="pct"/>
            <w:vAlign w:val="center"/>
          </w:tcPr>
          <w:p>
            <w:pPr>
              <w:pStyle w:val="16"/>
              <w:numPr>
                <w:ilvl w:val="255"/>
                <w:numId w:val="0"/>
              </w:numPr>
              <w:adjustRightInd w:val="0"/>
              <w:snapToGrid w:val="0"/>
              <w:spacing w:line="296" w:lineRule="auto"/>
              <w:jc w:val="center"/>
              <w:rPr>
                <w:rFonts w:hint="default"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10</w:t>
            </w:r>
          </w:p>
        </w:tc>
        <w:tc>
          <w:tcPr>
            <w:tcW w:w="228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rPr>
            </w:pPr>
            <w:r>
              <w:rPr>
                <w:rFonts w:hint="eastAsia" w:ascii="仿宋_GB2312" w:hAnsi="仿宋_GB2312" w:eastAsia="仿宋_GB2312" w:cs="仿宋_GB2312"/>
                <w:kern w:val="0"/>
                <w:sz w:val="24"/>
                <w:szCs w:val="24"/>
                <w:lang w:val="en"/>
              </w:rPr>
              <w:t>现场验收范围与专家参与不足，修订稿删除“现场”表述，可能弱化对周边环境的踏勘要求。对于密集区域项目，验收组缺乏结构安全专家，现场检查范围局限于项目红线内，未覆盖相邻建筑影响范围。​​建议：强制要求验收组包含安全专家，并将踏勘范围扩展至相邻建筑红线。</w:t>
            </w:r>
          </w:p>
        </w:tc>
        <w:tc>
          <w:tcPr>
            <w:tcW w:w="462"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rPr>
              <w:t>解释说明</w:t>
            </w:r>
          </w:p>
        </w:tc>
        <w:tc>
          <w:tcPr>
            <w:tcW w:w="1971" w:type="pct"/>
            <w:vAlign w:val="center"/>
          </w:tcPr>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lang w:val="en-US" w:eastAsia="zh-CN"/>
              </w:rPr>
              <w:t>将联合验收的表述与上级文件保持一致，参见《关于房屋建筑和市政基础设施工程竣工联合验收的管理办法（试行）》（粤建规范〔2022〕2号）。</w:t>
            </w:r>
          </w:p>
          <w:p>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left"/>
              <w:textAlignment w:val="center"/>
              <w:rPr>
                <w:rFonts w:hint="eastAsia" w:ascii="仿宋_GB2312" w:hAnsi="仿宋_GB2312" w:eastAsia="仿宋_GB2312" w:cs="仿宋_GB2312"/>
                <w:kern w:val="0"/>
                <w:sz w:val="24"/>
                <w:szCs w:val="24"/>
                <w:lang w:val="en" w:eastAsia="zh-CN"/>
              </w:rPr>
            </w:pPr>
            <w:r>
              <w:rPr>
                <w:rFonts w:hint="eastAsia" w:ascii="仿宋_GB2312" w:hAnsi="仿宋_GB2312" w:eastAsia="仿宋_GB2312" w:cs="仿宋_GB2312"/>
                <w:kern w:val="0"/>
                <w:sz w:val="24"/>
                <w:szCs w:val="24"/>
                <w:lang w:val="en" w:eastAsia="zh-CN"/>
              </w:rPr>
              <w:t>本次修订稿中根据上述文件要求，对纳入联合验收的专项进行了调整，调整后的验收事项涉及现场验收和非现场验收的，为避免引起误导，经综合考虑，不再突出“现场”的表述。</w:t>
            </w:r>
          </w:p>
        </w:tc>
      </w:tr>
    </w:tbl>
    <w:p>
      <w:pPr>
        <w:widowControl/>
        <w:adjustRightInd w:val="0"/>
        <w:snapToGrid w:val="0"/>
        <w:spacing w:line="20" w:lineRule="exact"/>
        <w:ind w:firstLine="0" w:firstLineChars="0"/>
        <w:textAlignment w:val="center"/>
        <w:rPr>
          <w:rFonts w:hint="eastAsia" w:ascii="仿宋_GB2312" w:hAnsi="仿宋_GB2312" w:eastAsia="仿宋_GB2312" w:cs="仿宋_GB2312"/>
          <w:kern w:val="0"/>
          <w:sz w:val="24"/>
          <w:szCs w:val="20"/>
          <w:lang w:val="en"/>
        </w:rPr>
      </w:pPr>
    </w:p>
    <w:sectPr>
      <w:footerReference r:id="rId3" w:type="default"/>
      <w:pgSz w:w="16838" w:h="11906" w:orient="landscape"/>
      <w:pgMar w:top="828" w:right="1440" w:bottom="85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等线">
    <w:altName w:val="URW Bookman"/>
    <w:panose1 w:val="00000000000000000000"/>
    <w:charset w:val="00"/>
    <w:family w:val="auto"/>
    <w:pitch w:val="default"/>
    <w:sig w:usb0="00000000" w:usb1="00000000" w:usb2="00000000" w:usb3="00000000" w:csb0="00000000" w:csb1="00000000"/>
  </w:font>
  <w:font w:name="URW Bookman">
    <w:panose1 w:val="00000400000000000000"/>
    <w:charset w:val="00"/>
    <w:family w:val="auto"/>
    <w:pitch w:val="default"/>
    <w:sig w:usb0="00000287" w:usb1="00000800" w:usb2="00000000" w:usb3="00000000" w:csb0="6000009F" w:csb1="00000000"/>
  </w:font>
  <w:font w:name="Cantarell">
    <w:panose1 w:val="00000000000000000000"/>
    <w:charset w:val="00"/>
    <w:family w:val="auto"/>
    <w:pitch w:val="default"/>
    <w:sig w:usb0="A00002FF" w:usb1="4000217B" w:usb2="00000000" w:usb3="00000000" w:csb0="20000197" w:csb1="00000000"/>
  </w:font>
  <w:font w:name="DejaVu Sans">
    <w:panose1 w:val="020B0603030804020204"/>
    <w:charset w:val="00"/>
    <w:family w:val="auto"/>
    <w:pitch w:val="default"/>
    <w:sig w:usb0="E7006EFF" w:usb1="D200FDFF" w:usb2="0A246029" w:usb3="0400200C" w:csb0="600001FF" w:csb1="DFFF0000"/>
  </w:font>
  <w:font w:name="华文仿宋">
    <w:panose1 w:val="02010600040101010101"/>
    <w:charset w:val="86"/>
    <w:family w:val="auto"/>
    <w:pitch w:val="default"/>
    <w:sig w:usb0="00000287" w:usb1="080F0000" w:usb2="00000000" w:usb3="00000000" w:csb0="0004009F" w:csb1="DFD70000"/>
  </w:font>
  <w:font w:name="微软雅黑">
    <w:altName w:val="黑体"/>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hint="eastAsia"/>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sz w:val="21"/>
                              <w:szCs w:val="21"/>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5"/>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rPr>
                      <w:fldChar w:fldCharType="begin"/>
                    </w:r>
                    <w:r>
                      <w:rPr>
                        <w:rFonts w:hint="eastAsia" w:ascii="宋体" w:hAnsi="宋体" w:eastAsia="宋体" w:cs="宋体"/>
                        <w:sz w:val="21"/>
                        <w:szCs w:val="21"/>
                      </w:rPr>
                      <w:instrText xml:space="preserve"> PAGE  \* MERGEFORMAT </w:instrText>
                    </w:r>
                    <w:r>
                      <w:rPr>
                        <w:rFonts w:hint="eastAsia" w:ascii="宋体" w:hAnsi="宋体" w:eastAsia="宋体" w:cs="宋体"/>
                        <w:sz w:val="21"/>
                        <w:szCs w:val="21"/>
                      </w:rPr>
                      <w:fldChar w:fldCharType="separate"/>
                    </w:r>
                    <w:r>
                      <w:rPr>
                        <w:rFonts w:ascii="宋体" w:hAnsi="宋体" w:eastAsia="宋体" w:cs="宋体"/>
                        <w:sz w:val="21"/>
                        <w:szCs w:val="21"/>
                      </w:rPr>
                      <w:t>1</w:t>
                    </w:r>
                    <w:r>
                      <w:rPr>
                        <w:rFonts w:hint="eastAsia" w:ascii="宋体" w:hAnsi="宋体" w:eastAsia="宋体" w:cs="宋体"/>
                        <w:sz w:val="21"/>
                        <w:szCs w:val="21"/>
                      </w:rPr>
                      <w:fldChar w:fldCharType="end"/>
                    </w:r>
                    <w:r>
                      <w:rPr>
                        <w:rFonts w:hint="eastAsia" w:ascii="宋体" w:hAnsi="宋体" w:eastAsia="宋体" w:cs="宋体"/>
                        <w:sz w:val="21"/>
                        <w:szCs w:val="21"/>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Q2Nzk0ZGNkMmU4YjI2NzdiZjkyODliYWUyYzFhYzgifQ=="/>
  </w:docVars>
  <w:rsids>
    <w:rsidRoot w:val="001D526F"/>
    <w:rsid w:val="00004165"/>
    <w:rsid w:val="0000570A"/>
    <w:rsid w:val="00006F9C"/>
    <w:rsid w:val="00014856"/>
    <w:rsid w:val="00027E0C"/>
    <w:rsid w:val="0004688F"/>
    <w:rsid w:val="00072F1F"/>
    <w:rsid w:val="00083C6C"/>
    <w:rsid w:val="0009102C"/>
    <w:rsid w:val="000A3746"/>
    <w:rsid w:val="00117982"/>
    <w:rsid w:val="00122428"/>
    <w:rsid w:val="00124898"/>
    <w:rsid w:val="00132248"/>
    <w:rsid w:val="00134A1A"/>
    <w:rsid w:val="0016180F"/>
    <w:rsid w:val="00163C14"/>
    <w:rsid w:val="001666F8"/>
    <w:rsid w:val="001708B4"/>
    <w:rsid w:val="001907FD"/>
    <w:rsid w:val="00195162"/>
    <w:rsid w:val="001B3A72"/>
    <w:rsid w:val="001B5724"/>
    <w:rsid w:val="001C1B83"/>
    <w:rsid w:val="001D24E7"/>
    <w:rsid w:val="001D526F"/>
    <w:rsid w:val="001D6C89"/>
    <w:rsid w:val="001E463A"/>
    <w:rsid w:val="00201673"/>
    <w:rsid w:val="00214B12"/>
    <w:rsid w:val="00224EF5"/>
    <w:rsid w:val="0024090B"/>
    <w:rsid w:val="0024239F"/>
    <w:rsid w:val="00247271"/>
    <w:rsid w:val="00251E0F"/>
    <w:rsid w:val="0025557B"/>
    <w:rsid w:val="002708D4"/>
    <w:rsid w:val="00272070"/>
    <w:rsid w:val="0027493E"/>
    <w:rsid w:val="002834BB"/>
    <w:rsid w:val="00296DED"/>
    <w:rsid w:val="002B77B2"/>
    <w:rsid w:val="002C2149"/>
    <w:rsid w:val="002C5D72"/>
    <w:rsid w:val="002D47ED"/>
    <w:rsid w:val="002D6BCA"/>
    <w:rsid w:val="002E465D"/>
    <w:rsid w:val="002F204C"/>
    <w:rsid w:val="002F3483"/>
    <w:rsid w:val="0030217F"/>
    <w:rsid w:val="003232B0"/>
    <w:rsid w:val="00327B2A"/>
    <w:rsid w:val="0039082A"/>
    <w:rsid w:val="003A34AC"/>
    <w:rsid w:val="003C149D"/>
    <w:rsid w:val="003C45EA"/>
    <w:rsid w:val="003E66F7"/>
    <w:rsid w:val="003E7F61"/>
    <w:rsid w:val="003F2CC2"/>
    <w:rsid w:val="003F4137"/>
    <w:rsid w:val="004046B1"/>
    <w:rsid w:val="0041138A"/>
    <w:rsid w:val="00433EE3"/>
    <w:rsid w:val="00435EE9"/>
    <w:rsid w:val="00443F71"/>
    <w:rsid w:val="004453D3"/>
    <w:rsid w:val="00483C11"/>
    <w:rsid w:val="00486DE7"/>
    <w:rsid w:val="004944F4"/>
    <w:rsid w:val="00494704"/>
    <w:rsid w:val="00497A44"/>
    <w:rsid w:val="004C305F"/>
    <w:rsid w:val="004E2386"/>
    <w:rsid w:val="004F6558"/>
    <w:rsid w:val="00501073"/>
    <w:rsid w:val="005348E0"/>
    <w:rsid w:val="005544CE"/>
    <w:rsid w:val="005635CD"/>
    <w:rsid w:val="00575418"/>
    <w:rsid w:val="00586B87"/>
    <w:rsid w:val="005A4BF7"/>
    <w:rsid w:val="005C1513"/>
    <w:rsid w:val="005F0B42"/>
    <w:rsid w:val="006203B6"/>
    <w:rsid w:val="00624FD8"/>
    <w:rsid w:val="006423A6"/>
    <w:rsid w:val="00647C1E"/>
    <w:rsid w:val="0065028D"/>
    <w:rsid w:val="00670A8D"/>
    <w:rsid w:val="0067581C"/>
    <w:rsid w:val="00692D33"/>
    <w:rsid w:val="006956F4"/>
    <w:rsid w:val="006C4287"/>
    <w:rsid w:val="006C475C"/>
    <w:rsid w:val="006C6446"/>
    <w:rsid w:val="00704531"/>
    <w:rsid w:val="00725F5C"/>
    <w:rsid w:val="007336DB"/>
    <w:rsid w:val="00741449"/>
    <w:rsid w:val="007430FA"/>
    <w:rsid w:val="00755AAB"/>
    <w:rsid w:val="00760C2F"/>
    <w:rsid w:val="007865DB"/>
    <w:rsid w:val="00792282"/>
    <w:rsid w:val="007F1965"/>
    <w:rsid w:val="008008CA"/>
    <w:rsid w:val="00830CB7"/>
    <w:rsid w:val="00833720"/>
    <w:rsid w:val="008341D1"/>
    <w:rsid w:val="00837CE3"/>
    <w:rsid w:val="00874489"/>
    <w:rsid w:val="008848AC"/>
    <w:rsid w:val="00891164"/>
    <w:rsid w:val="008A0A36"/>
    <w:rsid w:val="008A31AD"/>
    <w:rsid w:val="008A4F15"/>
    <w:rsid w:val="008B2A50"/>
    <w:rsid w:val="008B2BEE"/>
    <w:rsid w:val="008C53D4"/>
    <w:rsid w:val="008D1ED7"/>
    <w:rsid w:val="008F2D79"/>
    <w:rsid w:val="009344EE"/>
    <w:rsid w:val="00961BEF"/>
    <w:rsid w:val="0098351E"/>
    <w:rsid w:val="00983ADB"/>
    <w:rsid w:val="00993A7A"/>
    <w:rsid w:val="009C5CBF"/>
    <w:rsid w:val="009F4F98"/>
    <w:rsid w:val="00A649F0"/>
    <w:rsid w:val="00A67DAA"/>
    <w:rsid w:val="00A91CE9"/>
    <w:rsid w:val="00A95705"/>
    <w:rsid w:val="00AA1933"/>
    <w:rsid w:val="00AC500F"/>
    <w:rsid w:val="00AF012B"/>
    <w:rsid w:val="00B146A1"/>
    <w:rsid w:val="00B47A37"/>
    <w:rsid w:val="00B52641"/>
    <w:rsid w:val="00B6558D"/>
    <w:rsid w:val="00B6771A"/>
    <w:rsid w:val="00B71632"/>
    <w:rsid w:val="00B74977"/>
    <w:rsid w:val="00B80BFC"/>
    <w:rsid w:val="00B96E69"/>
    <w:rsid w:val="00BB10B9"/>
    <w:rsid w:val="00BC6493"/>
    <w:rsid w:val="00BC73FA"/>
    <w:rsid w:val="00BE0D25"/>
    <w:rsid w:val="00BE62E7"/>
    <w:rsid w:val="00C04DA6"/>
    <w:rsid w:val="00C22C04"/>
    <w:rsid w:val="00C23A8B"/>
    <w:rsid w:val="00C272E4"/>
    <w:rsid w:val="00C31C5D"/>
    <w:rsid w:val="00C849CE"/>
    <w:rsid w:val="00C87676"/>
    <w:rsid w:val="00CA7888"/>
    <w:rsid w:val="00CD004E"/>
    <w:rsid w:val="00CF546E"/>
    <w:rsid w:val="00D17C36"/>
    <w:rsid w:val="00D50C80"/>
    <w:rsid w:val="00D6293D"/>
    <w:rsid w:val="00D964FD"/>
    <w:rsid w:val="00D96766"/>
    <w:rsid w:val="00DA370F"/>
    <w:rsid w:val="00DA6BD9"/>
    <w:rsid w:val="00DB430F"/>
    <w:rsid w:val="00DD1073"/>
    <w:rsid w:val="00E11476"/>
    <w:rsid w:val="00E30CF2"/>
    <w:rsid w:val="00E33B88"/>
    <w:rsid w:val="00E372E4"/>
    <w:rsid w:val="00E50180"/>
    <w:rsid w:val="00E5155A"/>
    <w:rsid w:val="00E619EF"/>
    <w:rsid w:val="00E81F87"/>
    <w:rsid w:val="00E90652"/>
    <w:rsid w:val="00E929C1"/>
    <w:rsid w:val="00E9797E"/>
    <w:rsid w:val="00EC12A0"/>
    <w:rsid w:val="00EF6B42"/>
    <w:rsid w:val="00F00E49"/>
    <w:rsid w:val="00F57964"/>
    <w:rsid w:val="00F65F89"/>
    <w:rsid w:val="00F8032A"/>
    <w:rsid w:val="00FB15E6"/>
    <w:rsid w:val="00FC6D93"/>
    <w:rsid w:val="00FC7A58"/>
    <w:rsid w:val="00FE79AA"/>
    <w:rsid w:val="00FF778B"/>
    <w:rsid w:val="060E0879"/>
    <w:rsid w:val="0F536C09"/>
    <w:rsid w:val="1065378B"/>
    <w:rsid w:val="157641C7"/>
    <w:rsid w:val="1A6E2A8C"/>
    <w:rsid w:val="1AD20C3E"/>
    <w:rsid w:val="1B9F7AB0"/>
    <w:rsid w:val="1E7BE192"/>
    <w:rsid w:val="1EF87EC0"/>
    <w:rsid w:val="231D6323"/>
    <w:rsid w:val="267610F1"/>
    <w:rsid w:val="2BA80578"/>
    <w:rsid w:val="2BC1167C"/>
    <w:rsid w:val="2CC75301"/>
    <w:rsid w:val="365E3116"/>
    <w:rsid w:val="36A52364"/>
    <w:rsid w:val="3A75C082"/>
    <w:rsid w:val="3AA80595"/>
    <w:rsid w:val="3BF7CCDD"/>
    <w:rsid w:val="3CBE54BE"/>
    <w:rsid w:val="3D4F6AA6"/>
    <w:rsid w:val="3DDF6F5C"/>
    <w:rsid w:val="3EFD1574"/>
    <w:rsid w:val="3F6FAA05"/>
    <w:rsid w:val="3FDA7FB4"/>
    <w:rsid w:val="3FFAFE46"/>
    <w:rsid w:val="3FFC2A70"/>
    <w:rsid w:val="42F786DB"/>
    <w:rsid w:val="439427C6"/>
    <w:rsid w:val="4590223A"/>
    <w:rsid w:val="4BD3609A"/>
    <w:rsid w:val="4C186067"/>
    <w:rsid w:val="4DFF7440"/>
    <w:rsid w:val="4EB9FC7B"/>
    <w:rsid w:val="4F7F712E"/>
    <w:rsid w:val="521545C7"/>
    <w:rsid w:val="59EF3E65"/>
    <w:rsid w:val="5CA11103"/>
    <w:rsid w:val="5CD758D3"/>
    <w:rsid w:val="5E5C0A8F"/>
    <w:rsid w:val="5E5F58DA"/>
    <w:rsid w:val="5E8912FA"/>
    <w:rsid w:val="5F5D4659"/>
    <w:rsid w:val="5F6F8591"/>
    <w:rsid w:val="5FAFC876"/>
    <w:rsid w:val="5FFB3B58"/>
    <w:rsid w:val="60082011"/>
    <w:rsid w:val="61662C5F"/>
    <w:rsid w:val="629FC6B4"/>
    <w:rsid w:val="653D6259"/>
    <w:rsid w:val="65E16C58"/>
    <w:rsid w:val="67AB3880"/>
    <w:rsid w:val="6AC7D6F0"/>
    <w:rsid w:val="6BD47EC5"/>
    <w:rsid w:val="6BFBCBBA"/>
    <w:rsid w:val="6DCFAF8C"/>
    <w:rsid w:val="6E7F5594"/>
    <w:rsid w:val="6EEFAF22"/>
    <w:rsid w:val="6F143527"/>
    <w:rsid w:val="6F2F267E"/>
    <w:rsid w:val="6FB21053"/>
    <w:rsid w:val="6FEB5F22"/>
    <w:rsid w:val="6FF742DA"/>
    <w:rsid w:val="71659A69"/>
    <w:rsid w:val="71B0505E"/>
    <w:rsid w:val="727F167D"/>
    <w:rsid w:val="73FF6F3E"/>
    <w:rsid w:val="73FFD066"/>
    <w:rsid w:val="761075AC"/>
    <w:rsid w:val="766F0453"/>
    <w:rsid w:val="771F43C2"/>
    <w:rsid w:val="776CAE96"/>
    <w:rsid w:val="77FA4691"/>
    <w:rsid w:val="781E5417"/>
    <w:rsid w:val="785E1CB7"/>
    <w:rsid w:val="794BC646"/>
    <w:rsid w:val="79FF7581"/>
    <w:rsid w:val="79FF8E87"/>
    <w:rsid w:val="7B7535EE"/>
    <w:rsid w:val="7B8F2163"/>
    <w:rsid w:val="7BDF88EA"/>
    <w:rsid w:val="7BDFB0AB"/>
    <w:rsid w:val="7BEA41E5"/>
    <w:rsid w:val="7BEF3459"/>
    <w:rsid w:val="7C5F81E2"/>
    <w:rsid w:val="7D7E230F"/>
    <w:rsid w:val="7DDBB216"/>
    <w:rsid w:val="7E5F5BC3"/>
    <w:rsid w:val="7E7B420A"/>
    <w:rsid w:val="7E9F80C7"/>
    <w:rsid w:val="7EAA3560"/>
    <w:rsid w:val="7EAF3CBE"/>
    <w:rsid w:val="7EFD5BEF"/>
    <w:rsid w:val="7F670FA8"/>
    <w:rsid w:val="7F737541"/>
    <w:rsid w:val="7FAE5EF3"/>
    <w:rsid w:val="7FBE5691"/>
    <w:rsid w:val="7FBFDB01"/>
    <w:rsid w:val="7FDE9712"/>
    <w:rsid w:val="7FFB0B6E"/>
    <w:rsid w:val="7FFFA12D"/>
    <w:rsid w:val="86EE3CC3"/>
    <w:rsid w:val="95D65DB0"/>
    <w:rsid w:val="97F51157"/>
    <w:rsid w:val="9F1F5BC4"/>
    <w:rsid w:val="9FE47506"/>
    <w:rsid w:val="A6B74069"/>
    <w:rsid w:val="AEFFC7E2"/>
    <w:rsid w:val="AFBA3FFE"/>
    <w:rsid w:val="AFFA85BC"/>
    <w:rsid w:val="B787F740"/>
    <w:rsid w:val="B7DF7377"/>
    <w:rsid w:val="B7FDE303"/>
    <w:rsid w:val="BDEE17DB"/>
    <w:rsid w:val="BDFB2155"/>
    <w:rsid w:val="BE7AE917"/>
    <w:rsid w:val="BF6F5B20"/>
    <w:rsid w:val="BFFD2DC6"/>
    <w:rsid w:val="C875F9EF"/>
    <w:rsid w:val="CBAFCFC7"/>
    <w:rsid w:val="CFBF653A"/>
    <w:rsid w:val="D3C6B44A"/>
    <w:rsid w:val="D5DAEFE7"/>
    <w:rsid w:val="D7EF6ADB"/>
    <w:rsid w:val="DAD338CF"/>
    <w:rsid w:val="DB6E2EED"/>
    <w:rsid w:val="DBFF404F"/>
    <w:rsid w:val="DDB22333"/>
    <w:rsid w:val="DF7F00D8"/>
    <w:rsid w:val="DFDF072A"/>
    <w:rsid w:val="DFFF4DDA"/>
    <w:rsid w:val="E8F91AD5"/>
    <w:rsid w:val="E93E0E43"/>
    <w:rsid w:val="E9BFA035"/>
    <w:rsid w:val="EEF8DD47"/>
    <w:rsid w:val="EEFBA9C4"/>
    <w:rsid w:val="EF7EB6D2"/>
    <w:rsid w:val="EFFAC418"/>
    <w:rsid w:val="EFFF044E"/>
    <w:rsid w:val="EFFF62FF"/>
    <w:rsid w:val="EFFFBC04"/>
    <w:rsid w:val="F3DDE981"/>
    <w:rsid w:val="F3FA617C"/>
    <w:rsid w:val="F5D663A7"/>
    <w:rsid w:val="F5EB4046"/>
    <w:rsid w:val="F5FB7A08"/>
    <w:rsid w:val="F77D2433"/>
    <w:rsid w:val="F7DF62A4"/>
    <w:rsid w:val="F7F3CCF1"/>
    <w:rsid w:val="F8DBF65C"/>
    <w:rsid w:val="F9FD1116"/>
    <w:rsid w:val="FAFF5974"/>
    <w:rsid w:val="FBBF3F54"/>
    <w:rsid w:val="FBEF2189"/>
    <w:rsid w:val="FBFE33DA"/>
    <w:rsid w:val="FCFA8744"/>
    <w:rsid w:val="FDC12C73"/>
    <w:rsid w:val="FDEF1000"/>
    <w:rsid w:val="FDF7680B"/>
    <w:rsid w:val="FDFE15FE"/>
    <w:rsid w:val="FE250C24"/>
    <w:rsid w:val="FE32B361"/>
    <w:rsid w:val="FE4BD68D"/>
    <w:rsid w:val="FEDDE9ED"/>
    <w:rsid w:val="FEF5981B"/>
    <w:rsid w:val="FEFFFBBB"/>
    <w:rsid w:val="FF728D3C"/>
    <w:rsid w:val="FF7DF47D"/>
    <w:rsid w:val="FF7DF59A"/>
    <w:rsid w:val="FF7F7BE2"/>
    <w:rsid w:val="FFA7D3AB"/>
    <w:rsid w:val="FFAB13B4"/>
    <w:rsid w:val="FFDF4AB2"/>
    <w:rsid w:val="FFDFFBE5"/>
    <w:rsid w:val="FFE72E78"/>
    <w:rsid w:val="FFEAD06A"/>
    <w:rsid w:val="FFF6F1BB"/>
    <w:rsid w:val="FFF836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9"/>
    <w:pPr>
      <w:spacing w:beforeAutospacing="1" w:afterAutospacing="1"/>
      <w:jc w:val="left"/>
      <w:outlineLvl w:val="2"/>
    </w:pPr>
    <w:rPr>
      <w:rFonts w:hint="eastAsia" w:ascii="宋体" w:hAnsi="宋体" w:eastAsia="宋体" w:cs="Times New Roman"/>
      <w:b/>
      <w:bCs/>
      <w:kern w:val="0"/>
      <w:sz w:val="27"/>
      <w:szCs w:val="27"/>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Body Text"/>
    <w:basedOn w:val="1"/>
    <w:link w:val="12"/>
    <w:semiHidden/>
    <w:unhideWhenUsed/>
    <w:qFormat/>
    <w:uiPriority w:val="99"/>
    <w:pPr>
      <w:spacing w:after="120"/>
    </w:p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4"/>
    <w:unhideWhenUsed/>
    <w:qFormat/>
    <w:uiPriority w:val="99"/>
    <w:pPr>
      <w:tabs>
        <w:tab w:val="center" w:pos="4153"/>
        <w:tab w:val="right" w:pos="8306"/>
      </w:tabs>
      <w:snapToGrid w:val="0"/>
      <w:jc w:val="center"/>
    </w:pPr>
    <w:rPr>
      <w:sz w:val="18"/>
      <w:szCs w:val="18"/>
    </w:rPr>
  </w:style>
  <w:style w:type="paragraph" w:styleId="7">
    <w:name w:val="Normal (Web)"/>
    <w:basedOn w:val="1"/>
    <w:semiHidden/>
    <w:unhideWhenUsed/>
    <w:qFormat/>
    <w:uiPriority w:val="99"/>
    <w:pPr>
      <w:spacing w:beforeAutospacing="1" w:afterAutospacing="1"/>
      <w:jc w:val="left"/>
    </w:pPr>
    <w:rPr>
      <w:rFonts w:cs="Times New Roman"/>
      <w:kern w:val="0"/>
      <w:sz w:val="24"/>
    </w:rPr>
  </w:style>
  <w:style w:type="paragraph" w:styleId="8">
    <w:name w:val="Body Text First Indent"/>
    <w:basedOn w:val="4"/>
    <w:link w:val="13"/>
    <w:qFormat/>
    <w:uiPriority w:val="0"/>
    <w:pPr>
      <w:ind w:firstLine="420" w:firstLineChars="100"/>
    </w:pPr>
    <w:rPr>
      <w:szCs w:val="24"/>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正文文本 字符"/>
    <w:basedOn w:val="11"/>
    <w:link w:val="4"/>
    <w:semiHidden/>
    <w:qFormat/>
    <w:uiPriority w:val="99"/>
  </w:style>
  <w:style w:type="character" w:customStyle="1" w:styleId="13">
    <w:name w:val="正文文本首行缩进 字符"/>
    <w:basedOn w:val="12"/>
    <w:link w:val="8"/>
    <w:qFormat/>
    <w:uiPriority w:val="0"/>
    <w:rPr>
      <w:szCs w:val="24"/>
    </w:rPr>
  </w:style>
  <w:style w:type="character" w:customStyle="1" w:styleId="14">
    <w:name w:val="页眉 字符"/>
    <w:basedOn w:val="11"/>
    <w:link w:val="6"/>
    <w:qFormat/>
    <w:uiPriority w:val="99"/>
    <w:rPr>
      <w:sz w:val="18"/>
      <w:szCs w:val="18"/>
    </w:rPr>
  </w:style>
  <w:style w:type="character" w:customStyle="1" w:styleId="15">
    <w:name w:val="页脚 字符"/>
    <w:basedOn w:val="11"/>
    <w:link w:val="5"/>
    <w:qFormat/>
    <w:uiPriority w:val="99"/>
    <w:rPr>
      <w:sz w:val="18"/>
      <w:szCs w:val="18"/>
    </w:rPr>
  </w:style>
  <w:style w:type="paragraph" w:styleId="16">
    <w:name w:val="List Paragraph"/>
    <w:basedOn w:val="1"/>
    <w:qFormat/>
    <w:uiPriority w:val="34"/>
    <w:pPr>
      <w:ind w:firstLine="420" w:firstLineChars="200"/>
    </w:pPr>
  </w:style>
  <w:style w:type="paragraph" w:customStyle="1" w:styleId="17">
    <w:name w:val="修订1"/>
    <w:hidden/>
    <w:unhideWhenUsed/>
    <w:qFormat/>
    <w:uiPriority w:val="99"/>
    <w:rPr>
      <w:rFonts w:asciiTheme="minorHAnsi" w:hAnsiTheme="minorHAnsi" w:eastAsiaTheme="minorEastAsia" w:cstheme="minorBidi"/>
      <w:kern w:val="2"/>
      <w:sz w:val="21"/>
      <w:szCs w:val="22"/>
      <w:lang w:val="en-US" w:eastAsia="zh-CN" w:bidi="ar-SA"/>
    </w:rPr>
  </w:style>
  <w:style w:type="paragraph" w:customStyle="1" w:styleId="18">
    <w:name w:val="Revision"/>
    <w:hidden/>
    <w:unhideWhenUsed/>
    <w:qFormat/>
    <w:uiPriority w:val="99"/>
    <w:rPr>
      <w:rFonts w:asciiTheme="minorHAnsi" w:hAnsiTheme="minorHAnsi" w:eastAsiaTheme="minorEastAsia" w:cstheme="minorBidi"/>
      <w:kern w:val="2"/>
      <w:sz w:val="21"/>
      <w:szCs w:val="22"/>
      <w:lang w:val="en-US" w:eastAsia="zh-CN" w:bidi="ar-SA"/>
    </w:rPr>
  </w:style>
  <w:style w:type="character" w:customStyle="1" w:styleId="19">
    <w:name w:val="font41"/>
    <w:basedOn w:val="11"/>
    <w:qFormat/>
    <w:uiPriority w:val="0"/>
    <w:rPr>
      <w:rFonts w:hint="default" w:ascii="Times New Roman" w:hAnsi="Times New Roman" w:cs="Times New Roman"/>
      <w:color w:val="000000"/>
      <w:sz w:val="24"/>
      <w:szCs w:val="24"/>
      <w:u w:val="none"/>
    </w:rPr>
  </w:style>
  <w:style w:type="character" w:customStyle="1" w:styleId="20">
    <w:name w:val="font11"/>
    <w:basedOn w:val="11"/>
    <w:qFormat/>
    <w:uiPriority w:val="0"/>
    <w:rPr>
      <w:rFonts w:hint="eastAsia" w:ascii="宋体" w:hAnsi="宋体" w:eastAsia="宋体" w:cs="宋体"/>
      <w:color w:val="000000"/>
      <w:sz w:val="24"/>
      <w:szCs w:val="24"/>
      <w:u w:val="none"/>
    </w:rPr>
  </w:style>
  <w:style w:type="character" w:customStyle="1" w:styleId="21">
    <w:name w:val="font31"/>
    <w:basedOn w:val="11"/>
    <w:qFormat/>
    <w:uiPriority w:val="0"/>
    <w:rPr>
      <w:rFonts w:hint="default" w:ascii="Times New Roman" w:hAnsi="Times New Roman" w:cs="Times New Roman"/>
      <w:color w:val="000000"/>
      <w:sz w:val="24"/>
      <w:szCs w:val="24"/>
      <w:u w:val="none"/>
    </w:rPr>
  </w:style>
  <w:style w:type="character" w:customStyle="1" w:styleId="22">
    <w:name w:val="font01"/>
    <w:basedOn w:val="11"/>
    <w:qFormat/>
    <w:uiPriority w:val="0"/>
    <w:rPr>
      <w:rFonts w:hint="eastAsia" w:ascii="宋体" w:hAnsi="宋体" w:eastAsia="宋体" w:cs="宋体"/>
      <w:color w:val="000000"/>
      <w:sz w:val="24"/>
      <w:szCs w:val="24"/>
      <w:u w:val="none"/>
    </w:rPr>
  </w:style>
  <w:style w:type="character" w:customStyle="1" w:styleId="23">
    <w:name w:val="font21"/>
    <w:basedOn w:val="11"/>
    <w:qFormat/>
    <w:uiPriority w:val="0"/>
    <w:rPr>
      <w:rFonts w:hint="default" w:ascii="仿宋_GB2312" w:eastAsia="仿宋_GB2312" w:cs="仿宋_GB2312"/>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693</Words>
  <Characters>778</Characters>
  <Lines>3</Lines>
  <Paragraphs>1</Paragraphs>
  <TotalTime>23</TotalTime>
  <ScaleCrop>false</ScaleCrop>
  <LinksUpToDate>false</LinksUpToDate>
  <CharactersWithSpaces>782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2025-01-06T01:44:00Z</dcterms:created>
  <dc:creator>朱湘黔</dc:creator>
  <cp:lastModifiedBy>ZCY</cp:lastModifiedBy>
  <cp:lastPrinted>2023-10-27T12:00:00Z</cp:lastPrinted>
  <dcterms:modified xsi:type="dcterms:W3CDTF">2025-06-16T14:23:12Z</dcterms:modified>
  <dc:title>附件</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517110DDAB3D3846E35B2168314973BF</vt:lpwstr>
  </property>
  <property fmtid="{D5CDD505-2E9C-101B-9397-08002B2CF9AE}" pid="4" name="KSOTemplateDocerSaveRecord">
    <vt:lpwstr>eyJoZGlkIjoiNDY3OTQ5MTRmYWI4ZGQyNDZhZmMxYTNkMTkxMThkOGUiLCJ1c2VySWQiOiIzMzkyMzQ5ODYifQ==</vt:lpwstr>
  </property>
</Properties>
</file>