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0" w:line="240" w:lineRule="auto"/>
        <w:jc w:val="both"/>
        <w:rPr>
          <w:rFonts w:ascii="宋体" w:hAnsi="宋体" w:eastAsia="宋体"/>
          <w:b/>
          <w:bCs/>
          <w:color w:val="000000"/>
          <w:sz w:val="30"/>
          <w:szCs w:val="30"/>
        </w:rPr>
      </w:pPr>
      <w:bookmarkStart w:id="0" w:name="_GoBack"/>
      <w:bookmarkEnd w:id="0"/>
      <w:r>
        <w:rPr>
          <w:rFonts w:ascii="宋体" w:hAnsi="宋体" w:eastAsia="宋体"/>
          <w:b/>
          <w:bCs/>
          <w:color w:val="000000"/>
          <w:sz w:val="30"/>
          <w:szCs w:val="30"/>
        </w:rPr>
        <w:t xml:space="preserve">附件       </w:t>
      </w:r>
    </w:p>
    <w:p>
      <w:pPr>
        <w:snapToGrid w:val="0"/>
        <w:spacing w:before="0" w:after="0" w:line="240" w:lineRule="auto"/>
        <w:jc w:val="center"/>
        <w:rPr>
          <w:rFonts w:ascii="宋体" w:hAnsi="宋体" w:eastAsia="宋体"/>
          <w:b/>
          <w:bCs/>
          <w:color w:val="000000"/>
          <w:sz w:val="44"/>
          <w:szCs w:val="44"/>
        </w:rPr>
      </w:pPr>
      <w:r>
        <w:rPr>
          <w:rFonts w:ascii="宋体" w:hAnsi="宋体" w:eastAsia="宋体"/>
          <w:b/>
          <w:bCs/>
          <w:color w:val="000000"/>
          <w:sz w:val="44"/>
          <w:szCs w:val="44"/>
        </w:rPr>
        <w:t>《</w:t>
      </w:r>
      <w:r>
        <w:rPr>
          <w:rFonts w:hint="eastAsia" w:ascii="宋体" w:hAnsi="宋体" w:eastAsia="宋体"/>
          <w:b/>
          <w:bCs/>
          <w:color w:val="000000"/>
          <w:sz w:val="44"/>
          <w:szCs w:val="44"/>
        </w:rPr>
        <w:t>深圳市建设工程质量安全专家库及入库专家管理服务办法</w:t>
      </w:r>
      <w:r>
        <w:rPr>
          <w:rFonts w:ascii="宋体" w:hAnsi="宋体" w:eastAsia="宋体"/>
          <w:b/>
          <w:bCs/>
          <w:color w:val="000000"/>
          <w:sz w:val="44"/>
          <w:szCs w:val="44"/>
        </w:rPr>
        <w:t>》</w:t>
      </w:r>
    </w:p>
    <w:p>
      <w:pPr>
        <w:snapToGrid w:val="0"/>
        <w:spacing w:before="0" w:after="0" w:line="240" w:lineRule="auto"/>
        <w:jc w:val="center"/>
        <w:rPr>
          <w:rFonts w:hint="eastAsia" w:ascii="宋体" w:hAnsi="宋体" w:eastAsia="宋体"/>
          <w:b/>
          <w:bCs/>
          <w:color w:val="000000"/>
          <w:sz w:val="44"/>
          <w:szCs w:val="44"/>
          <w:lang w:eastAsia="zh-CN"/>
        </w:rPr>
      </w:pPr>
      <w:r>
        <w:rPr>
          <w:rFonts w:hint="eastAsia" w:ascii="宋体" w:hAnsi="宋体" w:eastAsia="宋体"/>
          <w:b/>
          <w:bCs/>
          <w:color w:val="000000"/>
          <w:sz w:val="44"/>
          <w:szCs w:val="44"/>
          <w:lang w:eastAsia="zh-CN"/>
        </w:rPr>
        <w:t>公开</w:t>
      </w:r>
      <w:r>
        <w:rPr>
          <w:rFonts w:ascii="宋体" w:hAnsi="宋体" w:eastAsia="宋体"/>
          <w:b/>
          <w:bCs/>
          <w:color w:val="000000"/>
          <w:sz w:val="44"/>
          <w:szCs w:val="44"/>
        </w:rPr>
        <w:t>征求意见</w:t>
      </w:r>
      <w:r>
        <w:rPr>
          <w:rFonts w:hint="eastAsia" w:ascii="宋体" w:hAnsi="宋体" w:eastAsia="宋体"/>
          <w:b/>
          <w:bCs/>
          <w:color w:val="000000"/>
          <w:sz w:val="44"/>
          <w:szCs w:val="44"/>
          <w:lang w:eastAsia="zh-CN"/>
        </w:rPr>
        <w:t>采纳情况汇总表</w:t>
      </w:r>
    </w:p>
    <w:p>
      <w:pPr>
        <w:snapToGrid w:val="0"/>
        <w:spacing w:before="0" w:after="0" w:line="360" w:lineRule="auto"/>
        <w:jc w:val="center"/>
        <w:rPr>
          <w:rFonts w:ascii="宋体" w:hAnsi="宋体" w:eastAsia="宋体"/>
          <w:b/>
          <w:bCs/>
          <w:color w:val="000000"/>
          <w:sz w:val="28"/>
          <w:szCs w:val="28"/>
        </w:rPr>
      </w:pPr>
      <w:r>
        <w:rPr>
          <w:rFonts w:ascii="宋体" w:hAnsi="宋体" w:eastAsia="宋体"/>
          <w:b/>
          <w:bCs/>
          <w:color w:val="000000"/>
          <w:sz w:val="28"/>
          <w:szCs w:val="28"/>
        </w:rPr>
        <w:t>本次征求意见工作共收</w:t>
      </w:r>
      <w:r>
        <w:rPr>
          <w:rFonts w:hint="eastAsia" w:ascii="宋体" w:hAnsi="宋体" w:eastAsia="宋体"/>
          <w:b/>
          <w:bCs/>
          <w:color w:val="000000"/>
          <w:sz w:val="28"/>
          <w:szCs w:val="28"/>
          <w:lang w:val="en-US" w:eastAsia="zh-CN"/>
        </w:rPr>
        <w:t>14</w:t>
      </w:r>
      <w:r>
        <w:rPr>
          <w:rFonts w:ascii="宋体" w:hAnsi="宋体" w:eastAsia="宋体"/>
          <w:b/>
          <w:bCs/>
          <w:color w:val="000000"/>
          <w:sz w:val="28"/>
          <w:szCs w:val="28"/>
        </w:rPr>
        <w:t>条有效意见。其中，采纳</w:t>
      </w:r>
      <w:r>
        <w:rPr>
          <w:rFonts w:hint="eastAsia" w:ascii="宋体" w:hAnsi="宋体" w:eastAsia="宋体"/>
          <w:b/>
          <w:bCs/>
          <w:color w:val="000000"/>
          <w:sz w:val="28"/>
          <w:szCs w:val="28"/>
          <w:lang w:val="en-US" w:eastAsia="zh-CN"/>
        </w:rPr>
        <w:t>5</w:t>
      </w:r>
      <w:r>
        <w:rPr>
          <w:rFonts w:ascii="宋体" w:hAnsi="宋体" w:eastAsia="宋体"/>
          <w:b/>
          <w:bCs/>
          <w:color w:val="000000"/>
          <w:sz w:val="28"/>
          <w:szCs w:val="28"/>
        </w:rPr>
        <w:t>条，</w:t>
      </w:r>
      <w:r>
        <w:rPr>
          <w:rFonts w:hint="eastAsia" w:ascii="宋体" w:hAnsi="宋体" w:eastAsia="宋体"/>
          <w:b/>
          <w:bCs/>
          <w:color w:val="000000"/>
          <w:sz w:val="28"/>
          <w:szCs w:val="28"/>
          <w:lang w:eastAsia="zh-CN"/>
        </w:rPr>
        <w:t>部分采纳</w:t>
      </w:r>
      <w:r>
        <w:rPr>
          <w:rFonts w:hint="eastAsia" w:ascii="宋体" w:hAnsi="宋体" w:eastAsia="宋体"/>
          <w:b/>
          <w:bCs/>
          <w:color w:val="000000"/>
          <w:sz w:val="28"/>
          <w:szCs w:val="28"/>
          <w:lang w:val="en-US" w:eastAsia="zh-CN"/>
        </w:rPr>
        <w:t>1条，</w:t>
      </w:r>
      <w:r>
        <w:rPr>
          <w:rFonts w:hint="eastAsia" w:ascii="宋体" w:hAnsi="宋体" w:eastAsia="宋体"/>
          <w:b/>
          <w:bCs/>
          <w:color w:val="000000"/>
          <w:sz w:val="28"/>
          <w:szCs w:val="28"/>
          <w:lang w:eastAsia="zh-CN"/>
        </w:rPr>
        <w:t>解释说明</w:t>
      </w:r>
      <w:r>
        <w:rPr>
          <w:rFonts w:hint="eastAsia" w:ascii="宋体" w:hAnsi="宋体" w:eastAsia="宋体"/>
          <w:b/>
          <w:bCs/>
          <w:color w:val="000000"/>
          <w:sz w:val="28"/>
          <w:szCs w:val="28"/>
          <w:lang w:val="en-US" w:eastAsia="zh-CN"/>
        </w:rPr>
        <w:t>6</w:t>
      </w:r>
      <w:r>
        <w:rPr>
          <w:rFonts w:ascii="宋体" w:hAnsi="宋体" w:eastAsia="宋体"/>
          <w:b/>
          <w:bCs/>
          <w:color w:val="000000"/>
          <w:sz w:val="28"/>
          <w:szCs w:val="28"/>
        </w:rPr>
        <w:t>条</w:t>
      </w:r>
      <w:r>
        <w:rPr>
          <w:rFonts w:hint="eastAsia" w:ascii="宋体" w:hAnsi="宋体" w:eastAsia="宋体"/>
          <w:b/>
          <w:bCs/>
          <w:color w:val="000000"/>
          <w:sz w:val="28"/>
          <w:szCs w:val="28"/>
          <w:lang w:eastAsia="zh-CN"/>
        </w:rPr>
        <w:t>，不采纳</w:t>
      </w:r>
      <w:r>
        <w:rPr>
          <w:rFonts w:hint="eastAsia" w:ascii="宋体" w:hAnsi="宋体" w:eastAsia="宋体"/>
          <w:b/>
          <w:bCs/>
          <w:color w:val="000000"/>
          <w:sz w:val="28"/>
          <w:szCs w:val="28"/>
          <w:lang w:val="en-US" w:eastAsia="zh-CN"/>
        </w:rPr>
        <w:t>2条</w:t>
      </w:r>
      <w:r>
        <w:rPr>
          <w:rFonts w:ascii="宋体" w:hAnsi="宋体" w:eastAsia="宋体"/>
          <w:b/>
          <w:bCs/>
          <w:color w:val="000000"/>
          <w:sz w:val="28"/>
          <w:szCs w:val="28"/>
        </w:rPr>
        <w:t>。</w:t>
      </w:r>
    </w:p>
    <w:tbl>
      <w:tblPr>
        <w:tblStyle w:val="8"/>
        <w:tblW w:w="4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134"/>
        <w:gridCol w:w="6281"/>
        <w:gridCol w:w="1845"/>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spacing w:before="0" w:after="0" w:line="240" w:lineRule="auto"/>
              <w:jc w:val="center"/>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序号</w:t>
            </w:r>
          </w:p>
        </w:tc>
        <w:tc>
          <w:tcPr>
            <w:tcW w:w="2421"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spacing w:before="0" w:after="0" w:line="240" w:lineRule="auto"/>
              <w:jc w:val="center"/>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修改意见</w:t>
            </w:r>
          </w:p>
        </w:tc>
        <w:tc>
          <w:tcPr>
            <w:tcW w:w="711"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spacing w:before="0" w:after="0" w:line="240" w:lineRule="auto"/>
              <w:jc w:val="center"/>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eastAsia="zh-CN"/>
              </w:rPr>
              <w:t>采纳</w:t>
            </w:r>
            <w:r>
              <w:rPr>
                <w:rFonts w:hint="eastAsia" w:asciiTheme="minorEastAsia" w:hAnsiTheme="minorEastAsia" w:eastAsiaTheme="minorEastAsia" w:cstheme="minorEastAsia"/>
                <w:b/>
                <w:bCs/>
                <w:color w:val="auto"/>
                <w:kern w:val="0"/>
                <w:sz w:val="28"/>
                <w:szCs w:val="28"/>
                <w:highlight w:val="none"/>
              </w:rPr>
              <w:t>情况</w:t>
            </w:r>
          </w:p>
        </w:tc>
        <w:tc>
          <w:tcPr>
            <w:tcW w:w="1429" w:type="pct"/>
            <w:tcBorders>
              <w:top w:val="single" w:color="000000" w:sz="8" w:space="0"/>
              <w:left w:val="single" w:color="000000" w:sz="8" w:space="0"/>
              <w:bottom w:val="single" w:color="000000" w:sz="8" w:space="0"/>
              <w:right w:val="single" w:color="000000" w:sz="8" w:space="0"/>
            </w:tcBorders>
            <w:shd w:val="clear" w:color="auto" w:fill="999999"/>
            <w:vAlign w:val="center"/>
          </w:tcPr>
          <w:p>
            <w:pPr>
              <w:snapToGrid w:val="0"/>
              <w:spacing w:before="0" w:after="0" w:line="240" w:lineRule="auto"/>
              <w:jc w:val="center"/>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“专家主要从国内知名高等院校、科研机构以及我市范围内勘察、设计、建设、施工、监理等单位从事建设工程质量安全技术人员和管理人员中征集”中的我市范围内</w:t>
            </w:r>
            <w:r>
              <w:rPr>
                <w:rFonts w:hint="eastAsia" w:asciiTheme="minorEastAsia" w:hAnsi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sz w:val="24"/>
                <w:szCs w:val="24"/>
                <w:lang w:val="en-US" w:eastAsia="zh-CN"/>
              </w:rPr>
              <w:t>建议扩大范围至我市及周边范围内</w:t>
            </w:r>
            <w:r>
              <w:rPr>
                <w:rFonts w:hint="eastAsia" w:asciiTheme="minorEastAsia" w:hAnsi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sz w:val="24"/>
                <w:szCs w:val="24"/>
                <w:lang w:val="en-US" w:eastAsia="zh-CN"/>
              </w:rPr>
              <w:t>以吸引更多优质专家入库。</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SA"/>
              </w:rPr>
              <w:t>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将范围扩大至全省范围内</w:t>
            </w:r>
            <w:r>
              <w:rPr>
                <w:rFonts w:hint="eastAsia" w:asciiTheme="minorEastAsia" w:hAnsiTheme="minorEastAsia" w:cstheme="minorEastAsia"/>
                <w:b w:val="0"/>
                <w:bCs w:val="0"/>
                <w:i w:val="0"/>
                <w:iCs w:val="0"/>
                <w:color w:val="000000"/>
                <w:kern w:val="2"/>
                <w:sz w:val="24"/>
                <w:szCs w:val="24"/>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8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对于“大型工程或技术特别复杂工程”没有明确标准，存在主观认定空间，评价标准不客观。</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2"/>
                <w:sz w:val="24"/>
                <w:szCs w:val="24"/>
                <w:u w:val="none"/>
                <w:lang w:val="en-US" w:eastAsia="zh-CN" w:bidi="ar-SA"/>
              </w:rPr>
              <w:t>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“通过特邀方式加入专家库的，可以免除申请程序”没有明示特邀标准存在人为操作空间</w:t>
            </w:r>
            <w:r>
              <w:rPr>
                <w:rFonts w:hint="eastAsia" w:asciiTheme="minorEastAsia" w:hAnsiTheme="minorEastAsia" w:cstheme="minorEastAsia"/>
                <w:b w:val="0"/>
                <w:bCs w:val="0"/>
                <w:color w:val="000000"/>
                <w:kern w:val="2"/>
                <w:sz w:val="24"/>
                <w:szCs w:val="24"/>
                <w:lang w:val="en-US" w:eastAsia="zh-CN" w:bidi="ar-SA"/>
              </w:rPr>
              <w:t>。</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解释说明</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特邀专家主要是指部分专业领军专家，已退休或是未申请入库，</w:t>
            </w:r>
            <w:r>
              <w:rPr>
                <w:rFonts w:hint="eastAsia" w:asciiTheme="minorEastAsia" w:hAnsiTheme="minorEastAsia" w:cstheme="minorEastAsia"/>
                <w:b w:val="0"/>
                <w:bCs w:val="0"/>
                <w:sz w:val="24"/>
                <w:szCs w:val="24"/>
                <w:lang w:val="en-US" w:eastAsia="zh-CN"/>
              </w:rPr>
              <w:t>通过特邀方式</w:t>
            </w:r>
            <w:r>
              <w:rPr>
                <w:rFonts w:hint="eastAsia" w:asciiTheme="minorEastAsia" w:hAnsiTheme="minorEastAsia" w:eastAsiaTheme="minorEastAsia" w:cstheme="minorEastAsia"/>
                <w:b w:val="0"/>
                <w:bCs w:val="0"/>
                <w:sz w:val="24"/>
                <w:szCs w:val="24"/>
                <w:lang w:val="en-US" w:eastAsia="zh-CN"/>
              </w:rPr>
              <w:t>入库后</w:t>
            </w:r>
            <w:r>
              <w:rPr>
                <w:rFonts w:hint="eastAsia" w:asciiTheme="minorEastAsia" w:hAnsiTheme="minorEastAsia" w:cstheme="minorEastAsia"/>
                <w:b w:val="0"/>
                <w:bCs w:val="0"/>
                <w:sz w:val="24"/>
                <w:szCs w:val="24"/>
                <w:lang w:val="en-US" w:eastAsia="zh-CN"/>
              </w:rPr>
              <w:t>提供</w:t>
            </w:r>
            <w:r>
              <w:rPr>
                <w:rFonts w:hint="eastAsia" w:asciiTheme="minorEastAsia" w:hAnsiTheme="minorEastAsia" w:eastAsiaTheme="minorEastAsia" w:cstheme="minorEastAsia"/>
                <w:b w:val="0"/>
                <w:bCs w:val="0"/>
                <w:sz w:val="24"/>
                <w:szCs w:val="24"/>
                <w:lang w:val="en-US" w:eastAsia="zh-CN"/>
              </w:rPr>
              <w:t>方案评审、论证以外的技术服务</w:t>
            </w:r>
            <w:r>
              <w:rPr>
                <w:rFonts w:hint="eastAsia" w:asciiTheme="minorEastAsia" w:hAnsiTheme="minorEastAsia" w:cstheme="minorEastAsia"/>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05"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4</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“市主管部门根据工作需要，制定专家考核标准”，制度附件未见考核标准，不能保证市主管部门的考核公平性。</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解释说明</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专家考核标准将另行发文公布，主要是考核《办法》中第二十一条、二十二条内容要求</w:t>
            </w:r>
            <w:r>
              <w:rPr>
                <w:rFonts w:hint="eastAsia" w:asciiTheme="minorEastAsia" w:hAnsiTheme="minorEastAsia" w:cstheme="minorEastAsia"/>
                <w:b w:val="0"/>
                <w:bCs w:val="0"/>
                <w:i w:val="0"/>
                <w:iCs w:val="0"/>
                <w:color w:val="000000"/>
                <w:kern w:val="2"/>
                <w:sz w:val="24"/>
                <w:szCs w:val="24"/>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5</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建议限制学历为全日制本科及以上。</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不采纳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全日制和非全日制学历对专家能力并无关键性的影响</w:t>
            </w:r>
            <w:r>
              <w:rPr>
                <w:rFonts w:hint="eastAsia" w:asciiTheme="minorEastAsia" w:hAnsiTheme="minorEastAsia" w:cstheme="minorEastAsia"/>
                <w:b w:val="0"/>
                <w:bCs w:val="0"/>
                <w:i w:val="0"/>
                <w:iCs w:val="0"/>
                <w:color w:val="000000"/>
                <w:kern w:val="2"/>
                <w:sz w:val="24"/>
                <w:szCs w:val="24"/>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6</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建议明确专家不可在重复时间段参加多项评审工作；</w:t>
            </w:r>
          </w:p>
          <w:p>
            <w:pPr>
              <w:snapToGrid w:val="0"/>
              <w:spacing w:before="0" w:after="0" w:line="24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建议明确回避要求，年限要求，单位要求。</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对于专家不可在重复时间段参加多项评审的建议，在此办法配套的细则中将会明确。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7</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建议申报条件按照取得高级工程师或高等级执业资格证书</w:t>
            </w:r>
            <w:r>
              <w:rPr>
                <w:rFonts w:hint="eastAsia" w:asciiTheme="minorEastAsia" w:hAnsiTheme="minorEastAsia" w:cstheme="minorEastAsia"/>
                <w:b w:val="0"/>
                <w:bCs w:val="0"/>
                <w:i w:val="0"/>
                <w:iCs w:val="0"/>
                <w:color w:val="000000"/>
                <w:kern w:val="2"/>
                <w:sz w:val="24"/>
                <w:szCs w:val="24"/>
                <w:u w:val="none"/>
                <w:lang w:val="en-US" w:eastAsia="zh-CN" w:bidi="ar-SA"/>
              </w:rPr>
              <w:t>，</w:t>
            </w: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如一级建造师资格满五年</w:t>
            </w:r>
            <w:r>
              <w:rPr>
                <w:rFonts w:hint="eastAsia" w:asciiTheme="minorEastAsia" w:hAnsiTheme="minorEastAsia" w:cstheme="minorEastAsia"/>
                <w:b w:val="0"/>
                <w:bCs w:val="0"/>
                <w:i w:val="0"/>
                <w:iCs w:val="0"/>
                <w:color w:val="000000"/>
                <w:kern w:val="2"/>
                <w:sz w:val="24"/>
                <w:szCs w:val="24"/>
                <w:u w:val="none"/>
                <w:lang w:val="en-US" w:eastAsia="zh-CN" w:bidi="ar-SA"/>
              </w:rPr>
              <w:t>。</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解释说明</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一级建造师职称等级视同中级，并非高级职称。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8</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建议细化从事相关专业工作的工作岗位或工作内容及其</w:t>
            </w:r>
            <w:r>
              <w:rPr>
                <w:rFonts w:hint="eastAsia" w:asciiTheme="minorEastAsia" w:hAnsiTheme="minorEastAsia" w:cstheme="minorEastAsia"/>
                <w:b w:val="0"/>
                <w:bCs w:val="0"/>
                <w:color w:val="000000"/>
                <w:kern w:val="2"/>
                <w:sz w:val="24"/>
                <w:szCs w:val="24"/>
                <w:lang w:val="en-US" w:eastAsia="zh-CN" w:bidi="ar-SA"/>
              </w:rPr>
              <w:t>工作</w:t>
            </w:r>
            <w:r>
              <w:rPr>
                <w:rFonts w:hint="eastAsia" w:asciiTheme="minorEastAsia" w:hAnsiTheme="minorEastAsia" w:eastAsiaTheme="minorEastAsia" w:cstheme="minorEastAsia"/>
                <w:b w:val="0"/>
                <w:bCs w:val="0"/>
                <w:color w:val="000000"/>
                <w:kern w:val="2"/>
                <w:sz w:val="24"/>
                <w:szCs w:val="24"/>
                <w:lang w:val="en-US" w:eastAsia="zh-CN" w:bidi="ar-SA"/>
              </w:rPr>
              <w:t>年限。</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解释说明</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在《办法》中已明确入库要求。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9</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专家专业分类中质量技术类有岩土工程，而安全技术类有基坑工程，这与刚发布的深建规〔2025〕3号文中第28条中规定“施工单位应当按照《危险性较大的分部分项工程专项施工方案编制指南》编制深基坑工程专项施工方案，组织岩土工程专家对专项施工方案进行论证”有矛盾，安全技术专业分类中无岩土工程，只有基坑工程。建议调整深建规〔2025〕3号或者调整专业分类。</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解释说明</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专家库分类并不等同于专家专业；专业分类将考虑此条意见进行调整。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widowControl w:val="0"/>
              <w:numPr>
                <w:ilvl w:val="0"/>
                <w:numId w:val="0"/>
              </w:numPr>
              <w:autoSpaceDE w:val="0"/>
              <w:autoSpaceDN w:val="0"/>
              <w:adjustRightInd w:val="0"/>
              <w:ind w:left="0" w:leftChars="0" w:firstLine="0" w:firstLineChars="0"/>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明确入库基本条件中应包含的执业资格证书，如安全方面的的注册安全工程师执业资格证书等。</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解释说明</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入库基本条件已明确职称要求，注安、一建等执业资格证书并非必要条件。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11</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widowControl w:val="0"/>
              <w:numPr>
                <w:ilvl w:val="0"/>
                <w:numId w:val="0"/>
              </w:numPr>
              <w:autoSpaceDE w:val="0"/>
              <w:autoSpaceDN w:val="0"/>
              <w:adjustRightInd w:val="0"/>
              <w:ind w:left="0" w:leftChars="0" w:firstLine="0" w:firstLineChars="0"/>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 xml:space="preserve"> （一）“具有副高级专业技术职称五年以上”，建议修改为“具有副高级专业技术职称五年以上，或具有副高级专业技术职称一年以上且具有相应专业最高级别执业资格八年以上”。</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不采纳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2"/>
                <w:sz w:val="24"/>
                <w:szCs w:val="24"/>
                <w:u w:val="none"/>
                <w:lang w:val="en-US" w:eastAsia="zh-CN" w:bidi="ar-SA"/>
              </w:rPr>
              <w:t>目前在用的最高级别的执业资格证对应的</w:t>
            </w:r>
            <w:r>
              <w:rPr>
                <w:rFonts w:hint="eastAsia" w:asciiTheme="minorEastAsia" w:hAnsiTheme="minorEastAsia" w:cstheme="minorEastAsia"/>
                <w:b w:val="0"/>
                <w:bCs w:val="0"/>
                <w:i w:val="0"/>
                <w:iCs w:val="0"/>
                <w:color w:val="auto"/>
                <w:kern w:val="2"/>
                <w:sz w:val="24"/>
                <w:szCs w:val="24"/>
                <w:u w:val="none"/>
                <w:lang w:val="en-US" w:eastAsia="zh-CN" w:bidi="ar-SA"/>
              </w:rPr>
              <w:t>均为</w:t>
            </w:r>
            <w:r>
              <w:rPr>
                <w:rFonts w:hint="eastAsia" w:asciiTheme="minorEastAsia" w:hAnsiTheme="minorEastAsia" w:eastAsiaTheme="minorEastAsia" w:cstheme="minorEastAsia"/>
                <w:b w:val="0"/>
                <w:bCs w:val="0"/>
                <w:i w:val="0"/>
                <w:iCs w:val="0"/>
                <w:color w:val="auto"/>
                <w:kern w:val="2"/>
                <w:sz w:val="24"/>
                <w:szCs w:val="24"/>
                <w:u w:val="none"/>
                <w:lang w:val="en-US" w:eastAsia="zh-CN" w:bidi="ar-SA"/>
              </w:rPr>
              <w:t>中级职称，不</w:t>
            </w:r>
            <w:r>
              <w:rPr>
                <w:rFonts w:hint="eastAsia" w:asciiTheme="minorEastAsia" w:hAnsiTheme="minorEastAsia" w:cstheme="minorEastAsia"/>
                <w:b w:val="0"/>
                <w:bCs w:val="0"/>
                <w:i w:val="0"/>
                <w:iCs w:val="0"/>
                <w:color w:val="auto"/>
                <w:kern w:val="2"/>
                <w:sz w:val="24"/>
                <w:szCs w:val="24"/>
                <w:u w:val="none"/>
                <w:lang w:val="en-US" w:eastAsia="zh-CN" w:bidi="ar-SA"/>
              </w:rPr>
              <w:t>应</w:t>
            </w:r>
            <w:r>
              <w:rPr>
                <w:rFonts w:hint="eastAsia" w:asciiTheme="minorEastAsia" w:hAnsiTheme="minorEastAsia" w:eastAsiaTheme="minorEastAsia" w:cstheme="minorEastAsia"/>
                <w:b w:val="0"/>
                <w:bCs w:val="0"/>
                <w:i w:val="0"/>
                <w:iCs w:val="0"/>
                <w:color w:val="auto"/>
                <w:kern w:val="2"/>
                <w:sz w:val="24"/>
                <w:szCs w:val="24"/>
                <w:u w:val="none"/>
                <w:lang w:val="en-US" w:eastAsia="zh-CN" w:bidi="ar-SA"/>
              </w:rPr>
              <w:t>用中级职称的年限来代替高级职称的年限。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12</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widowControl w:val="0"/>
              <w:numPr>
                <w:ilvl w:val="0"/>
                <w:numId w:val="0"/>
              </w:numPr>
              <w:autoSpaceDE w:val="0"/>
              <w:autoSpaceDN w:val="0"/>
              <w:adjustRightInd w:val="0"/>
              <w:ind w:left="0" w:leftChars="0" w:firstLine="0" w:firstLineChars="0"/>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针对目前社会上可能存在职称造假情况，对于专家库入库人员应严格按人社部出台的《职称评审监管暂行办法》要求对其职称真实性运用大数据结合三库一平台对申报人的社保信息、履历情况及职称颁发机构所在地情况进行复核，凡是相关信息不真实且无法提供相关人社部门给出证明的，一律视为虚假职称，并应主要联系职称所在地人社部门予以注销其职称，并且住建系统专家库专家应在审查履历时应以住建行业从业经历为准，凡以其他领域从业经历为主的，不应视为有效工作经历。</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部分采纳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在申请入库时，将要求提供评审表、官网公示信息、企业职称任命等材料作为支撑，</w:t>
            </w: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解决职称资料作假的问题</w:t>
            </w:r>
            <w:r>
              <w:rPr>
                <w:rFonts w:hint="eastAsia" w:asciiTheme="minorEastAsia" w:hAnsiTheme="minorEastAsia" w:cstheme="minorEastAsia"/>
                <w:b w:val="0"/>
                <w:bCs w:val="0"/>
                <w:i w:val="0"/>
                <w:iCs w:val="0"/>
                <w:color w:val="000000"/>
                <w:kern w:val="2"/>
                <w:sz w:val="24"/>
                <w:szCs w:val="24"/>
                <w:u w:val="none"/>
                <w:lang w:val="en-US" w:eastAsia="zh-CN" w:bidi="ar-SA"/>
              </w:rPr>
              <w:t>；</w:t>
            </w: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业绩资料提供相应的合同、竣工验收证明书、企业任职文件、获奖证书网址等资料</w:t>
            </w:r>
            <w:r>
              <w:rPr>
                <w:rFonts w:hint="eastAsia" w:asciiTheme="minorEastAsia" w:hAnsiTheme="minorEastAsia" w:cstheme="minorEastAsia"/>
                <w:b w:val="0"/>
                <w:bCs w:val="0"/>
                <w:i w:val="0"/>
                <w:iCs w:val="0"/>
                <w:color w:val="000000"/>
                <w:kern w:val="2"/>
                <w:sz w:val="24"/>
                <w:szCs w:val="24"/>
                <w:u w:val="none"/>
                <w:lang w:val="en-US" w:eastAsia="zh-CN" w:bidi="ar-SA"/>
              </w:rPr>
              <w:t>作为</w:t>
            </w: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支撑</w:t>
            </w:r>
            <w:r>
              <w:rPr>
                <w:rFonts w:hint="eastAsia" w:asciiTheme="minorEastAsia" w:hAnsiTheme="minorEastAsia" w:cstheme="minorEastAsia"/>
                <w:b w:val="0"/>
                <w:bCs w:val="0"/>
                <w:i w:val="0"/>
                <w:iCs w:val="0"/>
                <w:color w:val="000000"/>
                <w:kern w:val="2"/>
                <w:sz w:val="24"/>
                <w:szCs w:val="24"/>
                <w:u w:val="none"/>
                <w:lang w:val="en-US" w:eastAsia="zh-CN" w:bidi="ar-SA"/>
              </w:rPr>
              <w:t>；不符合条件的不允入库。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77"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13</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widowControl w:val="0"/>
              <w:numPr>
                <w:ilvl w:val="0"/>
                <w:numId w:val="0"/>
              </w:numPr>
              <w:autoSpaceDE w:val="0"/>
              <w:autoSpaceDN w:val="0"/>
              <w:adjustRightInd w:val="0"/>
              <w:ind w:left="0" w:leftChars="0" w:firstLine="0" w:firstLineChars="0"/>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专业分类，根据“建办质〔2018〕31号文和粤建规范〔2019〕2号文”，建议增加“建筑幕墙安装工程”专业。</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14</w:t>
            </w:r>
          </w:p>
        </w:tc>
        <w:tc>
          <w:tcPr>
            <w:tcW w:w="2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widowControl w:val="0"/>
              <w:numPr>
                <w:ilvl w:val="0"/>
                <w:numId w:val="0"/>
              </w:numPr>
              <w:autoSpaceDE w:val="0"/>
              <w:autoSpaceDN w:val="0"/>
              <w:adjustRightInd w:val="0"/>
              <w:ind w:left="0" w:leftChars="0" w:firstLine="0" w:firstLineChars="0"/>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根据“粤建规范〔2019〕2号文”第十四条（一）专家组成员应“符合专业要求且人数不得少于5名”的要求，征求意见稿的第六条：安全技术类的“模架及支撑、脚手架工程”专业，是否可按此条“且半数以上专家组成员专业类别须与方案类别一致”执行？除“如论证塔吊安装方案，5名专家中，至少3名专家组成员专业类别应为起重吊装及起重机械安装拆卸工程”外，其他还有哪些专业可按此条执行？</w:t>
            </w:r>
          </w:p>
        </w:tc>
        <w:tc>
          <w:tcPr>
            <w:tcW w:w="71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采纳</w:t>
            </w:r>
          </w:p>
        </w:tc>
        <w:tc>
          <w:tcPr>
            <w:tcW w:w="142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各安全类专项施工方案的评审、论证均参照执行。</w:t>
            </w:r>
          </w:p>
        </w:tc>
      </w:tr>
    </w:tbl>
    <w:p/>
    <w:sectPr>
      <w:footerReference r:id="rId3" w:type="default"/>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0" w:after="0" w:line="240" w:lineRule="auto"/>
      <w:jc w:val="left"/>
      <w:rPr>
        <w:rFonts w:ascii="宋体" w:hAnsi="宋体" w:eastAsia="宋体"/>
        <w:color w:val="000000"/>
        <w:sz w:val="18"/>
        <w:szCs w:val="18"/>
      </w:rPr>
    </w:pPr>
    <w:r>
      <w:fldChar w:fldCharType="begin"/>
    </w:r>
    <w:r>
      <w:rPr>
        <w:rFonts w:ascii="宋体" w:hAnsi="宋体" w:eastAsia="宋体"/>
        <w:sz w:val="18"/>
        <w:szCs w:val="18"/>
      </w:rPr>
      <w:instrText xml:space="preserve">PAGE</w:instrText>
    </w:r>
    <w:r>
      <w:fldChar w:fldCharType="end"/>
    </w:r>
  </w:p>
  <w:p>
    <w:pPr>
      <w:snapToGrid w:val="0"/>
      <w:spacing w:before="0" w:after="0" w:line="240" w:lineRule="auto"/>
      <w:jc w:val="left"/>
      <w:rPr>
        <w:rFonts w:ascii="宋体" w:hAnsi="宋体" w:eastAsia="宋体"/>
        <w:color w:val="00000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10F585C"/>
    <w:rsid w:val="01C64105"/>
    <w:rsid w:val="01D34B7C"/>
    <w:rsid w:val="026222C6"/>
    <w:rsid w:val="0397158C"/>
    <w:rsid w:val="04A071A7"/>
    <w:rsid w:val="05D84CA5"/>
    <w:rsid w:val="062953B1"/>
    <w:rsid w:val="06416EE4"/>
    <w:rsid w:val="077B0164"/>
    <w:rsid w:val="077C74E6"/>
    <w:rsid w:val="07B274A4"/>
    <w:rsid w:val="08035B97"/>
    <w:rsid w:val="083D07F0"/>
    <w:rsid w:val="094062C4"/>
    <w:rsid w:val="097529BD"/>
    <w:rsid w:val="0A112AEA"/>
    <w:rsid w:val="0A5D53A7"/>
    <w:rsid w:val="0DBA238B"/>
    <w:rsid w:val="0E2C4F71"/>
    <w:rsid w:val="0E794CFD"/>
    <w:rsid w:val="0F805229"/>
    <w:rsid w:val="0F833182"/>
    <w:rsid w:val="0FC47022"/>
    <w:rsid w:val="104320DB"/>
    <w:rsid w:val="104A11DC"/>
    <w:rsid w:val="105E3B74"/>
    <w:rsid w:val="10894751"/>
    <w:rsid w:val="10D27002"/>
    <w:rsid w:val="12024ECF"/>
    <w:rsid w:val="121A6315"/>
    <w:rsid w:val="12CD629D"/>
    <w:rsid w:val="139525D9"/>
    <w:rsid w:val="13B2334D"/>
    <w:rsid w:val="13D37136"/>
    <w:rsid w:val="14974454"/>
    <w:rsid w:val="15015EB0"/>
    <w:rsid w:val="1587548B"/>
    <w:rsid w:val="15B26646"/>
    <w:rsid w:val="15BB2199"/>
    <w:rsid w:val="16A21031"/>
    <w:rsid w:val="191127F1"/>
    <w:rsid w:val="19201F61"/>
    <w:rsid w:val="19DA0A2E"/>
    <w:rsid w:val="1AF36070"/>
    <w:rsid w:val="1C2C4424"/>
    <w:rsid w:val="1CD54CE6"/>
    <w:rsid w:val="1CFE1B57"/>
    <w:rsid w:val="1D3D18B6"/>
    <w:rsid w:val="1DC11A4B"/>
    <w:rsid w:val="1DEC38DC"/>
    <w:rsid w:val="1DFF19A2"/>
    <w:rsid w:val="1ECE0827"/>
    <w:rsid w:val="218501A3"/>
    <w:rsid w:val="231243DD"/>
    <w:rsid w:val="23412C64"/>
    <w:rsid w:val="2429118E"/>
    <w:rsid w:val="24A5429E"/>
    <w:rsid w:val="25963CA7"/>
    <w:rsid w:val="25D76F4E"/>
    <w:rsid w:val="26C84F0C"/>
    <w:rsid w:val="27603B29"/>
    <w:rsid w:val="27861EE1"/>
    <w:rsid w:val="27D150E1"/>
    <w:rsid w:val="28912A92"/>
    <w:rsid w:val="2B1A71A9"/>
    <w:rsid w:val="2C6F204F"/>
    <w:rsid w:val="2C9262C2"/>
    <w:rsid w:val="2DB80F46"/>
    <w:rsid w:val="2E785D34"/>
    <w:rsid w:val="2F334FC6"/>
    <w:rsid w:val="30456175"/>
    <w:rsid w:val="312646C1"/>
    <w:rsid w:val="32551176"/>
    <w:rsid w:val="326122B8"/>
    <w:rsid w:val="340B5641"/>
    <w:rsid w:val="36384FAA"/>
    <w:rsid w:val="36772279"/>
    <w:rsid w:val="3738084E"/>
    <w:rsid w:val="379F14FA"/>
    <w:rsid w:val="37D03331"/>
    <w:rsid w:val="38B22CD1"/>
    <w:rsid w:val="38E45167"/>
    <w:rsid w:val="39622F33"/>
    <w:rsid w:val="39B7788E"/>
    <w:rsid w:val="3A074C8A"/>
    <w:rsid w:val="3A3F7873"/>
    <w:rsid w:val="3A82388C"/>
    <w:rsid w:val="3BBD7F6E"/>
    <w:rsid w:val="3BC44F5A"/>
    <w:rsid w:val="3CEE1CA5"/>
    <w:rsid w:val="3D6C7658"/>
    <w:rsid w:val="3DD94A28"/>
    <w:rsid w:val="3FBD3DDA"/>
    <w:rsid w:val="41495A51"/>
    <w:rsid w:val="416163D3"/>
    <w:rsid w:val="41A93AFF"/>
    <w:rsid w:val="41D6506E"/>
    <w:rsid w:val="434067C1"/>
    <w:rsid w:val="44297ADF"/>
    <w:rsid w:val="448761A3"/>
    <w:rsid w:val="44BD1B0F"/>
    <w:rsid w:val="452F2323"/>
    <w:rsid w:val="461C6516"/>
    <w:rsid w:val="47972E6F"/>
    <w:rsid w:val="489D6C31"/>
    <w:rsid w:val="4A295D83"/>
    <w:rsid w:val="4BA32DDE"/>
    <w:rsid w:val="4BAD1ED0"/>
    <w:rsid w:val="4F2D310F"/>
    <w:rsid w:val="4FA63618"/>
    <w:rsid w:val="50685DAA"/>
    <w:rsid w:val="51635294"/>
    <w:rsid w:val="51A825CA"/>
    <w:rsid w:val="5628346A"/>
    <w:rsid w:val="568D20C3"/>
    <w:rsid w:val="57B61CC3"/>
    <w:rsid w:val="5A8E2B4C"/>
    <w:rsid w:val="5AC40FE2"/>
    <w:rsid w:val="5BAE0D25"/>
    <w:rsid w:val="5BFD216E"/>
    <w:rsid w:val="5F75BD2C"/>
    <w:rsid w:val="5F7F1015"/>
    <w:rsid w:val="62033C7F"/>
    <w:rsid w:val="6428230A"/>
    <w:rsid w:val="64D900D7"/>
    <w:rsid w:val="652A2E2B"/>
    <w:rsid w:val="65327165"/>
    <w:rsid w:val="664C1462"/>
    <w:rsid w:val="66670A10"/>
    <w:rsid w:val="6797B86F"/>
    <w:rsid w:val="6814508D"/>
    <w:rsid w:val="69034E54"/>
    <w:rsid w:val="69D73AC6"/>
    <w:rsid w:val="6A563204"/>
    <w:rsid w:val="6A57341E"/>
    <w:rsid w:val="6BF80642"/>
    <w:rsid w:val="6D257FA0"/>
    <w:rsid w:val="6DD32FC0"/>
    <w:rsid w:val="6E7646F8"/>
    <w:rsid w:val="6E87317F"/>
    <w:rsid w:val="6EAF13B0"/>
    <w:rsid w:val="6ED69834"/>
    <w:rsid w:val="6F725032"/>
    <w:rsid w:val="70D36142"/>
    <w:rsid w:val="70E30808"/>
    <w:rsid w:val="71061E72"/>
    <w:rsid w:val="711F313F"/>
    <w:rsid w:val="71614C78"/>
    <w:rsid w:val="71A62431"/>
    <w:rsid w:val="725C4DF6"/>
    <w:rsid w:val="755B4E77"/>
    <w:rsid w:val="77385F6C"/>
    <w:rsid w:val="77981E3E"/>
    <w:rsid w:val="78135175"/>
    <w:rsid w:val="786C5588"/>
    <w:rsid w:val="788F1AD5"/>
    <w:rsid w:val="7A3B2499"/>
    <w:rsid w:val="7A692ED3"/>
    <w:rsid w:val="7BE58270"/>
    <w:rsid w:val="7D6363CB"/>
    <w:rsid w:val="7D6F10E6"/>
    <w:rsid w:val="7F1B445E"/>
    <w:rsid w:val="7F222C56"/>
    <w:rsid w:val="7F5669E3"/>
    <w:rsid w:val="7F7708CD"/>
    <w:rsid w:val="7FAE8F92"/>
    <w:rsid w:val="7FED3F68"/>
    <w:rsid w:val="7FFBED54"/>
    <w:rsid w:val="9EEF93EA"/>
    <w:rsid w:val="CFF75A99"/>
    <w:rsid w:val="CFFC39A6"/>
    <w:rsid w:val="DFFE1954"/>
    <w:rsid w:val="EDFD410A"/>
    <w:rsid w:val="EF53527A"/>
    <w:rsid w:val="F7FF0D86"/>
    <w:rsid w:val="F9FFADC2"/>
    <w:rsid w:val="FAF5F8BB"/>
    <w:rsid w:val="FC37239D"/>
    <w:rsid w:val="FDE90AF4"/>
    <w:rsid w:val="FFDF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sz w:val="28"/>
      <w:szCs w:val="20"/>
    </w:rPr>
  </w:style>
  <w:style w:type="paragraph" w:customStyle="1" w:styleId="4">
    <w:name w:val="目录 41"/>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semiHidden/>
    <w:qFormat/>
    <w:uiPriority w:val="99"/>
    <w:rPr>
      <w:sz w:val="18"/>
      <w:szCs w:val="18"/>
    </w:rPr>
  </w:style>
  <w:style w:type="character" w:customStyle="1" w:styleId="11">
    <w:name w:val="页脚 字符"/>
    <w:basedOn w:val="9"/>
    <w:link w:val="5"/>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841</Words>
  <Characters>913</Characters>
  <Lines>1</Lines>
  <Paragraphs>1</Paragraphs>
  <TotalTime>7</TotalTime>
  <ScaleCrop>false</ScaleCrop>
  <LinksUpToDate>false</LinksUpToDate>
  <CharactersWithSpaces>961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2017-01-15T01:10:00Z</dcterms:created>
  <dc:creator>Tencent</dc:creator>
  <cp:lastModifiedBy>zhangl</cp:lastModifiedBy>
  <dcterms:modified xsi:type="dcterms:W3CDTF">2025-05-20T15:56:55Z</dcterms:modified>
  <dc:title>附件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6B50B88315574F2F9CB0E2A19C6F3D32_13</vt:lpwstr>
  </property>
  <property fmtid="{D5CDD505-2E9C-101B-9397-08002B2CF9AE}" pid="4" name="KSOTemplateDocerSaveRecord">
    <vt:lpwstr>eyJoZGlkIjoiYjg5M2MzODZlMDU2YjJiNTlkZDRhNjA0MmI1ODU4NmIiLCJ1c2VySWQiOiI1OTczNzI1NDkifQ==</vt:lpwstr>
  </property>
</Properties>
</file>