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jc w:val="left"/>
        <w:rPr>
          <w:rFonts w:ascii="黑体" w:hAnsi="黑体" w:eastAsia="黑体" w:cs="黑体"/>
          <w:bCs/>
          <w:color w:val="000000"/>
          <w:sz w:val="44"/>
          <w:szCs w:val="44"/>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w:t>
      </w:r>
      <w:r>
        <w:rPr>
          <w:rFonts w:hint="eastAsia" w:ascii="黑体" w:hAnsi="黑体" w:eastAsia="黑体" w:cs="黑体"/>
          <w:bCs/>
          <w:sz w:val="32"/>
          <w:szCs w:val="32"/>
        </w:rPr>
        <w:t xml:space="preserve"> </w:t>
      </w:r>
      <w:r>
        <w:rPr>
          <w:rFonts w:hint="eastAsia" w:ascii="黑体" w:hAnsi="黑体" w:eastAsia="黑体" w:cs="黑体"/>
          <w:bCs/>
          <w:sz w:val="30"/>
          <w:szCs w:val="30"/>
        </w:rPr>
        <w:t xml:space="preserve">       </w:t>
      </w:r>
      <w:r>
        <w:rPr>
          <w:rFonts w:hint="eastAsia" w:ascii="黑体" w:hAnsi="黑体" w:eastAsia="黑体" w:cs="黑体"/>
          <w:bCs/>
          <w:color w:val="000000"/>
          <w:sz w:val="44"/>
          <w:szCs w:val="44"/>
        </w:rPr>
        <w:t xml:space="preserve"> </w:t>
      </w:r>
    </w:p>
    <w:p>
      <w:pPr>
        <w:pStyle w:val="2"/>
        <w:ind w:firstLine="420"/>
      </w:pPr>
    </w:p>
    <w:p>
      <w:pPr>
        <w:topLinePunct/>
        <w:adjustRightInd w:val="0"/>
        <w:snapToGrid w:val="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《建筑信息模型审批子模型标准-房屋建筑工程施工许可审批分册</w:t>
      </w:r>
    </w:p>
    <w:p>
      <w:pPr>
        <w:topLinePunct/>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rPr>
        <w:t>（征求意见稿）》意见及采纳情况汇总表</w:t>
      </w:r>
    </w:p>
    <w:p>
      <w:pPr>
        <w:spacing w:line="578" w:lineRule="exact"/>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经广泛征求各市直部门及各区意见，并向有关单位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企业和社会人士征求意见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截至2月16日，本次征求意见工作共收43条有效意见。其中，采纳28条，部分采纳2条，解释说明13条，不采纳0条。</w:t>
      </w:r>
      <w:bookmarkStart w:id="0" w:name="_GoBack"/>
      <w:bookmarkEnd w:id="0"/>
    </w:p>
    <w:tbl>
      <w:tblPr>
        <w:tblStyle w:val="12"/>
        <w:tblW w:w="4996" w:type="pct"/>
        <w:tblInd w:w="0" w:type="dxa"/>
        <w:tblLayout w:type="autofit"/>
        <w:tblCellMar>
          <w:top w:w="0" w:type="dxa"/>
          <w:left w:w="108" w:type="dxa"/>
          <w:bottom w:w="0" w:type="dxa"/>
          <w:right w:w="108" w:type="dxa"/>
        </w:tblCellMar>
      </w:tblPr>
      <w:tblGrid>
        <w:gridCol w:w="1208"/>
        <w:gridCol w:w="2038"/>
        <w:gridCol w:w="5624"/>
        <w:gridCol w:w="1387"/>
        <w:gridCol w:w="3950"/>
      </w:tblGrid>
      <w:tr>
        <w:tblPrEx>
          <w:tblCellMar>
            <w:top w:w="0" w:type="dxa"/>
            <w:left w:w="108" w:type="dxa"/>
            <w:bottom w:w="0" w:type="dxa"/>
            <w:right w:w="108" w:type="dxa"/>
          </w:tblCellMar>
        </w:tblPrEx>
        <w:trPr>
          <w:trHeight w:val="288" w:hRule="atLeast"/>
          <w:tblHeader/>
        </w:trPr>
        <w:tc>
          <w:tcPr>
            <w:tcW w:w="42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jc w:val="center"/>
              <w:textAlignment w:val="center"/>
              <w:rPr>
                <w:rFonts w:eastAsia="等线" w:cs="Times New Roman"/>
                <w:b/>
                <w:bCs/>
                <w:color w:val="000000"/>
                <w:szCs w:val="21"/>
              </w:rPr>
            </w:pPr>
            <w:r>
              <w:rPr>
                <w:rFonts w:eastAsia="等线" w:cs="Times New Roman"/>
                <w:b/>
                <w:bCs/>
                <w:color w:val="000000"/>
                <w:kern w:val="0"/>
                <w:szCs w:val="21"/>
                <w:lang w:bidi="ar"/>
              </w:rPr>
              <w:t>序号</w:t>
            </w:r>
          </w:p>
        </w:tc>
        <w:tc>
          <w:tcPr>
            <w:tcW w:w="717"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条文</w:t>
            </w:r>
          </w:p>
        </w:tc>
        <w:tc>
          <w:tcPr>
            <w:tcW w:w="197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修改意见</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处理情况</w:t>
            </w:r>
          </w:p>
        </w:tc>
        <w:tc>
          <w:tcPr>
            <w:tcW w:w="13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情况说明</w:t>
            </w:r>
          </w:p>
        </w:tc>
      </w:tr>
      <w:tr>
        <w:tblPrEx>
          <w:tblCellMar>
            <w:top w:w="0" w:type="dxa"/>
            <w:left w:w="108" w:type="dxa"/>
            <w:bottom w:w="0" w:type="dxa"/>
            <w:right w:w="108" w:type="dxa"/>
          </w:tblCellMar>
        </w:tblPrEx>
        <w:trPr>
          <w:trHeight w:val="9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4.3.4</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模型单元材料约束应使用 IfcMaterial 表示，可包括内容建议增加IfcMaterialProfile（材质剖面图）、IfcMaterialProfileSet（材料剖面图集）、IfcMaterialProfileSetUsage（材料剖面图集用法）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843"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2</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5 模型级要求</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小标题排序错误，无5.1~5.3章节</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p>
        </w:tc>
      </w:tr>
      <w:tr>
        <w:tblPrEx>
          <w:tblCellMar>
            <w:top w:w="0" w:type="dxa"/>
            <w:left w:w="108" w:type="dxa"/>
            <w:bottom w:w="0" w:type="dxa"/>
            <w:right w:w="108" w:type="dxa"/>
          </w:tblCellMar>
        </w:tblPrEx>
        <w:trPr>
          <w:trHeight w:val="9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3</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5.6.22</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“项目 IfcProfect”写错了，应改为“项目 IfcProject”，其中第5部分内容“应 IfcRelAggregates 条目”应改为“应采用IfcRelAggregates 条目”</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9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4</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附录C</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表 C.0.2 施工图审（抽）查空间模型单元数据要求，卫生间属性是否应为厕位数，而物业管理用房-通道属性是否应为通行宽度？</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5</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引用标准名录</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“2 《建筑工程信息模型设计交付标准》SJG7”应改为“2 《建筑工程信息模型设计交付标准》SJG76”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7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6</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6.0.4</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条文说明模型体量达到一定数量级（200MB）时，可以对模型按照楼层、空间分区进一步拆分。”建议：将200MB改为300MB。</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eastAsia="等线" w:cs="等线"/>
                <w:color w:val="000000"/>
                <w:szCs w:val="21"/>
                <w:lang w:val="en" w:eastAsia="zh-CN"/>
              </w:rPr>
            </w:pPr>
            <w:r>
              <w:rPr>
                <w:rFonts w:hint="eastAsia" w:eastAsia="等线" w:cs="等线"/>
                <w:color w:val="000000"/>
                <w:kern w:val="0"/>
                <w:szCs w:val="21"/>
                <w:lang w:bidi="ar"/>
              </w:rPr>
              <w:t>仍维持200MB，</w:t>
            </w:r>
            <w:r>
              <w:rPr>
                <w:rFonts w:hint="eastAsia" w:eastAsia="等线" w:cs="等线"/>
                <w:color w:val="000000"/>
                <w:kern w:val="0"/>
                <w:szCs w:val="21"/>
                <w:lang w:eastAsia="zh-CN" w:bidi="ar"/>
              </w:rPr>
              <w:t>与</w:t>
            </w:r>
            <w:r>
              <w:rPr>
                <w:rFonts w:hint="eastAsia" w:eastAsia="等线" w:cs="等线"/>
                <w:color w:val="000000"/>
                <w:kern w:val="0"/>
                <w:szCs w:val="21"/>
                <w:lang w:bidi="ar"/>
              </w:rPr>
              <w:t>SJG114中8.5.3规定相关内容保持一致</w:t>
            </w:r>
            <w:r>
              <w:rPr>
                <w:rFonts w:hint="eastAsia" w:eastAsia="等线" w:cs="等线"/>
                <w:color w:val="000000"/>
                <w:kern w:val="0"/>
                <w:szCs w:val="21"/>
                <w:lang w:eastAsia="zh-CN" w:bidi="ar"/>
              </w:rPr>
              <w:t>。</w:t>
            </w:r>
          </w:p>
        </w:tc>
      </w:tr>
      <w:tr>
        <w:tblPrEx>
          <w:tblCellMar>
            <w:top w:w="0" w:type="dxa"/>
            <w:left w:w="108" w:type="dxa"/>
            <w:bottom w:w="0" w:type="dxa"/>
            <w:right w:w="108" w:type="dxa"/>
          </w:tblCellMar>
        </w:tblPrEx>
        <w:trPr>
          <w:trHeight w:val="7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7</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标题</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筑信息模型审批子模型标准”建议修改为“房屋建筑工程信息子模型标准-房建工程施工许可审批分册”。理由：原标题“审批子模型”其实是作为专业名称使用，容易让人误解为“审批子模型标准”等同于“子模型审批标准”，对于此标准是审批标准还是子模型标准容易混淆。</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r>
              <w:rPr>
                <w:rFonts w:hint="eastAsia" w:eastAsia="等线" w:cs="等线"/>
                <w:color w:val="000000"/>
                <w:kern w:val="0"/>
                <w:szCs w:val="21"/>
                <w:lang w:bidi="ar"/>
              </w:rPr>
              <w:t>本标准是对用于工程规划许可审批或施工许可审批的模型子集要求的规定，仍维持审批子模型名称。</w:t>
            </w: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8</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4.1.2</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建议条文中增加“应、宜、可”表达执行程度的语句。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7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9</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等线" w:cs="等线"/>
                <w:color w:val="000000"/>
                <w:szCs w:val="21"/>
              </w:rPr>
            </w:pPr>
            <w:r>
              <w:rPr>
                <w:rFonts w:hint="eastAsia" w:eastAsia="等线" w:cs="等线"/>
                <w:color w:val="000000"/>
                <w:kern w:val="0"/>
                <w:szCs w:val="21"/>
                <w:lang w:bidi="ar"/>
              </w:rPr>
              <w:t>5.5.14</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条文号编的有误，每节下，条文号应从1开始计数。理由：参照其他标准条文编号习惯。</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p>
        </w:tc>
      </w:tr>
      <w:tr>
        <w:tblPrEx>
          <w:tblCellMar>
            <w:top w:w="0" w:type="dxa"/>
            <w:left w:w="108" w:type="dxa"/>
            <w:bottom w:w="0" w:type="dxa"/>
            <w:right w:w="108" w:type="dxa"/>
          </w:tblCellMar>
        </w:tblPrEx>
        <w:trPr>
          <w:trHeight w:val="613"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10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6.3.1和6.3.2</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两处条文都有提到关于模型文件命名的要求，建议统一表达。</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p>
        </w:tc>
      </w:tr>
      <w:tr>
        <w:tblPrEx>
          <w:tblCellMar>
            <w:top w:w="0" w:type="dxa"/>
            <w:left w:w="108" w:type="dxa"/>
            <w:bottom w:w="0" w:type="dxa"/>
            <w:right w:w="108" w:type="dxa"/>
          </w:tblCellMar>
        </w:tblPrEx>
        <w:trPr>
          <w:trHeight w:val="9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11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4.1.2</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第2条消防审查建议增加新规GB55037-2022《建筑防火通用规范》，同时对审查条文进行梳理核对。原《建筑设计防火规范》GB50016很多条文已废止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924"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eastAsia="等线" w:cs="Times New Roman"/>
                <w:color w:val="000000"/>
                <w:szCs w:val="21"/>
              </w:rPr>
            </w:pPr>
            <w:r>
              <w:rPr>
                <w:rFonts w:hint="eastAsia" w:eastAsia="等线" w:cs="等线"/>
                <w:color w:val="000000"/>
                <w:kern w:val="0"/>
                <w:szCs w:val="21"/>
                <w:lang w:bidi="ar"/>
              </w:rPr>
              <w:t>12</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等线" w:cs="等线"/>
                <w:color w:val="000000"/>
                <w:szCs w:val="21"/>
              </w:rPr>
            </w:pPr>
            <w:r>
              <w:rPr>
                <w:rFonts w:hint="eastAsia" w:eastAsia="等线" w:cs="等线"/>
                <w:color w:val="000000"/>
                <w:kern w:val="0"/>
                <w:szCs w:val="21"/>
                <w:lang w:bidi="ar"/>
              </w:rPr>
              <w:t>表4.2.5-1</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由于该表中的分类实体与IFC标准中的实体存在重复定义且有差异，建议给出实体的完整定义；建议明确该表中基数含义。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等线" w:cs="等线"/>
                <w:b/>
                <w:bCs/>
                <w:color w:val="000000"/>
                <w:szCs w:val="21"/>
              </w:rPr>
            </w:pPr>
            <w:r>
              <w:rPr>
                <w:rFonts w:hint="eastAsia" w:eastAsia="等线" w:cs="等线"/>
                <w:b/>
                <w:bCs/>
                <w:color w:val="000000"/>
                <w:kern w:val="0"/>
                <w:szCs w:val="21"/>
                <w:lang w:bidi="ar"/>
              </w:rPr>
              <w:t>解释说明</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eastAsia="等线" w:cs="等线"/>
                <w:color w:val="000000"/>
                <w:szCs w:val="21"/>
                <w:lang w:eastAsia="zh-CN"/>
              </w:rPr>
            </w:pPr>
            <w:r>
              <w:rPr>
                <w:rFonts w:hint="eastAsia" w:eastAsia="等线" w:cs="等线"/>
                <w:color w:val="000000"/>
                <w:kern w:val="0"/>
                <w:szCs w:val="21"/>
                <w:lang w:bidi="ar"/>
              </w:rPr>
              <w:t>引用自SJG114标准，相关内容在SJG114中表达</w:t>
            </w:r>
            <w:r>
              <w:rPr>
                <w:rFonts w:hint="eastAsia" w:eastAsia="等线" w:cs="等线"/>
                <w:color w:val="000000"/>
                <w:kern w:val="0"/>
                <w:szCs w:val="21"/>
                <w:lang w:eastAsia="zh-CN" w:bidi="ar"/>
              </w:rPr>
              <w:t>。</w:t>
            </w:r>
          </w:p>
        </w:tc>
      </w:tr>
      <w:tr>
        <w:tblPrEx>
          <w:tblCellMar>
            <w:top w:w="0" w:type="dxa"/>
            <w:left w:w="108" w:type="dxa"/>
            <w:bottom w:w="0" w:type="dxa"/>
            <w:right w:w="108" w:type="dxa"/>
          </w:tblCellMar>
        </w:tblPrEx>
        <w:trPr>
          <w:trHeight w:val="10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eastAsia="等线" w:cs="等线"/>
                <w:color w:val="000000"/>
                <w:kern w:val="0"/>
                <w:szCs w:val="21"/>
                <w:lang w:bidi="ar"/>
              </w:rPr>
            </w:pPr>
            <w:r>
              <w:rPr>
                <w:rFonts w:hint="eastAsia" w:eastAsia="等线" w:cs="等线"/>
                <w:color w:val="000000"/>
                <w:kern w:val="0"/>
                <w:szCs w:val="21"/>
                <w:lang w:bidi="ar"/>
              </w:rPr>
              <w:t>13</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等线" w:cs="等线"/>
                <w:color w:val="000000"/>
                <w:kern w:val="0"/>
                <w:szCs w:val="21"/>
                <w:lang w:bidi="ar"/>
              </w:rPr>
            </w:pPr>
            <w:r>
              <w:rPr>
                <w:rFonts w:hint="eastAsia" w:eastAsia="等线" w:cs="等线"/>
                <w:color w:val="000000"/>
                <w:kern w:val="0"/>
                <w:szCs w:val="21"/>
                <w:lang w:bidi="ar"/>
              </w:rPr>
              <w:t>表4.2.6-2</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eastAsia="等线" w:cs="等线"/>
                <w:color w:val="000000"/>
                <w:kern w:val="0"/>
                <w:szCs w:val="21"/>
                <w:lang w:bidi="ar"/>
              </w:rPr>
            </w:pPr>
            <w:r>
              <w:rPr>
                <w:rFonts w:hint="eastAsia" w:eastAsia="等线" w:cs="等线"/>
                <w:color w:val="000000"/>
                <w:kern w:val="0"/>
                <w:szCs w:val="21"/>
                <w:lang w:bidi="ar"/>
              </w:rPr>
              <w:t>由于该表中的分类引用实体与IFC标准中的实体存在重复定义且有差异，建议给出实体的完整定义；建议明确该表中基数含义。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等线" w:cs="等线"/>
                <w:b/>
                <w:bCs/>
                <w:color w:val="000000"/>
                <w:kern w:val="0"/>
                <w:szCs w:val="21"/>
                <w:lang w:bidi="ar"/>
              </w:rPr>
            </w:pPr>
            <w:r>
              <w:rPr>
                <w:rFonts w:hint="eastAsia" w:eastAsia="等线" w:cs="等线"/>
                <w:b/>
                <w:bCs/>
                <w:color w:val="000000"/>
                <w:kern w:val="0"/>
                <w:szCs w:val="21"/>
                <w:lang w:bidi="ar"/>
              </w:rPr>
              <w:t>解释说明</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eastAsia="等线" w:cs="等线"/>
                <w:color w:val="000000"/>
                <w:szCs w:val="21"/>
                <w:lang w:eastAsia="zh-CN"/>
              </w:rPr>
            </w:pPr>
            <w:r>
              <w:rPr>
                <w:rFonts w:hint="eastAsia" w:eastAsia="等线" w:cs="等线"/>
                <w:color w:val="000000"/>
                <w:kern w:val="0"/>
                <w:szCs w:val="21"/>
                <w:lang w:bidi="ar"/>
              </w:rPr>
              <w:t>引用自SJG114标准，相关内容在SJG114中表达</w:t>
            </w:r>
            <w:r>
              <w:rPr>
                <w:rFonts w:hint="eastAsia" w:eastAsia="等线" w:cs="等线"/>
                <w:color w:val="000000"/>
                <w:kern w:val="0"/>
                <w:szCs w:val="21"/>
                <w:lang w:eastAsia="zh-CN" w:bidi="ar"/>
              </w:rPr>
              <w:t>。</w:t>
            </w:r>
          </w:p>
        </w:tc>
      </w:tr>
      <w:tr>
        <w:tblPrEx>
          <w:tblCellMar>
            <w:top w:w="0" w:type="dxa"/>
            <w:left w:w="108" w:type="dxa"/>
            <w:bottom w:w="0" w:type="dxa"/>
            <w:right w:w="108" w:type="dxa"/>
          </w:tblCellMar>
        </w:tblPrEx>
        <w:trPr>
          <w:trHeight w:val="1128"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eastAsia="等线" w:cs="Times New Roman"/>
                <w:color w:val="000000"/>
                <w:szCs w:val="21"/>
              </w:rPr>
            </w:pPr>
            <w:r>
              <w:rPr>
                <w:rFonts w:hint="eastAsia" w:eastAsia="等线" w:cs="等线"/>
                <w:color w:val="000000"/>
                <w:kern w:val="0"/>
                <w:szCs w:val="21"/>
                <w:lang w:bidi="ar"/>
              </w:rPr>
              <w:t>14</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等线" w:cs="等线"/>
                <w:color w:val="000000"/>
                <w:szCs w:val="21"/>
              </w:rPr>
            </w:pPr>
            <w:r>
              <w:rPr>
                <w:rFonts w:hint="eastAsia" w:eastAsia="等线" w:cs="等线"/>
                <w:color w:val="000000"/>
                <w:kern w:val="0"/>
                <w:szCs w:val="21"/>
                <w:lang w:bidi="ar"/>
              </w:rPr>
              <w:t>6.1.2</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由于软件版本会影响模型原始格式，建议要求提供模型原始格式文件时补充说明建模软件版本号。</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p>
        </w:tc>
      </w:tr>
      <w:tr>
        <w:tblPrEx>
          <w:tblCellMar>
            <w:top w:w="0" w:type="dxa"/>
            <w:left w:w="108" w:type="dxa"/>
            <w:bottom w:w="0" w:type="dxa"/>
            <w:right w:w="108" w:type="dxa"/>
          </w:tblCellMar>
        </w:tblPrEx>
        <w:trPr>
          <w:trHeight w:val="832"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eastAsia="等线" w:cs="Times New Roman"/>
                <w:color w:val="000000"/>
                <w:szCs w:val="21"/>
              </w:rPr>
            </w:pPr>
            <w:r>
              <w:rPr>
                <w:rFonts w:hint="eastAsia" w:eastAsia="等线" w:cs="等线"/>
                <w:color w:val="000000"/>
                <w:kern w:val="0"/>
                <w:szCs w:val="21"/>
                <w:lang w:bidi="ar"/>
              </w:rPr>
              <w:t>15</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等线" w:cs="等线"/>
                <w:color w:val="000000"/>
                <w:szCs w:val="21"/>
              </w:rPr>
            </w:pPr>
            <w:r>
              <w:rPr>
                <w:rFonts w:hint="eastAsia" w:eastAsia="等线" w:cs="等线"/>
                <w:color w:val="000000"/>
                <w:kern w:val="0"/>
                <w:szCs w:val="21"/>
                <w:lang w:bidi="ar"/>
              </w:rPr>
              <w:t>3.0.1</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图3.0.2 工程施工许可审批子模型应用框架图。建议修改：图号改为3.0.1。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p>
        </w:tc>
      </w:tr>
      <w:tr>
        <w:tblPrEx>
          <w:tblCellMar>
            <w:top w:w="0" w:type="dxa"/>
            <w:left w:w="108" w:type="dxa"/>
            <w:bottom w:w="0" w:type="dxa"/>
            <w:right w:w="108" w:type="dxa"/>
          </w:tblCellMar>
        </w:tblPrEx>
        <w:trPr>
          <w:trHeight w:val="671"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16</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3.0.1</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图3.0.2的流程图为循环，无结束的内容，流程中“工程施工许可审批”处应做修改。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eastAsia="等线" w:cs="等线"/>
                <w:color w:val="000000"/>
                <w:szCs w:val="21"/>
                <w:lang w:eastAsia="zh-CN"/>
              </w:rPr>
            </w:pPr>
            <w:r>
              <w:rPr>
                <w:rFonts w:hint="eastAsia" w:eastAsia="等线" w:cs="等线"/>
                <w:color w:val="000000"/>
                <w:kern w:val="0"/>
                <w:szCs w:val="21"/>
                <w:lang w:bidi="ar"/>
              </w:rPr>
              <w:t>流程图表达的是MVD应用的框架，包括MVD应用和生成的过程，不做修订</w:t>
            </w:r>
            <w:r>
              <w:rPr>
                <w:rFonts w:hint="eastAsia" w:eastAsia="等线" w:cs="等线"/>
                <w:color w:val="000000"/>
                <w:kern w:val="0"/>
                <w:szCs w:val="21"/>
                <w:lang w:eastAsia="zh-CN" w:bidi="ar"/>
              </w:rPr>
              <w:t>。</w:t>
            </w: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17</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3.0.1</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条文编号直接从3.0.1到3.0.3，排序错误。建议修改：条文编号需重新排序，补上3.0.2。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7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18</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3.0.2</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缺少3.0.2条。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19</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第4章</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缺少4.2.5、4.2.6条。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619"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20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第5章</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整章的节号、条号、图表号和引用均有错误。</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p>
        </w:tc>
      </w:tr>
      <w:tr>
        <w:tblPrEx>
          <w:tblCellMar>
            <w:top w:w="0" w:type="dxa"/>
            <w:left w:w="108" w:type="dxa"/>
            <w:bottom w:w="0" w:type="dxa"/>
            <w:right w:w="108" w:type="dxa"/>
          </w:tblCellMar>
        </w:tblPrEx>
        <w:trPr>
          <w:trHeight w:val="6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21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5.8.3</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“并符合SJG114第9.3.1的规定”，建议修改为“...第9.3节的规定”</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7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22</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附录C</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附录A 施工图审查要点中提到了“升降平台”的审查要求，在附录C中没有“升降平台”工程对象，类似问题建议统一修改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“升降平台”为规范术语，映射为对象类型“升降机”，本标准中所列对象名称均为模型中标记的对象类型标识，并非规范术语。</w:t>
            </w: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23</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引用标准名录</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名录中的“2.《建筑工程信息模型设交付标准》SJG7”中的编号有误，应为SJG76。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24</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标准名称</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鉴于行政部门均针对建设工程施工许可阶段企业提交的BIM模型文件的完整内容进行审批，故“子模型”用词欠妥，标准名称不够精准和简练，建议改为《建筑信息模型施工许可审批标准》。</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r>
              <w:rPr>
                <w:rFonts w:hint="eastAsia" w:eastAsia="等线" w:cs="等线"/>
                <w:color w:val="000000"/>
                <w:kern w:val="0"/>
                <w:szCs w:val="21"/>
                <w:lang w:bidi="ar"/>
              </w:rPr>
              <w:t>根据标准立项评审专家组集体讨论，确定、修改标准名称</w:t>
            </w:r>
            <w:r>
              <w:rPr>
                <w:rFonts w:hint="eastAsia" w:eastAsia="等线" w:cs="等线"/>
                <w:color w:val="000000"/>
                <w:kern w:val="0"/>
                <w:szCs w:val="21"/>
                <w:lang w:eastAsia="zh-CN" w:bidi="ar"/>
              </w:rPr>
              <w:t>为</w:t>
            </w:r>
            <w:r>
              <w:rPr>
                <w:rFonts w:hint="eastAsia" w:eastAsia="等线" w:cs="等线"/>
                <w:color w:val="000000"/>
                <w:kern w:val="0"/>
                <w:szCs w:val="21"/>
                <w:lang w:bidi="ar"/>
              </w:rPr>
              <w:t>深圳市《建筑信息模型语义字典标准》、深圳市《建筑信息模型审批子模型标准》，后续标准内容围绕立项要求展开，因此，标准内容定位在对审批阶段模型本身内容的要求，但标准名称慎重调整。</w:t>
            </w:r>
          </w:p>
        </w:tc>
      </w:tr>
      <w:tr>
        <w:tblPrEx>
          <w:tblCellMar>
            <w:top w:w="0" w:type="dxa"/>
            <w:left w:w="108" w:type="dxa"/>
            <w:bottom w:w="0" w:type="dxa"/>
            <w:right w:w="108" w:type="dxa"/>
          </w:tblCellMar>
        </w:tblPrEx>
        <w:trPr>
          <w:trHeight w:val="9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25</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总体</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当前文稿条款大多针对IFC文件而非BIM模型源文件，即主要面向软件研发企业提出要求，而非工程建设企业；当前审查内容仅限于自动化审查部分，而非全部理应审查内容。因此建议：（1）作为工程建设标准，进一步增强与工程建设企业工作的关联性；（2）进一步补充完善施工许可阶段建筑信息模型的审批要素（比如需要审查的建模范围及工程内容），并作为核心编制内容；（3）章节内容安排时，进一步明确划分IFC文件要求和BIM模型源文件要求，并尽量精简前者。</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r>
              <w:rPr>
                <w:rFonts w:hint="eastAsia" w:eastAsia="等线" w:cs="等线"/>
                <w:color w:val="000000"/>
                <w:kern w:val="0"/>
                <w:szCs w:val="21"/>
                <w:lang w:bidi="ar"/>
              </w:rPr>
              <w:t>（1）本标准中的对象名称、属性要求、标高名称、模型架构等建模方面的规定，主要面向工程建设企业；</w:t>
            </w:r>
            <w:r>
              <w:rPr>
                <w:rFonts w:hint="eastAsia" w:eastAsia="等线" w:cs="等线"/>
                <w:color w:val="000000"/>
                <w:kern w:val="0"/>
                <w:szCs w:val="21"/>
                <w:lang w:bidi="ar"/>
              </w:rPr>
              <w:br w:type="textWrapping"/>
            </w:r>
            <w:r>
              <w:rPr>
                <w:rFonts w:hint="eastAsia" w:eastAsia="等线" w:cs="等线"/>
                <w:color w:val="000000"/>
                <w:kern w:val="0"/>
                <w:szCs w:val="21"/>
                <w:lang w:bidi="ar"/>
              </w:rPr>
              <w:t>（2）本标准主要以审查的模型建模范围为主要内容，故关于模型的审批要素已包含在标准中。标准申报立项时，将审批条文整理并写入《建筑信息模型数字化审批规范》标准中，但评审专家认为该内容为法规规范等类别，不适合作为工程标准发布，故具体审批条文未体现在本系列标准中。</w:t>
            </w:r>
            <w:r>
              <w:rPr>
                <w:rFonts w:hint="eastAsia" w:eastAsia="等线" w:cs="等线"/>
                <w:color w:val="000000"/>
                <w:kern w:val="0"/>
                <w:szCs w:val="21"/>
                <w:lang w:bidi="ar"/>
              </w:rPr>
              <w:br w:type="textWrapping"/>
            </w:r>
            <w:r>
              <w:rPr>
                <w:rFonts w:hint="eastAsia" w:eastAsia="等线" w:cs="等线"/>
                <w:color w:val="000000"/>
                <w:kern w:val="0"/>
                <w:szCs w:val="21"/>
                <w:lang w:bidi="ar"/>
              </w:rPr>
              <w:t>（3）</w:t>
            </w:r>
            <w:r>
              <w:rPr>
                <w:rFonts w:hint="eastAsia" w:eastAsia="等线" w:cs="等线"/>
                <w:color w:val="000000"/>
                <w:kern w:val="0"/>
                <w:szCs w:val="21"/>
                <w:lang w:eastAsia="zh-CN" w:bidi="ar"/>
              </w:rPr>
              <w:t>本</w:t>
            </w:r>
            <w:r>
              <w:rPr>
                <w:rFonts w:hint="eastAsia" w:eastAsia="等线" w:cs="等线"/>
                <w:color w:val="000000"/>
                <w:kern w:val="0"/>
                <w:szCs w:val="21"/>
                <w:lang w:bidi="ar"/>
              </w:rPr>
              <w:t>标准主要</w:t>
            </w:r>
            <w:r>
              <w:rPr>
                <w:rFonts w:hint="eastAsia" w:eastAsia="等线" w:cs="等线"/>
                <w:color w:val="000000"/>
                <w:kern w:val="0"/>
                <w:szCs w:val="21"/>
                <w:lang w:eastAsia="zh-CN" w:bidi="ar"/>
              </w:rPr>
              <w:t>以</w:t>
            </w:r>
            <w:r>
              <w:rPr>
                <w:rFonts w:hint="eastAsia" w:eastAsia="等线" w:cs="等线"/>
                <w:color w:val="000000"/>
                <w:kern w:val="0"/>
                <w:szCs w:val="21"/>
                <w:lang w:bidi="ar"/>
              </w:rPr>
              <w:t>深圳市《建筑信息模型数据存储标准》SJG114为技术支撑，</w:t>
            </w:r>
            <w:r>
              <w:rPr>
                <w:rFonts w:hint="eastAsia" w:eastAsia="等线" w:cs="等线"/>
                <w:color w:val="000000"/>
                <w:kern w:val="0"/>
                <w:szCs w:val="21"/>
                <w:lang w:eastAsia="zh-CN" w:bidi="ar"/>
              </w:rPr>
              <w:t>且</w:t>
            </w:r>
            <w:r>
              <w:rPr>
                <w:rFonts w:hint="eastAsia" w:eastAsia="等线" w:cs="等线"/>
                <w:color w:val="000000"/>
                <w:kern w:val="0"/>
                <w:szCs w:val="21"/>
                <w:lang w:bidi="ar"/>
              </w:rPr>
              <w:t>我市明确要求采用IFC格式作为BIM模型的提交格式，为保持BIM标准的中立性和开放性，不对建模软件进行要求。为方便用户通过商业软件建立符合要求的IFC模型，会在标准配套的建模手册中给出国内外几大主流建模软件的用法，以降低应用门槛。</w:t>
            </w:r>
          </w:p>
        </w:tc>
      </w:tr>
      <w:tr>
        <w:tblPrEx>
          <w:tblCellMar>
            <w:top w:w="0" w:type="dxa"/>
            <w:left w:w="108" w:type="dxa"/>
            <w:bottom w:w="0" w:type="dxa"/>
            <w:right w:w="108" w:type="dxa"/>
          </w:tblCellMar>
        </w:tblPrEx>
        <w:trPr>
          <w:trHeight w:val="1098"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26</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总体</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本标准与在编《建筑信息模型审批子模型标准-房屋建筑工程规划许可审批分册》存在较大重复。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r>
              <w:rPr>
                <w:rFonts w:hint="eastAsia" w:eastAsia="等线" w:cs="等线"/>
                <w:color w:val="000000"/>
                <w:kern w:val="0"/>
                <w:szCs w:val="21"/>
                <w:lang w:bidi="ar"/>
              </w:rPr>
              <w:t>两本标准是《审批子模型标准》的两个分册，对于模型的总体要求基本一致，但针对不同阶段，模型单元的具体要求不同。</w:t>
            </w:r>
          </w:p>
        </w:tc>
      </w:tr>
      <w:tr>
        <w:tblPrEx>
          <w:tblCellMar>
            <w:top w:w="0" w:type="dxa"/>
            <w:left w:w="108" w:type="dxa"/>
            <w:bottom w:w="0" w:type="dxa"/>
            <w:right w:w="108" w:type="dxa"/>
          </w:tblCellMar>
        </w:tblPrEx>
        <w:trPr>
          <w:trHeight w:val="974"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27</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1.0.1</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参照住建部有关规定，BIM模型交付主体宜为项目建设单位（甲方），故建议删除“各建设主体”。</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r>
              <w:rPr>
                <w:rFonts w:hint="eastAsia" w:eastAsia="等线" w:cs="等线"/>
                <w:color w:val="000000"/>
                <w:kern w:val="0"/>
                <w:szCs w:val="21"/>
                <w:lang w:bidi="ar"/>
              </w:rPr>
              <w:t>本标准是技术类标准，不对管理提出要求，故统称各建设主体。</w:t>
            </w:r>
          </w:p>
        </w:tc>
      </w:tr>
      <w:tr>
        <w:tblPrEx>
          <w:tblCellMar>
            <w:top w:w="0" w:type="dxa"/>
            <w:left w:w="108" w:type="dxa"/>
            <w:bottom w:w="0" w:type="dxa"/>
            <w:right w:w="108" w:type="dxa"/>
          </w:tblCellMar>
        </w:tblPrEx>
        <w:trPr>
          <w:trHeight w:val="113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28</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1.0.3</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施工许可阶段企业提交审批的BIM模型只有一个，也就是满足该阶段审批要求的BIM模型，故不建议采用“子模型”用词，避免歧义。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eastAsia="等线" w:cs="等线"/>
                <w:color w:val="000000"/>
                <w:szCs w:val="21"/>
                <w:lang w:eastAsia="zh-CN"/>
              </w:rPr>
            </w:pPr>
            <w:r>
              <w:rPr>
                <w:rFonts w:hint="eastAsia" w:eastAsia="等线" w:cs="等线"/>
                <w:color w:val="000000"/>
                <w:kern w:val="0"/>
                <w:szCs w:val="21"/>
                <w:lang w:bidi="ar"/>
              </w:rPr>
              <w:t>同“标准名称”意见的回复</w:t>
            </w:r>
            <w:r>
              <w:rPr>
                <w:rFonts w:hint="eastAsia" w:eastAsia="等线" w:cs="等线"/>
                <w:color w:val="000000"/>
                <w:kern w:val="0"/>
                <w:szCs w:val="21"/>
                <w:lang w:eastAsia="zh-CN" w:bidi="ar"/>
              </w:rPr>
              <w:t>。</w:t>
            </w:r>
          </w:p>
        </w:tc>
      </w:tr>
      <w:tr>
        <w:tblPrEx>
          <w:tblCellMar>
            <w:top w:w="0" w:type="dxa"/>
            <w:left w:w="108" w:type="dxa"/>
            <w:bottom w:w="0" w:type="dxa"/>
            <w:right w:w="108" w:type="dxa"/>
          </w:tblCellMar>
        </w:tblPrEx>
        <w:trPr>
          <w:trHeight w:val="1557"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29</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2.0.1</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“建筑信息模型”定义不够严谨和精准，可采用全国科学技术名词审定委员会2014年所颁布《建筑学名词》 (第二版)的定义，即建筑信息模型：以三维数字技术为基础，集成建筑工程项目各种相关信息的工程数据模型，是对该工程项目相关信息的详尽表达。</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r>
              <w:rPr>
                <w:rFonts w:hint="eastAsia" w:eastAsia="等线" w:cs="等线"/>
                <w:color w:val="000000"/>
                <w:szCs w:val="21"/>
              </w:rPr>
              <w:t>根据本条意见，已对该术语进行核对修改，但具体定义采纳了BIM领域国家标准《建筑信息模型应用统一标准》GB/T51212的说法，采用了更加具有明确只想和范围定义的说法。</w:t>
            </w:r>
          </w:p>
        </w:tc>
      </w:tr>
      <w:tr>
        <w:tblPrEx>
          <w:tblCellMar>
            <w:top w:w="0" w:type="dxa"/>
            <w:left w:w="108" w:type="dxa"/>
            <w:bottom w:w="0" w:type="dxa"/>
            <w:right w:w="108" w:type="dxa"/>
          </w:tblCellMar>
        </w:tblPrEx>
        <w:trPr>
          <w:trHeight w:val="1113"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30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2.0.2</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“模型视图定义”定义不够严谨和精准，比如正文里并未出现“模型视图定义”一词，也未体现关键词“模型”和“视图”的信息。</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eastAsia="等线" w:cs="等线"/>
                <w:color w:val="000000"/>
                <w:szCs w:val="21"/>
                <w:lang w:eastAsia="zh-CN"/>
              </w:rPr>
            </w:pPr>
            <w:r>
              <w:rPr>
                <w:rFonts w:hint="eastAsia" w:eastAsia="等线" w:cs="等线"/>
                <w:color w:val="000000"/>
                <w:szCs w:val="21"/>
              </w:rPr>
              <w:t>根据此意见，已优化术语定义，并将正文首次出现的该词修改为全称“模型视图定义（MVD）”</w:t>
            </w:r>
            <w:r>
              <w:rPr>
                <w:rFonts w:hint="eastAsia" w:eastAsia="等线" w:cs="等线"/>
                <w:color w:val="000000"/>
                <w:szCs w:val="21"/>
                <w:lang w:eastAsia="zh-CN"/>
              </w:rPr>
              <w:t>。</w:t>
            </w: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31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2.0.6~2.0.13</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建议斟酌这些术语的存留或定义优化。</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r>
              <w:rPr>
                <w:rFonts w:hint="eastAsia" w:eastAsia="等线" w:cs="等线"/>
                <w:color w:val="000000"/>
                <w:szCs w:val="21"/>
              </w:rPr>
              <w:t>已核对，并对正文没有直接引用的术语进行了修订。</w:t>
            </w: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32</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3.0.1</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进一步斟酌、完善本条（含框图）表达，缘由如下：（1）BIM模型源文件和IFC文件宜同时进行审查，但目前图3.0.1缺少直接针对BIM模型源文件的审批流程；（2）图3.0.1中右侧“施工许可审批（规则）”理应作为本标准最核心内容予以编制，不宜以虚线框表达；（3）第3款属于行政管理措施，建议删除；（4）“MVD规则”并非工程建设企业构建及交付BIM模型时必须遵循的规则，而是相关软件（或平台）需要遵循的规则，建议完善框图表达。</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部分采纳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eastAsia="等线" w:cs="等线"/>
                <w:color w:val="000000"/>
                <w:szCs w:val="21"/>
                <w:lang w:eastAsia="zh-CN"/>
              </w:rPr>
            </w:pPr>
            <w:r>
              <w:rPr>
                <w:rFonts w:hint="eastAsia" w:eastAsia="等线" w:cs="等线"/>
                <w:color w:val="000000"/>
                <w:kern w:val="0"/>
                <w:szCs w:val="21"/>
                <w:lang w:eastAsia="zh-CN" w:bidi="ar"/>
              </w:rPr>
              <w:t>本</w:t>
            </w:r>
            <w:r>
              <w:rPr>
                <w:rFonts w:hint="eastAsia" w:eastAsia="等线" w:cs="等线"/>
                <w:color w:val="000000"/>
                <w:kern w:val="0"/>
                <w:szCs w:val="21"/>
                <w:lang w:bidi="ar"/>
              </w:rPr>
              <w:t>标准主要</w:t>
            </w:r>
            <w:r>
              <w:rPr>
                <w:rFonts w:hint="eastAsia" w:eastAsia="等线" w:cs="等线"/>
                <w:color w:val="000000"/>
                <w:kern w:val="0"/>
                <w:szCs w:val="21"/>
                <w:lang w:eastAsia="zh-CN" w:bidi="ar"/>
              </w:rPr>
              <w:t>以</w:t>
            </w:r>
            <w:r>
              <w:rPr>
                <w:rFonts w:hint="eastAsia" w:eastAsia="等线" w:cs="等线"/>
                <w:color w:val="000000"/>
                <w:kern w:val="0"/>
                <w:szCs w:val="21"/>
                <w:lang w:bidi="ar"/>
              </w:rPr>
              <w:t>深圳市《建筑信息模型数据存储标准》SJG114为技术支撑，</w:t>
            </w:r>
            <w:r>
              <w:rPr>
                <w:rFonts w:hint="eastAsia" w:eastAsia="等线" w:cs="等线"/>
                <w:color w:val="000000"/>
                <w:kern w:val="0"/>
                <w:szCs w:val="21"/>
                <w:lang w:eastAsia="zh-CN" w:bidi="ar"/>
              </w:rPr>
              <w:t>且</w:t>
            </w:r>
            <w:r>
              <w:rPr>
                <w:rFonts w:hint="eastAsia" w:eastAsia="等线" w:cs="等线"/>
                <w:color w:val="000000"/>
                <w:kern w:val="0"/>
                <w:szCs w:val="21"/>
                <w:lang w:bidi="ar"/>
              </w:rPr>
              <w:t>我市明确要求采用IFC格式作为BIM模型的提交格式，为保持BIM标准的中立性和开放性，不对建模软件进行要求。为方便用户通过商业软件建立符合要求的IFC模型，会在标准配套的建模手册中给出国内外几大主流建模软件的用法，以降低应用门槛。</w:t>
            </w:r>
          </w:p>
        </w:tc>
      </w:tr>
      <w:tr>
        <w:tblPrEx>
          <w:tblCellMar>
            <w:top w:w="0" w:type="dxa"/>
            <w:left w:w="108" w:type="dxa"/>
            <w:bottom w:w="0" w:type="dxa"/>
            <w:right w:w="108" w:type="dxa"/>
          </w:tblCellMar>
        </w:tblPrEx>
        <w:trPr>
          <w:trHeight w:val="288"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33</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3.0.3</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（1）第2款语句不顺、含义不明；（2）“模型单元级”与“模型级”存在涵义交叉，建议参照《建筑信息模型设计交付标准》GB/T51301-2018完善分类措辞。</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eastAsia="等线" w:cs="等线"/>
                <w:color w:val="000000"/>
                <w:szCs w:val="21"/>
                <w:lang w:eastAsia="zh-CN"/>
              </w:rPr>
            </w:pPr>
            <w:r>
              <w:rPr>
                <w:rFonts w:hint="eastAsia" w:eastAsia="等线" w:cs="等线"/>
                <w:color w:val="000000"/>
                <w:kern w:val="0"/>
                <w:szCs w:val="21"/>
                <w:lang w:bidi="ar"/>
              </w:rPr>
              <w:t>模型单元指的是模型中的构件、空间、系统等对象，模型则指的是模型整体</w:t>
            </w:r>
            <w:r>
              <w:rPr>
                <w:rFonts w:hint="eastAsia" w:eastAsia="等线" w:cs="等线"/>
                <w:color w:val="000000"/>
                <w:kern w:val="0"/>
                <w:szCs w:val="21"/>
                <w:lang w:eastAsia="zh-CN" w:bidi="ar"/>
              </w:rPr>
              <w:t>。</w:t>
            </w: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34</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3.0.7</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本条“开展施工许可审批前，应将BIM模型转换为SZ-IFC模型数据格式”无主语，而且它本身属于行政管理措施，故不满足《标准化工作导则》GB/T1.1-2020第5.5.3条规定的“文件中不应规定诸如索赔、担保、费用结算等合同要求，也不应规定诸如行政管理措施、法律责任、罚则等法律法规要求”。建议删除。</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7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35</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3.0.8</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本条属于行政管理措施，建议删除。</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288"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36</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3.0.9</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作为BIM模型交付主体的工程建设企业通常并不关心审批部门采取何种审查方式，而大多关心审查内容、审查标准和审查结果。</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288"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37</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第4章~第6章</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1）建议斟酌本标准与在编《建筑信息模型审批子模型标准-房屋建筑工程规划许可审批分册》《建筑信息模型语义字典标准》等BIM标准如何协调，避免内容嵌套、重复或矛盾，条文说明里适当增加示例或解释，提高标准可读性和可实施性；（2）建议进一步精简及完善条款表达。</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144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38</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4.1.2</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1）因无法穷尽审查所依据的全部标准，故本条枚举国标名称意义不大；（2）建议增加深圳市住房和建设局颁布的、工程设计企业须首要遵循的本市地方标准《建筑工程信息模型设计交付标准》SJG76-2020施工图阶段要求，作为本阶段重要审查依据。</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部分采纳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eastAsia="等线" w:cs="等线"/>
                <w:color w:val="000000"/>
                <w:kern w:val="0"/>
                <w:szCs w:val="21"/>
                <w:lang w:bidi="ar"/>
              </w:rPr>
            </w:pPr>
            <w:r>
              <w:rPr>
                <w:rFonts w:hint="eastAsia" w:eastAsia="等线" w:cs="等线"/>
                <w:color w:val="000000"/>
                <w:kern w:val="0"/>
                <w:szCs w:val="21"/>
                <w:lang w:eastAsia="zh-CN" w:bidi="ar"/>
              </w:rPr>
              <w:t>（</w:t>
            </w:r>
            <w:r>
              <w:rPr>
                <w:rFonts w:hint="eastAsia" w:eastAsia="等线" w:cs="等线"/>
                <w:color w:val="000000"/>
                <w:kern w:val="0"/>
                <w:szCs w:val="21"/>
                <w:lang w:val="en-US" w:eastAsia="zh-CN" w:bidi="ar"/>
              </w:rPr>
              <w:t>1</w:t>
            </w:r>
            <w:r>
              <w:rPr>
                <w:rFonts w:hint="eastAsia" w:eastAsia="等线" w:cs="等线"/>
                <w:color w:val="000000"/>
                <w:kern w:val="0"/>
                <w:szCs w:val="21"/>
                <w:lang w:eastAsia="zh-CN" w:bidi="ar"/>
              </w:rPr>
              <w:t>）</w:t>
            </w:r>
            <w:r>
              <w:rPr>
                <w:rFonts w:hint="eastAsia" w:eastAsia="等线" w:cs="等线"/>
                <w:color w:val="000000"/>
                <w:kern w:val="0"/>
                <w:szCs w:val="21"/>
                <w:lang w:bidi="ar"/>
              </w:rPr>
              <w:t>本次版本的审批子模型涵盖范围仅包含4.1.2-1中所提及的设计规范；</w:t>
            </w:r>
          </w:p>
          <w:p>
            <w:pPr>
              <w:jc w:val="left"/>
              <w:rPr>
                <w:rFonts w:eastAsia="等线" w:cs="等线"/>
                <w:color w:val="000000"/>
                <w:szCs w:val="21"/>
              </w:rPr>
            </w:pPr>
            <w:r>
              <w:rPr>
                <w:rFonts w:hint="eastAsia" w:eastAsia="等线" w:cs="等线"/>
                <w:color w:val="000000"/>
                <w:kern w:val="0"/>
                <w:szCs w:val="21"/>
                <w:lang w:bidi="ar"/>
              </w:rPr>
              <w:t>（2）采纳</w:t>
            </w:r>
          </w:p>
        </w:tc>
      </w:tr>
      <w:tr>
        <w:tblPrEx>
          <w:tblCellMar>
            <w:top w:w="0" w:type="dxa"/>
            <w:left w:w="108" w:type="dxa"/>
            <w:bottom w:w="0" w:type="dxa"/>
            <w:right w:w="108" w:type="dxa"/>
          </w:tblCellMar>
        </w:tblPrEx>
        <w:trPr>
          <w:trHeight w:val="9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39</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附录A</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（1）本附录只是施工图抽查内容的部分条款；(2)“是否可审”存在歧义，建议删除（交付模型全部内容都应该是可审的）。</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eastAsia="等线" w:cs="等线"/>
                <w:color w:val="000000"/>
                <w:szCs w:val="21"/>
                <w:lang w:val="en-US" w:eastAsia="zh-CN"/>
              </w:rPr>
            </w:pPr>
            <w:r>
              <w:rPr>
                <w:rFonts w:hint="eastAsia" w:eastAsia="等线" w:cs="等线"/>
                <w:color w:val="000000"/>
                <w:kern w:val="0"/>
                <w:szCs w:val="21"/>
                <w:lang w:bidi="ar"/>
              </w:rPr>
              <w:t>考虑未来审查规范更新和新增审查条文，此表中的审查条文内容和数量是动态更新的，故删除本附录</w:t>
            </w:r>
            <w:r>
              <w:rPr>
                <w:rFonts w:hint="eastAsia" w:eastAsia="等线" w:cs="等线"/>
                <w:color w:val="000000"/>
                <w:kern w:val="0"/>
                <w:szCs w:val="21"/>
                <w:lang w:val="en-US" w:eastAsia="zh-CN" w:bidi="ar"/>
              </w:rPr>
              <w:t>.</w:t>
            </w:r>
          </w:p>
        </w:tc>
      </w:tr>
      <w:tr>
        <w:tblPrEx>
          <w:tblCellMar>
            <w:top w:w="0" w:type="dxa"/>
            <w:left w:w="108" w:type="dxa"/>
            <w:bottom w:w="0" w:type="dxa"/>
            <w:right w:w="108" w:type="dxa"/>
          </w:tblCellMar>
        </w:tblPrEx>
        <w:trPr>
          <w:trHeight w:val="1674"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40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附录B</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（1）本附录只是消防审查内容的部分条款；(2)“是否可审”存在歧义，建议删除（交付模型全部内容都应该是可审的）。</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eastAsia="等线" w:cs="等线"/>
                <w:color w:val="000000"/>
                <w:szCs w:val="21"/>
                <w:lang w:eastAsia="zh-CN"/>
              </w:rPr>
            </w:pPr>
            <w:r>
              <w:rPr>
                <w:rFonts w:hint="eastAsia" w:eastAsia="等线" w:cs="等线"/>
                <w:color w:val="000000"/>
                <w:kern w:val="0"/>
                <w:szCs w:val="21"/>
                <w:lang w:bidi="ar"/>
              </w:rPr>
              <w:t>目前《建筑防火通用规范》已发布，本标准已同时支持新老消防审查规范，同时考虑未来审查规范更新和新增审查条文，此表中的审查条文内容和数量是动态更新的，故删除本附录</w:t>
            </w:r>
            <w:r>
              <w:rPr>
                <w:rFonts w:hint="eastAsia" w:eastAsia="等线" w:cs="等线"/>
                <w:color w:val="000000"/>
                <w:kern w:val="0"/>
                <w:szCs w:val="21"/>
                <w:lang w:eastAsia="zh-CN" w:bidi="ar"/>
              </w:rPr>
              <w:t>。</w:t>
            </w:r>
          </w:p>
        </w:tc>
      </w:tr>
      <w:tr>
        <w:tblPrEx>
          <w:tblCellMar>
            <w:top w:w="0" w:type="dxa"/>
            <w:left w:w="108" w:type="dxa"/>
            <w:bottom w:w="0" w:type="dxa"/>
            <w:right w:w="108" w:type="dxa"/>
          </w:tblCellMar>
        </w:tblPrEx>
        <w:trPr>
          <w:trHeight w:val="677"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41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附录C</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C.0.1，C.0.2,C.0.3均缺项较多。</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432"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42</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附录D</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D.0.1，D.0.2,D.0.3均缺项较多。</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hint="eastAsia" w:eastAsia="等线" w:cs="等线"/>
                <w:color w:val="000000"/>
                <w:kern w:val="0"/>
                <w:szCs w:val="21"/>
                <w:lang w:bidi="ar"/>
              </w:rPr>
              <w:t>43</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附录E</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建议进一步本标准协调与SJG76、SJG114和在编《建筑信息模型语义字典标准》《建筑信息模型审批子模型标准-房屋建筑工程规划许可审批分册》等BIM标准的关系，避免嵌套、重复或矛盾表达。</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eastAsia="等线" w:cs="等线"/>
                <w:color w:val="000000"/>
                <w:szCs w:val="21"/>
                <w:lang w:eastAsia="zh-CN"/>
              </w:rPr>
            </w:pPr>
            <w:r>
              <w:rPr>
                <w:rFonts w:hint="eastAsia" w:eastAsia="等线" w:cs="等线"/>
                <w:color w:val="000000"/>
                <w:kern w:val="0"/>
                <w:szCs w:val="21"/>
                <w:lang w:bidi="ar"/>
              </w:rPr>
              <w:t>已统一核查修订</w:t>
            </w:r>
            <w:r>
              <w:rPr>
                <w:rFonts w:hint="eastAsia" w:eastAsia="等线" w:cs="等线"/>
                <w:color w:val="000000"/>
                <w:kern w:val="0"/>
                <w:szCs w:val="21"/>
                <w:lang w:eastAsia="zh-CN" w:bidi="ar"/>
              </w:rPr>
              <w:t>。</w:t>
            </w:r>
          </w:p>
        </w:tc>
      </w:tr>
    </w:tbl>
    <w:p/>
    <w:sectPr>
      <w:footerReference r:id="rId3" w:type="default"/>
      <w:footerReference r:id="rId4" w:type="even"/>
      <w:pgSz w:w="16838" w:h="11906" w:orient="landscape"/>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pPr>
    <w:r>
      <w:fldChar w:fldCharType="begin"/>
    </w:r>
    <w:r>
      <w:rPr>
        <w:rStyle w:val="16"/>
      </w:rPr>
      <w:instrText xml:space="preserve">PAGE  </w:instrText>
    </w:r>
    <w:r>
      <w:fldChar w:fldCharType="separate"/>
    </w:r>
    <w:r>
      <w:rPr>
        <w:rStyle w:val="16"/>
      </w:rPr>
      <w:t>1</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pPr>
    <w:r>
      <w:fldChar w:fldCharType="begin"/>
    </w:r>
    <w:r>
      <w:rPr>
        <w:rStyle w:val="16"/>
      </w:rPr>
      <w:instrText xml:space="preserve">PAGE  </w:instrText>
    </w:r>
    <w: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true"/>
  <w:bordersDoNotSurroundFooter w:val="true"/>
  <w:stylePaneFormatFilter w:val="FFEF" w:allStyles="1" w:customStyles="1" w:latentStyles="1" w:stylesInUse="1" w:headingStyles="1" w:numberingStyles="1" w:tableStyles="1" w:directFormattingOnRuns="1" w:directFormattingOnParagraphs="1" w:directFormattingOnNumbering="1" w:directFormattingOnTables="1" w:clearFormatting="1" w:top3HeadingStyles="1" w:visibleStyles="1" w:alternateStyleNames="1"/>
  <w:doNotTrackMoves/>
  <w:trackRevisions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4Mzk2ZDczY2U5ZmYzYjkxMWI5OGNkNDliZjFhYmMifQ=="/>
  </w:docVars>
  <w:rsids>
    <w:rsidRoot w:val="00C03C03"/>
    <w:rsid w:val="0000480C"/>
    <w:rsid w:val="00012667"/>
    <w:rsid w:val="00014E91"/>
    <w:rsid w:val="000216EC"/>
    <w:rsid w:val="0003065D"/>
    <w:rsid w:val="00035A5C"/>
    <w:rsid w:val="000571E0"/>
    <w:rsid w:val="00066BC1"/>
    <w:rsid w:val="00072EE3"/>
    <w:rsid w:val="00074B74"/>
    <w:rsid w:val="00096573"/>
    <w:rsid w:val="000A4203"/>
    <w:rsid w:val="000A6F0E"/>
    <w:rsid w:val="000B3BFB"/>
    <w:rsid w:val="000C05BC"/>
    <w:rsid w:val="000C2974"/>
    <w:rsid w:val="001104CE"/>
    <w:rsid w:val="0012259A"/>
    <w:rsid w:val="00133C48"/>
    <w:rsid w:val="00145EC5"/>
    <w:rsid w:val="00154214"/>
    <w:rsid w:val="00157F58"/>
    <w:rsid w:val="0016229B"/>
    <w:rsid w:val="00167B4C"/>
    <w:rsid w:val="0017682C"/>
    <w:rsid w:val="00180903"/>
    <w:rsid w:val="00181F3E"/>
    <w:rsid w:val="00187FBC"/>
    <w:rsid w:val="00197CCC"/>
    <w:rsid w:val="001A2659"/>
    <w:rsid w:val="001C02D8"/>
    <w:rsid w:val="001C0303"/>
    <w:rsid w:val="001D4D99"/>
    <w:rsid w:val="001F5DA7"/>
    <w:rsid w:val="00205E0B"/>
    <w:rsid w:val="00223322"/>
    <w:rsid w:val="00225951"/>
    <w:rsid w:val="002277EE"/>
    <w:rsid w:val="00233063"/>
    <w:rsid w:val="00240025"/>
    <w:rsid w:val="002502B8"/>
    <w:rsid w:val="00260998"/>
    <w:rsid w:val="00265C6D"/>
    <w:rsid w:val="00271C16"/>
    <w:rsid w:val="002731C4"/>
    <w:rsid w:val="00275A68"/>
    <w:rsid w:val="00281D7D"/>
    <w:rsid w:val="002B2076"/>
    <w:rsid w:val="002B2785"/>
    <w:rsid w:val="002E06FB"/>
    <w:rsid w:val="002F0801"/>
    <w:rsid w:val="003008E9"/>
    <w:rsid w:val="00301806"/>
    <w:rsid w:val="00302A31"/>
    <w:rsid w:val="003105E5"/>
    <w:rsid w:val="00320FC7"/>
    <w:rsid w:val="00323B6A"/>
    <w:rsid w:val="003253B8"/>
    <w:rsid w:val="0033739E"/>
    <w:rsid w:val="00362B39"/>
    <w:rsid w:val="003B3C63"/>
    <w:rsid w:val="003B535F"/>
    <w:rsid w:val="003C4C48"/>
    <w:rsid w:val="003D26DC"/>
    <w:rsid w:val="003D595F"/>
    <w:rsid w:val="003E7D5A"/>
    <w:rsid w:val="00404092"/>
    <w:rsid w:val="00415C00"/>
    <w:rsid w:val="00420D37"/>
    <w:rsid w:val="0042461D"/>
    <w:rsid w:val="00425D56"/>
    <w:rsid w:val="00425D9D"/>
    <w:rsid w:val="004278DF"/>
    <w:rsid w:val="004420A6"/>
    <w:rsid w:val="0045599D"/>
    <w:rsid w:val="00476BE1"/>
    <w:rsid w:val="004802AB"/>
    <w:rsid w:val="004936C2"/>
    <w:rsid w:val="004A63B2"/>
    <w:rsid w:val="004B5245"/>
    <w:rsid w:val="004B5FF8"/>
    <w:rsid w:val="004B606B"/>
    <w:rsid w:val="004C3B0B"/>
    <w:rsid w:val="004C7B91"/>
    <w:rsid w:val="004D1240"/>
    <w:rsid w:val="004D551D"/>
    <w:rsid w:val="0050264D"/>
    <w:rsid w:val="00527622"/>
    <w:rsid w:val="00542F98"/>
    <w:rsid w:val="0055121A"/>
    <w:rsid w:val="00551F4E"/>
    <w:rsid w:val="0055709A"/>
    <w:rsid w:val="00557C25"/>
    <w:rsid w:val="00565EE2"/>
    <w:rsid w:val="005717B4"/>
    <w:rsid w:val="005722F9"/>
    <w:rsid w:val="00573F9D"/>
    <w:rsid w:val="00574377"/>
    <w:rsid w:val="00584849"/>
    <w:rsid w:val="005A20F7"/>
    <w:rsid w:val="005B49B8"/>
    <w:rsid w:val="005B7445"/>
    <w:rsid w:val="005B7F34"/>
    <w:rsid w:val="005D2312"/>
    <w:rsid w:val="005D5740"/>
    <w:rsid w:val="005D5959"/>
    <w:rsid w:val="005D62C9"/>
    <w:rsid w:val="005E1EDD"/>
    <w:rsid w:val="00601229"/>
    <w:rsid w:val="00601948"/>
    <w:rsid w:val="006162CE"/>
    <w:rsid w:val="00621C55"/>
    <w:rsid w:val="006432DE"/>
    <w:rsid w:val="006517EB"/>
    <w:rsid w:val="00695C8C"/>
    <w:rsid w:val="00697153"/>
    <w:rsid w:val="006A03E3"/>
    <w:rsid w:val="006C1C4E"/>
    <w:rsid w:val="006D3ACD"/>
    <w:rsid w:val="006D61B9"/>
    <w:rsid w:val="006E09E6"/>
    <w:rsid w:val="006F7F59"/>
    <w:rsid w:val="00700D71"/>
    <w:rsid w:val="0070622F"/>
    <w:rsid w:val="00724576"/>
    <w:rsid w:val="00732A2A"/>
    <w:rsid w:val="00742922"/>
    <w:rsid w:val="00744B5E"/>
    <w:rsid w:val="00755F20"/>
    <w:rsid w:val="007567AD"/>
    <w:rsid w:val="00764CE4"/>
    <w:rsid w:val="007A5BF8"/>
    <w:rsid w:val="007B0F82"/>
    <w:rsid w:val="007C3E4B"/>
    <w:rsid w:val="007E313B"/>
    <w:rsid w:val="007F6B27"/>
    <w:rsid w:val="0080434C"/>
    <w:rsid w:val="00810467"/>
    <w:rsid w:val="00815A45"/>
    <w:rsid w:val="0083149C"/>
    <w:rsid w:val="00835CDA"/>
    <w:rsid w:val="00847B24"/>
    <w:rsid w:val="00851FEF"/>
    <w:rsid w:val="008522AE"/>
    <w:rsid w:val="00854D6B"/>
    <w:rsid w:val="008568D6"/>
    <w:rsid w:val="008E0FB0"/>
    <w:rsid w:val="008E1918"/>
    <w:rsid w:val="00903891"/>
    <w:rsid w:val="00906ABA"/>
    <w:rsid w:val="0090798A"/>
    <w:rsid w:val="0092011B"/>
    <w:rsid w:val="00935A43"/>
    <w:rsid w:val="00936F9A"/>
    <w:rsid w:val="009778EF"/>
    <w:rsid w:val="009B1DA6"/>
    <w:rsid w:val="009C30EB"/>
    <w:rsid w:val="009C513A"/>
    <w:rsid w:val="009E3E3E"/>
    <w:rsid w:val="009F2995"/>
    <w:rsid w:val="00A116E5"/>
    <w:rsid w:val="00A32A3B"/>
    <w:rsid w:val="00A34AD7"/>
    <w:rsid w:val="00A50CB2"/>
    <w:rsid w:val="00A51D7D"/>
    <w:rsid w:val="00A53D42"/>
    <w:rsid w:val="00A61FD6"/>
    <w:rsid w:val="00A7799B"/>
    <w:rsid w:val="00AA04A5"/>
    <w:rsid w:val="00AB0087"/>
    <w:rsid w:val="00AB06CD"/>
    <w:rsid w:val="00AC7C0F"/>
    <w:rsid w:val="00AD2C46"/>
    <w:rsid w:val="00AE604A"/>
    <w:rsid w:val="00AF1A0E"/>
    <w:rsid w:val="00B123F1"/>
    <w:rsid w:val="00B135BA"/>
    <w:rsid w:val="00B22508"/>
    <w:rsid w:val="00B25DC4"/>
    <w:rsid w:val="00B278CE"/>
    <w:rsid w:val="00B32089"/>
    <w:rsid w:val="00B72A59"/>
    <w:rsid w:val="00B72C21"/>
    <w:rsid w:val="00B811D4"/>
    <w:rsid w:val="00BA2286"/>
    <w:rsid w:val="00BA58A9"/>
    <w:rsid w:val="00BA7FAC"/>
    <w:rsid w:val="00BC3F15"/>
    <w:rsid w:val="00BD4776"/>
    <w:rsid w:val="00BE3C49"/>
    <w:rsid w:val="00BF3FD6"/>
    <w:rsid w:val="00BF769F"/>
    <w:rsid w:val="00C03C03"/>
    <w:rsid w:val="00C24914"/>
    <w:rsid w:val="00C24CC8"/>
    <w:rsid w:val="00C25156"/>
    <w:rsid w:val="00C33601"/>
    <w:rsid w:val="00C42F7E"/>
    <w:rsid w:val="00C461F4"/>
    <w:rsid w:val="00C82CB1"/>
    <w:rsid w:val="00C84135"/>
    <w:rsid w:val="00CC12C2"/>
    <w:rsid w:val="00CE43A3"/>
    <w:rsid w:val="00CE4A3D"/>
    <w:rsid w:val="00CE51DC"/>
    <w:rsid w:val="00CF417E"/>
    <w:rsid w:val="00CF4665"/>
    <w:rsid w:val="00CF5961"/>
    <w:rsid w:val="00CF7D70"/>
    <w:rsid w:val="00D051F3"/>
    <w:rsid w:val="00D136FC"/>
    <w:rsid w:val="00D13E78"/>
    <w:rsid w:val="00D33F96"/>
    <w:rsid w:val="00D4322E"/>
    <w:rsid w:val="00D554C6"/>
    <w:rsid w:val="00D6031A"/>
    <w:rsid w:val="00D672D0"/>
    <w:rsid w:val="00D8421E"/>
    <w:rsid w:val="00DA5D53"/>
    <w:rsid w:val="00DA6BB0"/>
    <w:rsid w:val="00DB355E"/>
    <w:rsid w:val="00DB4391"/>
    <w:rsid w:val="00DB5830"/>
    <w:rsid w:val="00DB79A4"/>
    <w:rsid w:val="00DB7F38"/>
    <w:rsid w:val="00DC003A"/>
    <w:rsid w:val="00DD0FC8"/>
    <w:rsid w:val="00DE0915"/>
    <w:rsid w:val="00DE49DE"/>
    <w:rsid w:val="00DF45B0"/>
    <w:rsid w:val="00DF6A51"/>
    <w:rsid w:val="00E057A8"/>
    <w:rsid w:val="00E57F6B"/>
    <w:rsid w:val="00E650E6"/>
    <w:rsid w:val="00E75330"/>
    <w:rsid w:val="00E8066C"/>
    <w:rsid w:val="00E864C7"/>
    <w:rsid w:val="00E94254"/>
    <w:rsid w:val="00E95C0E"/>
    <w:rsid w:val="00E97696"/>
    <w:rsid w:val="00E979BD"/>
    <w:rsid w:val="00EC19ED"/>
    <w:rsid w:val="00EC6675"/>
    <w:rsid w:val="00ED02B3"/>
    <w:rsid w:val="00EE7105"/>
    <w:rsid w:val="00EF1AE0"/>
    <w:rsid w:val="00F33E6C"/>
    <w:rsid w:val="00F427ED"/>
    <w:rsid w:val="00F73ADE"/>
    <w:rsid w:val="00F73D57"/>
    <w:rsid w:val="00F76D01"/>
    <w:rsid w:val="00F9291F"/>
    <w:rsid w:val="00FA354D"/>
    <w:rsid w:val="00FF0C78"/>
    <w:rsid w:val="01F81849"/>
    <w:rsid w:val="028F33C6"/>
    <w:rsid w:val="03C14F9E"/>
    <w:rsid w:val="065C347F"/>
    <w:rsid w:val="071D5327"/>
    <w:rsid w:val="08B76304"/>
    <w:rsid w:val="10980E28"/>
    <w:rsid w:val="11D434FA"/>
    <w:rsid w:val="12EF539D"/>
    <w:rsid w:val="138D15B8"/>
    <w:rsid w:val="14B932B9"/>
    <w:rsid w:val="14BA3740"/>
    <w:rsid w:val="14E367C8"/>
    <w:rsid w:val="156F7009"/>
    <w:rsid w:val="182D7FAF"/>
    <w:rsid w:val="1AAB2087"/>
    <w:rsid w:val="1B765D5B"/>
    <w:rsid w:val="20304A05"/>
    <w:rsid w:val="217C579A"/>
    <w:rsid w:val="252934F1"/>
    <w:rsid w:val="274CD170"/>
    <w:rsid w:val="275F84A9"/>
    <w:rsid w:val="27DDE619"/>
    <w:rsid w:val="2B4E474F"/>
    <w:rsid w:val="2DFB6FF7"/>
    <w:rsid w:val="326E53FF"/>
    <w:rsid w:val="32BF3AE4"/>
    <w:rsid w:val="32FE3C19"/>
    <w:rsid w:val="349056F3"/>
    <w:rsid w:val="35C11770"/>
    <w:rsid w:val="35C30AE7"/>
    <w:rsid w:val="368D0853"/>
    <w:rsid w:val="376755FC"/>
    <w:rsid w:val="38003733"/>
    <w:rsid w:val="3869625C"/>
    <w:rsid w:val="38B26CC6"/>
    <w:rsid w:val="3AE54F1C"/>
    <w:rsid w:val="3C3C282D"/>
    <w:rsid w:val="3CAB3C61"/>
    <w:rsid w:val="3D7E739A"/>
    <w:rsid w:val="3FBEDA70"/>
    <w:rsid w:val="43315912"/>
    <w:rsid w:val="43FD7968"/>
    <w:rsid w:val="44467F9B"/>
    <w:rsid w:val="44C331BB"/>
    <w:rsid w:val="45821840"/>
    <w:rsid w:val="479B2428"/>
    <w:rsid w:val="47E02124"/>
    <w:rsid w:val="4931560F"/>
    <w:rsid w:val="499E2AAD"/>
    <w:rsid w:val="49BC2DA5"/>
    <w:rsid w:val="4BAB37F3"/>
    <w:rsid w:val="4D2C448F"/>
    <w:rsid w:val="4F5F05DD"/>
    <w:rsid w:val="50BC3801"/>
    <w:rsid w:val="545D3B49"/>
    <w:rsid w:val="586A0242"/>
    <w:rsid w:val="5F817787"/>
    <w:rsid w:val="5FD8464D"/>
    <w:rsid w:val="5FFD83B1"/>
    <w:rsid w:val="613320B7"/>
    <w:rsid w:val="61D24435"/>
    <w:rsid w:val="640C62D6"/>
    <w:rsid w:val="66733DA9"/>
    <w:rsid w:val="66B9DF59"/>
    <w:rsid w:val="69EB77AE"/>
    <w:rsid w:val="6C4B260E"/>
    <w:rsid w:val="6CD3329C"/>
    <w:rsid w:val="6D71439B"/>
    <w:rsid w:val="71494E7F"/>
    <w:rsid w:val="72AF0BB8"/>
    <w:rsid w:val="72DEEB92"/>
    <w:rsid w:val="73A05C31"/>
    <w:rsid w:val="75656D7D"/>
    <w:rsid w:val="757DA9AB"/>
    <w:rsid w:val="77F21522"/>
    <w:rsid w:val="77FFF1C2"/>
    <w:rsid w:val="7AC95AB1"/>
    <w:rsid w:val="7B555C13"/>
    <w:rsid w:val="7D535C87"/>
    <w:rsid w:val="7E7E5F0C"/>
    <w:rsid w:val="7FF6C475"/>
    <w:rsid w:val="7FF7D9E7"/>
    <w:rsid w:val="7FFD1F54"/>
    <w:rsid w:val="93B88A86"/>
    <w:rsid w:val="98DFCC34"/>
    <w:rsid w:val="BEDF8690"/>
    <w:rsid w:val="CF7D26F6"/>
    <w:rsid w:val="EACFDBEA"/>
    <w:rsid w:val="EFBFF289"/>
    <w:rsid w:val="F4B6642D"/>
    <w:rsid w:val="F5476CAE"/>
    <w:rsid w:val="F77DC8EB"/>
    <w:rsid w:val="F7828AC9"/>
    <w:rsid w:val="FBFD16A2"/>
    <w:rsid w:val="FDDA8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4">
    <w:name w:val="heading 3"/>
    <w:basedOn w:val="1"/>
    <w:next w:val="1"/>
    <w:link w:val="21"/>
    <w:unhideWhenUsed/>
    <w:qFormat/>
    <w:uiPriority w:val="0"/>
    <w:pPr>
      <w:keepNext/>
      <w:keepLines/>
      <w:spacing w:before="260" w:after="260" w:line="416" w:lineRule="auto"/>
      <w:outlineLvl w:val="2"/>
    </w:pPr>
    <w:rPr>
      <w:rFonts w:ascii="等线" w:hAnsi="等线" w:eastAsia="等线"/>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spacing w:line="360" w:lineRule="auto"/>
      <w:ind w:firstLine="880" w:firstLineChars="200"/>
    </w:pPr>
  </w:style>
  <w:style w:type="paragraph" w:styleId="3">
    <w:name w:val="Body Text"/>
    <w:basedOn w:val="1"/>
    <w:semiHidden/>
    <w:unhideWhenUsed/>
    <w:qFormat/>
    <w:uiPriority w:val="99"/>
    <w:pPr>
      <w:spacing w:after="120"/>
    </w:pPr>
  </w:style>
  <w:style w:type="paragraph" w:styleId="5">
    <w:name w:val="List 3"/>
    <w:basedOn w:val="1"/>
    <w:unhideWhenUsed/>
    <w:qFormat/>
    <w:uiPriority w:val="99"/>
    <w:pPr>
      <w:ind w:left="1260" w:hanging="420"/>
    </w:pPr>
    <w:rPr>
      <w:szCs w:val="20"/>
    </w:rPr>
  </w:style>
  <w:style w:type="paragraph" w:styleId="6">
    <w:name w:val="Document Map"/>
    <w:basedOn w:val="1"/>
    <w:link w:val="18"/>
    <w:unhideWhenUsed/>
    <w:qFormat/>
    <w:uiPriority w:val="99"/>
    <w:rPr>
      <w:rFonts w:ascii="宋体"/>
      <w:sz w:val="18"/>
      <w:szCs w:val="18"/>
    </w:rPr>
  </w:style>
  <w:style w:type="paragraph" w:styleId="7">
    <w:name w:val="Date"/>
    <w:basedOn w:val="1"/>
    <w:next w:val="1"/>
    <w:link w:val="19"/>
    <w:unhideWhenUsed/>
    <w:qFormat/>
    <w:uiPriority w:val="99"/>
    <w:pPr>
      <w:ind w:left="100" w:leftChars="2500"/>
    </w:pPr>
  </w:style>
  <w:style w:type="paragraph" w:styleId="8">
    <w:name w:val="Balloon Text"/>
    <w:basedOn w:val="1"/>
    <w:link w:val="20"/>
    <w:unhideWhenUsed/>
    <w:qFormat/>
    <w:uiPriority w:val="99"/>
    <w:rPr>
      <w:sz w:val="18"/>
      <w:szCs w:val="18"/>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qFormat/>
    <w:uiPriority w:val="0"/>
  </w:style>
  <w:style w:type="character" w:customStyle="1" w:styleId="17">
    <w:name w:val="页脚 字符"/>
    <w:link w:val="9"/>
    <w:qFormat/>
    <w:uiPriority w:val="0"/>
    <w:rPr>
      <w:rFonts w:ascii="Times New Roman" w:hAnsi="Times New Roman" w:eastAsia="宋体" w:cs="Times New Roman"/>
      <w:sz w:val="18"/>
      <w:szCs w:val="18"/>
    </w:rPr>
  </w:style>
  <w:style w:type="character" w:customStyle="1" w:styleId="18">
    <w:name w:val="文档结构图 字符"/>
    <w:link w:val="6"/>
    <w:semiHidden/>
    <w:qFormat/>
    <w:uiPriority w:val="99"/>
    <w:rPr>
      <w:rFonts w:ascii="宋体" w:hAnsi="Times New Roman"/>
      <w:kern w:val="2"/>
      <w:sz w:val="18"/>
      <w:szCs w:val="18"/>
    </w:rPr>
  </w:style>
  <w:style w:type="character" w:customStyle="1" w:styleId="19">
    <w:name w:val="日期 字符"/>
    <w:link w:val="7"/>
    <w:semiHidden/>
    <w:qFormat/>
    <w:uiPriority w:val="99"/>
    <w:rPr>
      <w:rFonts w:ascii="Times New Roman" w:hAnsi="Times New Roman"/>
      <w:kern w:val="2"/>
      <w:sz w:val="21"/>
      <w:szCs w:val="24"/>
    </w:rPr>
  </w:style>
  <w:style w:type="character" w:customStyle="1" w:styleId="20">
    <w:name w:val="批注框文本 字符"/>
    <w:link w:val="8"/>
    <w:semiHidden/>
    <w:qFormat/>
    <w:uiPriority w:val="99"/>
    <w:rPr>
      <w:rFonts w:ascii="Times New Roman" w:hAnsi="Times New Roman"/>
      <w:kern w:val="2"/>
      <w:sz w:val="18"/>
      <w:szCs w:val="18"/>
    </w:rPr>
  </w:style>
  <w:style w:type="character" w:customStyle="1" w:styleId="21">
    <w:name w:val="标题 3 字符"/>
    <w:link w:val="4"/>
    <w:qFormat/>
    <w:uiPriority w:val="0"/>
    <w:rPr>
      <w:rFonts w:ascii="等线" w:hAnsi="等线" w:eastAsia="等线"/>
      <w:b/>
      <w:bCs/>
      <w:kern w:val="2"/>
      <w:sz w:val="32"/>
      <w:szCs w:val="32"/>
    </w:rPr>
  </w:style>
  <w:style w:type="character" w:customStyle="1" w:styleId="22">
    <w:name w:val="页眉 字符"/>
    <w:link w:val="10"/>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7</Pages>
  <Words>716</Words>
  <Characters>4086</Characters>
  <Lines>34</Lines>
  <Paragraphs>9</Paragraphs>
  <TotalTime>1</TotalTime>
  <ScaleCrop>false</ScaleCrop>
  <LinksUpToDate>false</LinksUpToDate>
  <CharactersWithSpaces>4793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2023-03-08T07:38:00Z</dcterms:created>
  <dc:creator>温小勇</dc:creator>
  <cp:lastModifiedBy>msy</cp:lastModifiedBy>
  <dcterms:modified xsi:type="dcterms:W3CDTF">2023-03-09T11:26:03Z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7532AE52999345178AE930479EDAEBB7</vt:lpwstr>
  </property>
</Properties>
</file>