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cs="宋体"/>
          <w:b/>
          <w:bCs/>
          <w:sz w:val="44"/>
          <w:szCs w:val="44"/>
          <w:lang w:eastAsia="zh-CN"/>
        </w:rPr>
        <w:t>《建筑和市政工程概算编制规程（征求意见稿）》</w:t>
      </w:r>
      <w:r>
        <w:rPr>
          <w:rFonts w:hint="eastAsia" w:ascii="宋体" w:hAnsi="宋体" w:eastAsia="宋体" w:cs="宋体"/>
          <w:b/>
          <w:bCs/>
          <w:sz w:val="44"/>
          <w:szCs w:val="44"/>
          <w:lang w:val="en-US" w:eastAsia="zh-CN"/>
        </w:rPr>
        <w:t>《</w:t>
      </w:r>
      <w:r>
        <w:rPr>
          <w:rFonts w:hint="eastAsia" w:ascii="宋体" w:hAnsi="宋体" w:cs="宋体"/>
          <w:b/>
          <w:bCs/>
          <w:sz w:val="44"/>
          <w:szCs w:val="44"/>
          <w:lang w:val="en-US" w:eastAsia="zh-CN"/>
        </w:rPr>
        <w:t>城市轨道交通工程概算编制规程（征求意见稿）</w:t>
      </w:r>
      <w:r>
        <w:rPr>
          <w:rFonts w:hint="eastAsia" w:ascii="宋体" w:hAnsi="宋体" w:eastAsia="宋体" w:cs="宋体"/>
          <w:b/>
          <w:bCs/>
          <w:sz w:val="44"/>
          <w:szCs w:val="44"/>
        </w:rPr>
        <w:t>》</w:t>
      </w:r>
      <w:bookmarkStart w:id="0" w:name="_GoBack"/>
      <w:bookmarkEnd w:id="0"/>
      <w:r>
        <w:rPr>
          <w:rFonts w:hint="eastAsia" w:ascii="宋体" w:hAnsi="宋体" w:eastAsia="宋体" w:cs="宋体"/>
          <w:b/>
          <w:bCs/>
          <w:sz w:val="44"/>
          <w:szCs w:val="44"/>
          <w:lang w:eastAsia="zh-CN"/>
        </w:rPr>
        <w:t>公开征求意见采纳情况汇总表</w:t>
      </w:r>
    </w:p>
    <w:p>
      <w:pPr>
        <w:pStyle w:val="2"/>
        <w:rPr>
          <w:rFonts w:hint="eastAsia"/>
          <w:lang w:eastAsia="zh-CN"/>
        </w:rPr>
      </w:pPr>
    </w:p>
    <w:tbl>
      <w:tblPr>
        <w:tblStyle w:val="4"/>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461"/>
        <w:gridCol w:w="1612"/>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意见</w:t>
            </w:r>
          </w:p>
        </w:tc>
        <w:tc>
          <w:tcPr>
            <w:tcW w:w="56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采纳情况</w:t>
            </w:r>
          </w:p>
        </w:tc>
        <w:tc>
          <w:tcPr>
            <w:tcW w:w="151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sz w:val="32"/>
                <w:szCs w:val="32"/>
                <w:lang w:eastAsia="zh-CN"/>
              </w:rPr>
            </w:pPr>
            <w:r>
              <w:rPr>
                <w:rFonts w:hint="eastAsia" w:ascii="宋体" w:hAnsi="宋体" w:cs="宋体"/>
                <w:b/>
                <w:bCs/>
                <w:sz w:val="28"/>
                <w:szCs w:val="28"/>
                <w:lang w:eastAsia="zh-CN"/>
              </w:rPr>
              <w:t>一、</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城市轨道交通工程概算编制规程</w:t>
            </w:r>
            <w:r>
              <w:rPr>
                <w:rFonts w:hint="eastAsia" w:ascii="宋体" w:hAnsi="宋体" w:eastAsia="宋体" w:cs="宋体"/>
                <w:b/>
                <w:bCs/>
                <w:sz w:val="28"/>
                <w:szCs w:val="28"/>
              </w:rPr>
              <w:t>（征求意见稿）》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P21，建议将地下区间进一步划分为盾构、矿山法、明挖法三种，便于区分。</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《城市轨道交通工程概算编制规程（征求意见稿）》/6.1.6 /p8</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6.1.6 3 车辆基地、主变电所、运营控制中心的常规机电设备安装工程及检修工艺设备工程采用现行的深圳市安装工程计价标准。</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建议调整为：车辆基地、主变电所、运营控制中心的常规机电设备安装工程采用现行的深圳市安装工程计价标准，检修工艺设备工程暂采用相关部委发布的计价标准或按市场价计列。</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修改理由：现行的深圳市安装工程计价标准无检修工艺设备内容。</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解释说明</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工艺设备安装一般由厂家负责安装，安装费包含在设备购置费中，因此不需要另行套定额。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《城市轨道交通工程概算编制规程（征求意见稿）》/6.1.6   /p8</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采用现行预算定额编制概算时，各专业工程计价标准要求如下：</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地下结构工程、桥梁工程、路基工程、……，采用现行的深圳市城市轨道交通工程计价标准</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高架车站、……构筑物的土建工程，采用现行的深圳市建筑工程计价标准；</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修改理由：上述1桥梁工程和上述2中的高架车站 的桩基施工方法、工序基本一样，只是部位不同，计价标准建议统一，执行深圳市城市轨道交通工程计价标准或深圳市建筑工程计价标准。</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《城市轨道交通工程概算编制规程（征求意见稿）》/6.1.6  /p8</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 装配式车站结构安装工程，采用现行的深圳市装配建筑工程计价标准</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修改理由：装配式车站的构件与普通房建预制构件有较大差异，垂直运输一般采用龙门吊，安装也需要台车等设备。但是最新的装配建筑工程计价标准安装定额（征求意见稿）中没有机械费，垂直运输费也无法按《建筑工程消耗量标准计算》，标准缺乏。</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建议调整为：装配式车站结构安装工程，采用现行的深圳市装配建筑工程计价标准，结合市场价综合取定。</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《城市轨道交通工程概算编制规程（征求意见稿）》/6. 3.2/p10</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6.3.2.1  p — 工程造价年增长率</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建议调整为 p—工程造价指数年增长率</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《城市轨道交通工程概算编制规程（征求意见稿）》/附录A概算章节表/p17</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 基坑土石方工程 费用内容及其他说明</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建议补充：钢筋混凝土支撑拆除、钢支撑拆除</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修改理由：拆除是工作内容的一部分</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《城市轨道交通工程概算编制规程（征求意见稿）》/附录C概算编制细则及标准/p59</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C.2.2.1基坑土石方外运数量按挖除的自然方计算，余泥渣土外运运距根据工程所在位置综合确定。</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修改理由：挖除的自然方装载和弃置，市场有实方、虚方之别。</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建议修改为：基坑土石方外运数量按挖除的自然方计算，考虑虚方系数，余泥渣土外运运距根据工程所在位置综合确定。</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解释说明</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外运按自然方计算，虚方系数已经在定额台班中考虑。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8</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《城市轨道交通工程概算编制规程（征求意见稿）》</w:t>
            </w:r>
          </w:p>
          <w:p>
            <w:pPr>
              <w:spacing w:beforeLines="0" w:afterLine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因“GB55031-2022《民用建筑通用规范》”对建筑面积计算规则有调整，“GB/T 50353-2013 建筑工程建筑面积计算规范”建议取消或修改</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9</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《城市轨道交通工程概算编制规程（征求意见稿）》5.3.3.18</w:t>
            </w:r>
          </w:p>
          <w:p>
            <w:pPr>
              <w:spacing w:beforeLines="0" w:afterLine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BIM技术应用费，建议修正增加：含聘请建筑信息模型（BIM）技术应用的咨询顾问</w:t>
            </w:r>
          </w:p>
        </w:tc>
        <w:tc>
          <w:tcPr>
            <w:tcW w:w="565" w:type="pct"/>
            <w:noWrap w:val="0"/>
            <w:vAlign w:val="top"/>
          </w:tcPr>
          <w:p>
            <w:pPr>
              <w:spacing w:beforeLines="0" w:afterLines="0"/>
              <w:jc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解释说明</w:t>
            </w:r>
          </w:p>
        </w:tc>
        <w:tc>
          <w:tcPr>
            <w:tcW w:w="1519" w:type="pct"/>
            <w:noWrap w:val="0"/>
            <w:vAlign w:val="top"/>
          </w:tcPr>
          <w:p>
            <w:pPr>
              <w:spacing w:beforeLines="0" w:afterLines="0"/>
              <w:jc w:val="left"/>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5.3.318中的BIM技术应用费已列明费用的内容，咨询顾问只是其中可能发生的一笔费用，因此不增加相关表述。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00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sz w:val="28"/>
                <w:szCs w:val="28"/>
                <w:lang w:eastAsia="zh-CN"/>
              </w:rPr>
              <w:t>二、《建筑和市政工程概算编制规程（征求意见稿）》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P32、P34中的专项工程（如防护工程、被服系统等）土建、安装分开列项，建议合并成一个专项工程，与土建、安装工程并列。</w:t>
            </w:r>
          </w:p>
        </w:tc>
        <w:tc>
          <w:tcPr>
            <w:tcW w:w="565" w:type="pct"/>
            <w:noWrap w:val="0"/>
            <w:vAlign w:val="top"/>
          </w:tcPr>
          <w:p>
            <w:pPr>
              <w:bidi w:val="0"/>
              <w:jc w:val="center"/>
              <w:rPr>
                <w:rFonts w:hint="eastAsia"/>
                <w:lang w:val="en" w:eastAsia="zh-CN"/>
              </w:rPr>
            </w:pPr>
            <w:r>
              <w:rPr>
                <w:rFonts w:hint="eastAsia"/>
                <w:lang w:val="en" w:eastAsia="zh-CN"/>
              </w:rPr>
              <w:t>解释说明</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专项工程本质上是由土建和安装工程构成的，为保持一致性，将专项工程按专业划分，符合现行计价习惯。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P35中“配套及其他工程”中建议增加：“直升机场地工程”</w:t>
            </w:r>
          </w:p>
        </w:tc>
        <w:tc>
          <w:tcPr>
            <w:tcW w:w="565" w:type="pct"/>
            <w:noWrap w:val="0"/>
            <w:vAlign w:val="top"/>
          </w:tcPr>
          <w:p>
            <w:pPr>
              <w:bidi w:val="0"/>
              <w:jc w:val="center"/>
              <w:rPr>
                <w:rFonts w:hint="eastAsia"/>
                <w:lang w:val="en" w:eastAsia="zh-CN"/>
              </w:rPr>
            </w:pPr>
            <w:r>
              <w:rPr>
                <w:rFonts w:hint="eastAsia"/>
              </w:rPr>
              <w:t>解释说明</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具体表格可以根据项目实际情况进行增减。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P36中建议将“交通疏解”、“管线迁改”各作为一个项目与“道路”并列。</w:t>
            </w:r>
          </w:p>
        </w:tc>
        <w:tc>
          <w:tcPr>
            <w:tcW w:w="565" w:type="pct"/>
            <w:noWrap w:val="0"/>
            <w:vAlign w:val="top"/>
          </w:tcPr>
          <w:p>
            <w:pPr>
              <w:bidi w:val="0"/>
              <w:jc w:val="center"/>
              <w:rPr>
                <w:rFonts w:hint="eastAsia"/>
                <w:lang w:val="en" w:eastAsia="zh-CN"/>
              </w:rPr>
            </w:pPr>
            <w:r>
              <w:rPr>
                <w:rFonts w:hint="eastAsia"/>
              </w:rPr>
              <w:t>采纳</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建议增加：“工业厂房类概算细目表”</w:t>
            </w:r>
          </w:p>
        </w:tc>
        <w:tc>
          <w:tcPr>
            <w:tcW w:w="565" w:type="pct"/>
            <w:noWrap w:val="0"/>
            <w:vAlign w:val="top"/>
          </w:tcPr>
          <w:p>
            <w:pPr>
              <w:bidi w:val="0"/>
              <w:jc w:val="center"/>
              <w:rPr>
                <w:rFonts w:hint="eastAsia"/>
                <w:lang w:val="en" w:eastAsia="zh-CN"/>
              </w:rPr>
            </w:pPr>
            <w:r>
              <w:rPr>
                <w:rFonts w:hint="eastAsia"/>
                <w:lang w:val="en" w:eastAsia="zh-CN"/>
              </w:rPr>
              <w:t>解释说明</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工业厂房类可参照建筑工程单项工程概算细目表编制。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页码第1页，规范性引用文件建议增加《GB 50857-2013 市政工程工程量计算规范》、《GB 50856-2013 通用安装工程工程量计算规范》。</w:t>
            </w:r>
          </w:p>
        </w:tc>
        <w:tc>
          <w:tcPr>
            <w:tcW w:w="565" w:type="pct"/>
            <w:noWrap w:val="0"/>
            <w:vAlign w:val="top"/>
          </w:tcPr>
          <w:p>
            <w:pPr>
              <w:bidi w:val="0"/>
              <w:jc w:val="center"/>
              <w:rPr>
                <w:rFonts w:hint="eastAsia"/>
                <w:lang w:val="en" w:eastAsia="zh-CN"/>
              </w:rPr>
            </w:pPr>
            <w:r>
              <w:rPr>
                <w:rFonts w:hint="eastAsia"/>
              </w:rPr>
              <w:t>采纳</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页码第35页，迁改类说明中，建议增加燃气迁改专业；室外安装工程说明中，建议在室外给水排水后增加电气专业；页尾多写了一个“注”字，建议删除。</w:t>
            </w:r>
          </w:p>
        </w:tc>
        <w:tc>
          <w:tcPr>
            <w:tcW w:w="565" w:type="pct"/>
            <w:noWrap w:val="0"/>
            <w:vAlign w:val="top"/>
          </w:tcPr>
          <w:p>
            <w:pPr>
              <w:bidi w:val="0"/>
              <w:jc w:val="center"/>
              <w:rPr>
                <w:rFonts w:hint="eastAsia"/>
                <w:lang w:val="en" w:eastAsia="zh-CN"/>
              </w:rPr>
            </w:pPr>
            <w:r>
              <w:rPr>
                <w:rFonts w:hint="eastAsia"/>
              </w:rPr>
              <w:t>采纳</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2615"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页码第36页，电气工程中的“电信工程”建议修改为“通信工程”；照明工程的单位建议修改为“套”。</w:t>
            </w:r>
          </w:p>
        </w:tc>
        <w:tc>
          <w:tcPr>
            <w:tcW w:w="565" w:type="pct"/>
            <w:noWrap w:val="0"/>
            <w:vAlign w:val="top"/>
          </w:tcPr>
          <w:p>
            <w:pPr>
              <w:bidi w:val="0"/>
              <w:jc w:val="center"/>
              <w:rPr>
                <w:rFonts w:hint="eastAsia"/>
                <w:lang w:val="en" w:eastAsia="zh-CN"/>
              </w:rPr>
            </w:pPr>
            <w:r>
              <w:rPr>
                <w:rFonts w:hint="eastAsia"/>
              </w:rPr>
              <w:t>部分采纳</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已完善相关内容。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2615" w:type="pct"/>
            <w:noWrap w:val="0"/>
            <w:vAlign w:val="top"/>
          </w:tcPr>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深圳市建筑和市政概算编制规程（征求意见稿）/6.1.2 建筑安装工程费的计算方法 /p7</w:t>
            </w:r>
          </w:p>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6.1.2 4采用预算定额法编制概算时……，建筑专业中的装饰工程、安装工程和市政专业中的地下结构、隧道、桥梁上部结构及安装工程可按3%～5% 计取零星工程费（概算幅度差），也可按照经验列项估算，其他工程不计。</w:t>
            </w:r>
          </w:p>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建议补充：估算时应分专业、系统按专业指标计列。</w:t>
            </w:r>
          </w:p>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修改理由：对估算内容加以限制。初步阶段机电及装饰不确定因素多，可按装饰区域面积、建筑布局、功能等经验指标估算。</w:t>
            </w:r>
          </w:p>
        </w:tc>
        <w:tc>
          <w:tcPr>
            <w:tcW w:w="565" w:type="pct"/>
            <w:noWrap w:val="0"/>
            <w:vAlign w:val="top"/>
          </w:tcPr>
          <w:p>
            <w:pPr>
              <w:bidi w:val="0"/>
              <w:jc w:val="center"/>
              <w:rPr>
                <w:rFonts w:hint="eastAsia"/>
                <w:lang w:val="en" w:eastAsia="zh-CN"/>
              </w:rPr>
            </w:pPr>
            <w:r>
              <w:rPr>
                <w:rFonts w:hint="eastAsia"/>
                <w:lang w:val="en" w:eastAsia="zh-CN"/>
              </w:rPr>
              <w:t>采纳</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2615" w:type="pct"/>
            <w:noWrap w:val="0"/>
            <w:vAlign w:val="top"/>
          </w:tcPr>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深圳市建筑和市政概算编制规程（征求意见稿）/6.3工程建设其他费用的内容及计算方法/p8</w:t>
            </w:r>
          </w:p>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根据国家、广东省和深圳市有关文件规定，……市场调节价。若工程项目采用……叠加后再增加相应统筹管理费用计取。</w:t>
            </w:r>
          </w:p>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参考《城市轨道交通工程概算编制规程》，增加：编制概算时，其他费用应根据现行国家、广东省和深圳市有关文件，结合工程实际情况计列。费用可根据实际工量估算，也可结合项目实际情况按相关费用的一定费率计取。</w:t>
            </w:r>
          </w:p>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修改理由：市场正向引导</w:t>
            </w:r>
          </w:p>
        </w:tc>
        <w:tc>
          <w:tcPr>
            <w:tcW w:w="565" w:type="pct"/>
            <w:noWrap w:val="0"/>
            <w:vAlign w:val="top"/>
          </w:tcPr>
          <w:p>
            <w:pPr>
              <w:bidi w:val="0"/>
              <w:jc w:val="center"/>
              <w:rPr>
                <w:rFonts w:hint="eastAsia"/>
                <w:lang w:val="en" w:eastAsia="zh-CN"/>
              </w:rPr>
            </w:pPr>
            <w:r>
              <w:rPr>
                <w:rFonts w:hint="eastAsia"/>
              </w:rPr>
              <w:t>解释说明</w:t>
            </w:r>
          </w:p>
        </w:tc>
        <w:tc>
          <w:tcPr>
            <w:tcW w:w="1519" w:type="pct"/>
            <w:noWrap w:val="0"/>
            <w:vAlign w:val="top"/>
          </w:tcPr>
          <w:p>
            <w:pPr>
              <w:bidi w:val="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市场调节价已含结合工程实际情况计列的意义。各费用的计算方法在各项费用的计算方法中已表述。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2615" w:type="pct"/>
            <w:noWrap w:val="0"/>
            <w:vAlign w:val="top"/>
          </w:tcPr>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建议：明确余泥渣土弃置费工程量基数计算规则；</w:t>
            </w:r>
          </w:p>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理由：概算编制常规按天然密实土方计算，深圳市有关部门发布的价格文件中对弃土方量表述有出入（例：深建废管[2020]3号中按海外外运设施接收时的现状土方为准）。</w:t>
            </w:r>
          </w:p>
        </w:tc>
        <w:tc>
          <w:tcPr>
            <w:tcW w:w="565" w:type="pct"/>
            <w:noWrap w:val="0"/>
            <w:vAlign w:val="top"/>
          </w:tcPr>
          <w:p>
            <w:pPr>
              <w:bidi w:val="0"/>
              <w:jc w:val="center"/>
              <w:rPr>
                <w:rFonts w:hint="eastAsia" w:asciiTheme="minorEastAsia" w:hAnsiTheme="minorEastAsia" w:eastAsiaTheme="minorEastAsia" w:cstheme="minorEastAsia"/>
                <w:sz w:val="21"/>
                <w:szCs w:val="21"/>
                <w:lang w:val="en" w:eastAsia="zh-CN"/>
              </w:rPr>
            </w:pPr>
            <w:r>
              <w:rPr>
                <w:rFonts w:hint="eastAsia" w:asciiTheme="minorEastAsia" w:hAnsiTheme="minorEastAsia" w:eastAsiaTheme="minorEastAsia" w:cstheme="minorEastAsia"/>
                <w:sz w:val="21"/>
                <w:szCs w:val="21"/>
              </w:rPr>
              <w:t>解释说明</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深圳市已有弃置费的相关计算规则，规程不宜另行约定。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2615" w:type="pct"/>
            <w:noWrap w:val="0"/>
            <w:vAlign w:val="top"/>
          </w:tcPr>
          <w:p>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建议：水土保持专项费实行市场调节价；</w:t>
            </w:r>
          </w:p>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理由：(1)基于以往国家标准，水利部水土保持司印发《水利部水土保持司关于废止的函》（水保监督函〔2014〕2号），废止了保监〔2005〕22号文，因此水土保持服务费收费标准目前没有国家标准；(2)基于现深圳标准，关于印发《深圳市开发建设项目水土保持服务费计列办法》的通知（深水保〔2007〕362号），此文发布年限较远，现深圳已有源远、深水水务、如茵生态、新大地、泰然生态等诸多专业单位，实行市场调节价具有市场必要性。</w:t>
            </w:r>
          </w:p>
        </w:tc>
        <w:tc>
          <w:tcPr>
            <w:tcW w:w="565" w:type="pct"/>
            <w:noWrap w:val="0"/>
            <w:vAlign w:val="top"/>
          </w:tcPr>
          <w:p>
            <w:pPr>
              <w:bidi w:val="0"/>
              <w:jc w:val="center"/>
              <w:rPr>
                <w:rFonts w:hint="eastAsia" w:asciiTheme="minorEastAsia" w:hAnsiTheme="minorEastAsia" w:eastAsiaTheme="minorEastAsia" w:cstheme="minorEastAsia"/>
                <w:sz w:val="21"/>
                <w:szCs w:val="21"/>
                <w:lang w:val="en" w:eastAsia="zh-CN"/>
              </w:rPr>
            </w:pPr>
            <w:r>
              <w:rPr>
                <w:rFonts w:hint="eastAsia" w:asciiTheme="minorEastAsia" w:hAnsiTheme="minorEastAsia" w:eastAsiaTheme="minorEastAsia" w:cstheme="minorEastAsia"/>
                <w:sz w:val="21"/>
                <w:szCs w:val="21"/>
              </w:rPr>
              <w:t>采纳</w:t>
            </w:r>
          </w:p>
        </w:tc>
        <w:tc>
          <w:tcPr>
            <w:tcW w:w="1519" w:type="pct"/>
            <w:noWrap w:val="0"/>
            <w:vAlign w:val="top"/>
          </w:tcPr>
          <w:p>
            <w:pPr>
              <w:bidi w:val="0"/>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《建筑和市政工程概算编制规程（征求意见稿）》P31~P35</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“附录B.1建筑工程单项工程概算细目表”单位工程名称建议同“SJG77-2020 《房屋建筑工程造价文件分部分项和措施项目划分标准》”统一</w:t>
            </w:r>
          </w:p>
        </w:tc>
        <w:tc>
          <w:tcPr>
            <w:tcW w:w="565" w:type="pct"/>
            <w:noWrap w:val="0"/>
            <w:vAlign w:val="top"/>
          </w:tcPr>
          <w:p>
            <w:pPr>
              <w:spacing w:beforeLines="0" w:afterLines="0"/>
              <w:jc w:val="center"/>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sz w:val="21"/>
                <w:szCs w:val="21"/>
              </w:rPr>
              <w:t>解释说明</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两部标准的单位工程基本一致，但由于两部标准使用范围不同，可能个别存在细微差异。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《建筑和市政工程概算编制规程（征求意见稿）》6.1.2-1</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“首先采用深圳市现行概算定额或概算指标进行编制，没有适用的概算定额或指标时，可采用现行预算定额进行编制。”</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修改理由和建议：深圳市目前没有“现行概算定额或概算指标”，建议直接改为根据预算定额进行编制。</w:t>
            </w:r>
          </w:p>
        </w:tc>
        <w:tc>
          <w:tcPr>
            <w:tcW w:w="565" w:type="pct"/>
            <w:noWrap w:val="0"/>
            <w:vAlign w:val="top"/>
          </w:tcPr>
          <w:p>
            <w:pPr>
              <w:spacing w:beforeLines="0" w:afterLines="0"/>
              <w:jc w:val="center"/>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sz w:val="21"/>
                <w:szCs w:val="21"/>
              </w:rPr>
              <w:t>解释说明</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我站已经启动了</w:t>
            </w:r>
            <w:r>
              <w:rPr>
                <w:rFonts w:hint="eastAsia" w:asciiTheme="minorEastAsia" w:hAnsiTheme="minorEastAsia" w:eastAsiaTheme="minorEastAsia" w:cstheme="minorEastAsia"/>
                <w:color w:val="000000"/>
                <w:sz w:val="21"/>
                <w:szCs w:val="21"/>
                <w:lang w:eastAsia="zh-CN"/>
              </w:rPr>
              <w:t>相关概算</w:t>
            </w:r>
            <w:r>
              <w:rPr>
                <w:rFonts w:hint="eastAsia" w:asciiTheme="minorEastAsia" w:hAnsiTheme="minorEastAsia" w:eastAsiaTheme="minorEastAsia" w:cstheme="minorEastAsia"/>
                <w:color w:val="000000"/>
                <w:sz w:val="21"/>
                <w:szCs w:val="21"/>
              </w:rPr>
              <w:t>定额或指标的编制。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《建筑和市政工程概算编制规程（征求意见稿）》6.1.2-2</w:t>
            </w:r>
          </w:p>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“概算编制期，应按照项目初步设计文件的编制时间确定，采用当时最新发布的市场信息价、市场询价。”</w:t>
            </w:r>
          </w:p>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修改理由和建议：概算编制期与项目初步设计文件的编制时间不相同，建议修改为“概算编制期，应按照概算编制时间最新发布的市场信息价、市场询价。”</w:t>
            </w:r>
          </w:p>
        </w:tc>
        <w:tc>
          <w:tcPr>
            <w:tcW w:w="565" w:type="pct"/>
            <w:noWrap w:val="0"/>
            <w:vAlign w:val="top"/>
          </w:tcPr>
          <w:p>
            <w:pPr>
              <w:spacing w:beforeLines="0" w:afterLines="0"/>
              <w:jc w:val="center"/>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sz w:val="21"/>
                <w:szCs w:val="21"/>
              </w:rPr>
              <w:t>采纳</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0" w:type="pct"/>
            <w:noWrap w:val="0"/>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2615" w:type="pct"/>
            <w:noWrap w:val="0"/>
            <w:vAlign w:val="top"/>
          </w:tcPr>
          <w:p>
            <w:pPr>
              <w:spacing w:beforeLines="0" w:afterLines="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《建筑和市政工程概算编制规程（征求意见稿）》6.4.2.2</w:t>
            </w:r>
          </w:p>
          <w:p>
            <w:pPr>
              <w:spacing w:beforeLines="0" w:afterLine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计算方法，建议修正：概算阶段基本预备费率一般情况下可按5%～10%计取</w:t>
            </w:r>
          </w:p>
        </w:tc>
        <w:tc>
          <w:tcPr>
            <w:tcW w:w="565" w:type="pct"/>
            <w:noWrap w:val="0"/>
            <w:vAlign w:val="top"/>
          </w:tcPr>
          <w:p>
            <w:pPr>
              <w:spacing w:beforeLines="0" w:afterLines="0"/>
              <w:jc w:val="center"/>
              <w:rPr>
                <w:rFonts w:hint="eastAsia" w:asciiTheme="minorEastAsia" w:hAnsiTheme="minorEastAsia" w:eastAsiaTheme="minorEastAsia" w:cstheme="minorEastAsia"/>
                <w:b w:val="0"/>
                <w:bCs/>
                <w:color w:val="000000"/>
                <w:kern w:val="2"/>
                <w:sz w:val="21"/>
                <w:szCs w:val="21"/>
                <w:highlight w:val="none"/>
                <w:lang w:val="en-US" w:eastAsia="zh-CN" w:bidi="ar-SA"/>
              </w:rPr>
            </w:pPr>
            <w:r>
              <w:rPr>
                <w:rFonts w:hint="eastAsia" w:asciiTheme="minorEastAsia" w:hAnsiTheme="minorEastAsia" w:eastAsiaTheme="minorEastAsia" w:cstheme="minorEastAsia"/>
                <w:b w:val="0"/>
                <w:bCs/>
                <w:color w:val="000000"/>
                <w:sz w:val="21"/>
                <w:szCs w:val="21"/>
                <w:highlight w:val="none"/>
              </w:rPr>
              <w:t>解释说明</w:t>
            </w:r>
          </w:p>
        </w:tc>
        <w:tc>
          <w:tcPr>
            <w:tcW w:w="1519" w:type="pct"/>
            <w:noWrap w:val="0"/>
            <w:vAlign w:val="top"/>
          </w:tcPr>
          <w:p>
            <w:pPr>
              <w:spacing w:beforeLines="0" w:afterLines="0"/>
              <w:jc w:val="left"/>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eastAsia="zh-CN"/>
              </w:rPr>
              <w:t>经市场调研，深圳市建筑和市政概算编制规程（</w:t>
            </w:r>
            <w:r>
              <w:rPr>
                <w:rFonts w:hint="eastAsia" w:asciiTheme="minorEastAsia" w:hAnsiTheme="minorEastAsia" w:eastAsiaTheme="minorEastAsia" w:cstheme="minorEastAsia"/>
                <w:color w:val="000000"/>
                <w:sz w:val="21"/>
                <w:szCs w:val="21"/>
                <w:highlight w:val="none"/>
                <w:lang w:val="en-US" w:eastAsia="zh-CN"/>
              </w:rPr>
              <w:t>2017</w:t>
            </w:r>
            <w:r>
              <w:rPr>
                <w:rFonts w:hint="eastAsia" w:asciiTheme="minorEastAsia" w:hAnsiTheme="minorEastAsia" w:eastAsiaTheme="minorEastAsia" w:cstheme="minorEastAsia"/>
                <w:color w:val="000000"/>
                <w:sz w:val="21"/>
                <w:szCs w:val="21"/>
                <w:highlight w:val="none"/>
                <w:lang w:eastAsia="zh-CN"/>
              </w:rPr>
              <w:t>）初步设计概算基本预备费按</w:t>
            </w:r>
            <w:r>
              <w:rPr>
                <w:rFonts w:hint="eastAsia" w:asciiTheme="minorEastAsia" w:hAnsiTheme="minorEastAsia" w:eastAsiaTheme="minorEastAsia" w:cstheme="minorEastAsia"/>
                <w:color w:val="000000"/>
                <w:sz w:val="21"/>
                <w:szCs w:val="21"/>
                <w:highlight w:val="none"/>
                <w:lang w:val="en-US" w:eastAsia="zh-CN"/>
              </w:rPr>
              <w:t>5%计算是符合政府项目投资要求的。</w:t>
            </w:r>
            <w:r>
              <w:rPr>
                <w:rFonts w:hint="eastAsia" w:asciiTheme="minorEastAsia" w:hAnsiTheme="minorEastAsia" w:eastAsiaTheme="minorEastAsia" w:cstheme="minorEastAsia"/>
                <w:color w:val="000000"/>
                <w:sz w:val="21"/>
                <w:szCs w:val="21"/>
                <w:highlight w:val="none"/>
              </w:rPr>
              <w:t xml:space="preserve"> </w:t>
            </w:r>
          </w:p>
        </w:tc>
      </w:tr>
    </w:tbl>
    <w:p>
      <w:pPr>
        <w:rPr>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2523C"/>
    <w:rsid w:val="06BBC570"/>
    <w:rsid w:val="07BD00E8"/>
    <w:rsid w:val="07FFA12C"/>
    <w:rsid w:val="0A411EAC"/>
    <w:rsid w:val="0ABBA747"/>
    <w:rsid w:val="0B33DEF2"/>
    <w:rsid w:val="0DBFBA90"/>
    <w:rsid w:val="0DF7992E"/>
    <w:rsid w:val="0DFBC0E1"/>
    <w:rsid w:val="0F79A59C"/>
    <w:rsid w:val="0FFFF1FD"/>
    <w:rsid w:val="1275C1E1"/>
    <w:rsid w:val="1397BE6E"/>
    <w:rsid w:val="13FF5177"/>
    <w:rsid w:val="13FFC5E8"/>
    <w:rsid w:val="151A12ED"/>
    <w:rsid w:val="163EEC08"/>
    <w:rsid w:val="1705219D"/>
    <w:rsid w:val="173C1198"/>
    <w:rsid w:val="17456004"/>
    <w:rsid w:val="177EDC5A"/>
    <w:rsid w:val="179FC0F2"/>
    <w:rsid w:val="1BF9F0F1"/>
    <w:rsid w:val="1CB1D23B"/>
    <w:rsid w:val="1DF24F80"/>
    <w:rsid w:val="1E9C6E58"/>
    <w:rsid w:val="1EB5F7A8"/>
    <w:rsid w:val="1EFF65B6"/>
    <w:rsid w:val="1EFFEF91"/>
    <w:rsid w:val="1F5A45ED"/>
    <w:rsid w:val="1F67B691"/>
    <w:rsid w:val="1F9B9E71"/>
    <w:rsid w:val="1FD660D8"/>
    <w:rsid w:val="1FD74C8D"/>
    <w:rsid w:val="1FFF28B1"/>
    <w:rsid w:val="23FF33F2"/>
    <w:rsid w:val="25FF6009"/>
    <w:rsid w:val="26DFF088"/>
    <w:rsid w:val="277F3DE5"/>
    <w:rsid w:val="277F90C5"/>
    <w:rsid w:val="27CAC413"/>
    <w:rsid w:val="2A7D63CF"/>
    <w:rsid w:val="2B7FB355"/>
    <w:rsid w:val="2B993688"/>
    <w:rsid w:val="2CF572AF"/>
    <w:rsid w:val="2DFA1B80"/>
    <w:rsid w:val="2F33ABD1"/>
    <w:rsid w:val="2FA60FEF"/>
    <w:rsid w:val="2FB7ED8B"/>
    <w:rsid w:val="2FF98506"/>
    <w:rsid w:val="2FFEA9FD"/>
    <w:rsid w:val="2FFF4944"/>
    <w:rsid w:val="306B2EA8"/>
    <w:rsid w:val="31F19093"/>
    <w:rsid w:val="3331AC41"/>
    <w:rsid w:val="34345499"/>
    <w:rsid w:val="366FD237"/>
    <w:rsid w:val="37350101"/>
    <w:rsid w:val="373FCACE"/>
    <w:rsid w:val="377D66D4"/>
    <w:rsid w:val="379BF2FB"/>
    <w:rsid w:val="37D174BD"/>
    <w:rsid w:val="37D562D5"/>
    <w:rsid w:val="37DD0F1D"/>
    <w:rsid w:val="37F6C565"/>
    <w:rsid w:val="37FF3149"/>
    <w:rsid w:val="37FFE003"/>
    <w:rsid w:val="39DF1380"/>
    <w:rsid w:val="39FFDBFC"/>
    <w:rsid w:val="3A7F57C3"/>
    <w:rsid w:val="3B3F7C43"/>
    <w:rsid w:val="3B6B0E60"/>
    <w:rsid w:val="3BD1F3A4"/>
    <w:rsid w:val="3BDCE54E"/>
    <w:rsid w:val="3BDFC832"/>
    <w:rsid w:val="3BE75819"/>
    <w:rsid w:val="3BEBF81B"/>
    <w:rsid w:val="3BF339F1"/>
    <w:rsid w:val="3CD1C942"/>
    <w:rsid w:val="3DA53BDE"/>
    <w:rsid w:val="3DBE500B"/>
    <w:rsid w:val="3DDFBFF9"/>
    <w:rsid w:val="3DF0B50A"/>
    <w:rsid w:val="3DFEA0E7"/>
    <w:rsid w:val="3E5A76F9"/>
    <w:rsid w:val="3E73421E"/>
    <w:rsid w:val="3EBF0638"/>
    <w:rsid w:val="3EEE2F3A"/>
    <w:rsid w:val="3EF94579"/>
    <w:rsid w:val="3F3F6FD8"/>
    <w:rsid w:val="3F5D71DC"/>
    <w:rsid w:val="3F5F3680"/>
    <w:rsid w:val="3F6DB555"/>
    <w:rsid w:val="3F7FEFFB"/>
    <w:rsid w:val="3F9651F7"/>
    <w:rsid w:val="3FB9D383"/>
    <w:rsid w:val="3FBDA6E8"/>
    <w:rsid w:val="3FCB1139"/>
    <w:rsid w:val="3FD74F14"/>
    <w:rsid w:val="3FDB7297"/>
    <w:rsid w:val="3FF3E878"/>
    <w:rsid w:val="3FF7139E"/>
    <w:rsid w:val="3FFB2A69"/>
    <w:rsid w:val="3FFBB330"/>
    <w:rsid w:val="3FFCC8E1"/>
    <w:rsid w:val="3FFD09D6"/>
    <w:rsid w:val="3FFEA691"/>
    <w:rsid w:val="3FFF37AD"/>
    <w:rsid w:val="3FFF415E"/>
    <w:rsid w:val="468876F9"/>
    <w:rsid w:val="46B99302"/>
    <w:rsid w:val="46DF8F5A"/>
    <w:rsid w:val="46FDE8B3"/>
    <w:rsid w:val="472B08C0"/>
    <w:rsid w:val="47DFD934"/>
    <w:rsid w:val="4AB17C29"/>
    <w:rsid w:val="4B1E4B4A"/>
    <w:rsid w:val="4B5E9A81"/>
    <w:rsid w:val="4B9F35A6"/>
    <w:rsid w:val="4D7F9CD4"/>
    <w:rsid w:val="4DDA11A5"/>
    <w:rsid w:val="4DF9983C"/>
    <w:rsid w:val="4E5C023B"/>
    <w:rsid w:val="4F7FBE32"/>
    <w:rsid w:val="4FCF5C63"/>
    <w:rsid w:val="4FDD04B6"/>
    <w:rsid w:val="4FEBCA53"/>
    <w:rsid w:val="4FFDB82F"/>
    <w:rsid w:val="51BFC072"/>
    <w:rsid w:val="52FE41B5"/>
    <w:rsid w:val="52FF0590"/>
    <w:rsid w:val="53AB8931"/>
    <w:rsid w:val="54BB56AF"/>
    <w:rsid w:val="55F39314"/>
    <w:rsid w:val="56FFB890"/>
    <w:rsid w:val="575DC5D8"/>
    <w:rsid w:val="577C6439"/>
    <w:rsid w:val="577F6052"/>
    <w:rsid w:val="57AEAA73"/>
    <w:rsid w:val="57CF68F2"/>
    <w:rsid w:val="57EF241E"/>
    <w:rsid w:val="57F987D5"/>
    <w:rsid w:val="57FCC8AD"/>
    <w:rsid w:val="59AB59EC"/>
    <w:rsid w:val="59BF2BBC"/>
    <w:rsid w:val="5A5D9777"/>
    <w:rsid w:val="5AAFFD45"/>
    <w:rsid w:val="5AEF58FE"/>
    <w:rsid w:val="5AFD1D8F"/>
    <w:rsid w:val="5B47CFA4"/>
    <w:rsid w:val="5B5B1F96"/>
    <w:rsid w:val="5B6F6FBE"/>
    <w:rsid w:val="5BE7636C"/>
    <w:rsid w:val="5BEF419B"/>
    <w:rsid w:val="5BEFBEC6"/>
    <w:rsid w:val="5BF6EB1D"/>
    <w:rsid w:val="5C7D13DD"/>
    <w:rsid w:val="5CFF28DF"/>
    <w:rsid w:val="5D1E1D04"/>
    <w:rsid w:val="5D5EF13A"/>
    <w:rsid w:val="5D6B9B87"/>
    <w:rsid w:val="5DBBB452"/>
    <w:rsid w:val="5DCF633F"/>
    <w:rsid w:val="5DED9555"/>
    <w:rsid w:val="5DFD2FCE"/>
    <w:rsid w:val="5DFE8D9B"/>
    <w:rsid w:val="5DFF2F85"/>
    <w:rsid w:val="5DFFA165"/>
    <w:rsid w:val="5EB28FA9"/>
    <w:rsid w:val="5ECC74A9"/>
    <w:rsid w:val="5EDED73C"/>
    <w:rsid w:val="5EE51782"/>
    <w:rsid w:val="5EF5BEE2"/>
    <w:rsid w:val="5EFD3CCA"/>
    <w:rsid w:val="5EFF4266"/>
    <w:rsid w:val="5F5E27F7"/>
    <w:rsid w:val="5F78BBCE"/>
    <w:rsid w:val="5F7A8EA1"/>
    <w:rsid w:val="5F7FBF86"/>
    <w:rsid w:val="5FA1698F"/>
    <w:rsid w:val="5FBE2F95"/>
    <w:rsid w:val="5FBF7D54"/>
    <w:rsid w:val="5FBFFE4C"/>
    <w:rsid w:val="5FD1FB1C"/>
    <w:rsid w:val="5FDF59FC"/>
    <w:rsid w:val="5FEB2891"/>
    <w:rsid w:val="5FEC8610"/>
    <w:rsid w:val="5FED0D44"/>
    <w:rsid w:val="5FEFE99E"/>
    <w:rsid w:val="5FF4FAEF"/>
    <w:rsid w:val="5FFB1C5E"/>
    <w:rsid w:val="5FFBA6FD"/>
    <w:rsid w:val="5FFDA215"/>
    <w:rsid w:val="5FFF177A"/>
    <w:rsid w:val="5FFF9806"/>
    <w:rsid w:val="63B39146"/>
    <w:rsid w:val="63EBD728"/>
    <w:rsid w:val="65FD4094"/>
    <w:rsid w:val="669F7DAB"/>
    <w:rsid w:val="6723AE4E"/>
    <w:rsid w:val="677FBDCC"/>
    <w:rsid w:val="67D37C1A"/>
    <w:rsid w:val="67DDB79E"/>
    <w:rsid w:val="67DE5480"/>
    <w:rsid w:val="67ED2A70"/>
    <w:rsid w:val="67EF9FD6"/>
    <w:rsid w:val="67F2536D"/>
    <w:rsid w:val="68FF9352"/>
    <w:rsid w:val="697E0AC3"/>
    <w:rsid w:val="69FE09E7"/>
    <w:rsid w:val="6ABFAA4D"/>
    <w:rsid w:val="6B6FD01F"/>
    <w:rsid w:val="6BDE2F4A"/>
    <w:rsid w:val="6BEBD9F5"/>
    <w:rsid w:val="6BEE51DF"/>
    <w:rsid w:val="6BF76EDD"/>
    <w:rsid w:val="6BFB0B65"/>
    <w:rsid w:val="6BFD6DAF"/>
    <w:rsid w:val="6BFE7A46"/>
    <w:rsid w:val="6C7E72FA"/>
    <w:rsid w:val="6CF75461"/>
    <w:rsid w:val="6D1D4B88"/>
    <w:rsid w:val="6D2FF49A"/>
    <w:rsid w:val="6D3FEA40"/>
    <w:rsid w:val="6D7BE370"/>
    <w:rsid w:val="6D81BC72"/>
    <w:rsid w:val="6DB6293C"/>
    <w:rsid w:val="6DBE8FB8"/>
    <w:rsid w:val="6DDD90CB"/>
    <w:rsid w:val="6DEFE15B"/>
    <w:rsid w:val="6DF4E93F"/>
    <w:rsid w:val="6DF75E5B"/>
    <w:rsid w:val="6E6E7164"/>
    <w:rsid w:val="6EAD0FA7"/>
    <w:rsid w:val="6ECFC7F6"/>
    <w:rsid w:val="6EF3B6A3"/>
    <w:rsid w:val="6EF85C3D"/>
    <w:rsid w:val="6F0DB3EE"/>
    <w:rsid w:val="6F3F77E8"/>
    <w:rsid w:val="6F63661A"/>
    <w:rsid w:val="6F67824C"/>
    <w:rsid w:val="6F77E7E4"/>
    <w:rsid w:val="6F8CBA82"/>
    <w:rsid w:val="6F8F4F46"/>
    <w:rsid w:val="6FAE71BD"/>
    <w:rsid w:val="6FB919A1"/>
    <w:rsid w:val="6FC9D7D9"/>
    <w:rsid w:val="6FCA0EA9"/>
    <w:rsid w:val="6FDE52E3"/>
    <w:rsid w:val="6FDFA791"/>
    <w:rsid w:val="6FE213E0"/>
    <w:rsid w:val="6FE431D9"/>
    <w:rsid w:val="6FE9C5A7"/>
    <w:rsid w:val="6FEEB941"/>
    <w:rsid w:val="6FF379B4"/>
    <w:rsid w:val="6FF46698"/>
    <w:rsid w:val="6FFBA490"/>
    <w:rsid w:val="6FFD4905"/>
    <w:rsid w:val="6FFDBDCD"/>
    <w:rsid w:val="6FFEE575"/>
    <w:rsid w:val="719AD1C4"/>
    <w:rsid w:val="71A79703"/>
    <w:rsid w:val="731B96B2"/>
    <w:rsid w:val="732DA8B8"/>
    <w:rsid w:val="7379B94F"/>
    <w:rsid w:val="7391A0C3"/>
    <w:rsid w:val="739F384A"/>
    <w:rsid w:val="73BF9B5A"/>
    <w:rsid w:val="73EE82DE"/>
    <w:rsid w:val="73F70BBF"/>
    <w:rsid w:val="73F7A068"/>
    <w:rsid w:val="73FB1797"/>
    <w:rsid w:val="73FB428F"/>
    <w:rsid w:val="73FF4C21"/>
    <w:rsid w:val="73FFC1F2"/>
    <w:rsid w:val="74DAC774"/>
    <w:rsid w:val="74FF2D6A"/>
    <w:rsid w:val="757FE31E"/>
    <w:rsid w:val="75B1EEF2"/>
    <w:rsid w:val="75DE61BE"/>
    <w:rsid w:val="75FF319B"/>
    <w:rsid w:val="75FF8B9C"/>
    <w:rsid w:val="765F1182"/>
    <w:rsid w:val="76ED7B59"/>
    <w:rsid w:val="76F66D13"/>
    <w:rsid w:val="76F7A9DC"/>
    <w:rsid w:val="77759D81"/>
    <w:rsid w:val="777F349B"/>
    <w:rsid w:val="7784FB2F"/>
    <w:rsid w:val="77BBAB9F"/>
    <w:rsid w:val="77BD6D38"/>
    <w:rsid w:val="77BDA232"/>
    <w:rsid w:val="77BEB1C9"/>
    <w:rsid w:val="77BF5FB6"/>
    <w:rsid w:val="77D7A590"/>
    <w:rsid w:val="77D7C45D"/>
    <w:rsid w:val="77D9F890"/>
    <w:rsid w:val="77DD9932"/>
    <w:rsid w:val="77DE5E2B"/>
    <w:rsid w:val="77E5A0BC"/>
    <w:rsid w:val="77ED6B3C"/>
    <w:rsid w:val="77F4C0E5"/>
    <w:rsid w:val="77F57340"/>
    <w:rsid w:val="77F85274"/>
    <w:rsid w:val="77FB1978"/>
    <w:rsid w:val="77FE54A8"/>
    <w:rsid w:val="786D4D89"/>
    <w:rsid w:val="7893D8D4"/>
    <w:rsid w:val="78D737BE"/>
    <w:rsid w:val="78FF637C"/>
    <w:rsid w:val="791F6B45"/>
    <w:rsid w:val="79CF083F"/>
    <w:rsid w:val="79DD179D"/>
    <w:rsid w:val="79EF0BF4"/>
    <w:rsid w:val="7A67E089"/>
    <w:rsid w:val="7A730941"/>
    <w:rsid w:val="7A77CE39"/>
    <w:rsid w:val="7A7826E9"/>
    <w:rsid w:val="7AE6CA44"/>
    <w:rsid w:val="7AF561BC"/>
    <w:rsid w:val="7AFA1738"/>
    <w:rsid w:val="7B577818"/>
    <w:rsid w:val="7B5F7C09"/>
    <w:rsid w:val="7B63D1D1"/>
    <w:rsid w:val="7B6EAE75"/>
    <w:rsid w:val="7B754554"/>
    <w:rsid w:val="7B8F4B96"/>
    <w:rsid w:val="7B8F6C90"/>
    <w:rsid w:val="7BAFAAF2"/>
    <w:rsid w:val="7BB3278B"/>
    <w:rsid w:val="7BBB781A"/>
    <w:rsid w:val="7BBBDA07"/>
    <w:rsid w:val="7BBD2ACF"/>
    <w:rsid w:val="7BBD4313"/>
    <w:rsid w:val="7BBE2997"/>
    <w:rsid w:val="7BBE4882"/>
    <w:rsid w:val="7BBF4126"/>
    <w:rsid w:val="7BD6729C"/>
    <w:rsid w:val="7BDAFAE3"/>
    <w:rsid w:val="7BDF2CC9"/>
    <w:rsid w:val="7BDF49D1"/>
    <w:rsid w:val="7BE541BF"/>
    <w:rsid w:val="7BE74DCC"/>
    <w:rsid w:val="7BF3B4C7"/>
    <w:rsid w:val="7BF3F292"/>
    <w:rsid w:val="7BF72D73"/>
    <w:rsid w:val="7BFB3F76"/>
    <w:rsid w:val="7BFDDFAC"/>
    <w:rsid w:val="7BFE3535"/>
    <w:rsid w:val="7BFFE666"/>
    <w:rsid w:val="7BFFE85C"/>
    <w:rsid w:val="7CF7A79F"/>
    <w:rsid w:val="7CFBEA0D"/>
    <w:rsid w:val="7D9B622E"/>
    <w:rsid w:val="7DAFAC40"/>
    <w:rsid w:val="7DB6FFF8"/>
    <w:rsid w:val="7DBBE2DC"/>
    <w:rsid w:val="7DCF5062"/>
    <w:rsid w:val="7DCFB592"/>
    <w:rsid w:val="7DD32A7D"/>
    <w:rsid w:val="7DDAD643"/>
    <w:rsid w:val="7DDD88F2"/>
    <w:rsid w:val="7DDDA1C9"/>
    <w:rsid w:val="7DE196F3"/>
    <w:rsid w:val="7DE5815E"/>
    <w:rsid w:val="7DE844C7"/>
    <w:rsid w:val="7DF9B27F"/>
    <w:rsid w:val="7DFFE8DE"/>
    <w:rsid w:val="7E17826A"/>
    <w:rsid w:val="7E4E1422"/>
    <w:rsid w:val="7E9A855D"/>
    <w:rsid w:val="7E9F2A97"/>
    <w:rsid w:val="7EA3E190"/>
    <w:rsid w:val="7EAE9A64"/>
    <w:rsid w:val="7EBFFD9C"/>
    <w:rsid w:val="7ECFE3AA"/>
    <w:rsid w:val="7ED2B31D"/>
    <w:rsid w:val="7ED5DFB5"/>
    <w:rsid w:val="7EDC0ECB"/>
    <w:rsid w:val="7EE10936"/>
    <w:rsid w:val="7EE70314"/>
    <w:rsid w:val="7EEB8C25"/>
    <w:rsid w:val="7EEF5D3B"/>
    <w:rsid w:val="7EEFBDEC"/>
    <w:rsid w:val="7EF34516"/>
    <w:rsid w:val="7EFACAB4"/>
    <w:rsid w:val="7EFB22CB"/>
    <w:rsid w:val="7EFB3C60"/>
    <w:rsid w:val="7EFC21F4"/>
    <w:rsid w:val="7EFC4895"/>
    <w:rsid w:val="7EFD070E"/>
    <w:rsid w:val="7EFE330C"/>
    <w:rsid w:val="7EFF0B39"/>
    <w:rsid w:val="7F37ED25"/>
    <w:rsid w:val="7F3E6689"/>
    <w:rsid w:val="7F3EA98C"/>
    <w:rsid w:val="7F3F5CDF"/>
    <w:rsid w:val="7F57A7EF"/>
    <w:rsid w:val="7F5D2D1E"/>
    <w:rsid w:val="7F5E6962"/>
    <w:rsid w:val="7F5FDBCA"/>
    <w:rsid w:val="7F6FD8D6"/>
    <w:rsid w:val="7F7C98A1"/>
    <w:rsid w:val="7F7EF18C"/>
    <w:rsid w:val="7F7F09B6"/>
    <w:rsid w:val="7F7F33DE"/>
    <w:rsid w:val="7F7FEB27"/>
    <w:rsid w:val="7F7FF6C1"/>
    <w:rsid w:val="7F97D41C"/>
    <w:rsid w:val="7F9AF39D"/>
    <w:rsid w:val="7F9BA53B"/>
    <w:rsid w:val="7F9F1947"/>
    <w:rsid w:val="7FB3AC8B"/>
    <w:rsid w:val="7FB5416A"/>
    <w:rsid w:val="7FBF45A0"/>
    <w:rsid w:val="7FBFAFD7"/>
    <w:rsid w:val="7FD65D3D"/>
    <w:rsid w:val="7FD96226"/>
    <w:rsid w:val="7FDABE9F"/>
    <w:rsid w:val="7FDB1E8B"/>
    <w:rsid w:val="7FDC9265"/>
    <w:rsid w:val="7FDD4FA4"/>
    <w:rsid w:val="7FDDBADD"/>
    <w:rsid w:val="7FDDC291"/>
    <w:rsid w:val="7FDE48D0"/>
    <w:rsid w:val="7FDF4BAE"/>
    <w:rsid w:val="7FDFDF3E"/>
    <w:rsid w:val="7FE716EE"/>
    <w:rsid w:val="7FE75DA0"/>
    <w:rsid w:val="7FEBD096"/>
    <w:rsid w:val="7FED3044"/>
    <w:rsid w:val="7FEE227E"/>
    <w:rsid w:val="7FEF4907"/>
    <w:rsid w:val="7FEF645C"/>
    <w:rsid w:val="7FEFDF3B"/>
    <w:rsid w:val="7FF2357D"/>
    <w:rsid w:val="7FF2DA86"/>
    <w:rsid w:val="7FF660BB"/>
    <w:rsid w:val="7FF73445"/>
    <w:rsid w:val="7FF76A1B"/>
    <w:rsid w:val="7FFC862B"/>
    <w:rsid w:val="7FFD6090"/>
    <w:rsid w:val="7FFF0460"/>
    <w:rsid w:val="7FFF2DC8"/>
    <w:rsid w:val="7FFF43B9"/>
    <w:rsid w:val="7FFF5D10"/>
    <w:rsid w:val="7FFF9EAB"/>
    <w:rsid w:val="7FFFBE06"/>
    <w:rsid w:val="7FFFE08C"/>
    <w:rsid w:val="7FFFECFD"/>
    <w:rsid w:val="81DBD845"/>
    <w:rsid w:val="85FF5A59"/>
    <w:rsid w:val="86EA683E"/>
    <w:rsid w:val="87DCCA7A"/>
    <w:rsid w:val="8D8733CE"/>
    <w:rsid w:val="8EBBF7D2"/>
    <w:rsid w:val="8ED7F828"/>
    <w:rsid w:val="8EFFC08C"/>
    <w:rsid w:val="8F7FC471"/>
    <w:rsid w:val="8FE71C55"/>
    <w:rsid w:val="8FFFCA8A"/>
    <w:rsid w:val="8FFFEF2A"/>
    <w:rsid w:val="97ED5FD5"/>
    <w:rsid w:val="97EEC2C6"/>
    <w:rsid w:val="98B8619F"/>
    <w:rsid w:val="9B7F2390"/>
    <w:rsid w:val="9BEA72E8"/>
    <w:rsid w:val="9BFC184C"/>
    <w:rsid w:val="9BFD727B"/>
    <w:rsid w:val="9BFF7277"/>
    <w:rsid w:val="9BFF74CA"/>
    <w:rsid w:val="9D2FC968"/>
    <w:rsid w:val="9DF49D05"/>
    <w:rsid w:val="9EAF9E43"/>
    <w:rsid w:val="9EC7F5FF"/>
    <w:rsid w:val="9EF33F23"/>
    <w:rsid w:val="9F2F8F94"/>
    <w:rsid w:val="9F573B3C"/>
    <w:rsid w:val="9F750D6F"/>
    <w:rsid w:val="9FBE1448"/>
    <w:rsid w:val="A3CE224C"/>
    <w:rsid w:val="A3FBF036"/>
    <w:rsid w:val="A3FF23EA"/>
    <w:rsid w:val="A4FF33D6"/>
    <w:rsid w:val="A63B8597"/>
    <w:rsid w:val="A7BE9BC7"/>
    <w:rsid w:val="A7EF374C"/>
    <w:rsid w:val="A9A11AB4"/>
    <w:rsid w:val="AAA463CE"/>
    <w:rsid w:val="AAF562E3"/>
    <w:rsid w:val="AB2FB8A5"/>
    <w:rsid w:val="ABE56938"/>
    <w:rsid w:val="ABEF2572"/>
    <w:rsid w:val="AD3F9797"/>
    <w:rsid w:val="AD7FF7B9"/>
    <w:rsid w:val="ADFD1399"/>
    <w:rsid w:val="AE7DD091"/>
    <w:rsid w:val="AEBF8515"/>
    <w:rsid w:val="AEF0E257"/>
    <w:rsid w:val="AEFBC5A0"/>
    <w:rsid w:val="AF7DF50C"/>
    <w:rsid w:val="AFDED613"/>
    <w:rsid w:val="AFFBF0B5"/>
    <w:rsid w:val="B2CC6EF7"/>
    <w:rsid w:val="B2FBBDD5"/>
    <w:rsid w:val="B36B942E"/>
    <w:rsid w:val="B5BD9D8A"/>
    <w:rsid w:val="B6B78DD4"/>
    <w:rsid w:val="B77FFDF7"/>
    <w:rsid w:val="B7BFA697"/>
    <w:rsid w:val="B7EF646F"/>
    <w:rsid w:val="B7EFB90C"/>
    <w:rsid w:val="B7FD381A"/>
    <w:rsid w:val="B7FDD5A1"/>
    <w:rsid w:val="B8BF1C5F"/>
    <w:rsid w:val="B8DC99FB"/>
    <w:rsid w:val="B97F3806"/>
    <w:rsid w:val="BB5F76DF"/>
    <w:rsid w:val="BBBBC848"/>
    <w:rsid w:val="BBBD5C34"/>
    <w:rsid w:val="BBBFF3C1"/>
    <w:rsid w:val="BBF52EF1"/>
    <w:rsid w:val="BCAF19A1"/>
    <w:rsid w:val="BCD5AAFC"/>
    <w:rsid w:val="BCEB89E0"/>
    <w:rsid w:val="BD6E9664"/>
    <w:rsid w:val="BD977604"/>
    <w:rsid w:val="BDFFA6F8"/>
    <w:rsid w:val="BE7FD249"/>
    <w:rsid w:val="BE8D5424"/>
    <w:rsid w:val="BED61A4B"/>
    <w:rsid w:val="BEEFEEBD"/>
    <w:rsid w:val="BEF125E7"/>
    <w:rsid w:val="BEFDA6CB"/>
    <w:rsid w:val="BEFF0F03"/>
    <w:rsid w:val="BF87B388"/>
    <w:rsid w:val="BF9B644B"/>
    <w:rsid w:val="BFAFE298"/>
    <w:rsid w:val="BFB3AC53"/>
    <w:rsid w:val="BFB7C781"/>
    <w:rsid w:val="BFBFA87E"/>
    <w:rsid w:val="BFCD5BA7"/>
    <w:rsid w:val="BFDB18D1"/>
    <w:rsid w:val="BFF721B7"/>
    <w:rsid w:val="BFF732A9"/>
    <w:rsid w:val="BFFB4681"/>
    <w:rsid w:val="BFFF7195"/>
    <w:rsid w:val="C2AF5B8B"/>
    <w:rsid w:val="C3E2D917"/>
    <w:rsid w:val="C5778D8E"/>
    <w:rsid w:val="C5E79980"/>
    <w:rsid w:val="C6C22ABC"/>
    <w:rsid w:val="C6E53EED"/>
    <w:rsid w:val="C6FE755C"/>
    <w:rsid w:val="C75F623A"/>
    <w:rsid w:val="C7D5692E"/>
    <w:rsid w:val="C7FBA825"/>
    <w:rsid w:val="C9768C86"/>
    <w:rsid w:val="C9EA45AB"/>
    <w:rsid w:val="C9FDEC3B"/>
    <w:rsid w:val="C9FF3D95"/>
    <w:rsid w:val="CCFEB094"/>
    <w:rsid w:val="CD2E0076"/>
    <w:rsid w:val="CD732DB5"/>
    <w:rsid w:val="CD7FEFF8"/>
    <w:rsid w:val="CDB3031B"/>
    <w:rsid w:val="CDCD720A"/>
    <w:rsid w:val="CDFB3ABC"/>
    <w:rsid w:val="CDFF3B72"/>
    <w:rsid w:val="CE7D9F09"/>
    <w:rsid w:val="CF753691"/>
    <w:rsid w:val="CF8E5B16"/>
    <w:rsid w:val="CFB33F92"/>
    <w:rsid w:val="CFB74A80"/>
    <w:rsid w:val="CFBDFED0"/>
    <w:rsid w:val="D17CB1F5"/>
    <w:rsid w:val="D1F91CAE"/>
    <w:rsid w:val="D27F19BE"/>
    <w:rsid w:val="D27FC622"/>
    <w:rsid w:val="D3EEEFB7"/>
    <w:rsid w:val="D4D88E80"/>
    <w:rsid w:val="D5ED7711"/>
    <w:rsid w:val="D6B72AA5"/>
    <w:rsid w:val="D6BF0D60"/>
    <w:rsid w:val="D6FE8455"/>
    <w:rsid w:val="D73EA98F"/>
    <w:rsid w:val="D74D8DC1"/>
    <w:rsid w:val="D74F0D75"/>
    <w:rsid w:val="D79F37C8"/>
    <w:rsid w:val="D7AEE272"/>
    <w:rsid w:val="D7EDAB3B"/>
    <w:rsid w:val="D7F76D50"/>
    <w:rsid w:val="D7FB3369"/>
    <w:rsid w:val="D7FCBFB3"/>
    <w:rsid w:val="D8EF4BB4"/>
    <w:rsid w:val="DAB3616F"/>
    <w:rsid w:val="DABB9555"/>
    <w:rsid w:val="DAFFF95E"/>
    <w:rsid w:val="DB64B7BB"/>
    <w:rsid w:val="DB770836"/>
    <w:rsid w:val="DB7D80E8"/>
    <w:rsid w:val="DBBB1DAA"/>
    <w:rsid w:val="DBDF26D4"/>
    <w:rsid w:val="DBF75ADB"/>
    <w:rsid w:val="DBF8660F"/>
    <w:rsid w:val="DBFB07BC"/>
    <w:rsid w:val="DBFBD951"/>
    <w:rsid w:val="DC755FB0"/>
    <w:rsid w:val="DC778A64"/>
    <w:rsid w:val="DCA9C0CB"/>
    <w:rsid w:val="DCB749A5"/>
    <w:rsid w:val="DCEF5120"/>
    <w:rsid w:val="DD7B5B21"/>
    <w:rsid w:val="DDE769DD"/>
    <w:rsid w:val="DDEFB419"/>
    <w:rsid w:val="DDF97B7F"/>
    <w:rsid w:val="DDFD8E7B"/>
    <w:rsid w:val="DDFFDED9"/>
    <w:rsid w:val="DE6CE833"/>
    <w:rsid w:val="DE6FFAFB"/>
    <w:rsid w:val="DE7E589A"/>
    <w:rsid w:val="DEDF7E42"/>
    <w:rsid w:val="DEE1287D"/>
    <w:rsid w:val="DEE71CDB"/>
    <w:rsid w:val="DEE79B9A"/>
    <w:rsid w:val="DEECB389"/>
    <w:rsid w:val="DEEE0813"/>
    <w:rsid w:val="DF17434F"/>
    <w:rsid w:val="DF1F9DD4"/>
    <w:rsid w:val="DF5A9A28"/>
    <w:rsid w:val="DF6C1B35"/>
    <w:rsid w:val="DF7F84F0"/>
    <w:rsid w:val="DF9A3F1A"/>
    <w:rsid w:val="DF9FFA29"/>
    <w:rsid w:val="DFAB15AB"/>
    <w:rsid w:val="DFBEDE1D"/>
    <w:rsid w:val="DFBF3B4F"/>
    <w:rsid w:val="DFCFAA22"/>
    <w:rsid w:val="DFD844A3"/>
    <w:rsid w:val="DFE59E46"/>
    <w:rsid w:val="DFED2D8E"/>
    <w:rsid w:val="DFED5194"/>
    <w:rsid w:val="DFFB8A1C"/>
    <w:rsid w:val="DFFF133D"/>
    <w:rsid w:val="DFFFF474"/>
    <w:rsid w:val="E2D72B9B"/>
    <w:rsid w:val="E37FE18F"/>
    <w:rsid w:val="E3FEEA26"/>
    <w:rsid w:val="E3FFC21F"/>
    <w:rsid w:val="E5AFE266"/>
    <w:rsid w:val="E5CB52B4"/>
    <w:rsid w:val="E5DFEF5C"/>
    <w:rsid w:val="E5FEB139"/>
    <w:rsid w:val="E5FF922D"/>
    <w:rsid w:val="E6CF9C25"/>
    <w:rsid w:val="E7BE5E0C"/>
    <w:rsid w:val="E7D7BCE4"/>
    <w:rsid w:val="E7F79034"/>
    <w:rsid w:val="E7FD6C16"/>
    <w:rsid w:val="E7FF5225"/>
    <w:rsid w:val="E8B320F1"/>
    <w:rsid w:val="E8CF13E0"/>
    <w:rsid w:val="E93DC5BE"/>
    <w:rsid w:val="E9AF1F72"/>
    <w:rsid w:val="E9EE263C"/>
    <w:rsid w:val="E9F1A76D"/>
    <w:rsid w:val="EA77F5F9"/>
    <w:rsid w:val="EAFF1690"/>
    <w:rsid w:val="EBE723E3"/>
    <w:rsid w:val="EBF658B3"/>
    <w:rsid w:val="EC9D444F"/>
    <w:rsid w:val="ECD7BCF7"/>
    <w:rsid w:val="ECF64D82"/>
    <w:rsid w:val="ECFEF2C6"/>
    <w:rsid w:val="ECFF1747"/>
    <w:rsid w:val="EDBAFDFC"/>
    <w:rsid w:val="EDD7478D"/>
    <w:rsid w:val="EDF66B62"/>
    <w:rsid w:val="EDFB1842"/>
    <w:rsid w:val="EDFFF0FF"/>
    <w:rsid w:val="EEEF10A2"/>
    <w:rsid w:val="EF754D1A"/>
    <w:rsid w:val="EF767C8B"/>
    <w:rsid w:val="EF77222B"/>
    <w:rsid w:val="EF7D61B0"/>
    <w:rsid w:val="EF7F3639"/>
    <w:rsid w:val="EFA9A4B5"/>
    <w:rsid w:val="EFAF53D6"/>
    <w:rsid w:val="EFBF1237"/>
    <w:rsid w:val="EFCF7438"/>
    <w:rsid w:val="EFEE9FA0"/>
    <w:rsid w:val="EFF38C76"/>
    <w:rsid w:val="EFF56BAC"/>
    <w:rsid w:val="EFF7868E"/>
    <w:rsid w:val="EFF8945B"/>
    <w:rsid w:val="EFFDA0B3"/>
    <w:rsid w:val="EFFDA42F"/>
    <w:rsid w:val="EFFE4EA1"/>
    <w:rsid w:val="F146D527"/>
    <w:rsid w:val="F165F89C"/>
    <w:rsid w:val="F2F92E95"/>
    <w:rsid w:val="F32FD01C"/>
    <w:rsid w:val="F34FFDFE"/>
    <w:rsid w:val="F3597F4D"/>
    <w:rsid w:val="F37E0437"/>
    <w:rsid w:val="F37F315A"/>
    <w:rsid w:val="F3CD614B"/>
    <w:rsid w:val="F3FBDB76"/>
    <w:rsid w:val="F3FDA24C"/>
    <w:rsid w:val="F3FF86A0"/>
    <w:rsid w:val="F3FFC4DD"/>
    <w:rsid w:val="F4EE4DE0"/>
    <w:rsid w:val="F5DFF1F0"/>
    <w:rsid w:val="F5E377AB"/>
    <w:rsid w:val="F5E7BB1E"/>
    <w:rsid w:val="F5FD935A"/>
    <w:rsid w:val="F63FF335"/>
    <w:rsid w:val="F697F9F2"/>
    <w:rsid w:val="F6DDAAC3"/>
    <w:rsid w:val="F6DF7C0E"/>
    <w:rsid w:val="F6F6BB3C"/>
    <w:rsid w:val="F6F7EA07"/>
    <w:rsid w:val="F6FB40D7"/>
    <w:rsid w:val="F6FEB5B1"/>
    <w:rsid w:val="F747E4BC"/>
    <w:rsid w:val="F79D316F"/>
    <w:rsid w:val="F79F96AA"/>
    <w:rsid w:val="F7AEBE52"/>
    <w:rsid w:val="F7D3FFA1"/>
    <w:rsid w:val="F7EAC418"/>
    <w:rsid w:val="F7FACC51"/>
    <w:rsid w:val="F7FF0CE5"/>
    <w:rsid w:val="F7FFBBC2"/>
    <w:rsid w:val="F7FFBE71"/>
    <w:rsid w:val="F7FFE9B0"/>
    <w:rsid w:val="F87386BC"/>
    <w:rsid w:val="F9BDCC43"/>
    <w:rsid w:val="F9BE2E5E"/>
    <w:rsid w:val="F9FF646F"/>
    <w:rsid w:val="FA6703BA"/>
    <w:rsid w:val="FA7D2890"/>
    <w:rsid w:val="FA7FA509"/>
    <w:rsid w:val="FABF7758"/>
    <w:rsid w:val="FABFAD09"/>
    <w:rsid w:val="FADBE693"/>
    <w:rsid w:val="FADEA101"/>
    <w:rsid w:val="FAEBD66D"/>
    <w:rsid w:val="FAFE29E4"/>
    <w:rsid w:val="FAFFE592"/>
    <w:rsid w:val="FB1B1A14"/>
    <w:rsid w:val="FB3B80B7"/>
    <w:rsid w:val="FB3BE069"/>
    <w:rsid w:val="FB5DAEC0"/>
    <w:rsid w:val="FB63A343"/>
    <w:rsid w:val="FB6F0697"/>
    <w:rsid w:val="FB6F5510"/>
    <w:rsid w:val="FB6F56C1"/>
    <w:rsid w:val="FB713E9B"/>
    <w:rsid w:val="FB756CFD"/>
    <w:rsid w:val="FB7E2BCB"/>
    <w:rsid w:val="FB7FDCAB"/>
    <w:rsid w:val="FB9F72BA"/>
    <w:rsid w:val="FBBA4CB4"/>
    <w:rsid w:val="FBBA842D"/>
    <w:rsid w:val="FBBB7042"/>
    <w:rsid w:val="FBBF14D6"/>
    <w:rsid w:val="FBBF3BE8"/>
    <w:rsid w:val="FBD3E290"/>
    <w:rsid w:val="FBDF52CD"/>
    <w:rsid w:val="FBE790D6"/>
    <w:rsid w:val="FBEFD052"/>
    <w:rsid w:val="FBF71937"/>
    <w:rsid w:val="FBFF94E1"/>
    <w:rsid w:val="FBFFA234"/>
    <w:rsid w:val="FBFFDC66"/>
    <w:rsid w:val="FC975110"/>
    <w:rsid w:val="FCBB9D28"/>
    <w:rsid w:val="FCDFC479"/>
    <w:rsid w:val="FCF50C59"/>
    <w:rsid w:val="FCFDF1AC"/>
    <w:rsid w:val="FD3FA41B"/>
    <w:rsid w:val="FD3FA866"/>
    <w:rsid w:val="FD59D93A"/>
    <w:rsid w:val="FD7F6FB1"/>
    <w:rsid w:val="FD7FC97F"/>
    <w:rsid w:val="FD7FCF11"/>
    <w:rsid w:val="FD9DB7B9"/>
    <w:rsid w:val="FDBD27AC"/>
    <w:rsid w:val="FDD71CC3"/>
    <w:rsid w:val="FDDA559D"/>
    <w:rsid w:val="FDDD65B9"/>
    <w:rsid w:val="FDEF9F72"/>
    <w:rsid w:val="FDFA8716"/>
    <w:rsid w:val="FDFF5B1C"/>
    <w:rsid w:val="FDFF6982"/>
    <w:rsid w:val="FDFFC1C7"/>
    <w:rsid w:val="FDFFCF26"/>
    <w:rsid w:val="FE3BA577"/>
    <w:rsid w:val="FE4D8282"/>
    <w:rsid w:val="FE5692B6"/>
    <w:rsid w:val="FE7EB9B3"/>
    <w:rsid w:val="FE7FF244"/>
    <w:rsid w:val="FE9FED17"/>
    <w:rsid w:val="FEA59EA7"/>
    <w:rsid w:val="FEAE2F98"/>
    <w:rsid w:val="FEAE885B"/>
    <w:rsid w:val="FEB7E147"/>
    <w:rsid w:val="FEB7F3A9"/>
    <w:rsid w:val="FEBB9D9D"/>
    <w:rsid w:val="FEBF1F37"/>
    <w:rsid w:val="FEE5D91E"/>
    <w:rsid w:val="FEEEEEAB"/>
    <w:rsid w:val="FEF61965"/>
    <w:rsid w:val="FEF65B18"/>
    <w:rsid w:val="FEF7FBAA"/>
    <w:rsid w:val="FEFBE96A"/>
    <w:rsid w:val="FEFFAE20"/>
    <w:rsid w:val="FEFFE0F4"/>
    <w:rsid w:val="FEFFF7CE"/>
    <w:rsid w:val="FF2EF33C"/>
    <w:rsid w:val="FF3FABC5"/>
    <w:rsid w:val="FF4D67C6"/>
    <w:rsid w:val="FF69604D"/>
    <w:rsid w:val="FF6E6935"/>
    <w:rsid w:val="FF73A3C8"/>
    <w:rsid w:val="FF7764DB"/>
    <w:rsid w:val="FF7BB188"/>
    <w:rsid w:val="FF7E0850"/>
    <w:rsid w:val="FF7F70F5"/>
    <w:rsid w:val="FF8C0EC7"/>
    <w:rsid w:val="FF8F117F"/>
    <w:rsid w:val="FF9BE687"/>
    <w:rsid w:val="FFA4C840"/>
    <w:rsid w:val="FFA72EAC"/>
    <w:rsid w:val="FFBC5018"/>
    <w:rsid w:val="FFBC82AF"/>
    <w:rsid w:val="FFBCE2D4"/>
    <w:rsid w:val="FFBEA8A6"/>
    <w:rsid w:val="FFBF4A35"/>
    <w:rsid w:val="FFBF85ED"/>
    <w:rsid w:val="FFBFFBF7"/>
    <w:rsid w:val="FFC217E5"/>
    <w:rsid w:val="FFC74672"/>
    <w:rsid w:val="FFCD7E85"/>
    <w:rsid w:val="FFCDE1DA"/>
    <w:rsid w:val="FFCF93D7"/>
    <w:rsid w:val="FFDEE1A1"/>
    <w:rsid w:val="FFE79A6A"/>
    <w:rsid w:val="FFE7C418"/>
    <w:rsid w:val="FFECC722"/>
    <w:rsid w:val="FFEDB565"/>
    <w:rsid w:val="FFEF8E98"/>
    <w:rsid w:val="FFEFD3FD"/>
    <w:rsid w:val="FFF11DEA"/>
    <w:rsid w:val="FFF300D4"/>
    <w:rsid w:val="FFF51E97"/>
    <w:rsid w:val="FFF58B7B"/>
    <w:rsid w:val="FFF64F03"/>
    <w:rsid w:val="FFF78684"/>
    <w:rsid w:val="FFF9AECB"/>
    <w:rsid w:val="FFFB5B03"/>
    <w:rsid w:val="FFFB6589"/>
    <w:rsid w:val="FFFD3BA5"/>
    <w:rsid w:val="FFFD5E8D"/>
    <w:rsid w:val="FFFD7C69"/>
    <w:rsid w:val="FFFD8028"/>
    <w:rsid w:val="FFFE4D42"/>
    <w:rsid w:val="FFFE9A60"/>
    <w:rsid w:val="FFFEC827"/>
    <w:rsid w:val="FFFF7B53"/>
    <w:rsid w:val="FFFFB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line="353" w:lineRule="auto"/>
      <w:ind w:firstLine="576" w:firstLineChars="200"/>
    </w:pPr>
    <w:rPr>
      <w:rFonts w:ascii="Calibri" w:hAnsi="Calibri" w:eastAsia="仿宋_GB2312" w:cs="Times New Roman"/>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2023-04-22T19:38:00Z</dcterms:created>
  <dc:creator>Administrator</dc:creator>
  <cp:lastModifiedBy>赵燕燕</cp:lastModifiedBy>
  <cp:lastPrinted>2023-05-12T18:18:00Z</cp:lastPrinted>
  <dcterms:modified xsi:type="dcterms:W3CDTF">2023-05-19T11:18:10Z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49C96D7385AB408FA6511440DB8684CF</vt:lpwstr>
  </property>
</Properties>
</file>