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jc w:val="both"/>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p>
    <w:p>
      <w:pPr>
        <w:keepNext w:val="0"/>
        <w:keepLines w:val="0"/>
        <w:pageBreakBefore w:val="0"/>
        <w:widowControl w:val="0"/>
        <w:kinsoku/>
        <w:wordWrap/>
        <w:overflowPunct/>
        <w:topLinePunct/>
        <w:autoSpaceDE/>
        <w:autoSpaceDN/>
        <w:bidi w:val="0"/>
        <w:adjustRightInd/>
        <w:snapToGrid/>
        <w:spacing w:before="157" w:beforeLines="50"/>
        <w:jc w:val="center"/>
        <w:textAlignment w:val="auto"/>
        <w:rPr>
          <w:rFonts w:hint="eastAsia" w:ascii="宋体" w:hAnsi="宋体" w:eastAsia="宋体" w:cs="宋体"/>
          <w:b/>
          <w:bCs/>
          <w:color w:val="000000"/>
          <w:sz w:val="44"/>
          <w:szCs w:val="44"/>
          <w:lang w:eastAsia="zh-CN"/>
        </w:rPr>
      </w:pPr>
      <w:r>
        <w:rPr>
          <w:rFonts w:hint="eastAsia" w:ascii="宋体" w:hAnsi="宋体" w:cs="宋体"/>
          <w:b/>
          <w:bCs/>
          <w:color w:val="000000"/>
          <w:sz w:val="44"/>
          <w:szCs w:val="44"/>
        </w:rPr>
        <w:t>《深圳市建筑信息模型化技术人才职称评价实施方案</w:t>
      </w:r>
      <w:r>
        <w:rPr>
          <w:rFonts w:hint="eastAsia" w:ascii="宋体" w:hAnsi="宋体" w:cs="宋体"/>
          <w:b/>
          <w:bCs/>
          <w:color w:val="000000"/>
          <w:sz w:val="44"/>
          <w:szCs w:val="44"/>
          <w:lang w:eastAsia="zh-CN"/>
        </w:rPr>
        <w:t>（征求意见稿）</w:t>
      </w:r>
      <w:r>
        <w:rPr>
          <w:rFonts w:hint="eastAsia" w:ascii="宋体" w:hAnsi="宋体" w:cs="宋体"/>
          <w:b/>
          <w:bCs/>
          <w:color w:val="000000"/>
          <w:sz w:val="44"/>
          <w:szCs w:val="44"/>
        </w:rPr>
        <w:t>》</w:t>
      </w:r>
    </w:p>
    <w:p>
      <w:pPr>
        <w:topLinePunct/>
        <w:adjustRightInd w:val="0"/>
        <w:snapToGrid w:val="0"/>
        <w:jc w:val="center"/>
        <w:rPr>
          <w:rFonts w:hint="eastAsia" w:ascii="宋体" w:hAnsi="宋体" w:eastAsia="宋体" w:cs="宋体"/>
          <w:b/>
          <w:bCs/>
          <w:color w:val="000000"/>
          <w:sz w:val="44"/>
          <w:szCs w:val="44"/>
          <w:lang w:val="en-US" w:eastAsia="zh-CN"/>
        </w:rPr>
      </w:pPr>
      <w:r>
        <w:rPr>
          <w:rFonts w:hint="eastAsia" w:ascii="宋体" w:hAnsi="宋体" w:cs="宋体"/>
          <w:b/>
          <w:bCs/>
          <w:color w:val="000000"/>
          <w:sz w:val="44"/>
          <w:szCs w:val="44"/>
        </w:rPr>
        <w:t>意见及采纳情况</w:t>
      </w:r>
      <w:r>
        <w:rPr>
          <w:rFonts w:hint="eastAsia" w:ascii="宋体" w:hAnsi="宋体" w:cs="宋体"/>
          <w:b/>
          <w:bCs/>
          <w:color w:val="000000"/>
          <w:sz w:val="44"/>
          <w:szCs w:val="44"/>
          <w:lang w:val="en-US" w:eastAsia="zh-CN"/>
        </w:rPr>
        <w:t>汇总表</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经广泛征求各市直部门及各区意见，并向有关单位和社会企业人士征求意见。受疫情影响，本次征求意见截至12月19日，共收到意见反馈58条（包括25条无意见），其中采纳19条，解释说明13条，不采纳1条。</w:t>
      </w:r>
    </w:p>
    <w:tbl>
      <w:tblPr>
        <w:tblStyle w:val="11"/>
        <w:tblW w:w="1469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048"/>
        <w:gridCol w:w="1567"/>
        <w:gridCol w:w="6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959" w:type="dxa"/>
            <w:noWrap w:val="0"/>
            <w:vAlign w:val="center"/>
          </w:tcPr>
          <w:p>
            <w:pPr>
              <w:jc w:val="center"/>
              <w:rPr>
                <w:rFonts w:ascii="宋体" w:hAnsi="宋体" w:cs="宋体"/>
                <w:b/>
                <w:bCs w:val="0"/>
                <w:sz w:val="28"/>
                <w:szCs w:val="28"/>
                <w:highlight w:val="none"/>
              </w:rPr>
            </w:pPr>
            <w:r>
              <w:rPr>
                <w:rFonts w:hint="eastAsia" w:ascii="宋体" w:hAnsi="宋体" w:cs="宋体"/>
                <w:b/>
                <w:bCs w:val="0"/>
                <w:sz w:val="28"/>
                <w:szCs w:val="28"/>
                <w:highlight w:val="none"/>
              </w:rPr>
              <w:t>序号</w:t>
            </w:r>
          </w:p>
        </w:tc>
        <w:tc>
          <w:tcPr>
            <w:tcW w:w="6048" w:type="dxa"/>
            <w:noWrap w:val="0"/>
            <w:vAlign w:val="center"/>
          </w:tcPr>
          <w:p>
            <w:pPr>
              <w:jc w:val="center"/>
              <w:rPr>
                <w:rFonts w:ascii="宋体" w:hAnsi="宋体" w:cs="宋体"/>
                <w:b/>
                <w:bCs w:val="0"/>
                <w:sz w:val="28"/>
                <w:szCs w:val="28"/>
                <w:highlight w:val="none"/>
              </w:rPr>
            </w:pPr>
            <w:r>
              <w:rPr>
                <w:rFonts w:hint="eastAsia" w:ascii="宋体" w:hAnsi="宋体" w:cs="宋体"/>
                <w:b/>
                <w:bCs w:val="0"/>
                <w:sz w:val="28"/>
                <w:szCs w:val="28"/>
                <w:highlight w:val="none"/>
              </w:rPr>
              <w:t>提出的意见或建议</w:t>
            </w:r>
          </w:p>
        </w:tc>
        <w:tc>
          <w:tcPr>
            <w:tcW w:w="1567" w:type="dxa"/>
            <w:noWrap w:val="0"/>
            <w:vAlign w:val="center"/>
          </w:tcPr>
          <w:p>
            <w:pPr>
              <w:jc w:val="center"/>
              <w:rPr>
                <w:rFonts w:ascii="宋体" w:hAnsi="宋体" w:cs="宋体"/>
                <w:b/>
                <w:bCs w:val="0"/>
                <w:sz w:val="28"/>
                <w:szCs w:val="28"/>
                <w:highlight w:val="none"/>
              </w:rPr>
            </w:pPr>
            <w:r>
              <w:rPr>
                <w:rFonts w:hint="eastAsia" w:ascii="宋体" w:hAnsi="宋体" w:cs="宋体"/>
                <w:b/>
                <w:bCs w:val="0"/>
                <w:sz w:val="28"/>
                <w:szCs w:val="28"/>
                <w:highlight w:val="none"/>
              </w:rPr>
              <w:t>采纳情况</w:t>
            </w:r>
          </w:p>
        </w:tc>
        <w:tc>
          <w:tcPr>
            <w:tcW w:w="6125" w:type="dxa"/>
            <w:noWrap w:val="0"/>
            <w:vAlign w:val="center"/>
          </w:tcPr>
          <w:p>
            <w:pPr>
              <w:jc w:val="center"/>
              <w:rPr>
                <w:rFonts w:hint="eastAsia" w:ascii="宋体" w:hAnsi="宋体" w:cs="宋体"/>
                <w:b/>
                <w:bCs w:val="0"/>
                <w:sz w:val="28"/>
                <w:szCs w:val="28"/>
                <w:highlight w:val="none"/>
              </w:rPr>
            </w:pPr>
            <w:r>
              <w:rPr>
                <w:rFonts w:hint="eastAsia" w:ascii="宋体" w:hAnsi="宋体" w:cs="宋体"/>
                <w:b/>
                <w:bCs w:val="0"/>
                <w:sz w:val="28"/>
                <w:szCs w:val="28"/>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noWrap w:val="0"/>
            <w:vAlign w:val="center"/>
          </w:tcPr>
          <w:p>
            <w:pPr>
              <w:spacing w:line="280" w:lineRule="exact"/>
              <w:jc w:val="center"/>
              <w:rPr>
                <w:rFonts w:hint="default" w:ascii="仿宋_GB2312" w:hAnsi="仿宋_GB2312" w:eastAsia="仿宋_GB2312" w:cs="仿宋_GB2312"/>
                <w:kern w:val="2"/>
                <w:sz w:val="24"/>
                <w:highlight w:val="none"/>
                <w:lang w:val="en-US" w:eastAsia="zh-CN" w:bidi="ar-SA"/>
              </w:rPr>
            </w:pPr>
            <w:r>
              <w:rPr>
                <w:rFonts w:hint="eastAsia" w:ascii="仿宋_GB2312" w:hAnsi="仿宋_GB2312" w:eastAsia="仿宋_GB2312" w:cs="仿宋_GB2312"/>
                <w:kern w:val="2"/>
                <w:sz w:val="24"/>
                <w:highlight w:val="none"/>
                <w:lang w:val="en-US" w:eastAsia="zh-CN" w:bidi="ar-SA"/>
              </w:rPr>
              <w:t>1</w:t>
            </w:r>
          </w:p>
        </w:tc>
        <w:tc>
          <w:tcPr>
            <w:tcW w:w="6048" w:type="dxa"/>
            <w:noWrap w:val="0"/>
            <w:vAlign w:val="center"/>
          </w:tcPr>
          <w:p>
            <w:pPr>
              <w:spacing w:line="280" w:lineRule="exact"/>
              <w:jc w:val="left"/>
              <w:rPr>
                <w:rFonts w:ascii="仿宋_GB2312" w:hAnsi="仿宋_GB2312" w:eastAsia="仿宋_GB2312" w:cs="仿宋_GB2312"/>
                <w:bCs/>
                <w:kern w:val="2"/>
                <w:sz w:val="24"/>
                <w:highlight w:val="none"/>
                <w:lang w:val="en-US" w:eastAsia="zh-CN" w:bidi="ar-SA"/>
              </w:rPr>
            </w:pPr>
            <w:r>
              <w:rPr>
                <w:rFonts w:hint="eastAsia" w:ascii="仿宋_GB2312" w:hAnsi="仿宋_GB2312" w:eastAsia="仿宋_GB2312" w:cs="仿宋_GB2312"/>
                <w:bCs/>
                <w:sz w:val="24"/>
                <w:highlight w:val="none"/>
                <w:lang w:val="en-US" w:eastAsia="zh-CN"/>
              </w:rPr>
              <w:t>建议明确申报建筑信息模型化技术人才职称助理工程师和工程师的计算机应用能力（建筑信息模型建模能力） 评价标准，如增加全国BIM技能等级考试相关要求。</w:t>
            </w:r>
          </w:p>
        </w:tc>
        <w:tc>
          <w:tcPr>
            <w:tcW w:w="1567" w:type="dxa"/>
            <w:noWrap w:val="0"/>
            <w:vAlign w:val="center"/>
          </w:tcPr>
          <w:p>
            <w:pPr>
              <w:spacing w:line="280" w:lineRule="exact"/>
              <w:jc w:val="center"/>
              <w:rPr>
                <w:rFonts w:hint="default" w:ascii="仿宋_GB2312" w:hAnsi="仿宋_GB2312" w:eastAsia="仿宋_GB2312" w:cs="仿宋_GB2312"/>
                <w:bCs/>
                <w:sz w:val="24"/>
                <w:highlight w:val="none"/>
                <w:lang w:val="en-US" w:eastAsia="zh-Hans"/>
              </w:rPr>
            </w:pPr>
            <w:r>
              <w:rPr>
                <w:rFonts w:hint="eastAsia" w:ascii="仿宋_GB2312" w:hAnsi="仿宋_GB2312" w:eastAsia="仿宋_GB2312" w:cs="仿宋_GB2312"/>
                <w:bCs/>
                <w:sz w:val="24"/>
                <w:highlight w:val="none"/>
                <w:lang w:val="en-US" w:eastAsia="zh-Hans"/>
              </w:rPr>
              <w:t>解释说明</w:t>
            </w:r>
          </w:p>
        </w:tc>
        <w:tc>
          <w:tcPr>
            <w:tcW w:w="6125" w:type="dxa"/>
            <w:noWrap w:val="0"/>
            <w:vAlign w:val="center"/>
          </w:tcPr>
          <w:p>
            <w:pPr>
              <w:spacing w:line="280" w:lineRule="exact"/>
              <w:jc w:val="left"/>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根据</w:t>
            </w:r>
            <w:r>
              <w:rPr>
                <w:rFonts w:hint="eastAsia" w:ascii="仿宋_GB2312" w:hAnsi="仿宋_GB2312" w:eastAsia="仿宋_GB2312" w:cs="仿宋_GB2312"/>
                <w:bCs/>
                <w:sz w:val="24"/>
                <w:highlight w:val="none"/>
                <w:lang w:val="en-US" w:eastAsia="zh-Hans"/>
              </w:rPr>
              <w:t>中共中央办公厅 国务院办公厅印发《关于深化职称制度改革的意见》</w:t>
            </w:r>
            <w:r>
              <w:rPr>
                <w:rFonts w:hint="eastAsia" w:ascii="仿宋_GB2312" w:hAnsi="仿宋_GB2312" w:eastAsia="仿宋_GB2312" w:cs="仿宋_GB2312"/>
                <w:bCs/>
                <w:sz w:val="24"/>
                <w:highlight w:val="none"/>
                <w:lang w:val="en-US" w:eastAsia="zh-CN"/>
              </w:rPr>
              <w:t>，明确提出</w:t>
            </w:r>
            <w:r>
              <w:rPr>
                <w:rFonts w:hint="eastAsia" w:ascii="仿宋_GB2312" w:hAnsi="仿宋_GB2312" w:eastAsia="仿宋_GB2312" w:cs="仿宋_GB2312"/>
                <w:bCs/>
                <w:sz w:val="24"/>
                <w:highlight w:val="none"/>
                <w:lang w:val="en-US" w:eastAsia="zh-Hans"/>
              </w:rPr>
              <w:t>对计算机应用能力考试不作统一要求。确实需要评价计算机水平的，由用人单位或评审机构自主确定评审条件。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noWrap w:val="0"/>
            <w:vAlign w:val="center"/>
          </w:tcPr>
          <w:p>
            <w:pPr>
              <w:spacing w:line="280" w:lineRule="exact"/>
              <w:jc w:val="center"/>
              <w:rPr>
                <w:rFonts w:hint="default" w:ascii="仿宋_GB2312" w:hAnsi="仿宋_GB2312" w:eastAsia="仿宋_GB2312" w:cs="仿宋_GB2312"/>
                <w:kern w:val="2"/>
                <w:sz w:val="24"/>
                <w:highlight w:val="none"/>
                <w:lang w:val="en-US" w:eastAsia="zh-CN" w:bidi="ar-SA"/>
              </w:rPr>
            </w:pPr>
            <w:r>
              <w:rPr>
                <w:rFonts w:hint="eastAsia" w:ascii="仿宋_GB2312" w:hAnsi="仿宋_GB2312" w:eastAsia="仿宋_GB2312" w:cs="仿宋_GB2312"/>
                <w:kern w:val="2"/>
                <w:sz w:val="24"/>
                <w:highlight w:val="none"/>
                <w:lang w:val="en-US" w:eastAsia="zh-CN" w:bidi="ar-SA"/>
              </w:rPr>
              <w:t>2</w:t>
            </w:r>
          </w:p>
        </w:tc>
        <w:tc>
          <w:tcPr>
            <w:tcW w:w="6048" w:type="dxa"/>
            <w:noWrap w:val="0"/>
            <w:vAlign w:val="center"/>
          </w:tcPr>
          <w:p>
            <w:pPr>
              <w:spacing w:line="280" w:lineRule="exact"/>
              <w:jc w:val="left"/>
              <w:rPr>
                <w:rFonts w:hint="default" w:ascii="仿宋_GB2312" w:hAnsi="仿宋_GB2312" w:eastAsia="仿宋_GB2312" w:cs="仿宋_GB2312"/>
                <w:bCs/>
                <w:kern w:val="2"/>
                <w:sz w:val="24"/>
                <w:highlight w:val="none"/>
                <w:lang w:val="en-US" w:eastAsia="zh-CN" w:bidi="ar-SA"/>
              </w:rPr>
            </w:pPr>
            <w:r>
              <w:rPr>
                <w:rFonts w:hint="eastAsia" w:ascii="仿宋_GB2312" w:hAnsi="仿宋_GB2312" w:eastAsia="仿宋_GB2312" w:cs="仿宋_GB2312"/>
                <w:bCs/>
                <w:sz w:val="24"/>
                <w:highlight w:val="none"/>
                <w:lang w:val="en-US" w:eastAsia="zh-CN"/>
              </w:rPr>
              <w:t>建议补充申报建筑信息模型化技术人才职称工程师考核认定的相关评价标准。对于部分学历资历、工作能力（经历）条件符合工程师职称申报要求但未取得助理工程师证的，可予以一次考核认定机会，此项主要针对已具备多年建筑信息模型相关工作经验的从业人员。</w:t>
            </w:r>
          </w:p>
        </w:tc>
        <w:tc>
          <w:tcPr>
            <w:tcW w:w="1567" w:type="dxa"/>
            <w:noWrap w:val="0"/>
            <w:vAlign w:val="center"/>
          </w:tcPr>
          <w:p>
            <w:pPr>
              <w:spacing w:line="280" w:lineRule="exact"/>
              <w:jc w:val="center"/>
              <w:rPr>
                <w:rFonts w:hint="eastAsia" w:ascii="仿宋_GB2312" w:hAnsi="仿宋_GB2312" w:eastAsia="仿宋_GB2312" w:cs="仿宋_GB2312"/>
                <w:bCs/>
                <w:sz w:val="24"/>
                <w:highlight w:val="none"/>
                <w:lang w:val="en-US" w:eastAsia="zh-Hans"/>
              </w:rPr>
            </w:pPr>
            <w:r>
              <w:rPr>
                <w:rFonts w:hint="eastAsia" w:ascii="仿宋_GB2312" w:hAnsi="仿宋_GB2312" w:eastAsia="仿宋_GB2312" w:cs="仿宋_GB2312"/>
                <w:bCs/>
                <w:sz w:val="24"/>
                <w:highlight w:val="none"/>
                <w:lang w:val="en-US" w:eastAsia="zh-Hans"/>
              </w:rPr>
              <w:t>解释说明</w:t>
            </w:r>
          </w:p>
        </w:tc>
        <w:tc>
          <w:tcPr>
            <w:tcW w:w="6125" w:type="dxa"/>
            <w:noWrap w:val="0"/>
            <w:vAlign w:val="center"/>
          </w:tcPr>
          <w:p>
            <w:pPr>
              <w:spacing w:line="280" w:lineRule="exact"/>
              <w:rPr>
                <w:rFonts w:hint="default" w:ascii="Times New Roman" w:hAnsi="Times New Roman" w:eastAsia="宋体" w:cs="Times New Roman"/>
                <w:kern w:val="2"/>
                <w:sz w:val="21"/>
                <w:highlight w:val="none"/>
                <w:lang w:val="en-US" w:eastAsia="zh-Hans" w:bidi="ar-SA"/>
              </w:rPr>
            </w:pPr>
            <w:r>
              <w:rPr>
                <w:rFonts w:hint="eastAsia" w:ascii="仿宋_GB2312" w:hAnsi="仿宋_GB2312" w:eastAsia="仿宋_GB2312" w:cs="仿宋_GB2312"/>
                <w:bCs/>
                <w:sz w:val="24"/>
                <w:highlight w:val="none"/>
                <w:lang w:val="en-US" w:eastAsia="zh-Hans"/>
              </w:rPr>
              <w:t>《人力资源社会保障部</w:t>
            </w:r>
            <w:r>
              <w:rPr>
                <w:rFonts w:hint="default" w:ascii="仿宋_GB2312" w:hAnsi="仿宋_GB2312" w:eastAsia="仿宋_GB2312" w:cs="仿宋_GB2312"/>
                <w:bCs/>
                <w:sz w:val="24"/>
                <w:highlight w:val="none"/>
                <w:lang w:eastAsia="zh-Hans"/>
              </w:rPr>
              <w:t xml:space="preserve"> </w:t>
            </w:r>
            <w:r>
              <w:rPr>
                <w:rFonts w:hint="eastAsia" w:ascii="仿宋_GB2312" w:hAnsi="仿宋_GB2312" w:eastAsia="仿宋_GB2312" w:cs="仿宋_GB2312"/>
                <w:bCs/>
                <w:sz w:val="24"/>
                <w:highlight w:val="none"/>
                <w:lang w:val="en-US" w:eastAsia="zh-Hans"/>
              </w:rPr>
              <w:t>工业和信息化部关于深化工程技术人才职称制度改革的指导意见》</w:t>
            </w:r>
            <w:r>
              <w:rPr>
                <w:rFonts w:hint="default"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Hans"/>
              </w:rPr>
              <w:t>人社部</w:t>
            </w:r>
            <w:r>
              <w:rPr>
                <w:rFonts w:hint="eastAsia" w:ascii="仿宋_GB2312" w:hAnsi="仿宋_GB2312" w:eastAsia="仿宋_GB2312" w:cs="仿宋_GB2312"/>
                <w:bCs/>
                <w:sz w:val="24"/>
                <w:lang w:val="en-US" w:eastAsia="zh-CN"/>
              </w:rPr>
              <w:t>〔20</w:t>
            </w:r>
            <w:r>
              <w:rPr>
                <w:rFonts w:hint="default" w:ascii="仿宋_GB2312" w:hAnsi="仿宋_GB2312" w:eastAsia="仿宋_GB2312" w:cs="仿宋_GB2312"/>
                <w:bCs/>
                <w:sz w:val="24"/>
                <w:lang w:eastAsia="zh-CN"/>
              </w:rPr>
              <w:t>19</w:t>
            </w:r>
            <w:r>
              <w:rPr>
                <w:rFonts w:hint="eastAsia" w:ascii="仿宋_GB2312" w:hAnsi="仿宋_GB2312" w:eastAsia="仿宋_GB2312" w:cs="仿宋_GB2312"/>
                <w:bCs/>
                <w:sz w:val="24"/>
                <w:lang w:val="en-US" w:eastAsia="zh-CN"/>
              </w:rPr>
              <w:t>〕</w:t>
            </w:r>
            <w:r>
              <w:rPr>
                <w:rFonts w:hint="default" w:ascii="仿宋_GB2312" w:hAnsi="仿宋_GB2312" w:eastAsia="仿宋_GB2312" w:cs="仿宋_GB2312"/>
                <w:bCs/>
                <w:sz w:val="24"/>
                <w:lang w:eastAsia="zh-CN"/>
              </w:rPr>
              <w:t>16</w:t>
            </w:r>
            <w:r>
              <w:rPr>
                <w:rFonts w:hint="eastAsia" w:ascii="仿宋_GB2312" w:hAnsi="仿宋_GB2312" w:eastAsia="仿宋_GB2312" w:cs="仿宋_GB2312"/>
                <w:bCs/>
                <w:sz w:val="24"/>
                <w:lang w:val="en-US" w:eastAsia="zh-CN"/>
              </w:rPr>
              <w:t>号</w:t>
            </w:r>
            <w:r>
              <w:rPr>
                <w:rFonts w:hint="eastAsia"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已</w:t>
            </w:r>
            <w:r>
              <w:rPr>
                <w:rFonts w:hint="eastAsia" w:ascii="仿宋_GB2312" w:hAnsi="仿宋_GB2312" w:eastAsia="仿宋_GB2312" w:cs="仿宋_GB2312"/>
                <w:bCs/>
                <w:sz w:val="24"/>
                <w:lang w:val="en-US" w:eastAsia="zh-Hans"/>
              </w:rPr>
              <w:t>对工程技术人才职称评价有明确的基本标准条件规定。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noWrap w:val="0"/>
            <w:vAlign w:val="center"/>
          </w:tcPr>
          <w:p>
            <w:pPr>
              <w:spacing w:line="280" w:lineRule="exact"/>
              <w:jc w:val="center"/>
              <w:rPr>
                <w:rFonts w:hint="default" w:ascii="仿宋_GB2312" w:hAnsi="仿宋_GB2312" w:eastAsia="仿宋_GB2312" w:cs="仿宋_GB2312"/>
                <w:kern w:val="2"/>
                <w:sz w:val="24"/>
                <w:highlight w:val="none"/>
                <w:lang w:val="en-US" w:eastAsia="zh-CN" w:bidi="ar-SA"/>
              </w:rPr>
            </w:pPr>
            <w:r>
              <w:rPr>
                <w:rFonts w:hint="eastAsia" w:ascii="仿宋_GB2312" w:hAnsi="仿宋_GB2312" w:eastAsia="仿宋_GB2312" w:cs="仿宋_GB2312"/>
                <w:kern w:val="2"/>
                <w:sz w:val="24"/>
                <w:highlight w:val="none"/>
                <w:lang w:val="en-US" w:eastAsia="zh-CN" w:bidi="ar-SA"/>
              </w:rPr>
              <w:t>3</w:t>
            </w:r>
          </w:p>
        </w:tc>
        <w:tc>
          <w:tcPr>
            <w:tcW w:w="6048" w:type="dxa"/>
            <w:noWrap w:val="0"/>
            <w:vAlign w:val="center"/>
          </w:tcPr>
          <w:p>
            <w:pPr>
              <w:spacing w:line="280" w:lineRule="exact"/>
              <w:jc w:val="left"/>
              <w:rPr>
                <w:rFonts w:ascii="仿宋_GB2312" w:hAnsi="仿宋_GB2312" w:eastAsia="仿宋_GB2312" w:cs="仿宋_GB2312"/>
                <w:bCs/>
                <w:kern w:val="2"/>
                <w:sz w:val="24"/>
                <w:highlight w:val="none"/>
                <w:lang w:val="en-US" w:eastAsia="zh-CN" w:bidi="ar-SA"/>
              </w:rPr>
            </w:pPr>
            <w:r>
              <w:rPr>
                <w:rFonts w:ascii="仿宋_GB2312" w:hAnsi="仿宋_GB2312" w:eastAsia="仿宋_GB2312" w:cs="仿宋_GB2312"/>
                <w:bCs/>
                <w:kern w:val="2"/>
                <w:sz w:val="24"/>
                <w:highlight w:val="none"/>
                <w:lang w:val="en-US" w:eastAsia="zh-CN" w:bidi="ar-SA"/>
              </w:rPr>
              <w:t>建议删除第二条第（三）款第1项“创新评价方式”中“考评结合”的表述。同时建议删除“由国家、省组织人事部门选派到西藏、新疆、青海等地及粤东西北地区服务锻炼并作出突出贡献的专业技术人才（含省行业主管部门选派的专业志愿者），在同等条件下优先评审。对长期在艰苦边远地区和基层一线工作的专业技术人才，可采取‘定向评价、定向使用’的方式，重点考察其实际工作业绩，适当放宽学历、任职年限要求”的表述，或结合我市实际调整</w:t>
            </w:r>
            <w:r>
              <w:rPr>
                <w:rFonts w:hint="eastAsia" w:ascii="仿宋_GB2312" w:hAnsi="仿宋_GB2312" w:eastAsia="仿宋_GB2312" w:cs="仿宋_GB2312"/>
                <w:bCs/>
                <w:kern w:val="2"/>
                <w:sz w:val="24"/>
                <w:highlight w:val="none"/>
                <w:lang w:val="en-US" w:eastAsia="zh-CN" w:bidi="ar-SA"/>
              </w:rPr>
              <w:t>。</w:t>
            </w:r>
          </w:p>
        </w:tc>
        <w:tc>
          <w:tcPr>
            <w:tcW w:w="1567" w:type="dxa"/>
            <w:noWrap w:val="0"/>
            <w:vAlign w:val="center"/>
          </w:tcPr>
          <w:p>
            <w:pPr>
              <w:spacing w:line="280" w:lineRule="exact"/>
              <w:jc w:val="center"/>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采纳</w:t>
            </w:r>
          </w:p>
        </w:tc>
        <w:tc>
          <w:tcPr>
            <w:tcW w:w="6125" w:type="dxa"/>
            <w:noWrap w:val="0"/>
            <w:vAlign w:val="center"/>
          </w:tcPr>
          <w:p>
            <w:pPr>
              <w:spacing w:line="280" w:lineRule="exact"/>
              <w:rPr>
                <w:rFonts w:hint="default" w:ascii="仿宋_GB2312" w:hAnsi="仿宋_GB2312" w:eastAsia="仿宋_GB2312" w:cs="仿宋_GB2312"/>
                <w:bCs/>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59" w:type="dxa"/>
            <w:noWrap w:val="0"/>
            <w:vAlign w:val="center"/>
          </w:tcPr>
          <w:p>
            <w:pPr>
              <w:spacing w:line="280" w:lineRule="exact"/>
              <w:jc w:val="center"/>
              <w:rPr>
                <w:rFonts w:hint="default" w:ascii="仿宋_GB2312" w:hAnsi="仿宋_GB2312" w:eastAsia="仿宋_GB2312" w:cs="仿宋_GB2312"/>
                <w:kern w:val="2"/>
                <w:sz w:val="24"/>
                <w:highlight w:val="none"/>
                <w:lang w:val="en-US" w:eastAsia="zh-CN" w:bidi="ar-SA"/>
              </w:rPr>
            </w:pPr>
            <w:r>
              <w:rPr>
                <w:rFonts w:hint="eastAsia" w:ascii="仿宋_GB2312" w:hAnsi="仿宋_GB2312" w:eastAsia="仿宋_GB2312" w:cs="仿宋_GB2312"/>
                <w:kern w:val="2"/>
                <w:sz w:val="24"/>
                <w:highlight w:val="none"/>
                <w:lang w:val="en-US" w:eastAsia="zh-CN" w:bidi="ar-SA"/>
              </w:rPr>
              <w:t>4</w:t>
            </w:r>
          </w:p>
        </w:tc>
        <w:tc>
          <w:tcPr>
            <w:tcW w:w="6048" w:type="dxa"/>
            <w:noWrap w:val="0"/>
            <w:vAlign w:val="center"/>
          </w:tcPr>
          <w:p>
            <w:pPr>
              <w:spacing w:line="280" w:lineRule="exact"/>
              <w:jc w:val="left"/>
              <w:rPr>
                <w:rFonts w:hint="eastAsia" w:ascii="仿宋_GB2312" w:hAnsi="仿宋_GB2312" w:eastAsia="仿宋_GB2312" w:cs="仿宋_GB2312"/>
                <w:bCs/>
                <w:kern w:val="2"/>
                <w:sz w:val="24"/>
                <w:highlight w:val="none"/>
                <w:lang w:val="en-US" w:eastAsia="zh-CN" w:bidi="ar-SA"/>
              </w:rPr>
            </w:pPr>
            <w:r>
              <w:rPr>
                <w:rFonts w:ascii="仿宋_GB2312" w:hAnsi="仿宋_GB2312" w:eastAsia="仿宋_GB2312" w:cs="仿宋_GB2312"/>
                <w:bCs/>
                <w:kern w:val="2"/>
                <w:sz w:val="24"/>
                <w:highlight w:val="none"/>
                <w:lang w:val="en-US" w:eastAsia="zh-CN" w:bidi="ar-SA"/>
              </w:rPr>
              <w:t>建议将第二条第（三）款第3项“建立差异化评审组织”表述，调整为“建立职称评审组织。组建深圳市建筑信息模型化技术人才高级职称评审委员会，负责全市建筑信息模型化技术人才初级、中级、高级三个等级职称评审工作。</w:t>
            </w:r>
          </w:p>
        </w:tc>
        <w:tc>
          <w:tcPr>
            <w:tcW w:w="1567" w:type="dxa"/>
            <w:noWrap w:val="0"/>
            <w:vAlign w:val="center"/>
          </w:tcPr>
          <w:p>
            <w:pPr>
              <w:spacing w:line="280" w:lineRule="exact"/>
              <w:jc w:val="center"/>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eastAsia="zh-CN"/>
              </w:rPr>
              <w:t>采纳</w:t>
            </w:r>
          </w:p>
        </w:tc>
        <w:tc>
          <w:tcPr>
            <w:tcW w:w="6125" w:type="dxa"/>
            <w:noWrap w:val="0"/>
            <w:vAlign w:val="center"/>
          </w:tcPr>
          <w:p>
            <w:pPr>
              <w:spacing w:line="280" w:lineRule="exact"/>
              <w:jc w:val="left"/>
              <w:rPr>
                <w:rFonts w:hint="default" w:ascii="仿宋_GB2312" w:hAnsi="仿宋_GB2312" w:eastAsia="仿宋_GB2312" w:cs="仿宋_GB2312"/>
                <w:bCs/>
                <w:kern w:val="2"/>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9" w:type="dxa"/>
            <w:noWrap w:val="0"/>
            <w:vAlign w:val="center"/>
          </w:tcPr>
          <w:p>
            <w:pPr>
              <w:spacing w:line="280" w:lineRule="exact"/>
              <w:jc w:val="center"/>
              <w:rPr>
                <w:rFonts w:hint="default" w:ascii="仿宋_GB2312" w:hAnsi="仿宋_GB2312" w:eastAsia="仿宋_GB2312" w:cs="仿宋_GB2312"/>
                <w:kern w:val="2"/>
                <w:sz w:val="24"/>
                <w:highlight w:val="none"/>
                <w:lang w:val="en-US" w:eastAsia="zh-CN" w:bidi="ar-SA"/>
              </w:rPr>
            </w:pPr>
            <w:r>
              <w:rPr>
                <w:rFonts w:hint="eastAsia" w:ascii="仿宋_GB2312" w:hAnsi="仿宋_GB2312" w:eastAsia="仿宋_GB2312" w:cs="仿宋_GB2312"/>
                <w:kern w:val="2"/>
                <w:sz w:val="24"/>
                <w:highlight w:val="none"/>
                <w:lang w:val="en-US" w:eastAsia="zh-CN" w:bidi="ar-SA"/>
              </w:rPr>
              <w:t>5</w:t>
            </w:r>
          </w:p>
        </w:tc>
        <w:tc>
          <w:tcPr>
            <w:tcW w:w="6048" w:type="dxa"/>
            <w:noWrap w:val="0"/>
            <w:vAlign w:val="center"/>
          </w:tcPr>
          <w:p>
            <w:pPr>
              <w:spacing w:line="280" w:lineRule="exact"/>
              <w:jc w:val="left"/>
              <w:rPr>
                <w:rFonts w:hint="eastAsia" w:ascii="仿宋_GB2312" w:hAnsi="仿宋_GB2312" w:eastAsia="仿宋_GB2312" w:cs="仿宋_GB2312"/>
                <w:bCs/>
                <w:kern w:val="2"/>
                <w:sz w:val="24"/>
                <w:highlight w:val="none"/>
                <w:lang w:val="en-US" w:eastAsia="zh-CN" w:bidi="ar-SA"/>
              </w:rPr>
            </w:pPr>
            <w:r>
              <w:rPr>
                <w:rFonts w:ascii="仿宋_GB2312" w:hAnsi="仿宋_GB2312" w:eastAsia="仿宋_GB2312" w:cs="仿宋_GB2312"/>
                <w:bCs/>
                <w:kern w:val="2"/>
                <w:sz w:val="24"/>
                <w:highlight w:val="none"/>
                <w:lang w:val="en-US" w:eastAsia="zh-CN" w:bidi="ar-SA"/>
              </w:rPr>
              <w:t>建议将第二条第（五）款第2项“健全公共服务体系”表述，调整为“健全公共服务体系。推行个人诚信承诺制度，减轻建筑信息模型化技术人才评价负担，我市专业技术人才申报评价须经用人单位推荐，职称申报不与人事档案管理挂钩。</w:t>
            </w:r>
          </w:p>
        </w:tc>
        <w:tc>
          <w:tcPr>
            <w:tcW w:w="1567" w:type="dxa"/>
            <w:noWrap w:val="0"/>
            <w:vAlign w:val="center"/>
          </w:tcPr>
          <w:p>
            <w:pPr>
              <w:spacing w:line="280" w:lineRule="exact"/>
              <w:jc w:val="center"/>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eastAsia="zh-CN"/>
              </w:rPr>
              <w:t>采纳</w:t>
            </w:r>
          </w:p>
        </w:tc>
        <w:tc>
          <w:tcPr>
            <w:tcW w:w="6125" w:type="dxa"/>
            <w:noWrap w:val="0"/>
            <w:vAlign w:val="center"/>
          </w:tcPr>
          <w:p>
            <w:pPr>
              <w:spacing w:line="280" w:lineRule="exact"/>
              <w:jc w:val="left"/>
              <w:rPr>
                <w:rFonts w:hint="default" w:ascii="仿宋_GB2312" w:hAnsi="仿宋_GB2312" w:eastAsia="仿宋_GB2312" w:cs="仿宋_GB2312"/>
                <w:bCs/>
                <w:kern w:val="2"/>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59" w:type="dxa"/>
            <w:noWrap w:val="0"/>
            <w:vAlign w:val="center"/>
          </w:tcPr>
          <w:p>
            <w:pPr>
              <w:spacing w:line="280" w:lineRule="exact"/>
              <w:jc w:val="center"/>
              <w:rPr>
                <w:rFonts w:hint="default" w:ascii="仿宋_GB2312" w:hAnsi="仿宋_GB2312" w:eastAsia="仿宋_GB2312" w:cs="仿宋_GB2312"/>
                <w:kern w:val="2"/>
                <w:sz w:val="24"/>
                <w:highlight w:val="none"/>
                <w:lang w:val="en-US" w:eastAsia="zh-CN" w:bidi="ar-SA"/>
              </w:rPr>
            </w:pPr>
            <w:r>
              <w:rPr>
                <w:rFonts w:hint="eastAsia" w:ascii="仿宋_GB2312" w:hAnsi="仿宋_GB2312" w:eastAsia="仿宋_GB2312" w:cs="仿宋_GB2312"/>
                <w:kern w:val="2"/>
                <w:sz w:val="24"/>
                <w:highlight w:val="none"/>
                <w:lang w:val="en-US" w:eastAsia="zh-CN" w:bidi="ar-SA"/>
              </w:rPr>
              <w:t>6</w:t>
            </w:r>
          </w:p>
        </w:tc>
        <w:tc>
          <w:tcPr>
            <w:tcW w:w="6048" w:type="dxa"/>
            <w:noWrap w:val="0"/>
            <w:vAlign w:val="center"/>
          </w:tcPr>
          <w:p>
            <w:pPr>
              <w:spacing w:line="280" w:lineRule="exact"/>
              <w:jc w:val="left"/>
              <w:rPr>
                <w:rFonts w:hint="default" w:ascii="仿宋_GB2312" w:hAnsi="仿宋_GB2312" w:eastAsia="仿宋_GB2312" w:cs="仿宋_GB2312"/>
                <w:bCs/>
                <w:kern w:val="2"/>
                <w:sz w:val="24"/>
                <w:highlight w:val="none"/>
                <w:lang w:val="en-US" w:eastAsia="zh-CN" w:bidi="ar-SA"/>
              </w:rPr>
            </w:pPr>
            <w:r>
              <w:rPr>
                <w:rFonts w:hint="eastAsia" w:ascii="仿宋_GB2312" w:hAnsi="仿宋_GB2312" w:eastAsia="仿宋_GB2312" w:cs="仿宋_GB2312"/>
                <w:bCs/>
                <w:kern w:val="2"/>
                <w:sz w:val="24"/>
                <w:highlight w:val="none"/>
                <w:lang w:val="en-US" w:eastAsia="zh-CN" w:bidi="ar-SA"/>
              </w:rPr>
              <w:t>建议增加职称评价的相关流程与规定。</w:t>
            </w:r>
          </w:p>
        </w:tc>
        <w:tc>
          <w:tcPr>
            <w:tcW w:w="1567" w:type="dxa"/>
            <w:noWrap w:val="0"/>
            <w:vAlign w:val="center"/>
          </w:tcPr>
          <w:p>
            <w:pPr>
              <w:spacing w:line="280" w:lineRule="exact"/>
              <w:jc w:val="center"/>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采纳</w:t>
            </w:r>
          </w:p>
        </w:tc>
        <w:tc>
          <w:tcPr>
            <w:tcW w:w="6125" w:type="dxa"/>
            <w:noWrap w:val="0"/>
            <w:vAlign w:val="center"/>
          </w:tcPr>
          <w:p>
            <w:pPr>
              <w:spacing w:line="280" w:lineRule="exact"/>
              <w:jc w:val="left"/>
              <w:rPr>
                <w:rFonts w:hint="default" w:ascii="仿宋_GB2312" w:hAnsi="仿宋_GB2312" w:eastAsia="仿宋_GB2312" w:cs="仿宋_GB2312"/>
                <w:bCs/>
                <w:kern w:val="2"/>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noWrap w:val="0"/>
            <w:vAlign w:val="center"/>
          </w:tcPr>
          <w:p>
            <w:pPr>
              <w:spacing w:line="280" w:lineRule="exact"/>
              <w:jc w:val="center"/>
              <w:rPr>
                <w:rFonts w:hint="default" w:ascii="仿宋_GB2312" w:hAnsi="仿宋_GB2312" w:eastAsia="仿宋_GB2312" w:cs="仿宋_GB2312"/>
                <w:kern w:val="2"/>
                <w:sz w:val="24"/>
                <w:highlight w:val="none"/>
                <w:lang w:val="en-US" w:eastAsia="zh-CN" w:bidi="ar-SA"/>
              </w:rPr>
            </w:pPr>
            <w:r>
              <w:rPr>
                <w:rFonts w:hint="eastAsia" w:ascii="仿宋_GB2312" w:hAnsi="仿宋_GB2312" w:eastAsia="仿宋_GB2312" w:cs="仿宋_GB2312"/>
                <w:kern w:val="2"/>
                <w:sz w:val="24"/>
                <w:highlight w:val="none"/>
                <w:lang w:val="en-US" w:eastAsia="zh-CN" w:bidi="ar-SA"/>
              </w:rPr>
              <w:t>7</w:t>
            </w:r>
          </w:p>
        </w:tc>
        <w:tc>
          <w:tcPr>
            <w:tcW w:w="6048" w:type="dxa"/>
            <w:noWrap w:val="0"/>
            <w:vAlign w:val="center"/>
          </w:tcPr>
          <w:p>
            <w:pPr>
              <w:spacing w:line="280" w:lineRule="exact"/>
              <w:jc w:val="left"/>
              <w:rPr>
                <w:rFonts w:hint="eastAsia" w:ascii="仿宋_GB2312" w:hAnsi="仿宋_GB2312" w:eastAsia="仿宋_GB2312" w:cs="仿宋_GB2312"/>
                <w:bCs/>
                <w:kern w:val="2"/>
                <w:sz w:val="24"/>
                <w:highlight w:val="none"/>
                <w:lang w:val="en-US" w:eastAsia="zh-CN" w:bidi="ar-SA"/>
              </w:rPr>
            </w:pPr>
            <w:r>
              <w:rPr>
                <w:rFonts w:hint="eastAsia" w:ascii="仿宋_GB2312" w:hAnsi="仿宋_GB2312" w:eastAsia="仿宋_GB2312" w:cs="仿宋_GB2312"/>
                <w:bCs/>
                <w:kern w:val="2"/>
                <w:sz w:val="24"/>
                <w:highlight w:val="none"/>
                <w:lang w:val="en-US" w:eastAsia="zh-CN" w:bidi="ar-SA"/>
              </w:rPr>
              <w:t>业绩成果类条件的相关内容较大篇幅与BIM相关性不大，建议补充BIM类型的业绩，比如BIM大赛、国际交流会、BIM科技创新研究等相关业绩与经历。</w:t>
            </w:r>
          </w:p>
        </w:tc>
        <w:tc>
          <w:tcPr>
            <w:tcW w:w="1567" w:type="dxa"/>
            <w:noWrap w:val="0"/>
            <w:vAlign w:val="center"/>
          </w:tcPr>
          <w:p>
            <w:pPr>
              <w:spacing w:line="280" w:lineRule="exact"/>
              <w:jc w:val="center"/>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采纳</w:t>
            </w:r>
          </w:p>
        </w:tc>
        <w:tc>
          <w:tcPr>
            <w:tcW w:w="6125" w:type="dxa"/>
            <w:noWrap w:val="0"/>
            <w:vAlign w:val="center"/>
          </w:tcPr>
          <w:p>
            <w:pPr>
              <w:spacing w:line="280" w:lineRule="exact"/>
              <w:jc w:val="left"/>
              <w:rPr>
                <w:rFonts w:hint="default" w:ascii="仿宋_GB2312" w:hAnsi="仿宋_GB2312" w:eastAsia="仿宋_GB2312" w:cs="仿宋_GB2312"/>
                <w:bCs/>
                <w:kern w:val="2"/>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8</w:t>
            </w:r>
          </w:p>
        </w:tc>
        <w:tc>
          <w:tcPr>
            <w:tcW w:w="6048" w:type="dxa"/>
            <w:noWrap w:val="0"/>
            <w:vAlign w:val="center"/>
          </w:tcPr>
          <w:p>
            <w:pPr>
              <w:spacing w:line="280" w:lineRule="exact"/>
              <w:jc w:val="left"/>
              <w:rPr>
                <w:rFonts w:ascii="仿宋_GB2312" w:hAnsi="仿宋_GB2312" w:eastAsia="仿宋_GB2312" w:cs="仿宋_GB2312"/>
                <w:bCs/>
                <w:kern w:val="2"/>
                <w:sz w:val="24"/>
                <w:highlight w:val="none"/>
                <w:lang w:val="en-US" w:eastAsia="zh-CN" w:bidi="ar-SA"/>
              </w:rPr>
            </w:pPr>
            <w:r>
              <w:rPr>
                <w:rFonts w:ascii="仿宋_GB2312" w:hAnsi="仿宋_GB2312" w:eastAsia="仿宋_GB2312" w:cs="仿宋_GB2312"/>
                <w:bCs/>
                <w:kern w:val="2"/>
                <w:sz w:val="24"/>
                <w:highlight w:val="none"/>
                <w:lang w:val="en-US" w:eastAsia="zh-CN" w:bidi="ar-SA"/>
              </w:rPr>
              <w:t>“二（三）2. 建立职称评价绿色通道。”中“围绕</w:t>
            </w:r>
            <w:r>
              <w:rPr>
                <w:rFonts w:hint="eastAsia" w:ascii="仿宋_GB2312" w:hAnsi="仿宋_GB2312" w:eastAsia="仿宋_GB2312" w:cs="仿宋_GB2312"/>
                <w:bCs/>
                <w:kern w:val="2"/>
                <w:sz w:val="24"/>
                <w:highlight w:val="none"/>
                <w:lang w:val="en-US" w:eastAsia="zh-CN" w:bidi="ar-SA"/>
              </w:rPr>
              <w:t>国家重大战略和社会需求，在建筑信息模型化领域突破关键核心技术、做出重大贡献、有重大原创性研究、熟练掌握建模技能的 建筑信息模型化技术人才，可以直接申报相应等级职称评审”建议改为“围绕国家重大战略和社会需求，在建筑工程领域突破关 键核心技术、做出重大贡献、有重大原创性研究、熟练掌握建模、应用、研发技能的建筑信息模型化技术人才，可以直接申报相应等级职称评审”。</w:t>
            </w:r>
          </w:p>
        </w:tc>
        <w:tc>
          <w:tcPr>
            <w:tcW w:w="1567" w:type="dxa"/>
            <w:noWrap w:val="0"/>
            <w:vAlign w:val="center"/>
          </w:tcPr>
          <w:p>
            <w:pPr>
              <w:spacing w:line="280" w:lineRule="exact"/>
              <w:jc w:val="center"/>
              <w:rPr>
                <w:rFonts w:hint="eastAsia" w:ascii="仿宋_GB2312" w:hAnsi="仿宋_GB2312" w:eastAsia="仿宋_GB2312" w:cs="仿宋_GB2312"/>
                <w:bCs/>
                <w:kern w:val="2"/>
                <w:sz w:val="24"/>
                <w:highlight w:val="none"/>
                <w:lang w:val="en-US" w:eastAsia="zh-CN" w:bidi="ar-SA"/>
              </w:rPr>
            </w:pPr>
            <w:r>
              <w:rPr>
                <w:rFonts w:hint="eastAsia" w:ascii="仿宋_GB2312" w:hAnsi="仿宋_GB2312" w:eastAsia="仿宋_GB2312" w:cs="仿宋_GB2312"/>
                <w:bCs/>
                <w:kern w:val="2"/>
                <w:sz w:val="24"/>
                <w:highlight w:val="none"/>
                <w:lang w:val="en-US" w:eastAsia="zh-CN" w:bidi="ar-SA"/>
              </w:rPr>
              <w:t>采纳</w:t>
            </w:r>
          </w:p>
        </w:tc>
        <w:tc>
          <w:tcPr>
            <w:tcW w:w="6125" w:type="dxa"/>
            <w:noWrap w:val="0"/>
            <w:vAlign w:val="center"/>
          </w:tcPr>
          <w:p>
            <w:pPr>
              <w:spacing w:line="280" w:lineRule="exact"/>
              <w:rPr>
                <w:rFonts w:hint="eastAsia" w:ascii="仿宋_GB2312" w:hAnsi="仿宋_GB2312" w:eastAsia="仿宋_GB2312" w:cs="仿宋_GB2312"/>
                <w:kern w:val="2"/>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9</w:t>
            </w:r>
          </w:p>
        </w:tc>
        <w:tc>
          <w:tcPr>
            <w:tcW w:w="6048" w:type="dxa"/>
            <w:noWrap w:val="0"/>
            <w:vAlign w:val="center"/>
          </w:tcPr>
          <w:p>
            <w:pPr>
              <w:spacing w:line="280" w:lineRule="exact"/>
              <w:jc w:val="left"/>
              <w:rPr>
                <w:rFonts w:ascii="仿宋_GB2312" w:hAnsi="仿宋_GB2312" w:eastAsia="仿宋_GB2312" w:cs="仿宋_GB2312"/>
                <w:bCs/>
                <w:kern w:val="2"/>
                <w:sz w:val="24"/>
                <w:highlight w:val="none"/>
                <w:lang w:val="en-US" w:eastAsia="zh-CN" w:bidi="ar-SA"/>
              </w:rPr>
            </w:pPr>
            <w:r>
              <w:rPr>
                <w:rFonts w:ascii="仿宋_GB2312" w:hAnsi="仿宋_GB2312" w:eastAsia="仿宋_GB2312" w:cs="仿宋_GB2312"/>
                <w:bCs/>
                <w:kern w:val="2"/>
                <w:sz w:val="24"/>
                <w:highlight w:val="none"/>
                <w:lang w:val="en-US" w:eastAsia="zh-CN" w:bidi="ar-SA"/>
              </w:rPr>
              <w:t>工程师、高级工程师、正高级工程师的绿色通道中，建</w:t>
            </w:r>
            <w:r>
              <w:rPr>
                <w:rFonts w:hint="eastAsia" w:ascii="仿宋_GB2312" w:hAnsi="仿宋_GB2312" w:eastAsia="仿宋_GB2312" w:cs="仿宋_GB2312"/>
                <w:bCs/>
                <w:kern w:val="2"/>
                <w:sz w:val="24"/>
                <w:highlight w:val="none"/>
                <w:lang w:val="en-US" w:eastAsia="zh-CN" w:bidi="ar-SA"/>
              </w:rPr>
              <w:t>议增加建模、应用、研发相关的要求。</w:t>
            </w:r>
          </w:p>
        </w:tc>
        <w:tc>
          <w:tcPr>
            <w:tcW w:w="1567" w:type="dxa"/>
            <w:noWrap w:val="0"/>
            <w:vAlign w:val="center"/>
          </w:tcPr>
          <w:p>
            <w:pPr>
              <w:spacing w:line="280" w:lineRule="exact"/>
              <w:jc w:val="center"/>
              <w:rPr>
                <w:rFonts w:hint="eastAsia" w:ascii="仿宋_GB2312" w:hAnsi="仿宋_GB2312" w:eastAsia="仿宋_GB2312" w:cs="仿宋_GB2312"/>
                <w:bCs/>
                <w:kern w:val="2"/>
                <w:sz w:val="24"/>
                <w:highlight w:val="none"/>
                <w:lang w:val="en-US" w:eastAsia="zh-CN" w:bidi="ar-SA"/>
              </w:rPr>
            </w:pPr>
            <w:r>
              <w:rPr>
                <w:rFonts w:hint="eastAsia" w:ascii="仿宋_GB2312" w:hAnsi="仿宋_GB2312" w:eastAsia="仿宋_GB2312" w:cs="仿宋_GB2312"/>
                <w:bCs/>
                <w:kern w:val="2"/>
                <w:sz w:val="24"/>
                <w:highlight w:val="none"/>
                <w:lang w:val="en-US" w:eastAsia="zh-CN" w:bidi="ar-SA"/>
              </w:rPr>
              <w:t>采纳</w:t>
            </w:r>
          </w:p>
        </w:tc>
        <w:tc>
          <w:tcPr>
            <w:tcW w:w="6125" w:type="dxa"/>
            <w:noWrap w:val="0"/>
            <w:vAlign w:val="center"/>
          </w:tcPr>
          <w:p>
            <w:pPr>
              <w:spacing w:line="280" w:lineRule="exact"/>
              <w:rPr>
                <w:rFonts w:hint="eastAsia" w:ascii="仿宋_GB2312" w:hAnsi="仿宋_GB2312" w:eastAsia="仿宋_GB2312" w:cs="仿宋_GB2312"/>
                <w:kern w:val="2"/>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10</w:t>
            </w:r>
          </w:p>
        </w:tc>
        <w:tc>
          <w:tcPr>
            <w:tcW w:w="6048" w:type="dxa"/>
            <w:noWrap w:val="0"/>
            <w:vAlign w:val="center"/>
          </w:tcPr>
          <w:p>
            <w:pPr>
              <w:spacing w:line="28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建议删除“建立差异化评审组织”中“评审委员会评委库包括建筑工程系列（全专业）正高级评委和建筑工程系列（全专业）高级评委，测绘、国土专业正高级评委和测绘专业高级评委”表述。</w:t>
            </w:r>
          </w:p>
        </w:tc>
        <w:tc>
          <w:tcPr>
            <w:tcW w:w="1567" w:type="dxa"/>
            <w:noWrap w:val="0"/>
            <w:vAlign w:val="center"/>
          </w:tcPr>
          <w:p>
            <w:pPr>
              <w:spacing w:line="280" w:lineRule="exact"/>
              <w:jc w:val="center"/>
              <w:rPr>
                <w:rFonts w:hint="eastAsia" w:ascii="仿宋_GB2312" w:hAnsi="仿宋_GB2312" w:eastAsia="仿宋_GB2312" w:cs="仿宋_GB2312"/>
                <w:sz w:val="24"/>
                <w:szCs w:val="24"/>
                <w:highlight w:val="none"/>
                <w:lang w:eastAsia="zh-Hans"/>
              </w:rPr>
            </w:pPr>
            <w:r>
              <w:rPr>
                <w:rFonts w:hint="eastAsia" w:ascii="仿宋_GB2312" w:hAnsi="仿宋_GB2312" w:eastAsia="仿宋_GB2312" w:cs="仿宋_GB2312"/>
                <w:color w:val="auto"/>
                <w:sz w:val="24"/>
                <w:szCs w:val="24"/>
                <w:highlight w:val="none"/>
                <w:lang w:val="en-US" w:eastAsia="zh-Hans"/>
              </w:rPr>
              <w:t>解释说明</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目前国家正在加快推进信息技术与城市建设技术、业务、数据融合，开展城市信息模型建设，推进建筑信息模型深化应用</w:t>
            </w:r>
            <w:r>
              <w:rPr>
                <w:rFonts w:hint="eastAsia" w:ascii="仿宋_GB2312" w:hAnsi="仿宋_GB2312" w:eastAsia="仿宋_GB2312" w:cs="仿宋_GB2312"/>
                <w:sz w:val="24"/>
                <w:szCs w:val="24"/>
                <w:highlight w:val="none"/>
                <w:lang w:val="en-US" w:eastAsia="zh-Hans"/>
              </w:rPr>
              <w:t>，</w:t>
            </w:r>
            <w:r>
              <w:rPr>
                <w:rFonts w:hint="eastAsia" w:ascii="仿宋_GB2312" w:hAnsi="仿宋_GB2312" w:eastAsia="仿宋_GB2312" w:cs="仿宋_GB2312"/>
                <w:sz w:val="24"/>
                <w:szCs w:val="24"/>
                <w:highlight w:val="none"/>
                <w:lang w:val="en-US" w:eastAsia="zh-CN"/>
              </w:rPr>
              <w:t>深圳市多个文件中已提出要加快推进BIM、CIM应用</w:t>
            </w:r>
            <w:r>
              <w:rPr>
                <w:rFonts w:hint="eastAsia" w:ascii="仿宋_GB2312" w:hAnsi="仿宋_GB2312" w:eastAsia="仿宋_GB2312" w:cs="仿宋_GB2312"/>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11</w:t>
            </w:r>
          </w:p>
        </w:tc>
        <w:tc>
          <w:tcPr>
            <w:tcW w:w="6048" w:type="dxa"/>
            <w:noWrap w:val="0"/>
            <w:vAlign w:val="center"/>
          </w:tcPr>
          <w:p>
            <w:pPr>
              <w:spacing w:line="28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本实施方案可与《广东省建筑工程技术人才职称评价改革实施方案》的有关表述进一步对接。本实施方案中，“评价条件”中“技术员”和“助理工程师”必须“可利用计算机软件进行工程实践过程中的模拟建造”，属于额外要求，建议删除。</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采纳</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12</w:t>
            </w:r>
          </w:p>
        </w:tc>
        <w:tc>
          <w:tcPr>
            <w:tcW w:w="6048" w:type="dxa"/>
            <w:noWrap w:val="0"/>
            <w:vAlign w:val="center"/>
          </w:tcPr>
          <w:p>
            <w:pPr>
              <w:spacing w:line="28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建议删除《深圳市建筑信息模型化技术人才职称评价标准条件》里“建筑信息模型及数据”或“建筑信息模型数据”中“数据”一词。</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采纳</w:t>
            </w:r>
          </w:p>
        </w:tc>
        <w:tc>
          <w:tcPr>
            <w:tcW w:w="6125" w:type="dxa"/>
            <w:noWrap w:val="0"/>
            <w:vAlign w:val="center"/>
          </w:tcPr>
          <w:p>
            <w:pPr>
              <w:spacing w:line="280" w:lineRule="exact"/>
              <w:jc w:val="both"/>
              <w:rPr>
                <w:rFonts w:hint="default"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13</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楷体_GB2312" w:eastAsia="楷体_GB2312"/>
                <w:bCs/>
                <w:sz w:val="24"/>
                <w:lang w:eastAsia="zh-CN"/>
              </w:rPr>
              <w:t>“</w:t>
            </w:r>
            <w:r>
              <w:rPr>
                <w:rFonts w:hint="eastAsia" w:ascii="楷体_GB2312" w:eastAsia="楷体_GB2312"/>
                <w:bCs/>
                <w:sz w:val="24"/>
              </w:rPr>
              <w:t>二、主要任务（一）健全制度体系</w:t>
            </w:r>
            <w:r>
              <w:rPr>
                <w:rFonts w:hint="eastAsia" w:ascii="楷体_GB2312" w:eastAsia="楷体_GB2312"/>
                <w:bCs/>
                <w:sz w:val="24"/>
                <w:lang w:eastAsia="zh-CN"/>
              </w:rPr>
              <w:t>”中</w:t>
            </w:r>
            <w:r>
              <w:rPr>
                <w:rFonts w:hint="eastAsia" w:ascii="仿宋_GB2312" w:hAnsi="仿宋_GB2312" w:eastAsia="仿宋_GB2312" w:cs="仿宋_GB2312"/>
                <w:b/>
                <w:bCs/>
                <w:sz w:val="24"/>
                <w:szCs w:val="24"/>
                <w:highlight w:val="none"/>
                <w:lang w:val="en-US" w:eastAsia="zh-CN"/>
              </w:rPr>
              <w:t>1.构建合理层级。</w:t>
            </w:r>
            <w:r>
              <w:rPr>
                <w:rFonts w:hint="eastAsia" w:ascii="仿宋_GB2312" w:hAnsi="仿宋_GB2312" w:eastAsia="仿宋_GB2312" w:cs="仿宋_GB2312"/>
                <w:sz w:val="24"/>
                <w:szCs w:val="24"/>
                <w:highlight w:val="none"/>
                <w:lang w:val="en-US" w:eastAsia="zh-CN"/>
              </w:rPr>
              <w:t>“初级、中级、高级和正高级的职称名称依次为：技术员、助理工程师、工程师、高级工程师、正高级工程师。”漏写员级，技术员对应员级，漏掉后技术员缺少级别对应。建议明确是否有技术员职称，如设置技术员职称，则应补充“初级设员级和助理级”。</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解释说明</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职称的层级是根据国家人力资源和社会保障部的职称系列（专业）各层级名称规定设置。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14</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二、主要任务（一）健全制度体系</w:t>
            </w:r>
            <w:r>
              <w:rPr>
                <w:rFonts w:hint="eastAsia" w:ascii="仿宋_GB2312" w:hAnsi="仿宋_GB2312" w:eastAsia="仿宋_GB2312" w:cs="仿宋_GB2312"/>
                <w:bCs/>
                <w:sz w:val="24"/>
                <w:lang w:eastAsia="zh-CN"/>
              </w:rPr>
              <w:t>”中</w:t>
            </w:r>
            <w:r>
              <w:rPr>
                <w:rFonts w:hint="eastAsia" w:ascii="仿宋_GB2312" w:hAnsi="仿宋_GB2312" w:eastAsia="仿宋_GB2312" w:cs="仿宋_GB2312"/>
                <w:b w:val="0"/>
                <w:bCs/>
                <w:sz w:val="24"/>
              </w:rPr>
              <w:t>“2.科学设置分类。建筑信息模型创建包括在各类建设工程的规划、勘察、测绘、设计、施工等技术岗位上构建建筑信息模型及数据；建筑信息模型应用包括在各类建设工程的建设管理、规划、勘察、测绘、设计、预制生产、施工、工程造价、运维等技术岗位上运用建筑信息模型技术”</w:t>
            </w:r>
            <w:r>
              <w:rPr>
                <w:rFonts w:hint="eastAsia" w:ascii="仿宋_GB2312" w:hAnsi="仿宋_GB2312" w:eastAsia="仿宋_GB2312" w:cs="仿宋_GB2312"/>
                <w:bCs/>
                <w:sz w:val="24"/>
              </w:rPr>
              <w:t>。建议改为，建筑信息模型创建/建筑信息模型应用专业包括从事XXX工作的技术岗位。</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采纳</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15</w:t>
            </w:r>
          </w:p>
        </w:tc>
        <w:tc>
          <w:tcPr>
            <w:tcW w:w="6048" w:type="dxa"/>
            <w:noWrap w:val="0"/>
            <w:vAlign w:val="center"/>
          </w:tcPr>
          <w:p>
            <w:pPr>
              <w:spacing w:line="280" w:lineRule="exact"/>
              <w:jc w:val="left"/>
              <w:rPr>
                <w:rFonts w:hint="eastAsia" w:ascii="仿宋_GB2312" w:hAnsi="仿宋_GB2312" w:eastAsia="仿宋_GB2312" w:cs="仿宋_GB2312"/>
                <w:b/>
                <w:sz w:val="24"/>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二、主要任务（三）创新评价机制</w:t>
            </w:r>
            <w:r>
              <w:rPr>
                <w:rFonts w:hint="eastAsia" w:ascii="仿宋_GB2312" w:hAnsi="仿宋_GB2312" w:eastAsia="仿宋_GB2312" w:cs="仿宋_GB2312"/>
                <w:bCs/>
                <w:sz w:val="24"/>
                <w:lang w:eastAsia="zh-CN"/>
              </w:rPr>
              <w:t>”中</w:t>
            </w:r>
            <w:r>
              <w:rPr>
                <w:rFonts w:hint="eastAsia" w:ascii="仿宋_GB2312" w:hAnsi="仿宋_GB2312" w:eastAsia="仿宋_GB2312" w:cs="仿宋_GB2312"/>
                <w:b/>
                <w:sz w:val="24"/>
              </w:rPr>
              <w:t>2.建立职称评价绿色通道。“取得建筑工程相应等级职称满一年的，可以申报同等级建筑信息模型化职称。”</w:t>
            </w:r>
          </w:p>
          <w:p>
            <w:pPr>
              <w:spacing w:line="28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意见1：除了“建筑工程”系列，建议增加其他专业系列，或修改为“取得工程领域相应等级职称满一年的”。</w:t>
            </w:r>
          </w:p>
          <w:p>
            <w:pPr>
              <w:spacing w:line="280" w:lineRule="exact"/>
              <w:rPr>
                <w:rFonts w:hint="eastAsia" w:ascii="仿宋_GB2312" w:hAnsi="仿宋_GB2312" w:eastAsia="仿宋_GB2312" w:cs="仿宋_GB2312"/>
                <w:b/>
                <w:sz w:val="24"/>
              </w:rPr>
            </w:pPr>
            <w:r>
              <w:rPr>
                <w:rFonts w:hint="eastAsia" w:ascii="仿宋_GB2312" w:hAnsi="仿宋_GB2312" w:eastAsia="仿宋_GB2312" w:cs="仿宋_GB2312"/>
                <w:bCs/>
                <w:sz w:val="24"/>
              </w:rPr>
              <w:t>意见2：建筑信息模型技术研发（基础软件、技术工具、平台系统、网络场景、装备设备）等工作领域的从业人员通常是计算机专业背景，未参与工程类职称评审。建议绿色通道中针对此类人群增设评审通道，如具备中华人民共和国人事部和中华人民共和国信息产业部用印的计算机技术与软件专业技术资格(水平)证书初级/中级/高级资格且工作年限满足职称评审要求和其他资格条件，可申报建筑信息模型化工程师/高级工程师。</w:t>
            </w:r>
          </w:p>
        </w:tc>
        <w:tc>
          <w:tcPr>
            <w:tcW w:w="1567" w:type="dxa"/>
            <w:noWrap w:val="0"/>
            <w:vAlign w:val="center"/>
          </w:tcPr>
          <w:p>
            <w:pPr>
              <w:spacing w:line="280" w:lineRule="exact"/>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采纳</w:t>
            </w:r>
          </w:p>
        </w:tc>
        <w:tc>
          <w:tcPr>
            <w:tcW w:w="6125" w:type="dxa"/>
            <w:noWrap w:val="0"/>
            <w:vAlign w:val="center"/>
          </w:tcPr>
          <w:p>
            <w:pPr>
              <w:spacing w:line="280" w:lineRule="exact"/>
              <w:jc w:val="both"/>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16</w:t>
            </w:r>
          </w:p>
        </w:tc>
        <w:tc>
          <w:tcPr>
            <w:tcW w:w="6048" w:type="dxa"/>
            <w:noWrap w:val="0"/>
            <w:vAlign w:val="center"/>
          </w:tcPr>
          <w:p>
            <w:pPr>
              <w:spacing w:line="280" w:lineRule="exact"/>
              <w:rPr>
                <w:rFonts w:hint="eastAsia" w:ascii="仿宋_GB2312" w:hAnsi="仿宋_GB2312" w:eastAsia="仿宋_GB2312" w:cs="仿宋_GB2312"/>
                <w:b/>
                <w:sz w:val="24"/>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二、主要任务（三）创新评价机制</w:t>
            </w:r>
            <w:r>
              <w:rPr>
                <w:rFonts w:hint="eastAsia" w:ascii="仿宋_GB2312" w:hAnsi="仿宋_GB2312" w:eastAsia="仿宋_GB2312" w:cs="仿宋_GB2312"/>
                <w:bCs/>
                <w:sz w:val="24"/>
                <w:lang w:eastAsia="zh-CN"/>
              </w:rPr>
              <w:t>”中</w:t>
            </w:r>
            <w:r>
              <w:rPr>
                <w:rFonts w:hint="eastAsia" w:ascii="仿宋_GB2312" w:hAnsi="仿宋_GB2312" w:eastAsia="仿宋_GB2312" w:cs="仿宋_GB2312"/>
                <w:bCs/>
                <w:sz w:val="24"/>
              </w:rPr>
              <w:t>3.建立差异化评审组织。“评审委员会评委库包括建筑工程系列（全专业）正高级评委和建筑工程系列（全专业）高级评委，测绘、国土专业正高级评委和测绘专业高级评委。”评审组织不应仅包括建筑工程和规划、国土，建议增加“交通运输专业”系列（全专业）、“给排水”“电气工程”“园林”“建筑经济”“建筑装饰”等专业委员会。</w:t>
            </w:r>
          </w:p>
        </w:tc>
        <w:tc>
          <w:tcPr>
            <w:tcW w:w="1567" w:type="dxa"/>
            <w:noWrap w:val="0"/>
            <w:vAlign w:val="center"/>
          </w:tcPr>
          <w:p>
            <w:pPr>
              <w:spacing w:line="28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采纳</w:t>
            </w:r>
          </w:p>
        </w:tc>
        <w:tc>
          <w:tcPr>
            <w:tcW w:w="6125" w:type="dxa"/>
            <w:noWrap w:val="0"/>
            <w:vAlign w:val="center"/>
          </w:tcPr>
          <w:p>
            <w:pPr>
              <w:spacing w:line="280" w:lineRule="exact"/>
              <w:jc w:val="both"/>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bCs/>
                <w:sz w:val="24"/>
                <w:highlight w:val="none"/>
                <w:lang w:val="en-US" w:eastAsia="zh-CN"/>
              </w:rPr>
              <w:t>后续参考建议修改完善。</w:t>
            </w:r>
            <w:r>
              <w:rPr>
                <w:rFonts w:hint="eastAsia" w:ascii="仿宋_GB2312" w:hAnsi="仿宋_GB2312" w:eastAsia="仿宋_GB2312" w:cs="仿宋_GB2312"/>
                <w:bCs/>
                <w:sz w:val="24"/>
                <w:lang w:val="en-US" w:eastAsia="zh-Hans"/>
              </w:rPr>
              <w:t>建筑工程系列（全专业）按照广东省人力资源和社会保障厅</w:t>
            </w:r>
            <w:r>
              <w:rPr>
                <w:rFonts w:hint="eastAsia"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Hans"/>
              </w:rPr>
              <w:t>广东省住房和城乡建设厅印发的《广东省建筑工程技术人才职称评价改革实施方案》</w:t>
            </w:r>
            <w:r>
              <w:rPr>
                <w:rFonts w:hint="default"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粤</w:t>
            </w:r>
            <w:r>
              <w:rPr>
                <w:rFonts w:hint="eastAsia" w:ascii="仿宋_GB2312" w:hAnsi="仿宋_GB2312" w:eastAsia="仿宋_GB2312" w:cs="仿宋_GB2312"/>
                <w:bCs/>
                <w:sz w:val="24"/>
                <w:lang w:val="en-US" w:eastAsia="zh-Hans"/>
              </w:rPr>
              <w:t>人社规</w:t>
            </w:r>
            <w:r>
              <w:rPr>
                <w:rFonts w:hint="eastAsia" w:ascii="仿宋_GB2312" w:hAnsi="仿宋_GB2312" w:eastAsia="仿宋_GB2312" w:cs="仿宋_GB2312"/>
                <w:bCs/>
                <w:sz w:val="24"/>
                <w:lang w:val="en-US" w:eastAsia="zh-CN"/>
              </w:rPr>
              <w:t>〔20</w:t>
            </w:r>
            <w:r>
              <w:rPr>
                <w:rFonts w:hint="default" w:ascii="仿宋_GB2312" w:hAnsi="仿宋_GB2312" w:eastAsia="仿宋_GB2312" w:cs="仿宋_GB2312"/>
                <w:bCs/>
                <w:sz w:val="24"/>
                <w:lang w:eastAsia="zh-CN"/>
              </w:rPr>
              <w:t>19</w:t>
            </w:r>
            <w:r>
              <w:rPr>
                <w:rFonts w:hint="eastAsia" w:ascii="仿宋_GB2312" w:hAnsi="仿宋_GB2312" w:eastAsia="仿宋_GB2312" w:cs="仿宋_GB2312"/>
                <w:bCs/>
                <w:sz w:val="24"/>
                <w:lang w:val="en-US" w:eastAsia="zh-CN"/>
              </w:rPr>
              <w:t>〕</w:t>
            </w:r>
            <w:r>
              <w:rPr>
                <w:rFonts w:hint="default" w:ascii="仿宋_GB2312" w:hAnsi="仿宋_GB2312" w:eastAsia="仿宋_GB2312" w:cs="仿宋_GB2312"/>
                <w:bCs/>
                <w:sz w:val="24"/>
                <w:lang w:eastAsia="zh-CN"/>
              </w:rPr>
              <w:t>33</w:t>
            </w:r>
            <w:r>
              <w:rPr>
                <w:rFonts w:hint="eastAsia" w:ascii="仿宋_GB2312" w:hAnsi="仿宋_GB2312" w:eastAsia="仿宋_GB2312" w:cs="仿宋_GB2312"/>
                <w:bCs/>
                <w:sz w:val="24"/>
                <w:lang w:val="en-US" w:eastAsia="zh-CN"/>
              </w:rPr>
              <w:t>号</w:t>
            </w:r>
            <w:r>
              <w:rPr>
                <w:rFonts w:hint="eastAsia"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的</w:t>
            </w:r>
            <w:r>
              <w:rPr>
                <w:rFonts w:hint="eastAsia" w:ascii="仿宋_GB2312" w:hAnsi="仿宋_GB2312" w:eastAsia="仿宋_GB2312" w:cs="仿宋_GB2312"/>
                <w:bCs/>
                <w:sz w:val="24"/>
                <w:lang w:val="en-US" w:eastAsia="zh-Hans"/>
              </w:rPr>
              <w:t>相关</w:t>
            </w:r>
            <w:r>
              <w:rPr>
                <w:rFonts w:hint="eastAsia" w:ascii="仿宋_GB2312" w:hAnsi="仿宋_GB2312" w:eastAsia="仿宋_GB2312" w:cs="仿宋_GB2312"/>
                <w:bCs/>
                <w:sz w:val="24"/>
                <w:lang w:val="en-US"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17</w:t>
            </w:r>
          </w:p>
        </w:tc>
        <w:tc>
          <w:tcPr>
            <w:tcW w:w="6048" w:type="dxa"/>
            <w:noWrap w:val="0"/>
            <w:vAlign w:val="center"/>
          </w:tcPr>
          <w:p>
            <w:pPr>
              <w:spacing w:line="280" w:lineRule="exact"/>
              <w:rPr>
                <w:rFonts w:hint="eastAsia" w:ascii="仿宋_GB2312" w:hAnsi="仿宋_GB2312" w:eastAsia="仿宋_GB2312" w:cs="仿宋_GB2312"/>
                <w:b/>
                <w:sz w:val="24"/>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二、主要任务（三）创新评价机制</w:t>
            </w:r>
            <w:r>
              <w:rPr>
                <w:rFonts w:hint="eastAsia" w:ascii="仿宋_GB2312" w:hAnsi="仿宋_GB2312" w:eastAsia="仿宋_GB2312" w:cs="仿宋_GB2312"/>
                <w:bCs/>
                <w:sz w:val="24"/>
                <w:lang w:eastAsia="zh-CN"/>
              </w:rPr>
              <w:t>”中</w:t>
            </w:r>
            <w:r>
              <w:rPr>
                <w:rFonts w:hint="eastAsia" w:ascii="仿宋_GB2312" w:hAnsi="仿宋_GB2312" w:eastAsia="仿宋_GB2312" w:cs="仿宋_GB2312"/>
                <w:bCs/>
                <w:sz w:val="24"/>
              </w:rPr>
              <w:t>“1.实现职称制度与人才培养制度的有效衔接。推动建筑信息模型化技术人才职称制度与工程类专业学位研究生教育有效衔接，获得本专业或相关专业研究生层次专业学位的工程技术人才，可提前1年参加相应专业职称评价。”需明确本专业指向。</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解释说明</w:t>
            </w:r>
          </w:p>
        </w:tc>
        <w:tc>
          <w:tcPr>
            <w:tcW w:w="6125" w:type="dxa"/>
            <w:noWrap w:val="0"/>
            <w:vAlign w:val="center"/>
          </w:tcPr>
          <w:p>
            <w:pPr>
              <w:spacing w:line="280" w:lineRule="exact"/>
              <w:jc w:val="both"/>
              <w:rPr>
                <w:rFonts w:hint="default"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Hans"/>
              </w:rPr>
              <w:t>在征求意见的</w:t>
            </w:r>
            <w:r>
              <w:rPr>
                <w:rFonts w:hint="eastAsia" w:ascii="仿宋_GB2312" w:hAnsi="仿宋_GB2312" w:eastAsia="仿宋_GB2312" w:cs="仿宋_GB2312"/>
                <w:sz w:val="24"/>
                <w:szCs w:val="24"/>
                <w:highlight w:val="none"/>
                <w:lang w:eastAsia="zh-Hans"/>
              </w:rPr>
              <w:t>《</w:t>
            </w:r>
            <w:r>
              <w:rPr>
                <w:rFonts w:hint="eastAsia" w:ascii="仿宋_GB2312" w:hAnsi="仿宋_GB2312" w:eastAsia="仿宋_GB2312" w:cs="仿宋_GB2312"/>
                <w:sz w:val="24"/>
                <w:szCs w:val="24"/>
                <w:highlight w:val="none"/>
                <w:lang w:val="en-US" w:eastAsia="zh-Hans"/>
              </w:rPr>
              <w:t>深圳市建筑信息模型化技术人才职称评价标准条件》中已经明确本专业</w:t>
            </w:r>
            <w:r>
              <w:rPr>
                <w:rFonts w:hint="eastAsia" w:ascii="仿宋_GB2312" w:hAnsi="仿宋_GB2312" w:eastAsia="仿宋_GB2312" w:cs="仿宋_GB2312"/>
                <w:sz w:val="24"/>
                <w:szCs w:val="24"/>
                <w:highlight w:val="none"/>
                <w:lang w:val="en-US" w:eastAsia="zh-CN"/>
              </w:rPr>
              <w:t>的定义和范围</w:t>
            </w:r>
            <w:r>
              <w:rPr>
                <w:rFonts w:hint="eastAsia" w:ascii="仿宋_GB2312" w:hAnsi="仿宋_GB2312" w:eastAsia="仿宋_GB2312" w:cs="仿宋_GB2312"/>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18</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建议对切实人才开通破格认定更高序列职称通道。 BIM 行业的从业人员多为跨行业、跨专业、跨领域等跨界人才,大多数从业人员因从事行业或所在公司的资质属性、工作性质等原因,虽坚守于 BIM 行业多年却无条件接触相关工程项目并积累工程业绩,导致具备多年行业经验的 BIM 技术人员现处于只具备工程领域助理工程师甚至无职称的情况,但该部分人员已在 BIM 应用领域具备胜任工程师甚至于高级工程师的工作能力及相关 BIM 业绩。</w:t>
            </w:r>
          </w:p>
        </w:tc>
        <w:tc>
          <w:tcPr>
            <w:tcW w:w="1567" w:type="dxa"/>
            <w:noWrap w:val="0"/>
            <w:vAlign w:val="center"/>
          </w:tcPr>
          <w:p>
            <w:pPr>
              <w:spacing w:line="280" w:lineRule="exact"/>
              <w:jc w:val="center"/>
              <w:rPr>
                <w:rFonts w:hint="eastAsia" w:ascii="仿宋_GB2312" w:hAnsi="仿宋_GB2312" w:eastAsia="仿宋_GB2312" w:cs="仿宋_GB2312"/>
                <w:bCs/>
                <w:kern w:val="2"/>
                <w:sz w:val="24"/>
                <w:highlight w:val="none"/>
                <w:lang w:val="en-US" w:eastAsia="zh-CN" w:bidi="ar-SA"/>
              </w:rPr>
            </w:pPr>
            <w:r>
              <w:rPr>
                <w:rFonts w:hint="eastAsia" w:ascii="仿宋_GB2312" w:hAnsi="仿宋_GB2312" w:eastAsia="仿宋_GB2312" w:cs="仿宋_GB2312"/>
                <w:bCs/>
                <w:sz w:val="24"/>
                <w:highlight w:val="none"/>
                <w:lang w:val="en-US" w:eastAsia="zh-Hans"/>
              </w:rPr>
              <w:t>解释说明</w:t>
            </w:r>
          </w:p>
        </w:tc>
        <w:tc>
          <w:tcPr>
            <w:tcW w:w="6125" w:type="dxa"/>
            <w:noWrap w:val="0"/>
            <w:vAlign w:val="center"/>
          </w:tcPr>
          <w:p>
            <w:pPr>
              <w:spacing w:line="280" w:lineRule="exact"/>
              <w:rPr>
                <w:rFonts w:hint="eastAsia" w:ascii="仿宋_GB2312" w:hAnsi="仿宋_GB2312" w:eastAsia="仿宋_GB2312" w:cs="仿宋_GB2312"/>
                <w:bCs/>
                <w:sz w:val="24"/>
                <w:lang w:val="en-US" w:eastAsia="zh-Hans"/>
              </w:rPr>
            </w:pPr>
            <w:r>
              <w:rPr>
                <w:rFonts w:hint="eastAsia" w:ascii="仿宋_GB2312" w:hAnsi="仿宋_GB2312" w:eastAsia="仿宋_GB2312" w:cs="仿宋_GB2312"/>
                <w:bCs/>
                <w:sz w:val="24"/>
                <w:highlight w:val="none"/>
                <w:lang w:val="en-US" w:eastAsia="zh-Hans"/>
              </w:rPr>
              <w:t>一是</w:t>
            </w:r>
            <w:r>
              <w:rPr>
                <w:rFonts w:hint="eastAsia" w:ascii="仿宋_GB2312" w:hAnsi="仿宋_GB2312" w:eastAsia="仿宋_GB2312" w:cs="仿宋_GB2312"/>
                <w:bCs/>
                <w:sz w:val="24"/>
                <w:lang w:val="en-US" w:eastAsia="zh-Hans"/>
              </w:rPr>
              <w:t>根据《</w:t>
            </w:r>
            <w:r>
              <w:rPr>
                <w:rFonts w:hint="eastAsia" w:ascii="仿宋_GB2312" w:hAnsi="仿宋_GB2312" w:eastAsia="仿宋_GB2312" w:cs="仿宋_GB2312"/>
                <w:bCs/>
                <w:sz w:val="24"/>
                <w:lang w:val="en-US" w:eastAsia="zh-CN"/>
              </w:rPr>
              <w:t>广东省住房和城乡建设厅等部门关于加快新型建筑工业化发展的实施意见</w:t>
            </w:r>
            <w:r>
              <w:rPr>
                <w:rFonts w:hint="eastAsia" w:ascii="仿宋_GB2312" w:hAnsi="仿宋_GB2312" w:eastAsia="仿宋_GB2312" w:cs="仿宋_GB2312"/>
                <w:bCs/>
                <w:sz w:val="24"/>
                <w:lang w:val="en-US" w:eastAsia="zh-Hans"/>
              </w:rPr>
              <w:t>》</w:t>
            </w:r>
            <w:r>
              <w:rPr>
                <w:rFonts w:hint="default"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CN"/>
              </w:rPr>
              <w:t>粤建科〔2022〕99号</w:t>
            </w:r>
            <w:r>
              <w:rPr>
                <w:rFonts w:hint="eastAsia" w:ascii="仿宋_GB2312" w:hAnsi="仿宋_GB2312" w:eastAsia="仿宋_GB2312" w:cs="仿宋_GB2312"/>
                <w:bCs/>
                <w:sz w:val="24"/>
                <w:lang w:val="en-US" w:eastAsia="zh-Hans"/>
              </w:rPr>
              <w:t>）要求“</w:t>
            </w:r>
            <w:r>
              <w:rPr>
                <w:rFonts w:hint="eastAsia" w:ascii="仿宋_GB2312" w:hAnsi="仿宋_GB2312" w:eastAsia="仿宋_GB2312" w:cs="仿宋_GB2312"/>
                <w:bCs/>
                <w:sz w:val="24"/>
                <w:lang w:val="en-US" w:eastAsia="zh-CN"/>
              </w:rPr>
              <w:t>适时在建筑工程领域职称评价中增设装配式建筑和建筑信息模型(BIM)专业，打通从业人员职业化发展道路</w:t>
            </w:r>
            <w:r>
              <w:rPr>
                <w:rFonts w:hint="eastAsia"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深圳市</w:t>
            </w:r>
            <w:r>
              <w:rPr>
                <w:rFonts w:hint="eastAsia" w:ascii="仿宋_GB2312" w:hAnsi="仿宋_GB2312" w:eastAsia="仿宋_GB2312" w:cs="仿宋_GB2312"/>
                <w:bCs/>
                <w:sz w:val="24"/>
                <w:lang w:val="en-US" w:eastAsia="zh-Hans"/>
              </w:rPr>
              <w:t>结合建筑信息模型发展实际情况申请设置本专业，纳入建筑工程领域职称评价；</w:t>
            </w:r>
          </w:p>
          <w:p>
            <w:pPr>
              <w:spacing w:line="280" w:lineRule="exact"/>
              <w:rPr>
                <w:rFonts w:hint="eastAsia" w:ascii="Times New Roman" w:hAnsi="Times New Roman" w:eastAsia="宋体" w:cs="Times New Roman"/>
                <w:kern w:val="2"/>
                <w:sz w:val="21"/>
                <w:highlight w:val="none"/>
                <w:lang w:val="en-US" w:eastAsia="zh-Hans" w:bidi="ar-SA"/>
              </w:rPr>
            </w:pPr>
            <w:r>
              <w:rPr>
                <w:rFonts w:hint="eastAsia" w:ascii="仿宋_GB2312" w:hAnsi="仿宋_GB2312" w:eastAsia="仿宋_GB2312" w:cs="仿宋_GB2312"/>
                <w:bCs/>
                <w:sz w:val="24"/>
                <w:lang w:val="en-US" w:eastAsia="zh-Hans"/>
              </w:rPr>
              <w:t>二是</w:t>
            </w:r>
            <w:r>
              <w:rPr>
                <w:rFonts w:hint="eastAsia" w:ascii="仿宋_GB2312" w:hAnsi="仿宋_GB2312" w:eastAsia="仿宋_GB2312" w:cs="仿宋_GB2312"/>
                <w:bCs/>
                <w:sz w:val="24"/>
                <w:highlight w:val="none"/>
                <w:lang w:val="en-US" w:eastAsia="zh-Hans"/>
              </w:rPr>
              <w:t>《人力资源社会保障部</w:t>
            </w:r>
            <w:r>
              <w:rPr>
                <w:rFonts w:hint="default" w:ascii="仿宋_GB2312" w:hAnsi="仿宋_GB2312" w:eastAsia="仿宋_GB2312" w:cs="仿宋_GB2312"/>
                <w:bCs/>
                <w:sz w:val="24"/>
                <w:highlight w:val="none"/>
                <w:lang w:eastAsia="zh-Hans"/>
              </w:rPr>
              <w:t xml:space="preserve"> </w:t>
            </w:r>
            <w:r>
              <w:rPr>
                <w:rFonts w:hint="eastAsia" w:ascii="仿宋_GB2312" w:hAnsi="仿宋_GB2312" w:eastAsia="仿宋_GB2312" w:cs="仿宋_GB2312"/>
                <w:bCs/>
                <w:sz w:val="24"/>
                <w:highlight w:val="none"/>
                <w:lang w:val="en-US" w:eastAsia="zh-Hans"/>
              </w:rPr>
              <w:t>工业和信息化部关于深化工程技术人才职称制度改革的指导意见》</w:t>
            </w:r>
            <w:r>
              <w:rPr>
                <w:rFonts w:hint="default"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Hans"/>
              </w:rPr>
              <w:t>人社部</w:t>
            </w:r>
            <w:r>
              <w:rPr>
                <w:rFonts w:hint="eastAsia" w:ascii="仿宋_GB2312" w:hAnsi="仿宋_GB2312" w:eastAsia="仿宋_GB2312" w:cs="仿宋_GB2312"/>
                <w:bCs/>
                <w:sz w:val="24"/>
                <w:lang w:val="en-US" w:eastAsia="zh-CN"/>
              </w:rPr>
              <w:t>〔20</w:t>
            </w:r>
            <w:r>
              <w:rPr>
                <w:rFonts w:hint="default" w:ascii="仿宋_GB2312" w:hAnsi="仿宋_GB2312" w:eastAsia="仿宋_GB2312" w:cs="仿宋_GB2312"/>
                <w:bCs/>
                <w:sz w:val="24"/>
                <w:lang w:eastAsia="zh-CN"/>
              </w:rPr>
              <w:t>19</w:t>
            </w:r>
            <w:r>
              <w:rPr>
                <w:rFonts w:hint="eastAsia" w:ascii="仿宋_GB2312" w:hAnsi="仿宋_GB2312" w:eastAsia="仿宋_GB2312" w:cs="仿宋_GB2312"/>
                <w:bCs/>
                <w:sz w:val="24"/>
                <w:lang w:val="en-US" w:eastAsia="zh-CN"/>
              </w:rPr>
              <w:t>〕</w:t>
            </w:r>
            <w:r>
              <w:rPr>
                <w:rFonts w:hint="default" w:ascii="仿宋_GB2312" w:hAnsi="仿宋_GB2312" w:eastAsia="仿宋_GB2312" w:cs="仿宋_GB2312"/>
                <w:bCs/>
                <w:sz w:val="24"/>
                <w:lang w:eastAsia="zh-CN"/>
              </w:rPr>
              <w:t>16</w:t>
            </w:r>
            <w:r>
              <w:rPr>
                <w:rFonts w:hint="eastAsia" w:ascii="仿宋_GB2312" w:hAnsi="仿宋_GB2312" w:eastAsia="仿宋_GB2312" w:cs="仿宋_GB2312"/>
                <w:bCs/>
                <w:sz w:val="24"/>
                <w:lang w:val="en-US" w:eastAsia="zh-CN"/>
              </w:rPr>
              <w:t>号</w:t>
            </w:r>
            <w:r>
              <w:rPr>
                <w:rFonts w:hint="eastAsia" w:ascii="仿宋_GB2312" w:hAnsi="仿宋_GB2312" w:eastAsia="仿宋_GB2312" w:cs="仿宋_GB2312"/>
                <w:bCs/>
                <w:sz w:val="24"/>
                <w:lang w:val="en-US" w:eastAsia="zh-Hans"/>
              </w:rPr>
              <w:t>）对工程技术人才职称评价有明确的基本标准条件规定。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19</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实施方案“坚持德才兼备、以德为先”;“突出能力水平和业绩贡献”的评价标准,建议对于一些切实人才,却因所从事行业或公司工作性质等原因,未取得相关前序职称的,若满足更高职称序列职称相关行业贡献要求及业绩要求条件的,经相关行业专家(组)集体立荐,建议允许考虑破格授予更高级别的职称序。</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解释说明</w:t>
            </w:r>
          </w:p>
        </w:tc>
        <w:tc>
          <w:tcPr>
            <w:tcW w:w="6125" w:type="dxa"/>
            <w:noWrap w:val="0"/>
            <w:vAlign w:val="center"/>
          </w:tcPr>
          <w:p>
            <w:pPr>
              <w:spacing w:line="280" w:lineRule="exact"/>
              <w:rPr>
                <w:rFonts w:hint="eastAsia" w:ascii="仿宋_GB2312" w:hAnsi="仿宋_GB2312" w:eastAsia="仿宋_GB2312" w:cs="仿宋_GB2312"/>
                <w:bCs/>
                <w:sz w:val="24"/>
                <w:lang w:val="en-US" w:eastAsia="zh-Hans"/>
              </w:rPr>
            </w:pPr>
            <w:r>
              <w:rPr>
                <w:rFonts w:hint="eastAsia" w:ascii="仿宋_GB2312" w:hAnsi="仿宋_GB2312" w:eastAsia="仿宋_GB2312" w:cs="仿宋_GB2312"/>
                <w:bCs/>
                <w:sz w:val="24"/>
                <w:highlight w:val="none"/>
                <w:lang w:val="en-US" w:eastAsia="zh-Hans"/>
              </w:rPr>
              <w:t>一是</w:t>
            </w:r>
            <w:r>
              <w:rPr>
                <w:rFonts w:hint="eastAsia" w:ascii="仿宋_GB2312" w:hAnsi="仿宋_GB2312" w:eastAsia="仿宋_GB2312" w:cs="仿宋_GB2312"/>
                <w:bCs/>
                <w:sz w:val="24"/>
                <w:lang w:val="en-US" w:eastAsia="zh-Hans"/>
              </w:rPr>
              <w:t>根据《</w:t>
            </w:r>
            <w:r>
              <w:rPr>
                <w:rFonts w:hint="eastAsia" w:ascii="仿宋_GB2312" w:hAnsi="仿宋_GB2312" w:eastAsia="仿宋_GB2312" w:cs="仿宋_GB2312"/>
                <w:bCs/>
                <w:sz w:val="24"/>
                <w:lang w:val="en-US" w:eastAsia="zh-CN"/>
              </w:rPr>
              <w:t>广东省住房和城乡建设厅等部门关于加快新型建筑工业化发展的实施意见</w:t>
            </w:r>
            <w:r>
              <w:rPr>
                <w:rFonts w:hint="eastAsia" w:ascii="仿宋_GB2312" w:hAnsi="仿宋_GB2312" w:eastAsia="仿宋_GB2312" w:cs="仿宋_GB2312"/>
                <w:bCs/>
                <w:sz w:val="24"/>
                <w:lang w:val="en-US" w:eastAsia="zh-Hans"/>
              </w:rPr>
              <w:t>》</w:t>
            </w:r>
            <w:r>
              <w:rPr>
                <w:rFonts w:hint="default"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CN"/>
              </w:rPr>
              <w:t>粤建科〔2022〕99号</w:t>
            </w:r>
            <w:r>
              <w:rPr>
                <w:rFonts w:hint="eastAsia" w:ascii="仿宋_GB2312" w:hAnsi="仿宋_GB2312" w:eastAsia="仿宋_GB2312" w:cs="仿宋_GB2312"/>
                <w:bCs/>
                <w:sz w:val="24"/>
                <w:lang w:val="en-US" w:eastAsia="zh-Hans"/>
              </w:rPr>
              <w:t>）要求“</w:t>
            </w:r>
            <w:r>
              <w:rPr>
                <w:rFonts w:hint="eastAsia" w:ascii="仿宋_GB2312" w:hAnsi="仿宋_GB2312" w:eastAsia="仿宋_GB2312" w:cs="仿宋_GB2312"/>
                <w:bCs/>
                <w:sz w:val="24"/>
                <w:lang w:val="en-US" w:eastAsia="zh-CN"/>
              </w:rPr>
              <w:t>适时在建筑工程领域职称评价中增设装配式建筑和建筑信息模型(BIM)专业，打通从业人员职业化发展道路。</w:t>
            </w:r>
            <w:r>
              <w:rPr>
                <w:rFonts w:hint="eastAsia"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深圳市</w:t>
            </w:r>
            <w:r>
              <w:rPr>
                <w:rFonts w:hint="eastAsia" w:ascii="仿宋_GB2312" w:hAnsi="仿宋_GB2312" w:eastAsia="仿宋_GB2312" w:cs="仿宋_GB2312"/>
                <w:bCs/>
                <w:sz w:val="24"/>
                <w:lang w:val="en-US" w:eastAsia="zh-Hans"/>
              </w:rPr>
              <w:t>结合建筑信息模型发展实际情况申请设置本专业，纳入建筑工程领域职称评价；</w:t>
            </w:r>
          </w:p>
          <w:p>
            <w:pPr>
              <w:spacing w:line="280" w:lineRule="exact"/>
              <w:rPr>
                <w:rFonts w:hint="eastAsia" w:ascii="Times New Roman" w:hAnsi="Times New Roman" w:eastAsia="宋体" w:cs="Times New Roman"/>
                <w:kern w:val="2"/>
                <w:sz w:val="21"/>
                <w:highlight w:val="none"/>
                <w:lang w:val="en-US" w:eastAsia="zh-CN" w:bidi="ar-SA"/>
              </w:rPr>
            </w:pPr>
            <w:r>
              <w:rPr>
                <w:rFonts w:hint="default" w:ascii="仿宋_GB2312" w:hAnsi="仿宋_GB2312" w:eastAsia="仿宋_GB2312" w:cs="仿宋_GB2312"/>
                <w:bCs/>
                <w:sz w:val="24"/>
                <w:lang w:val="en" w:eastAsia="zh-Hans"/>
              </w:rPr>
              <w:t>二</w:t>
            </w:r>
            <w:bookmarkStart w:id="0" w:name="_GoBack"/>
            <w:bookmarkEnd w:id="0"/>
            <w:r>
              <w:rPr>
                <w:rFonts w:hint="eastAsia" w:ascii="仿宋_GB2312" w:hAnsi="仿宋_GB2312" w:eastAsia="仿宋_GB2312" w:cs="仿宋_GB2312"/>
                <w:bCs/>
                <w:sz w:val="24"/>
                <w:lang w:val="en-US" w:eastAsia="zh-Hans"/>
              </w:rPr>
              <w:t>是</w:t>
            </w:r>
            <w:r>
              <w:rPr>
                <w:rFonts w:hint="eastAsia" w:ascii="仿宋_GB2312" w:hAnsi="仿宋_GB2312" w:eastAsia="仿宋_GB2312" w:cs="仿宋_GB2312"/>
                <w:bCs/>
                <w:sz w:val="24"/>
                <w:highlight w:val="none"/>
                <w:lang w:val="en-US" w:eastAsia="zh-Hans"/>
              </w:rPr>
              <w:t>《人力资源社会保障部</w:t>
            </w:r>
            <w:r>
              <w:rPr>
                <w:rFonts w:hint="default" w:ascii="仿宋_GB2312" w:hAnsi="仿宋_GB2312" w:eastAsia="仿宋_GB2312" w:cs="仿宋_GB2312"/>
                <w:bCs/>
                <w:sz w:val="24"/>
                <w:highlight w:val="none"/>
                <w:lang w:eastAsia="zh-Hans"/>
              </w:rPr>
              <w:t xml:space="preserve"> </w:t>
            </w:r>
            <w:r>
              <w:rPr>
                <w:rFonts w:hint="eastAsia" w:ascii="仿宋_GB2312" w:hAnsi="仿宋_GB2312" w:eastAsia="仿宋_GB2312" w:cs="仿宋_GB2312"/>
                <w:bCs/>
                <w:sz w:val="24"/>
                <w:highlight w:val="none"/>
                <w:lang w:val="en-US" w:eastAsia="zh-Hans"/>
              </w:rPr>
              <w:t>工业和信息化部关于深化工程技术人才职称制度改革的指导意见》</w:t>
            </w:r>
            <w:r>
              <w:rPr>
                <w:rFonts w:hint="default"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Hans"/>
              </w:rPr>
              <w:t>人社部</w:t>
            </w:r>
            <w:r>
              <w:rPr>
                <w:rFonts w:hint="eastAsia" w:ascii="仿宋_GB2312" w:hAnsi="仿宋_GB2312" w:eastAsia="仿宋_GB2312" w:cs="仿宋_GB2312"/>
                <w:bCs/>
                <w:sz w:val="24"/>
                <w:lang w:val="en-US" w:eastAsia="zh-CN"/>
              </w:rPr>
              <w:t>〔20</w:t>
            </w:r>
            <w:r>
              <w:rPr>
                <w:rFonts w:hint="default" w:ascii="仿宋_GB2312" w:hAnsi="仿宋_GB2312" w:eastAsia="仿宋_GB2312" w:cs="仿宋_GB2312"/>
                <w:bCs/>
                <w:sz w:val="24"/>
                <w:lang w:eastAsia="zh-CN"/>
              </w:rPr>
              <w:t>19</w:t>
            </w:r>
            <w:r>
              <w:rPr>
                <w:rFonts w:hint="eastAsia" w:ascii="仿宋_GB2312" w:hAnsi="仿宋_GB2312" w:eastAsia="仿宋_GB2312" w:cs="仿宋_GB2312"/>
                <w:bCs/>
                <w:sz w:val="24"/>
                <w:lang w:val="en-US" w:eastAsia="zh-CN"/>
              </w:rPr>
              <w:t>〕</w:t>
            </w:r>
            <w:r>
              <w:rPr>
                <w:rFonts w:hint="default" w:ascii="仿宋_GB2312" w:hAnsi="仿宋_GB2312" w:eastAsia="仿宋_GB2312" w:cs="仿宋_GB2312"/>
                <w:bCs/>
                <w:sz w:val="24"/>
                <w:lang w:eastAsia="zh-CN"/>
              </w:rPr>
              <w:t>16</w:t>
            </w:r>
            <w:r>
              <w:rPr>
                <w:rFonts w:hint="eastAsia" w:ascii="仿宋_GB2312" w:hAnsi="仿宋_GB2312" w:eastAsia="仿宋_GB2312" w:cs="仿宋_GB2312"/>
                <w:bCs/>
                <w:sz w:val="24"/>
                <w:lang w:val="en-US" w:eastAsia="zh-CN"/>
              </w:rPr>
              <w:t>号</w:t>
            </w:r>
            <w:r>
              <w:rPr>
                <w:rFonts w:hint="eastAsia" w:ascii="仿宋_GB2312" w:hAnsi="仿宋_GB2312" w:eastAsia="仿宋_GB2312" w:cs="仿宋_GB2312"/>
                <w:bCs/>
                <w:sz w:val="24"/>
                <w:lang w:val="en-US" w:eastAsia="zh-Hans"/>
              </w:rPr>
              <w:t>）对工程技术人才职称评价有明确的基本标准条件规定。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建议将国家、省、市级BIM大赛获奖情况也作为职称评价的优选条件。</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采纳</w:t>
            </w:r>
          </w:p>
        </w:tc>
        <w:tc>
          <w:tcPr>
            <w:tcW w:w="6125" w:type="dxa"/>
            <w:noWrap w:val="0"/>
            <w:vAlign w:val="top"/>
          </w:tcPr>
          <w:p>
            <w:pPr>
              <w:spacing w:line="280" w:lineRule="exact"/>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21</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人员业绩要求中，建议除工程项目业绩以外，增加项目BIM获奖。</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采纳</w:t>
            </w:r>
          </w:p>
        </w:tc>
        <w:tc>
          <w:tcPr>
            <w:tcW w:w="6125" w:type="dxa"/>
            <w:noWrap w:val="0"/>
            <w:vAlign w:val="top"/>
          </w:tcPr>
          <w:p>
            <w:pPr>
              <w:spacing w:line="280" w:lineRule="exact"/>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22</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职称评定方面，建议助理工程师评定可否在取得专科学历、从事两年后直接评定；“工程师”中，取得本科学历，可否取消助理工程师的基础条件，从事四年直接评定工程师；“工程师”中，取得本科学历，可否在现有工程职称评定基础上继续升级评定。</w:t>
            </w:r>
          </w:p>
        </w:tc>
        <w:tc>
          <w:tcPr>
            <w:tcW w:w="1567" w:type="dxa"/>
            <w:noWrap w:val="0"/>
            <w:vAlign w:val="center"/>
          </w:tcPr>
          <w:p>
            <w:pPr>
              <w:spacing w:line="280" w:lineRule="exact"/>
              <w:jc w:val="center"/>
              <w:rPr>
                <w:rFonts w:hint="default"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解释说明</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bCs/>
                <w:sz w:val="24"/>
                <w:highlight w:val="none"/>
                <w:lang w:val="en-US" w:eastAsia="zh-Hans"/>
              </w:rPr>
              <w:t>《人力资源社会保障部</w:t>
            </w:r>
            <w:r>
              <w:rPr>
                <w:rFonts w:hint="default" w:ascii="仿宋_GB2312" w:hAnsi="仿宋_GB2312" w:eastAsia="仿宋_GB2312" w:cs="仿宋_GB2312"/>
                <w:bCs/>
                <w:sz w:val="24"/>
                <w:highlight w:val="none"/>
                <w:lang w:eastAsia="zh-Hans"/>
              </w:rPr>
              <w:t xml:space="preserve"> </w:t>
            </w:r>
            <w:r>
              <w:rPr>
                <w:rFonts w:hint="eastAsia" w:ascii="仿宋_GB2312" w:hAnsi="仿宋_GB2312" w:eastAsia="仿宋_GB2312" w:cs="仿宋_GB2312"/>
                <w:bCs/>
                <w:sz w:val="24"/>
                <w:highlight w:val="none"/>
                <w:lang w:val="en-US" w:eastAsia="zh-Hans"/>
              </w:rPr>
              <w:t>工业和信息化部关于深化工程技术人才职称制度改革的指导意见》</w:t>
            </w:r>
            <w:r>
              <w:rPr>
                <w:rFonts w:hint="default"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Hans"/>
              </w:rPr>
              <w:t>人社部</w:t>
            </w:r>
            <w:r>
              <w:rPr>
                <w:rFonts w:hint="eastAsia" w:ascii="仿宋_GB2312" w:hAnsi="仿宋_GB2312" w:eastAsia="仿宋_GB2312" w:cs="仿宋_GB2312"/>
                <w:bCs/>
                <w:sz w:val="24"/>
                <w:lang w:val="en-US" w:eastAsia="zh-CN"/>
              </w:rPr>
              <w:t>〔20</w:t>
            </w:r>
            <w:r>
              <w:rPr>
                <w:rFonts w:hint="default" w:ascii="仿宋_GB2312" w:hAnsi="仿宋_GB2312" w:eastAsia="仿宋_GB2312" w:cs="仿宋_GB2312"/>
                <w:bCs/>
                <w:sz w:val="24"/>
                <w:lang w:eastAsia="zh-CN"/>
              </w:rPr>
              <w:t>19</w:t>
            </w:r>
            <w:r>
              <w:rPr>
                <w:rFonts w:hint="eastAsia" w:ascii="仿宋_GB2312" w:hAnsi="仿宋_GB2312" w:eastAsia="仿宋_GB2312" w:cs="仿宋_GB2312"/>
                <w:bCs/>
                <w:sz w:val="24"/>
                <w:lang w:val="en-US" w:eastAsia="zh-CN"/>
              </w:rPr>
              <w:t>〕</w:t>
            </w:r>
            <w:r>
              <w:rPr>
                <w:rFonts w:hint="default" w:ascii="仿宋_GB2312" w:hAnsi="仿宋_GB2312" w:eastAsia="仿宋_GB2312" w:cs="仿宋_GB2312"/>
                <w:bCs/>
                <w:sz w:val="24"/>
                <w:lang w:eastAsia="zh-CN"/>
              </w:rPr>
              <w:t>16</w:t>
            </w:r>
            <w:r>
              <w:rPr>
                <w:rFonts w:hint="eastAsia" w:ascii="仿宋_GB2312" w:hAnsi="仿宋_GB2312" w:eastAsia="仿宋_GB2312" w:cs="仿宋_GB2312"/>
                <w:bCs/>
                <w:sz w:val="24"/>
                <w:lang w:val="en-US" w:eastAsia="zh-CN"/>
              </w:rPr>
              <w:t>号</w:t>
            </w:r>
            <w:r>
              <w:rPr>
                <w:rFonts w:hint="eastAsia" w:ascii="仿宋_GB2312" w:hAnsi="仿宋_GB2312" w:eastAsia="仿宋_GB2312" w:cs="仿宋_GB2312"/>
                <w:bCs/>
                <w:sz w:val="24"/>
                <w:lang w:val="en-US" w:eastAsia="zh-Hans"/>
              </w:rPr>
              <w:t>）对工程技术人才职称评价有明确的基本标准条件规定。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23</w:t>
            </w:r>
          </w:p>
        </w:tc>
        <w:tc>
          <w:tcPr>
            <w:tcW w:w="6048" w:type="dxa"/>
            <w:noWrap w:val="0"/>
            <w:vAlign w:val="center"/>
          </w:tcPr>
          <w:p>
            <w:pPr>
              <w:spacing w:line="280" w:lineRule="exac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职称评定中，建议考虑现有情况，目前大部分从业人员均都没有相应的职称，但已经达到工程师水平的，条件不应限制“取得助理工程师职称”。</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解释说明</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bCs/>
                <w:sz w:val="24"/>
                <w:highlight w:val="none"/>
                <w:lang w:val="en-US" w:eastAsia="zh-Hans"/>
              </w:rPr>
              <w:t>《人力资源社会保障部</w:t>
            </w:r>
            <w:r>
              <w:rPr>
                <w:rFonts w:hint="default" w:ascii="仿宋_GB2312" w:hAnsi="仿宋_GB2312" w:eastAsia="仿宋_GB2312" w:cs="仿宋_GB2312"/>
                <w:bCs/>
                <w:sz w:val="24"/>
                <w:highlight w:val="none"/>
                <w:lang w:eastAsia="zh-Hans"/>
              </w:rPr>
              <w:t xml:space="preserve"> </w:t>
            </w:r>
            <w:r>
              <w:rPr>
                <w:rFonts w:hint="eastAsia" w:ascii="仿宋_GB2312" w:hAnsi="仿宋_GB2312" w:eastAsia="仿宋_GB2312" w:cs="仿宋_GB2312"/>
                <w:bCs/>
                <w:sz w:val="24"/>
                <w:highlight w:val="none"/>
                <w:lang w:val="en-US" w:eastAsia="zh-Hans"/>
              </w:rPr>
              <w:t>工业和信息化部关于深化工程技术人才职称制度改革的指导意见》</w:t>
            </w:r>
            <w:r>
              <w:rPr>
                <w:rFonts w:hint="default"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Hans"/>
              </w:rPr>
              <w:t>人社部</w:t>
            </w:r>
            <w:r>
              <w:rPr>
                <w:rFonts w:hint="eastAsia" w:ascii="仿宋_GB2312" w:hAnsi="仿宋_GB2312" w:eastAsia="仿宋_GB2312" w:cs="仿宋_GB2312"/>
                <w:bCs/>
                <w:sz w:val="24"/>
                <w:lang w:val="en-US" w:eastAsia="zh-CN"/>
              </w:rPr>
              <w:t>〔20</w:t>
            </w:r>
            <w:r>
              <w:rPr>
                <w:rFonts w:hint="default" w:ascii="仿宋_GB2312" w:hAnsi="仿宋_GB2312" w:eastAsia="仿宋_GB2312" w:cs="仿宋_GB2312"/>
                <w:bCs/>
                <w:sz w:val="24"/>
                <w:lang w:eastAsia="zh-CN"/>
              </w:rPr>
              <w:t>19</w:t>
            </w:r>
            <w:r>
              <w:rPr>
                <w:rFonts w:hint="eastAsia" w:ascii="仿宋_GB2312" w:hAnsi="仿宋_GB2312" w:eastAsia="仿宋_GB2312" w:cs="仿宋_GB2312"/>
                <w:bCs/>
                <w:sz w:val="24"/>
                <w:lang w:val="en-US" w:eastAsia="zh-CN"/>
              </w:rPr>
              <w:t>〕</w:t>
            </w:r>
            <w:r>
              <w:rPr>
                <w:rFonts w:hint="default" w:ascii="仿宋_GB2312" w:hAnsi="仿宋_GB2312" w:eastAsia="仿宋_GB2312" w:cs="仿宋_GB2312"/>
                <w:bCs/>
                <w:sz w:val="24"/>
                <w:lang w:eastAsia="zh-CN"/>
              </w:rPr>
              <w:t>16</w:t>
            </w:r>
            <w:r>
              <w:rPr>
                <w:rFonts w:hint="eastAsia" w:ascii="仿宋_GB2312" w:hAnsi="仿宋_GB2312" w:eastAsia="仿宋_GB2312" w:cs="仿宋_GB2312"/>
                <w:bCs/>
                <w:sz w:val="24"/>
                <w:lang w:val="en-US" w:eastAsia="zh-CN"/>
              </w:rPr>
              <w:t>号</w:t>
            </w:r>
            <w:r>
              <w:rPr>
                <w:rFonts w:hint="eastAsia" w:ascii="仿宋_GB2312" w:hAnsi="仿宋_GB2312" w:eastAsia="仿宋_GB2312" w:cs="仿宋_GB2312"/>
                <w:bCs/>
                <w:sz w:val="24"/>
                <w:lang w:val="en-US" w:eastAsia="zh-Hans"/>
              </w:rPr>
              <w:t>）对工程技术人才职称评价有明确的基本标准条件规定。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24</w:t>
            </w:r>
          </w:p>
        </w:tc>
        <w:tc>
          <w:tcPr>
            <w:tcW w:w="6048" w:type="dxa"/>
            <w:noWrap w:val="0"/>
            <w:vAlign w:val="center"/>
          </w:tcPr>
          <w:p>
            <w:pPr>
              <w:spacing w:line="280" w:lineRule="exac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建议评定条件“学术成果条件”增加参编行业、地方标准1部以上。</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采纳</w:t>
            </w:r>
          </w:p>
        </w:tc>
        <w:tc>
          <w:tcPr>
            <w:tcW w:w="6125" w:type="dxa"/>
            <w:noWrap w:val="0"/>
            <w:vAlign w:val="top"/>
          </w:tcPr>
          <w:p>
            <w:pPr>
              <w:spacing w:line="280" w:lineRule="exact"/>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25</w:t>
            </w:r>
          </w:p>
        </w:tc>
        <w:tc>
          <w:tcPr>
            <w:tcW w:w="6048" w:type="dxa"/>
            <w:noWrap w:val="0"/>
            <w:vAlign w:val="center"/>
          </w:tcPr>
          <w:p>
            <w:pPr>
              <w:spacing w:line="280" w:lineRule="exac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建议建筑信息模型化领域专业设置增加建筑信息模型管理专业。</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不采纳</w:t>
            </w:r>
          </w:p>
        </w:tc>
        <w:tc>
          <w:tcPr>
            <w:tcW w:w="6125" w:type="dxa"/>
            <w:noWrap w:val="0"/>
            <w:vAlign w:val="center"/>
          </w:tcPr>
          <w:p>
            <w:pPr>
              <w:spacing w:line="280" w:lineRule="exact"/>
              <w:jc w:val="both"/>
              <w:rPr>
                <w:rFonts w:hint="default"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lang w:val="en-US" w:eastAsia="zh-CN"/>
              </w:rPr>
              <w:t>经行业调研目前对于</w:t>
            </w:r>
            <w:r>
              <w:rPr>
                <w:rFonts w:hint="eastAsia" w:ascii="仿宋_GB2312" w:hAnsi="仿宋_GB2312" w:eastAsia="仿宋_GB2312" w:cs="仿宋_GB2312"/>
                <w:sz w:val="24"/>
                <w:szCs w:val="24"/>
                <w:highlight w:val="none"/>
                <w:lang w:val="en-US" w:eastAsia="zh-Hans"/>
              </w:rPr>
              <w:t>建筑信息模型管理</w:t>
            </w:r>
            <w:r>
              <w:rPr>
                <w:rFonts w:hint="eastAsia" w:ascii="仿宋_GB2312" w:hAnsi="仿宋_GB2312" w:eastAsia="仿宋_GB2312" w:cs="仿宋_GB2312"/>
                <w:sz w:val="24"/>
                <w:szCs w:val="24"/>
                <w:highlight w:val="none"/>
                <w:lang w:val="en-US" w:eastAsia="zh-CN"/>
              </w:rPr>
              <w:t>专业，从</w:t>
            </w:r>
            <w:r>
              <w:rPr>
                <w:rFonts w:hint="eastAsia" w:ascii="仿宋_GB2312" w:hAnsi="仿宋_GB2312" w:eastAsia="仿宋_GB2312" w:cs="仿宋_GB2312"/>
                <w:sz w:val="24"/>
                <w:szCs w:val="24"/>
                <w:highlight w:val="none"/>
                <w:lang w:val="en-US" w:eastAsia="zh-Hans"/>
              </w:rPr>
              <w:t>工作内容和业绩成果</w:t>
            </w:r>
            <w:r>
              <w:rPr>
                <w:rFonts w:hint="eastAsia" w:ascii="仿宋_GB2312" w:hAnsi="仿宋_GB2312" w:eastAsia="仿宋_GB2312" w:cs="仿宋_GB2312"/>
                <w:sz w:val="24"/>
                <w:szCs w:val="24"/>
                <w:highlight w:val="none"/>
                <w:lang w:val="en-US" w:eastAsia="zh-CN"/>
              </w:rPr>
              <w:t>上无法判断和评定</w:t>
            </w:r>
            <w:r>
              <w:rPr>
                <w:rFonts w:hint="eastAsia" w:ascii="仿宋_GB2312" w:hAnsi="仿宋_GB2312" w:eastAsia="仿宋_GB2312" w:cs="仿宋_GB2312"/>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26</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建议“评审绿色通道”中，取消“取得助理工程师职称”限制，该要求限制当前已获得相关奖项人员的申报。</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解释说明</w:t>
            </w:r>
          </w:p>
        </w:tc>
        <w:tc>
          <w:tcPr>
            <w:tcW w:w="6125" w:type="dxa"/>
            <w:noWrap w:val="0"/>
            <w:vAlign w:val="center"/>
          </w:tcPr>
          <w:p>
            <w:pPr>
              <w:spacing w:line="280" w:lineRule="exact"/>
              <w:jc w:val="both"/>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bCs/>
                <w:sz w:val="24"/>
                <w:highlight w:val="none"/>
                <w:lang w:val="en-US" w:eastAsia="zh-Hans"/>
              </w:rPr>
              <w:t>《人力资源社会保障部</w:t>
            </w:r>
            <w:r>
              <w:rPr>
                <w:rFonts w:hint="default" w:ascii="仿宋_GB2312" w:hAnsi="仿宋_GB2312" w:eastAsia="仿宋_GB2312" w:cs="仿宋_GB2312"/>
                <w:bCs/>
                <w:sz w:val="24"/>
                <w:highlight w:val="none"/>
                <w:lang w:eastAsia="zh-Hans"/>
              </w:rPr>
              <w:t xml:space="preserve"> </w:t>
            </w:r>
            <w:r>
              <w:rPr>
                <w:rFonts w:hint="eastAsia" w:ascii="仿宋_GB2312" w:hAnsi="仿宋_GB2312" w:eastAsia="仿宋_GB2312" w:cs="仿宋_GB2312"/>
                <w:bCs/>
                <w:sz w:val="24"/>
                <w:highlight w:val="none"/>
                <w:lang w:val="en-US" w:eastAsia="zh-Hans"/>
              </w:rPr>
              <w:t>工业和信息化部关于深化工程技术人才职称制度改革的指导意见》</w:t>
            </w:r>
            <w:r>
              <w:rPr>
                <w:rFonts w:hint="default"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Hans"/>
              </w:rPr>
              <w:t>人社部</w:t>
            </w:r>
            <w:r>
              <w:rPr>
                <w:rFonts w:hint="eastAsia" w:ascii="仿宋_GB2312" w:hAnsi="仿宋_GB2312" w:eastAsia="仿宋_GB2312" w:cs="仿宋_GB2312"/>
                <w:bCs/>
                <w:sz w:val="24"/>
                <w:lang w:val="en-US" w:eastAsia="zh-CN"/>
              </w:rPr>
              <w:t>〔20</w:t>
            </w:r>
            <w:r>
              <w:rPr>
                <w:rFonts w:hint="default" w:ascii="仿宋_GB2312" w:hAnsi="仿宋_GB2312" w:eastAsia="仿宋_GB2312" w:cs="仿宋_GB2312"/>
                <w:bCs/>
                <w:sz w:val="24"/>
                <w:lang w:eastAsia="zh-CN"/>
              </w:rPr>
              <w:t>19</w:t>
            </w:r>
            <w:r>
              <w:rPr>
                <w:rFonts w:hint="eastAsia" w:ascii="仿宋_GB2312" w:hAnsi="仿宋_GB2312" w:eastAsia="仿宋_GB2312" w:cs="仿宋_GB2312"/>
                <w:bCs/>
                <w:sz w:val="24"/>
                <w:lang w:val="en-US" w:eastAsia="zh-CN"/>
              </w:rPr>
              <w:t>〕</w:t>
            </w:r>
            <w:r>
              <w:rPr>
                <w:rFonts w:hint="default" w:ascii="仿宋_GB2312" w:hAnsi="仿宋_GB2312" w:eastAsia="仿宋_GB2312" w:cs="仿宋_GB2312"/>
                <w:bCs/>
                <w:sz w:val="24"/>
                <w:lang w:eastAsia="zh-CN"/>
              </w:rPr>
              <w:t>16</w:t>
            </w:r>
            <w:r>
              <w:rPr>
                <w:rFonts w:hint="eastAsia" w:ascii="仿宋_GB2312" w:hAnsi="仿宋_GB2312" w:eastAsia="仿宋_GB2312" w:cs="仿宋_GB2312"/>
                <w:bCs/>
                <w:sz w:val="24"/>
                <w:lang w:val="en-US" w:eastAsia="zh-CN"/>
              </w:rPr>
              <w:t>号</w:t>
            </w:r>
            <w:r>
              <w:rPr>
                <w:rFonts w:hint="eastAsia" w:ascii="仿宋_GB2312" w:hAnsi="仿宋_GB2312" w:eastAsia="仿宋_GB2312" w:cs="仿宋_GB2312"/>
                <w:bCs/>
                <w:sz w:val="24"/>
                <w:lang w:val="en-US" w:eastAsia="zh-Hans"/>
              </w:rPr>
              <w:t>）对工程技术人才职称评价有明确的基本标准条件规定。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27</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建议“附录：有关词语和概念解释”中“建筑工程”增加建筑幕墙和装配式专业。</w:t>
            </w:r>
          </w:p>
        </w:tc>
        <w:tc>
          <w:tcPr>
            <w:tcW w:w="1567" w:type="dxa"/>
            <w:noWrap w:val="0"/>
            <w:vAlign w:val="center"/>
          </w:tcPr>
          <w:p>
            <w:pPr>
              <w:spacing w:line="280" w:lineRule="exact"/>
              <w:jc w:val="center"/>
              <w:rPr>
                <w:rFonts w:hint="default"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解释说明</w:t>
            </w:r>
          </w:p>
        </w:tc>
        <w:tc>
          <w:tcPr>
            <w:tcW w:w="6125" w:type="dxa"/>
            <w:noWrap w:val="0"/>
            <w:vAlign w:val="top"/>
          </w:tcPr>
          <w:p>
            <w:pPr>
              <w:spacing w:line="280" w:lineRule="exac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bCs/>
                <w:sz w:val="24"/>
                <w:lang w:val="en-US" w:eastAsia="zh-Hans"/>
              </w:rPr>
              <w:t>广东省人力资源和社会保障厅</w:t>
            </w:r>
            <w:r>
              <w:rPr>
                <w:rFonts w:hint="eastAsia" w:ascii="仿宋_GB2312" w:hAnsi="仿宋_GB2312" w:eastAsia="仿宋_GB2312" w:cs="仿宋_GB2312"/>
                <w:bCs/>
                <w:sz w:val="24"/>
                <w:lang w:eastAsia="zh-Hans"/>
              </w:rPr>
              <w:t>、</w:t>
            </w:r>
            <w:r>
              <w:rPr>
                <w:rFonts w:hint="eastAsia" w:ascii="仿宋_GB2312" w:hAnsi="仿宋_GB2312" w:eastAsia="仿宋_GB2312" w:cs="仿宋_GB2312"/>
                <w:bCs/>
                <w:sz w:val="24"/>
                <w:lang w:val="en-US" w:eastAsia="zh-Hans"/>
              </w:rPr>
              <w:t>广东省住房和城乡建设厅印发的《广东省建筑工程技术人才职称评价改革实施方案》</w:t>
            </w:r>
            <w:r>
              <w:rPr>
                <w:rFonts w:hint="default"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粤</w:t>
            </w:r>
            <w:r>
              <w:rPr>
                <w:rFonts w:hint="eastAsia" w:ascii="仿宋_GB2312" w:hAnsi="仿宋_GB2312" w:eastAsia="仿宋_GB2312" w:cs="仿宋_GB2312"/>
                <w:bCs/>
                <w:sz w:val="24"/>
                <w:lang w:val="en-US" w:eastAsia="zh-Hans"/>
              </w:rPr>
              <w:t>人社规</w:t>
            </w:r>
            <w:r>
              <w:rPr>
                <w:rFonts w:hint="eastAsia" w:ascii="仿宋_GB2312" w:hAnsi="仿宋_GB2312" w:eastAsia="仿宋_GB2312" w:cs="仿宋_GB2312"/>
                <w:bCs/>
                <w:sz w:val="24"/>
                <w:lang w:val="en-US" w:eastAsia="zh-CN"/>
              </w:rPr>
              <w:t>〔20</w:t>
            </w:r>
            <w:r>
              <w:rPr>
                <w:rFonts w:hint="default" w:ascii="仿宋_GB2312" w:hAnsi="仿宋_GB2312" w:eastAsia="仿宋_GB2312" w:cs="仿宋_GB2312"/>
                <w:bCs/>
                <w:sz w:val="24"/>
                <w:lang w:eastAsia="zh-CN"/>
              </w:rPr>
              <w:t>19</w:t>
            </w:r>
            <w:r>
              <w:rPr>
                <w:rFonts w:hint="eastAsia" w:ascii="仿宋_GB2312" w:hAnsi="仿宋_GB2312" w:eastAsia="仿宋_GB2312" w:cs="仿宋_GB2312"/>
                <w:bCs/>
                <w:sz w:val="24"/>
                <w:lang w:val="en-US" w:eastAsia="zh-CN"/>
              </w:rPr>
              <w:t>〕</w:t>
            </w:r>
            <w:r>
              <w:rPr>
                <w:rFonts w:hint="default" w:ascii="仿宋_GB2312" w:hAnsi="仿宋_GB2312" w:eastAsia="仿宋_GB2312" w:cs="仿宋_GB2312"/>
                <w:bCs/>
                <w:sz w:val="24"/>
                <w:lang w:eastAsia="zh-CN"/>
              </w:rPr>
              <w:t>33</w:t>
            </w:r>
            <w:r>
              <w:rPr>
                <w:rFonts w:hint="eastAsia" w:ascii="仿宋_GB2312" w:hAnsi="仿宋_GB2312" w:eastAsia="仿宋_GB2312" w:cs="仿宋_GB2312"/>
                <w:bCs/>
                <w:sz w:val="24"/>
                <w:lang w:val="en-US" w:eastAsia="zh-CN"/>
              </w:rPr>
              <w:t>号</w:t>
            </w:r>
            <w:r>
              <w:rPr>
                <w:rFonts w:hint="eastAsia"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已明确建筑工程技术人才职称专业。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28</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建议同时评定两个职称方向，一个专业职称，一个新BIM职称。为了评定考核，应制定实操评分，测试建模能力等评定标准。</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解释说明</w:t>
            </w:r>
          </w:p>
        </w:tc>
        <w:tc>
          <w:tcPr>
            <w:tcW w:w="6125" w:type="dxa"/>
            <w:noWrap w:val="0"/>
            <w:vAlign w:val="top"/>
          </w:tcPr>
          <w:p>
            <w:pPr>
              <w:spacing w:line="280" w:lineRule="exact"/>
              <w:jc w:val="both"/>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Hans"/>
              </w:rPr>
              <w:t>一是根据《</w:t>
            </w:r>
            <w:r>
              <w:rPr>
                <w:rFonts w:hint="eastAsia" w:ascii="仿宋_GB2312" w:hAnsi="仿宋_GB2312" w:eastAsia="仿宋_GB2312" w:cs="仿宋_GB2312"/>
                <w:bCs/>
                <w:sz w:val="24"/>
                <w:lang w:val="en-US" w:eastAsia="zh-CN"/>
              </w:rPr>
              <w:t>广东省住房和城乡建设厅等部门关于加快新型建筑工业化发展的实施意见</w:t>
            </w:r>
            <w:r>
              <w:rPr>
                <w:rFonts w:hint="eastAsia" w:ascii="仿宋_GB2312" w:hAnsi="仿宋_GB2312" w:eastAsia="仿宋_GB2312" w:cs="仿宋_GB2312"/>
                <w:bCs/>
                <w:sz w:val="24"/>
                <w:lang w:val="en-US" w:eastAsia="zh-Hans"/>
              </w:rPr>
              <w:t>》</w:t>
            </w:r>
            <w:r>
              <w:rPr>
                <w:rFonts w:hint="default"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粤建科〔2022〕99号</w:t>
            </w:r>
            <w:r>
              <w:rPr>
                <w:rFonts w:hint="eastAsia" w:ascii="仿宋_GB2312" w:hAnsi="仿宋_GB2312" w:eastAsia="仿宋_GB2312" w:cs="仿宋_GB2312"/>
                <w:bCs/>
                <w:sz w:val="24"/>
                <w:lang w:val="en-US" w:eastAsia="zh-Hans"/>
              </w:rPr>
              <w:t>）明确提出“</w:t>
            </w:r>
            <w:r>
              <w:rPr>
                <w:rFonts w:hint="eastAsia" w:ascii="仿宋_GB2312" w:hAnsi="仿宋_GB2312" w:eastAsia="仿宋_GB2312" w:cs="仿宋_GB2312"/>
                <w:bCs/>
                <w:sz w:val="24"/>
                <w:lang w:val="en-US" w:eastAsia="zh-CN"/>
              </w:rPr>
              <w:t>适时在建筑工程领域职称评价中增设装配式建筑和建筑信息模型(BIM)专业，打通从业人员职业化发展道路</w:t>
            </w:r>
            <w:r>
              <w:rPr>
                <w:rFonts w:hint="eastAsia" w:ascii="仿宋_GB2312" w:hAnsi="仿宋_GB2312" w:eastAsia="仿宋_GB2312" w:cs="仿宋_GB2312"/>
                <w:bCs/>
                <w:sz w:val="24"/>
                <w:lang w:val="en-US" w:eastAsia="zh-Hans"/>
              </w:rPr>
              <w:t>”。</w:t>
            </w:r>
            <w:r>
              <w:rPr>
                <w:rFonts w:hint="eastAsia" w:ascii="仿宋_GB2312" w:hAnsi="仿宋_GB2312" w:eastAsia="仿宋_GB2312" w:cs="仿宋_GB2312"/>
                <w:bCs/>
                <w:sz w:val="24"/>
                <w:lang w:val="en-US" w:eastAsia="zh-CN"/>
              </w:rPr>
              <w:t>深圳市</w:t>
            </w:r>
            <w:r>
              <w:rPr>
                <w:rFonts w:hint="eastAsia" w:ascii="仿宋_GB2312" w:hAnsi="仿宋_GB2312" w:eastAsia="仿宋_GB2312" w:cs="仿宋_GB2312"/>
                <w:bCs/>
                <w:sz w:val="24"/>
                <w:lang w:val="en-US" w:eastAsia="zh-Hans"/>
              </w:rPr>
              <w:t>结合建筑信息模型发展实际情况申请设置本专业，纳入建筑工程领域职称评价</w:t>
            </w:r>
            <w:r>
              <w:rPr>
                <w:rFonts w:hint="eastAsia" w:ascii="仿宋_GB2312" w:hAnsi="仿宋_GB2312" w:eastAsia="仿宋_GB2312" w:cs="仿宋_GB2312"/>
                <w:bCs/>
                <w:sz w:val="24"/>
                <w:lang w:val="en-US" w:eastAsia="zh-CN"/>
              </w:rPr>
              <w:t>；</w:t>
            </w:r>
          </w:p>
          <w:p>
            <w:pPr>
              <w:spacing w:line="280" w:lineRule="exact"/>
              <w:jc w:val="both"/>
              <w:rPr>
                <w:rFonts w:hint="default" w:ascii="仿宋_GB2312" w:hAnsi="仿宋_GB2312" w:eastAsia="仿宋_GB2312" w:cs="仿宋_GB2312"/>
                <w:sz w:val="24"/>
                <w:szCs w:val="24"/>
                <w:highlight w:val="none"/>
                <w:lang w:val="en-US" w:eastAsia="zh-Hans"/>
              </w:rPr>
            </w:pPr>
            <w:r>
              <w:rPr>
                <w:rFonts w:hint="eastAsia" w:ascii="仿宋_GB2312" w:hAnsi="仿宋_GB2312" w:eastAsia="仿宋_GB2312" w:cs="仿宋_GB2312"/>
                <w:bCs/>
                <w:sz w:val="24"/>
                <w:lang w:val="en-US" w:eastAsia="zh-Hans"/>
              </w:rPr>
              <w:t>二是</w:t>
            </w:r>
            <w:r>
              <w:rPr>
                <w:rFonts w:hint="eastAsia" w:ascii="仿宋_GB2312" w:hAnsi="仿宋_GB2312" w:eastAsia="仿宋_GB2312" w:cs="仿宋_GB2312"/>
                <w:bCs/>
                <w:sz w:val="24"/>
                <w:lang w:val="en-US" w:eastAsia="zh-CN"/>
              </w:rPr>
              <w:t>根据中共中央办公厅、国务院办公厅印发《关于深化职称制度改革的意见》，</w:t>
            </w:r>
            <w:r>
              <w:rPr>
                <w:rFonts w:hint="eastAsia" w:ascii="仿宋_GB2312" w:hAnsi="仿宋_GB2312" w:eastAsia="仿宋_GB2312" w:cs="仿宋_GB2312"/>
                <w:bCs/>
                <w:sz w:val="24"/>
                <w:highlight w:val="none"/>
                <w:lang w:val="en-US" w:eastAsia="zh-CN"/>
              </w:rPr>
              <w:t>明确提出</w:t>
            </w:r>
            <w:r>
              <w:rPr>
                <w:rFonts w:hint="eastAsia" w:ascii="仿宋_GB2312" w:hAnsi="仿宋_GB2312" w:eastAsia="仿宋_GB2312" w:cs="仿宋_GB2312"/>
                <w:bCs/>
                <w:sz w:val="24"/>
                <w:highlight w:val="none"/>
                <w:lang w:val="en-US" w:eastAsia="zh-Hans"/>
              </w:rPr>
              <w:t>对计算机应用能力考试不作统一要求。确实需要评价计算机水平的，由用人单位或评审机构自主确定评审条件。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29</w:t>
            </w:r>
          </w:p>
        </w:tc>
        <w:tc>
          <w:tcPr>
            <w:tcW w:w="6048" w:type="dxa"/>
            <w:noWrap w:val="0"/>
            <w:vAlign w:val="center"/>
          </w:tcPr>
          <w:p>
            <w:pPr>
              <w:spacing w:line="280" w:lineRule="exac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建议评审绿色通道第五点，修改为市(厅)级以上部门组织建筑信息模型职业技能大赛获奖者.</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解释说明</w:t>
            </w:r>
          </w:p>
        </w:tc>
        <w:tc>
          <w:tcPr>
            <w:tcW w:w="6125" w:type="dxa"/>
            <w:noWrap w:val="0"/>
            <w:vAlign w:val="top"/>
          </w:tcPr>
          <w:p>
            <w:pPr>
              <w:spacing w:line="280" w:lineRule="exact"/>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技能大</w:t>
            </w:r>
            <w:r>
              <w:rPr>
                <w:rFonts w:hint="eastAsia" w:ascii="仿宋_GB2312" w:hAnsi="仿宋_GB2312" w:eastAsia="仿宋_GB2312" w:cs="仿宋_GB2312"/>
                <w:sz w:val="24"/>
                <w:szCs w:val="24"/>
                <w:highlight w:val="none"/>
                <w:lang w:val="en-US" w:eastAsia="zh-CN"/>
              </w:rPr>
              <w:t>赛</w:t>
            </w:r>
            <w:r>
              <w:rPr>
                <w:rFonts w:hint="eastAsia" w:ascii="仿宋_GB2312" w:hAnsi="仿宋_GB2312" w:eastAsia="仿宋_GB2312" w:cs="仿宋_GB2312"/>
                <w:sz w:val="24"/>
                <w:szCs w:val="24"/>
                <w:highlight w:val="none"/>
                <w:lang w:eastAsia="zh-CN"/>
              </w:rPr>
              <w:t>获奖人员较多，绿色</w:t>
            </w:r>
            <w:r>
              <w:rPr>
                <w:rFonts w:hint="eastAsia" w:ascii="仿宋_GB2312" w:hAnsi="仿宋_GB2312" w:eastAsia="仿宋_GB2312" w:cs="仿宋_GB2312"/>
                <w:sz w:val="24"/>
                <w:szCs w:val="24"/>
                <w:highlight w:val="none"/>
                <w:lang w:val="en-US" w:eastAsia="zh-CN"/>
              </w:rPr>
              <w:t>通道主要</w:t>
            </w:r>
            <w:r>
              <w:rPr>
                <w:rFonts w:hint="eastAsia" w:ascii="仿宋_GB2312" w:hAnsi="仿宋_GB2312" w:eastAsia="仿宋_GB2312" w:cs="仿宋_GB2312"/>
                <w:sz w:val="24"/>
                <w:szCs w:val="24"/>
                <w:highlight w:val="none"/>
                <w:lang w:eastAsia="zh-CN"/>
              </w:rPr>
              <w:t>提供给取得</w:t>
            </w:r>
            <w:r>
              <w:rPr>
                <w:rFonts w:hint="eastAsia" w:ascii="仿宋_GB2312" w:hAnsi="仿宋_GB2312" w:eastAsia="仿宋_GB2312" w:cs="仿宋_GB2312"/>
                <w:sz w:val="24"/>
                <w:szCs w:val="24"/>
                <w:highlight w:val="none"/>
                <w:lang w:val="en-US" w:eastAsia="zh-CN"/>
              </w:rPr>
              <w:t>重要</w:t>
            </w:r>
            <w:r>
              <w:rPr>
                <w:rFonts w:hint="eastAsia" w:ascii="仿宋_GB2312" w:hAnsi="仿宋_GB2312" w:eastAsia="仿宋_GB2312" w:cs="仿宋_GB2312"/>
                <w:sz w:val="24"/>
                <w:szCs w:val="24"/>
                <w:highlight w:val="none"/>
                <w:lang w:eastAsia="zh-CN"/>
              </w:rPr>
              <w:t>奖项的人员。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30</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建议正高职称条件适当放宽。由于BIM工作人员普遍比较年轻，学历、工作年限均不长。</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采纳</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959" w:type="dxa"/>
            <w:noWrap w:val="0"/>
            <w:vAlign w:val="center"/>
          </w:tcPr>
          <w:p>
            <w:pPr>
              <w:spacing w:line="28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31</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BIM的研发推广工作以应用场景为目标，应用场景大部分需要终端软件支撑，此涉及“硬件”（数据模型）和软件（应用程序）的融合贯通，为鼓励并引入开放性市场技术资源，建议“建筑信息模型技术研发包括对于各类建设工程创建及应用建筑信息模型所涉及基础软件、技术工具、平台系统、网络场景、装备设备的技术研发和产品研制等技术岗位”调整为“建筑信息模型技术研发包括对于各类建设工程创建及应用建筑信息模型所涉及基础软件、技术工具、平台系统、网络场景、装备设备、应用终端开发的技术研发和产品研制等技术岗位”。</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采纳</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959" w:type="dxa"/>
            <w:noWrap w:val="0"/>
            <w:vAlign w:val="center"/>
          </w:tcPr>
          <w:p>
            <w:pPr>
              <w:spacing w:line="28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32</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筑行业为经验性行业，除院校理论学习外还应重视实际工作业绩积累情况，为充实扩大建筑信息模型化技术人才的来源，建议附录第三章中“四、高级工程师”的学历资历条件建议增加“具备大学本科学历或学士学位”相关条件。</w:t>
            </w:r>
          </w:p>
        </w:tc>
        <w:tc>
          <w:tcPr>
            <w:tcW w:w="1567" w:type="dxa"/>
            <w:noWrap w:val="0"/>
            <w:vAlign w:val="center"/>
          </w:tcPr>
          <w:p>
            <w:pPr>
              <w:spacing w:line="280" w:lineRule="exact"/>
              <w:jc w:val="center"/>
              <w:rPr>
                <w:rFonts w:hint="default"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采纳</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959" w:type="dxa"/>
            <w:noWrap w:val="0"/>
            <w:vAlign w:val="center"/>
          </w:tcPr>
          <w:p>
            <w:pPr>
              <w:spacing w:line="28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33</w:t>
            </w:r>
          </w:p>
        </w:tc>
        <w:tc>
          <w:tcPr>
            <w:tcW w:w="6048" w:type="dxa"/>
            <w:noWrap w:val="0"/>
            <w:vAlign w:val="center"/>
          </w:tcPr>
          <w:p>
            <w:pPr>
              <w:spacing w:line="2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建筑信息模型化人才需要对建筑的前期、设计、实施、运维等阶段具备全系统、全专业、全周期的概念认知及管理统筹能力，为认可执业考试认证的有效性，建议附录第三章中“四、高级工程师”中依据执业资格专业程度增设“一级注册…”相应绿色通道。</w:t>
            </w:r>
          </w:p>
        </w:tc>
        <w:tc>
          <w:tcPr>
            <w:tcW w:w="1567" w:type="dxa"/>
            <w:noWrap w:val="0"/>
            <w:vAlign w:val="center"/>
          </w:tcPr>
          <w:p>
            <w:pPr>
              <w:spacing w:line="280" w:lineRule="exact"/>
              <w:jc w:val="center"/>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Hans"/>
              </w:rPr>
              <w:t>采纳</w:t>
            </w:r>
          </w:p>
        </w:tc>
        <w:tc>
          <w:tcPr>
            <w:tcW w:w="6125" w:type="dxa"/>
            <w:noWrap w:val="0"/>
            <w:vAlign w:val="center"/>
          </w:tcPr>
          <w:p>
            <w:pPr>
              <w:spacing w:line="280" w:lineRule="exact"/>
              <w:jc w:val="both"/>
              <w:rPr>
                <w:rFonts w:hint="eastAsia" w:ascii="仿宋_GB2312" w:hAnsi="仿宋_GB2312" w:eastAsia="仿宋_GB2312" w:cs="仿宋_GB2312"/>
                <w:sz w:val="24"/>
                <w:szCs w:val="24"/>
                <w:highlight w:val="none"/>
              </w:rPr>
            </w:pP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45797"/>
    <w:multiLevelType w:val="multilevel"/>
    <w:tmpl w:val="3B445797"/>
    <w:lvl w:ilvl="0" w:tentative="0">
      <w:start w:val="1"/>
      <w:numFmt w:val="chineseCountingThousand"/>
      <w:lvlText w:val="第%1章"/>
      <w:lvlJc w:val="left"/>
      <w:pPr>
        <w:ind w:left="0" w:firstLine="0"/>
      </w:pPr>
      <w:rPr>
        <w:rFonts w:hint="eastAsia"/>
        <w:b/>
        <w:bCs w:val="0"/>
        <w:i w:val="0"/>
        <w:iCs w:val="0"/>
        <w:caps w:val="0"/>
        <w:smallCaps w:val="0"/>
        <w:strike w:val="0"/>
        <w:dstrike w:val="0"/>
        <w:vanish w:val="0"/>
        <w:color w:val="000000" w:themeColor="text1"/>
        <w:spacing w:val="0"/>
        <w:position w:val="0"/>
        <w:sz w:val="36"/>
        <w:u w:val="none"/>
        <w:vertAlign w:val="baseline"/>
        <w14:shadow w14:blurRad="0" w14:dist="0" w14:dir="0" w14:sx="0" w14:sy="0" w14:kx="0" w14:ky="0" w14:algn="none">
          <w14:srgbClr w14:val="000000"/>
        </w14:shadow>
        <w14:textFill>
          <w14:solidFill>
            <w14:schemeClr w14:val="tx1"/>
          </w14:solidFill>
        </w14:textFill>
      </w:rPr>
    </w:lvl>
    <w:lvl w:ilvl="1" w:tentative="0">
      <w:start w:val="1"/>
      <w:numFmt w:val="decimal"/>
      <w:isLgl/>
      <w:lvlText w:val="%1.%2"/>
      <w:lvlJc w:val="left"/>
      <w:pPr>
        <w:ind w:left="0" w:firstLine="0"/>
      </w:pPr>
    </w:lvl>
    <w:lvl w:ilvl="2" w:tentative="0">
      <w:start w:val="1"/>
      <w:numFmt w:val="decimal"/>
      <w:isLgl/>
      <w:lvlText w:val="%1.%2.%3"/>
      <w:lvlJc w:val="left"/>
      <w:pPr>
        <w:tabs>
          <w:tab w:val="left" w:pos="567"/>
        </w:tabs>
        <w:ind w:left="0" w:firstLine="0"/>
      </w:pPr>
      <w:rPr>
        <w:rFonts w:hint="eastAsia"/>
        <w:b w:val="0"/>
        <w:bCs w:val="0"/>
        <w:i w:val="0"/>
        <w:iCs w:val="0"/>
        <w:caps w:val="0"/>
        <w:smallCaps w:val="0"/>
        <w:strike w:val="0"/>
        <w:dstrike w:val="0"/>
        <w:vanish w:val="0"/>
        <w:color w:val="000000"/>
        <w:spacing w:val="0"/>
        <w:position w:val="0"/>
        <w:sz w:val="28"/>
        <w:u w:val="none"/>
        <w:vertAlign w:val="baseline"/>
        <w14:shadow w14:blurRad="0" w14:dist="0" w14:dir="0" w14:sx="0" w14:sy="0" w14:kx="0" w14:ky="0" w14:algn="none">
          <w14:srgbClr w14:val="000000"/>
        </w14:shadow>
      </w:rPr>
    </w:lvl>
    <w:lvl w:ilvl="3" w:tentative="0">
      <w:start w:val="1"/>
      <w:numFmt w:val="decimal"/>
      <w:isLgl/>
      <w:lvlText w:val="%1.%2.%3.%4"/>
      <w:lvlJc w:val="left"/>
      <w:pPr>
        <w:ind w:left="283" w:firstLine="0"/>
      </w:pPr>
      <w:rPr>
        <w:rFonts w:hint="eastAsia"/>
        <w:b w:val="0"/>
        <w:bCs w:val="0"/>
        <w:i w:val="0"/>
        <w:iCs w:val="0"/>
        <w:caps w:val="0"/>
        <w:smallCaps w:val="0"/>
        <w:strike w:val="0"/>
        <w:dstrike w:val="0"/>
        <w:vanish w:val="0"/>
        <w:color w:val="auto"/>
        <w:spacing w:val="0"/>
        <w:position w:val="0"/>
        <w:sz w:val="28"/>
        <w:u w:val="none"/>
        <w:vertAlign w:val="baseline"/>
      </w:rPr>
    </w:lvl>
    <w:lvl w:ilvl="4" w:tentative="0">
      <w:start w:val="1"/>
      <w:numFmt w:val="decimal"/>
      <w:pStyle w:val="4"/>
      <w:isLgl/>
      <w:lvlText w:val="%1.%2.%3.%4.%5"/>
      <w:lvlJc w:val="left"/>
      <w:pPr>
        <w:ind w:left="0" w:firstLine="0"/>
      </w:pPr>
      <w:rPr>
        <w:rFonts w:hint="eastAsia"/>
        <w:b w:val="0"/>
        <w:sz w:val="28"/>
      </w:rPr>
    </w:lvl>
    <w:lvl w:ilvl="5" w:tentative="0">
      <w:start w:val="1"/>
      <w:numFmt w:val="decimal"/>
      <w:isLgl/>
      <w:lvlText w:val="%1.%2.%3.%4.%5.%6"/>
      <w:lvlJc w:val="left"/>
      <w:pPr>
        <w:ind w:left="0" w:firstLine="0"/>
      </w:pPr>
      <w:rPr>
        <w:rFonts w:hint="eastAsia"/>
        <w:b w:val="0"/>
        <w:bCs w:val="0"/>
        <w:i w:val="0"/>
        <w:iCs w:val="0"/>
        <w:caps w:val="0"/>
        <w:smallCaps w:val="0"/>
        <w:strike w:val="0"/>
        <w:dstrike w:val="0"/>
        <w:vanish w:val="0"/>
        <w:color w:val="000000"/>
        <w:spacing w:val="0"/>
        <w:position w:val="0"/>
        <w:sz w:val="28"/>
        <w:u w:val="none"/>
        <w:vertAlign w:val="baseline"/>
      </w:rPr>
    </w:lvl>
    <w:lvl w:ilvl="6" w:tentative="0">
      <w:start w:val="1"/>
      <w:numFmt w:val="decimal"/>
      <w:isLgl/>
      <w:lvlText w:val="%1.%2.%3.%4.%5.%6.%7"/>
      <w:lvlJc w:val="left"/>
      <w:pPr>
        <w:ind w:left="0" w:firstLine="0"/>
      </w:pPr>
      <w:rPr>
        <w:rFonts w:hint="eastAsia"/>
        <w:b w:val="0"/>
        <w:i w:val="0"/>
        <w:sz w:val="28"/>
      </w:rPr>
    </w:lvl>
    <w:lvl w:ilvl="7" w:tentative="0">
      <w:start w:val="1"/>
      <w:numFmt w:val="decimal"/>
      <w:isLg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1NWU5MDE3ZmQ1ZmRiNWU3OWI2Y2RmMjQ4ZjA2MjMifQ=="/>
  </w:docVars>
  <w:rsids>
    <w:rsidRoot w:val="28F84498"/>
    <w:rsid w:val="0000157E"/>
    <w:rsid w:val="00005BC3"/>
    <w:rsid w:val="00030C0A"/>
    <w:rsid w:val="00031FF9"/>
    <w:rsid w:val="00044DA0"/>
    <w:rsid w:val="000474E0"/>
    <w:rsid w:val="00050F6C"/>
    <w:rsid w:val="00051363"/>
    <w:rsid w:val="000561E6"/>
    <w:rsid w:val="0005694B"/>
    <w:rsid w:val="00063B06"/>
    <w:rsid w:val="00064081"/>
    <w:rsid w:val="000679D3"/>
    <w:rsid w:val="000734F3"/>
    <w:rsid w:val="00084E93"/>
    <w:rsid w:val="00085AC0"/>
    <w:rsid w:val="000915B1"/>
    <w:rsid w:val="00095204"/>
    <w:rsid w:val="0009584D"/>
    <w:rsid w:val="000A1564"/>
    <w:rsid w:val="000A681F"/>
    <w:rsid w:val="000B7779"/>
    <w:rsid w:val="000C3E22"/>
    <w:rsid w:val="000C70A3"/>
    <w:rsid w:val="000D07CA"/>
    <w:rsid w:val="000D0F2B"/>
    <w:rsid w:val="000D316A"/>
    <w:rsid w:val="000D3896"/>
    <w:rsid w:val="000F104C"/>
    <w:rsid w:val="0010633A"/>
    <w:rsid w:val="00114A9D"/>
    <w:rsid w:val="00127487"/>
    <w:rsid w:val="0013272D"/>
    <w:rsid w:val="0013287A"/>
    <w:rsid w:val="00143344"/>
    <w:rsid w:val="001600C7"/>
    <w:rsid w:val="00161BF7"/>
    <w:rsid w:val="00162A20"/>
    <w:rsid w:val="00175602"/>
    <w:rsid w:val="001805A9"/>
    <w:rsid w:val="00182F87"/>
    <w:rsid w:val="00186444"/>
    <w:rsid w:val="00192685"/>
    <w:rsid w:val="001A22CB"/>
    <w:rsid w:val="001A3A8B"/>
    <w:rsid w:val="001A4DB3"/>
    <w:rsid w:val="001A56FE"/>
    <w:rsid w:val="001B6BC2"/>
    <w:rsid w:val="001D375C"/>
    <w:rsid w:val="001D57F3"/>
    <w:rsid w:val="001E7F05"/>
    <w:rsid w:val="00200A2B"/>
    <w:rsid w:val="00200F58"/>
    <w:rsid w:val="00206D3A"/>
    <w:rsid w:val="002164B5"/>
    <w:rsid w:val="002200AB"/>
    <w:rsid w:val="00221648"/>
    <w:rsid w:val="00221873"/>
    <w:rsid w:val="002245BC"/>
    <w:rsid w:val="0023129D"/>
    <w:rsid w:val="00231B4E"/>
    <w:rsid w:val="00236C9B"/>
    <w:rsid w:val="00241F09"/>
    <w:rsid w:val="00242EE3"/>
    <w:rsid w:val="00244361"/>
    <w:rsid w:val="002469B9"/>
    <w:rsid w:val="00247C97"/>
    <w:rsid w:val="00250CC4"/>
    <w:rsid w:val="002519DF"/>
    <w:rsid w:val="00260A87"/>
    <w:rsid w:val="00264191"/>
    <w:rsid w:val="00271C20"/>
    <w:rsid w:val="00290C7A"/>
    <w:rsid w:val="00296F12"/>
    <w:rsid w:val="002B1892"/>
    <w:rsid w:val="002B189D"/>
    <w:rsid w:val="002B33DC"/>
    <w:rsid w:val="002B3958"/>
    <w:rsid w:val="002B3AD4"/>
    <w:rsid w:val="002B5CCD"/>
    <w:rsid w:val="002C0170"/>
    <w:rsid w:val="002C07EC"/>
    <w:rsid w:val="002C3F94"/>
    <w:rsid w:val="002C56E1"/>
    <w:rsid w:val="002C79E9"/>
    <w:rsid w:val="002D26E2"/>
    <w:rsid w:val="002E1FDA"/>
    <w:rsid w:val="002F10F8"/>
    <w:rsid w:val="002F4509"/>
    <w:rsid w:val="002F4B8E"/>
    <w:rsid w:val="002F5DB5"/>
    <w:rsid w:val="00315EEC"/>
    <w:rsid w:val="003202D2"/>
    <w:rsid w:val="0032082F"/>
    <w:rsid w:val="003343AD"/>
    <w:rsid w:val="00345135"/>
    <w:rsid w:val="00345470"/>
    <w:rsid w:val="00345EC9"/>
    <w:rsid w:val="00351588"/>
    <w:rsid w:val="003518E8"/>
    <w:rsid w:val="00356D70"/>
    <w:rsid w:val="003614FA"/>
    <w:rsid w:val="00362DA4"/>
    <w:rsid w:val="00372EE6"/>
    <w:rsid w:val="0037474F"/>
    <w:rsid w:val="00376906"/>
    <w:rsid w:val="003801DE"/>
    <w:rsid w:val="003823F3"/>
    <w:rsid w:val="00390905"/>
    <w:rsid w:val="003A1850"/>
    <w:rsid w:val="003A282F"/>
    <w:rsid w:val="003A36E9"/>
    <w:rsid w:val="003A3AAA"/>
    <w:rsid w:val="003A6D99"/>
    <w:rsid w:val="003A7CFF"/>
    <w:rsid w:val="003B08E0"/>
    <w:rsid w:val="003B780A"/>
    <w:rsid w:val="003C5097"/>
    <w:rsid w:val="003C60A8"/>
    <w:rsid w:val="003C7072"/>
    <w:rsid w:val="003D2474"/>
    <w:rsid w:val="003D7495"/>
    <w:rsid w:val="003E0753"/>
    <w:rsid w:val="003E3EFC"/>
    <w:rsid w:val="003E6C03"/>
    <w:rsid w:val="0040230F"/>
    <w:rsid w:val="00406FB9"/>
    <w:rsid w:val="00411C57"/>
    <w:rsid w:val="00412C46"/>
    <w:rsid w:val="004135BB"/>
    <w:rsid w:val="00417581"/>
    <w:rsid w:val="00425FDB"/>
    <w:rsid w:val="0043084B"/>
    <w:rsid w:val="00430D77"/>
    <w:rsid w:val="00431A10"/>
    <w:rsid w:val="00435598"/>
    <w:rsid w:val="004448AE"/>
    <w:rsid w:val="004506B1"/>
    <w:rsid w:val="00453349"/>
    <w:rsid w:val="00453FBB"/>
    <w:rsid w:val="00454ABF"/>
    <w:rsid w:val="00460246"/>
    <w:rsid w:val="00460644"/>
    <w:rsid w:val="00471195"/>
    <w:rsid w:val="0047575E"/>
    <w:rsid w:val="004803DD"/>
    <w:rsid w:val="00486D6D"/>
    <w:rsid w:val="004A02E8"/>
    <w:rsid w:val="004A1763"/>
    <w:rsid w:val="004A3642"/>
    <w:rsid w:val="004A4CDA"/>
    <w:rsid w:val="004B2692"/>
    <w:rsid w:val="004C13A5"/>
    <w:rsid w:val="004D29E5"/>
    <w:rsid w:val="004D7195"/>
    <w:rsid w:val="004E16BE"/>
    <w:rsid w:val="004E6086"/>
    <w:rsid w:val="004E7C11"/>
    <w:rsid w:val="004F1B4D"/>
    <w:rsid w:val="0050052B"/>
    <w:rsid w:val="00502278"/>
    <w:rsid w:val="00502368"/>
    <w:rsid w:val="00514FF0"/>
    <w:rsid w:val="00525E28"/>
    <w:rsid w:val="0053514A"/>
    <w:rsid w:val="005428A5"/>
    <w:rsid w:val="00544421"/>
    <w:rsid w:val="00551AD3"/>
    <w:rsid w:val="00553447"/>
    <w:rsid w:val="00553ABB"/>
    <w:rsid w:val="00563144"/>
    <w:rsid w:val="0056475F"/>
    <w:rsid w:val="0056760E"/>
    <w:rsid w:val="005714E8"/>
    <w:rsid w:val="0057563E"/>
    <w:rsid w:val="005802F6"/>
    <w:rsid w:val="00582ECC"/>
    <w:rsid w:val="00583909"/>
    <w:rsid w:val="00583C96"/>
    <w:rsid w:val="005A6670"/>
    <w:rsid w:val="005A6D32"/>
    <w:rsid w:val="005B7557"/>
    <w:rsid w:val="005C0B55"/>
    <w:rsid w:val="005C4B3D"/>
    <w:rsid w:val="005D6B39"/>
    <w:rsid w:val="005D7C75"/>
    <w:rsid w:val="005E6F79"/>
    <w:rsid w:val="005F5F71"/>
    <w:rsid w:val="005F71AE"/>
    <w:rsid w:val="005F7A36"/>
    <w:rsid w:val="00601C25"/>
    <w:rsid w:val="00602071"/>
    <w:rsid w:val="0060373B"/>
    <w:rsid w:val="00615440"/>
    <w:rsid w:val="006165A2"/>
    <w:rsid w:val="006172B1"/>
    <w:rsid w:val="006315C7"/>
    <w:rsid w:val="00632C75"/>
    <w:rsid w:val="0063613E"/>
    <w:rsid w:val="00636290"/>
    <w:rsid w:val="00637995"/>
    <w:rsid w:val="006533C8"/>
    <w:rsid w:val="0065418A"/>
    <w:rsid w:val="00656507"/>
    <w:rsid w:val="00660143"/>
    <w:rsid w:val="006633B1"/>
    <w:rsid w:val="00672B40"/>
    <w:rsid w:val="00680040"/>
    <w:rsid w:val="006864E9"/>
    <w:rsid w:val="006A21DA"/>
    <w:rsid w:val="006A7DB4"/>
    <w:rsid w:val="006C6D79"/>
    <w:rsid w:val="006D2943"/>
    <w:rsid w:val="006D5CCF"/>
    <w:rsid w:val="006E27F9"/>
    <w:rsid w:val="006E281E"/>
    <w:rsid w:val="006E6A5C"/>
    <w:rsid w:val="006E6EAA"/>
    <w:rsid w:val="006F26F8"/>
    <w:rsid w:val="006F2A19"/>
    <w:rsid w:val="00712D5C"/>
    <w:rsid w:val="00715A98"/>
    <w:rsid w:val="00715C03"/>
    <w:rsid w:val="00722D07"/>
    <w:rsid w:val="00722D0A"/>
    <w:rsid w:val="0074200C"/>
    <w:rsid w:val="00752964"/>
    <w:rsid w:val="00757F3E"/>
    <w:rsid w:val="00767530"/>
    <w:rsid w:val="00767A19"/>
    <w:rsid w:val="00775CF1"/>
    <w:rsid w:val="00775D60"/>
    <w:rsid w:val="00777553"/>
    <w:rsid w:val="00783F29"/>
    <w:rsid w:val="0078445F"/>
    <w:rsid w:val="007A3A6D"/>
    <w:rsid w:val="007B0E08"/>
    <w:rsid w:val="007B1388"/>
    <w:rsid w:val="007C43D8"/>
    <w:rsid w:val="007D6A2B"/>
    <w:rsid w:val="007E1685"/>
    <w:rsid w:val="007F2059"/>
    <w:rsid w:val="008010F6"/>
    <w:rsid w:val="00801207"/>
    <w:rsid w:val="00801C13"/>
    <w:rsid w:val="00802827"/>
    <w:rsid w:val="00802B9C"/>
    <w:rsid w:val="008075DC"/>
    <w:rsid w:val="00820F93"/>
    <w:rsid w:val="008214F9"/>
    <w:rsid w:val="00822015"/>
    <w:rsid w:val="00825B1A"/>
    <w:rsid w:val="00830D62"/>
    <w:rsid w:val="00832BD2"/>
    <w:rsid w:val="0084023E"/>
    <w:rsid w:val="00873E5E"/>
    <w:rsid w:val="00875E4D"/>
    <w:rsid w:val="00876574"/>
    <w:rsid w:val="0089076A"/>
    <w:rsid w:val="00891DB7"/>
    <w:rsid w:val="0089529B"/>
    <w:rsid w:val="008A2FE0"/>
    <w:rsid w:val="008B065B"/>
    <w:rsid w:val="008B3BE1"/>
    <w:rsid w:val="008C1492"/>
    <w:rsid w:val="008C18CA"/>
    <w:rsid w:val="008D1B72"/>
    <w:rsid w:val="008E1AF0"/>
    <w:rsid w:val="008E3938"/>
    <w:rsid w:val="008E3E61"/>
    <w:rsid w:val="008E550B"/>
    <w:rsid w:val="008E6A4F"/>
    <w:rsid w:val="008E6B16"/>
    <w:rsid w:val="008F1B6C"/>
    <w:rsid w:val="008F47D8"/>
    <w:rsid w:val="008F5A15"/>
    <w:rsid w:val="00900003"/>
    <w:rsid w:val="009015F1"/>
    <w:rsid w:val="00904619"/>
    <w:rsid w:val="0090517A"/>
    <w:rsid w:val="009108F5"/>
    <w:rsid w:val="00912759"/>
    <w:rsid w:val="00912B77"/>
    <w:rsid w:val="009145A7"/>
    <w:rsid w:val="00917A3B"/>
    <w:rsid w:val="00923184"/>
    <w:rsid w:val="009375D8"/>
    <w:rsid w:val="0094465F"/>
    <w:rsid w:val="00944B11"/>
    <w:rsid w:val="00947D7E"/>
    <w:rsid w:val="00950E13"/>
    <w:rsid w:val="00952566"/>
    <w:rsid w:val="00953D3F"/>
    <w:rsid w:val="00955066"/>
    <w:rsid w:val="0095732C"/>
    <w:rsid w:val="00957BE9"/>
    <w:rsid w:val="00963337"/>
    <w:rsid w:val="00982811"/>
    <w:rsid w:val="00984AC3"/>
    <w:rsid w:val="00985B3B"/>
    <w:rsid w:val="00985EAE"/>
    <w:rsid w:val="00994B64"/>
    <w:rsid w:val="009958D8"/>
    <w:rsid w:val="009A28B6"/>
    <w:rsid w:val="009A32E3"/>
    <w:rsid w:val="009A3483"/>
    <w:rsid w:val="009A53B7"/>
    <w:rsid w:val="009B1BFA"/>
    <w:rsid w:val="009B5C4A"/>
    <w:rsid w:val="009C20F0"/>
    <w:rsid w:val="009C4B4A"/>
    <w:rsid w:val="009D0291"/>
    <w:rsid w:val="009D05D1"/>
    <w:rsid w:val="009D4704"/>
    <w:rsid w:val="009D6041"/>
    <w:rsid w:val="009E5FC0"/>
    <w:rsid w:val="009E660D"/>
    <w:rsid w:val="009E719C"/>
    <w:rsid w:val="009F7521"/>
    <w:rsid w:val="00A05A2E"/>
    <w:rsid w:val="00A07B8C"/>
    <w:rsid w:val="00A134CF"/>
    <w:rsid w:val="00A17B81"/>
    <w:rsid w:val="00A2136A"/>
    <w:rsid w:val="00A2380A"/>
    <w:rsid w:val="00A27725"/>
    <w:rsid w:val="00A30ABB"/>
    <w:rsid w:val="00A36CAC"/>
    <w:rsid w:val="00A51373"/>
    <w:rsid w:val="00A56604"/>
    <w:rsid w:val="00A56B5E"/>
    <w:rsid w:val="00A7472F"/>
    <w:rsid w:val="00A8646C"/>
    <w:rsid w:val="00A868F8"/>
    <w:rsid w:val="00AA03E1"/>
    <w:rsid w:val="00AA40F5"/>
    <w:rsid w:val="00AB5654"/>
    <w:rsid w:val="00AB5F5E"/>
    <w:rsid w:val="00AB5FDD"/>
    <w:rsid w:val="00AC14B1"/>
    <w:rsid w:val="00AC448F"/>
    <w:rsid w:val="00AC6597"/>
    <w:rsid w:val="00AD24CF"/>
    <w:rsid w:val="00AD6AD9"/>
    <w:rsid w:val="00AE4110"/>
    <w:rsid w:val="00AE7BD4"/>
    <w:rsid w:val="00AF04B5"/>
    <w:rsid w:val="00AF0EA9"/>
    <w:rsid w:val="00AF23D4"/>
    <w:rsid w:val="00B00DFA"/>
    <w:rsid w:val="00B01FB8"/>
    <w:rsid w:val="00B058C7"/>
    <w:rsid w:val="00B05C32"/>
    <w:rsid w:val="00B148B0"/>
    <w:rsid w:val="00B158C4"/>
    <w:rsid w:val="00B22831"/>
    <w:rsid w:val="00B3384D"/>
    <w:rsid w:val="00B35065"/>
    <w:rsid w:val="00B451D2"/>
    <w:rsid w:val="00B53655"/>
    <w:rsid w:val="00B563D7"/>
    <w:rsid w:val="00B63040"/>
    <w:rsid w:val="00B631F3"/>
    <w:rsid w:val="00B64D81"/>
    <w:rsid w:val="00B705DE"/>
    <w:rsid w:val="00B73F59"/>
    <w:rsid w:val="00B91DD6"/>
    <w:rsid w:val="00BA1D01"/>
    <w:rsid w:val="00BA2A7A"/>
    <w:rsid w:val="00BB126E"/>
    <w:rsid w:val="00BB419F"/>
    <w:rsid w:val="00BB4972"/>
    <w:rsid w:val="00BB5DA8"/>
    <w:rsid w:val="00BB7438"/>
    <w:rsid w:val="00BB7C6E"/>
    <w:rsid w:val="00BC0D00"/>
    <w:rsid w:val="00BC19A0"/>
    <w:rsid w:val="00BC365F"/>
    <w:rsid w:val="00BD7399"/>
    <w:rsid w:val="00BE435C"/>
    <w:rsid w:val="00BF796B"/>
    <w:rsid w:val="00C05059"/>
    <w:rsid w:val="00C055E1"/>
    <w:rsid w:val="00C0790F"/>
    <w:rsid w:val="00C10631"/>
    <w:rsid w:val="00C10857"/>
    <w:rsid w:val="00C10DEE"/>
    <w:rsid w:val="00C11A72"/>
    <w:rsid w:val="00C14D9D"/>
    <w:rsid w:val="00C14F0C"/>
    <w:rsid w:val="00C2027C"/>
    <w:rsid w:val="00C24A29"/>
    <w:rsid w:val="00C30A5C"/>
    <w:rsid w:val="00C32CE4"/>
    <w:rsid w:val="00C35395"/>
    <w:rsid w:val="00C3680E"/>
    <w:rsid w:val="00C43320"/>
    <w:rsid w:val="00C45E47"/>
    <w:rsid w:val="00C47A85"/>
    <w:rsid w:val="00C52A1E"/>
    <w:rsid w:val="00C64A3D"/>
    <w:rsid w:val="00C752B2"/>
    <w:rsid w:val="00C756FF"/>
    <w:rsid w:val="00C82497"/>
    <w:rsid w:val="00C8308D"/>
    <w:rsid w:val="00C834FC"/>
    <w:rsid w:val="00C83D9A"/>
    <w:rsid w:val="00C85721"/>
    <w:rsid w:val="00C86540"/>
    <w:rsid w:val="00C939A8"/>
    <w:rsid w:val="00C97868"/>
    <w:rsid w:val="00C97DB8"/>
    <w:rsid w:val="00CA5579"/>
    <w:rsid w:val="00CC3BC2"/>
    <w:rsid w:val="00CC5141"/>
    <w:rsid w:val="00CC6678"/>
    <w:rsid w:val="00CD31C7"/>
    <w:rsid w:val="00CE1BE7"/>
    <w:rsid w:val="00CF2CA9"/>
    <w:rsid w:val="00CF5A78"/>
    <w:rsid w:val="00CF73E1"/>
    <w:rsid w:val="00D06041"/>
    <w:rsid w:val="00D20537"/>
    <w:rsid w:val="00D21038"/>
    <w:rsid w:val="00D23A93"/>
    <w:rsid w:val="00D31CAF"/>
    <w:rsid w:val="00D33879"/>
    <w:rsid w:val="00D3556F"/>
    <w:rsid w:val="00D4000A"/>
    <w:rsid w:val="00D42876"/>
    <w:rsid w:val="00D43C88"/>
    <w:rsid w:val="00D4746E"/>
    <w:rsid w:val="00D51605"/>
    <w:rsid w:val="00D53EB9"/>
    <w:rsid w:val="00D55F5D"/>
    <w:rsid w:val="00D63C30"/>
    <w:rsid w:val="00D82121"/>
    <w:rsid w:val="00D845BB"/>
    <w:rsid w:val="00D91EF0"/>
    <w:rsid w:val="00D9251B"/>
    <w:rsid w:val="00DA0D3C"/>
    <w:rsid w:val="00DA19C7"/>
    <w:rsid w:val="00DB1142"/>
    <w:rsid w:val="00DB2A7A"/>
    <w:rsid w:val="00DB40D2"/>
    <w:rsid w:val="00DB4305"/>
    <w:rsid w:val="00DC0743"/>
    <w:rsid w:val="00DC26F8"/>
    <w:rsid w:val="00DC6A04"/>
    <w:rsid w:val="00DD70D0"/>
    <w:rsid w:val="00DE79D3"/>
    <w:rsid w:val="00E0085E"/>
    <w:rsid w:val="00E03EEF"/>
    <w:rsid w:val="00E0614E"/>
    <w:rsid w:val="00E14255"/>
    <w:rsid w:val="00E148F1"/>
    <w:rsid w:val="00E158A8"/>
    <w:rsid w:val="00E24026"/>
    <w:rsid w:val="00E254AE"/>
    <w:rsid w:val="00E30A16"/>
    <w:rsid w:val="00E45D54"/>
    <w:rsid w:val="00E46A4F"/>
    <w:rsid w:val="00E53A3F"/>
    <w:rsid w:val="00E5471B"/>
    <w:rsid w:val="00E55B0E"/>
    <w:rsid w:val="00E61519"/>
    <w:rsid w:val="00E665D4"/>
    <w:rsid w:val="00E70CA5"/>
    <w:rsid w:val="00E80B90"/>
    <w:rsid w:val="00E81D37"/>
    <w:rsid w:val="00E83820"/>
    <w:rsid w:val="00E9062F"/>
    <w:rsid w:val="00E91320"/>
    <w:rsid w:val="00E94B48"/>
    <w:rsid w:val="00EA58BB"/>
    <w:rsid w:val="00EB320B"/>
    <w:rsid w:val="00EB32D0"/>
    <w:rsid w:val="00EC0881"/>
    <w:rsid w:val="00EC3498"/>
    <w:rsid w:val="00EC501D"/>
    <w:rsid w:val="00ED50C4"/>
    <w:rsid w:val="00ED512C"/>
    <w:rsid w:val="00ED56E2"/>
    <w:rsid w:val="00EE0D48"/>
    <w:rsid w:val="00EE1B14"/>
    <w:rsid w:val="00EE4F56"/>
    <w:rsid w:val="00EF0DF2"/>
    <w:rsid w:val="00EF1980"/>
    <w:rsid w:val="00F008F2"/>
    <w:rsid w:val="00F043D4"/>
    <w:rsid w:val="00F22039"/>
    <w:rsid w:val="00F24D10"/>
    <w:rsid w:val="00F278AE"/>
    <w:rsid w:val="00F41FAD"/>
    <w:rsid w:val="00F46D5E"/>
    <w:rsid w:val="00F477EE"/>
    <w:rsid w:val="00F6387D"/>
    <w:rsid w:val="00F67D5A"/>
    <w:rsid w:val="00F74D42"/>
    <w:rsid w:val="00F81A62"/>
    <w:rsid w:val="00F83AC1"/>
    <w:rsid w:val="00FA1B38"/>
    <w:rsid w:val="00FA6EC1"/>
    <w:rsid w:val="00FB564A"/>
    <w:rsid w:val="00FB6FC3"/>
    <w:rsid w:val="00FC5148"/>
    <w:rsid w:val="00FC78F5"/>
    <w:rsid w:val="00FD4B43"/>
    <w:rsid w:val="00FD7787"/>
    <w:rsid w:val="00FE0661"/>
    <w:rsid w:val="00FF2E63"/>
    <w:rsid w:val="010C0502"/>
    <w:rsid w:val="01B46540"/>
    <w:rsid w:val="03440CF3"/>
    <w:rsid w:val="03951915"/>
    <w:rsid w:val="047D5273"/>
    <w:rsid w:val="04FE0764"/>
    <w:rsid w:val="05192FCF"/>
    <w:rsid w:val="0639127C"/>
    <w:rsid w:val="07707311"/>
    <w:rsid w:val="08491314"/>
    <w:rsid w:val="08CB719F"/>
    <w:rsid w:val="092B7C9F"/>
    <w:rsid w:val="0B2B0627"/>
    <w:rsid w:val="0CC17C52"/>
    <w:rsid w:val="0CDC3F76"/>
    <w:rsid w:val="0E1E5178"/>
    <w:rsid w:val="0F7976DD"/>
    <w:rsid w:val="10224680"/>
    <w:rsid w:val="10DB13D7"/>
    <w:rsid w:val="113D33F5"/>
    <w:rsid w:val="11447E8E"/>
    <w:rsid w:val="117108E8"/>
    <w:rsid w:val="12B65663"/>
    <w:rsid w:val="13702B73"/>
    <w:rsid w:val="13722951"/>
    <w:rsid w:val="13B237CB"/>
    <w:rsid w:val="14173ED5"/>
    <w:rsid w:val="149D275F"/>
    <w:rsid w:val="154658EB"/>
    <w:rsid w:val="17217405"/>
    <w:rsid w:val="173B27FE"/>
    <w:rsid w:val="17A200B8"/>
    <w:rsid w:val="17E132B9"/>
    <w:rsid w:val="180C6BE2"/>
    <w:rsid w:val="191B3D3A"/>
    <w:rsid w:val="19D21D11"/>
    <w:rsid w:val="1D1B1B8E"/>
    <w:rsid w:val="1DA61203"/>
    <w:rsid w:val="1F01298C"/>
    <w:rsid w:val="1F1A7859"/>
    <w:rsid w:val="1F212517"/>
    <w:rsid w:val="1FD120CE"/>
    <w:rsid w:val="1FF81932"/>
    <w:rsid w:val="204E6BA3"/>
    <w:rsid w:val="205440C9"/>
    <w:rsid w:val="210B1090"/>
    <w:rsid w:val="21725C54"/>
    <w:rsid w:val="22890DEE"/>
    <w:rsid w:val="24084806"/>
    <w:rsid w:val="255270AE"/>
    <w:rsid w:val="26BA2A56"/>
    <w:rsid w:val="2728791F"/>
    <w:rsid w:val="27516EB3"/>
    <w:rsid w:val="28B64BB5"/>
    <w:rsid w:val="28F84498"/>
    <w:rsid w:val="2C3858F7"/>
    <w:rsid w:val="2C7B7C21"/>
    <w:rsid w:val="2DFFC327"/>
    <w:rsid w:val="2FDF477A"/>
    <w:rsid w:val="316F7FCA"/>
    <w:rsid w:val="31EA60C2"/>
    <w:rsid w:val="332F48C3"/>
    <w:rsid w:val="3344359D"/>
    <w:rsid w:val="335458CF"/>
    <w:rsid w:val="33FD6911"/>
    <w:rsid w:val="34F52332"/>
    <w:rsid w:val="35473439"/>
    <w:rsid w:val="356C60B7"/>
    <w:rsid w:val="360F5977"/>
    <w:rsid w:val="366003CD"/>
    <w:rsid w:val="37450DB1"/>
    <w:rsid w:val="37635F92"/>
    <w:rsid w:val="38046B49"/>
    <w:rsid w:val="39902D77"/>
    <w:rsid w:val="3A681039"/>
    <w:rsid w:val="3D5440BC"/>
    <w:rsid w:val="3E987505"/>
    <w:rsid w:val="3EF26282"/>
    <w:rsid w:val="3F443A4E"/>
    <w:rsid w:val="40722674"/>
    <w:rsid w:val="40C17199"/>
    <w:rsid w:val="40EC0E9C"/>
    <w:rsid w:val="43C93139"/>
    <w:rsid w:val="43D8451F"/>
    <w:rsid w:val="43FF7802"/>
    <w:rsid w:val="44B15EA6"/>
    <w:rsid w:val="457C69BC"/>
    <w:rsid w:val="45857501"/>
    <w:rsid w:val="46326F64"/>
    <w:rsid w:val="47143F73"/>
    <w:rsid w:val="4A180348"/>
    <w:rsid w:val="4A6E4541"/>
    <w:rsid w:val="4E6606DF"/>
    <w:rsid w:val="4EAF1A9A"/>
    <w:rsid w:val="4EBFC4AA"/>
    <w:rsid w:val="4EE7B330"/>
    <w:rsid w:val="4EFBCB88"/>
    <w:rsid w:val="4F016DF9"/>
    <w:rsid w:val="4F82475E"/>
    <w:rsid w:val="502E5634"/>
    <w:rsid w:val="50785F6E"/>
    <w:rsid w:val="51BA020E"/>
    <w:rsid w:val="526A0C2F"/>
    <w:rsid w:val="54660878"/>
    <w:rsid w:val="55AC0AE1"/>
    <w:rsid w:val="55FF50D1"/>
    <w:rsid w:val="5789772D"/>
    <w:rsid w:val="581E32F5"/>
    <w:rsid w:val="585F4E0B"/>
    <w:rsid w:val="58E8573E"/>
    <w:rsid w:val="5A826CB1"/>
    <w:rsid w:val="5AF87465"/>
    <w:rsid w:val="5BD95464"/>
    <w:rsid w:val="5CD921EB"/>
    <w:rsid w:val="5CFFCC9A"/>
    <w:rsid w:val="5D8B722E"/>
    <w:rsid w:val="5EF13A09"/>
    <w:rsid w:val="5EFFCE4B"/>
    <w:rsid w:val="625D5412"/>
    <w:rsid w:val="63CB2A7A"/>
    <w:rsid w:val="64DB4EA9"/>
    <w:rsid w:val="66750A0B"/>
    <w:rsid w:val="66997DED"/>
    <w:rsid w:val="67667E72"/>
    <w:rsid w:val="679C6C08"/>
    <w:rsid w:val="67E44849"/>
    <w:rsid w:val="683B769B"/>
    <w:rsid w:val="69902B36"/>
    <w:rsid w:val="6A20023D"/>
    <w:rsid w:val="6BBE03C6"/>
    <w:rsid w:val="6D6D6950"/>
    <w:rsid w:val="6E7E56B7"/>
    <w:rsid w:val="6E9F5809"/>
    <w:rsid w:val="70495B48"/>
    <w:rsid w:val="70E94540"/>
    <w:rsid w:val="713D663A"/>
    <w:rsid w:val="71484435"/>
    <w:rsid w:val="716B626A"/>
    <w:rsid w:val="71724D1D"/>
    <w:rsid w:val="740A3A87"/>
    <w:rsid w:val="741515C3"/>
    <w:rsid w:val="757FCCC7"/>
    <w:rsid w:val="75E128B4"/>
    <w:rsid w:val="76122EC4"/>
    <w:rsid w:val="762C61CF"/>
    <w:rsid w:val="766928B2"/>
    <w:rsid w:val="76EF7101"/>
    <w:rsid w:val="7757B179"/>
    <w:rsid w:val="776963DA"/>
    <w:rsid w:val="777D1E86"/>
    <w:rsid w:val="78F16107"/>
    <w:rsid w:val="7ACA5C0F"/>
    <w:rsid w:val="7BD326AE"/>
    <w:rsid w:val="7BEB386F"/>
    <w:rsid w:val="7DC7D3CC"/>
    <w:rsid w:val="7E192908"/>
    <w:rsid w:val="7F781466"/>
    <w:rsid w:val="7FCB7B83"/>
    <w:rsid w:val="BF6F3E1C"/>
    <w:rsid w:val="BFF61E78"/>
    <w:rsid w:val="DEBB448F"/>
    <w:rsid w:val="DEBE04FD"/>
    <w:rsid w:val="DFAF798F"/>
    <w:rsid w:val="E7FBFBA0"/>
    <w:rsid w:val="EF7FF4F3"/>
    <w:rsid w:val="EFEAD153"/>
    <w:rsid w:val="F7698331"/>
    <w:rsid w:val="FAFF8409"/>
    <w:rsid w:val="FFD73DB9"/>
    <w:rsid w:val="FFFF60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5"/>
    <w:basedOn w:val="1"/>
    <w:next w:val="1"/>
    <w:qFormat/>
    <w:uiPriority w:val="0"/>
    <w:pPr>
      <w:keepLines/>
      <w:numPr>
        <w:ilvl w:val="4"/>
        <w:numId w:val="1"/>
      </w:numPr>
      <w:spacing w:before="163" w:after="163" w:line="377" w:lineRule="auto"/>
      <w:ind w:left="480" w:leftChars="200"/>
      <w:outlineLvl w:val="4"/>
    </w:pPr>
    <w:rPr>
      <w:b/>
      <w:bCs/>
      <w:color w:val="000000" w:themeColor="text1"/>
      <w:sz w:val="28"/>
      <w:szCs w:val="28"/>
      <w14:textFill>
        <w14:solidFill>
          <w14:schemeClr w14:val="tx1"/>
        </w14:solidFill>
      </w14:textFill>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spacing w:line="360" w:lineRule="auto"/>
      <w:ind w:firstLine="880" w:firstLineChars="200"/>
    </w:pPr>
  </w:style>
  <w:style w:type="paragraph" w:styleId="3">
    <w:name w:val="Body Text"/>
    <w:basedOn w:val="1"/>
    <w:semiHidden/>
    <w:unhideWhenUsed/>
    <w:qFormat/>
    <w:uiPriority w:val="99"/>
    <w:pPr>
      <w:spacing w:after="120"/>
    </w:pPr>
  </w:style>
  <w:style w:type="paragraph" w:styleId="5">
    <w:name w:val="annotation text"/>
    <w:basedOn w:val="1"/>
    <w:link w:val="24"/>
    <w:qFormat/>
    <w:uiPriority w:val="0"/>
    <w:pPr>
      <w:jc w:val="left"/>
    </w:pPr>
  </w:style>
  <w:style w:type="paragraph" w:styleId="6">
    <w:name w:val="footer"/>
    <w:basedOn w:val="1"/>
    <w:link w:val="23"/>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Calibri" w:hAnsi="Calibri" w:cs="Calibri"/>
      <w:szCs w:val="21"/>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0">
    <w:name w:val="annotation subject"/>
    <w:basedOn w:val="5"/>
    <w:next w:val="5"/>
    <w:link w:val="25"/>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l-btn-left"/>
    <w:basedOn w:val="13"/>
    <w:qFormat/>
    <w:uiPriority w:val="0"/>
  </w:style>
  <w:style w:type="character" w:customStyle="1" w:styleId="16">
    <w:name w:val="l-btn-left1"/>
    <w:basedOn w:val="13"/>
    <w:qFormat/>
    <w:uiPriority w:val="0"/>
  </w:style>
  <w:style w:type="character" w:customStyle="1" w:styleId="17">
    <w:name w:val="l-btn-left2"/>
    <w:basedOn w:val="13"/>
    <w:qFormat/>
    <w:uiPriority w:val="0"/>
  </w:style>
  <w:style w:type="character" w:customStyle="1" w:styleId="18">
    <w:name w:val="l-btn-left3"/>
    <w:basedOn w:val="13"/>
    <w:qFormat/>
    <w:uiPriority w:val="0"/>
  </w:style>
  <w:style w:type="character" w:customStyle="1" w:styleId="19">
    <w:name w:val="l-btn-empty"/>
    <w:basedOn w:val="13"/>
    <w:qFormat/>
    <w:uiPriority w:val="0"/>
  </w:style>
  <w:style w:type="character" w:customStyle="1" w:styleId="20">
    <w:name w:val="l-btn-text"/>
    <w:basedOn w:val="13"/>
    <w:qFormat/>
    <w:uiPriority w:val="0"/>
  </w:style>
  <w:style w:type="paragraph" w:styleId="21">
    <w:name w:val="List Paragraph"/>
    <w:basedOn w:val="1"/>
    <w:qFormat/>
    <w:uiPriority w:val="99"/>
    <w:pPr>
      <w:ind w:firstLine="420" w:firstLineChars="200"/>
    </w:pPr>
  </w:style>
  <w:style w:type="character" w:customStyle="1" w:styleId="22">
    <w:name w:val="页眉 字符"/>
    <w:basedOn w:val="13"/>
    <w:link w:val="7"/>
    <w:qFormat/>
    <w:uiPriority w:val="0"/>
    <w:rPr>
      <w:kern w:val="2"/>
      <w:sz w:val="18"/>
      <w:szCs w:val="18"/>
    </w:rPr>
  </w:style>
  <w:style w:type="character" w:customStyle="1" w:styleId="23">
    <w:name w:val="页脚 字符"/>
    <w:basedOn w:val="13"/>
    <w:link w:val="6"/>
    <w:qFormat/>
    <w:uiPriority w:val="0"/>
    <w:rPr>
      <w:kern w:val="2"/>
      <w:sz w:val="18"/>
      <w:szCs w:val="18"/>
    </w:rPr>
  </w:style>
  <w:style w:type="character" w:customStyle="1" w:styleId="24">
    <w:name w:val="批注文字 字符"/>
    <w:basedOn w:val="13"/>
    <w:link w:val="5"/>
    <w:qFormat/>
    <w:uiPriority w:val="0"/>
    <w:rPr>
      <w:kern w:val="2"/>
      <w:sz w:val="21"/>
    </w:rPr>
  </w:style>
  <w:style w:type="character" w:customStyle="1" w:styleId="25">
    <w:name w:val="批注主题 字符"/>
    <w:basedOn w:val="24"/>
    <w:link w:val="10"/>
    <w:qFormat/>
    <w:uiPriority w:val="0"/>
    <w:rPr>
      <w:b/>
      <w:bCs/>
      <w:kern w:val="2"/>
      <w:sz w:val="21"/>
    </w:rPr>
  </w:style>
  <w:style w:type="paragraph" w:customStyle="1" w:styleId="26">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5208</Words>
  <Characters>5336</Characters>
  <Lines>83</Lines>
  <Paragraphs>23</Paragraphs>
  <TotalTime>0</TotalTime>
  <ScaleCrop>false</ScaleCrop>
  <LinksUpToDate>false</LinksUpToDate>
  <CharactersWithSpaces>5357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2022-05-23T09:21:00Z</dcterms:created>
  <dc:creator>姚尧</dc:creator>
  <cp:lastModifiedBy>msy</cp:lastModifiedBy>
  <cp:lastPrinted>2022-07-28T11:38:00Z</cp:lastPrinted>
  <dcterms:modified xsi:type="dcterms:W3CDTF">2022-12-26T18:03:02Z</dcterms:modified>
  <dc:title>附件2</dc:title>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04F09DF4129F4EA9878CBF365D07836D</vt:lpwstr>
  </property>
</Properties>
</file>