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color w:val="auto"/>
        </w:rPr>
      </w:pPr>
      <w:r>
        <w:rPr>
          <w:color w:val="auto"/>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color w:val="auto"/>
        </w:rPr>
        <w:instrText xml:space="preserve">ADDIN CNKISM.UserStyle</w:instrText>
      </w:r>
      <w:r>
        <w:rPr>
          <w:color w:val="auto"/>
        </w:rPr>
        <w:fldChar w:fldCharType="end"/>
      </w:r>
      <w:r>
        <mc:AlternateContent>
          <mc:Choice Requires="wps">
            <w:drawing>
              <wp:anchor distT="0" distB="0" distL="114300" distR="114300" simplePos="0" relativeHeight="251662336" behindDoc="0" locked="0" layoutInCell="1" allowOverlap="1">
                <wp:simplePos x="0" y="0"/>
                <wp:positionH relativeFrom="page">
                  <wp:posOffset>374650</wp:posOffset>
                </wp:positionH>
                <wp:positionV relativeFrom="page">
                  <wp:posOffset>8417560</wp:posOffset>
                </wp:positionV>
                <wp:extent cx="2555875" cy="4464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5560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662.8pt;height:35.15pt;width:201.25pt;mso-position-horizontal-relative:page;mso-position-vertical-relative:page;z-index:251662336;mso-width-relative:page;mso-height-relative:page;" filled="f" stroked="f" coordsize="21600,21600" o:gfxdata="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xIZ&#10;3AAAAAwBAAAPAAAAAAAAAAEAIAAAACIAAABkcnMvZG93bnJldi54bWxQSwECFAAUAAAACACHTuJA&#10;TQX/tR0CAAASBAAADgAAAAAAAAABACAAAAArAQAAZHJzL2Uyb0RvYy54bWxQSwUGAAAAAAYABgBZ&#10;AQAAugU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5288915</wp:posOffset>
                </wp:positionH>
                <wp:positionV relativeFrom="page">
                  <wp:posOffset>648335</wp:posOffset>
                </wp:positionV>
                <wp:extent cx="1979930" cy="13430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80000" cy="134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44"/>
                                <w:szCs w:val="144"/>
                              </w:rPr>
                            </w:pPr>
                            <w:r>
                              <w:rPr>
                                <w:b/>
                                <w:bCs/>
                                <w:sz w:val="144"/>
                                <w:szCs w:val="144"/>
                              </w:rPr>
                              <w:t>SJG</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6.45pt;margin-top:51.05pt;height:105.75pt;width:155.9pt;mso-position-horizontal-relative:page;mso-position-vertical-relative:page;z-index:251659264;mso-width-relative:page;mso-height-relative:page;" filled="f" stroked="f" coordsize="21600,21600" o:gfxdata="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Tq&#10;V+TcAAAADAEAAA8AAAAAAAAAAQAgAAAAIgAAAGRycy9kb3ducmV2LnhtbFBLAQIUABQAAAAIAIdO&#10;4kDq35SCHwIAABEEAAAOAAAAAAAAAAEAIAAAACsBAABkcnMvZTJvRG9jLnhtbFBLBQYAAAAABgAG&#10;AFkBAAC8BQAAAAA=&#10;">
                <v:fill on="f" focussize="0,0"/>
                <v:stroke on="f" weight="0.5pt"/>
                <v:imagedata o:title=""/>
                <o:lock v:ext="edit" aspectratio="f"/>
                <v:textbox>
                  <w:txbxContent>
                    <w:p>
                      <w:pPr>
                        <w:rPr>
                          <w:sz w:val="144"/>
                          <w:szCs w:val="144"/>
                        </w:rPr>
                      </w:pPr>
                      <w:r>
                        <w:rPr>
                          <w:b/>
                          <w:bCs/>
                          <w:sz w:val="144"/>
                          <w:szCs w:val="144"/>
                        </w:rPr>
                        <w:t>SJG</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4993640</wp:posOffset>
                </wp:positionH>
                <wp:positionV relativeFrom="page">
                  <wp:posOffset>2030730</wp:posOffset>
                </wp:positionV>
                <wp:extent cx="2181860" cy="5937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81600" cy="59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eastAsia="黑体"/>
                                <w:b/>
                                <w:bCs/>
                                <w:spacing w:val="20"/>
                                <w:sz w:val="48"/>
                                <w:szCs w:val="48"/>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2023</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2pt;margin-top:159.9pt;height:46.75pt;width:171.8pt;mso-position-horizontal-relative:page;mso-position-vertical-relative:page;z-index:251660288;mso-width-relative:page;mso-height-relative:page;" filled="f" stroked="f" coordsize="21600,21600" o:gfxdata="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d&#10;VirdAAAADAEAAA8AAAAAAAAAAQAgAAAAIgAAAGRycy9kb3ducmV2LnhtbFBLAQIUABQAAAAIAIdO&#10;4kBWBTKNHgIAABAEAAAOAAAAAAAAAAEAIAAAACwBAABkcnMvZTJvRG9jLnhtbFBLBQYAAAAABgAG&#10;AFkBAAC8BQAAAAA=&#10;">
                <v:fill on="f" focussize="0,0"/>
                <v:stroke on="f" weight="0.5pt"/>
                <v:imagedata o:title=""/>
                <o:lock v:ext="edit" aspectratio="f"/>
                <v:textbox>
                  <w:txbxContent>
                    <w:p>
                      <w:pPr>
                        <w:jc w:val="distribute"/>
                        <w:rPr>
                          <w:rFonts w:eastAsia="黑体"/>
                          <w:b/>
                          <w:bCs/>
                          <w:spacing w:val="20"/>
                          <w:sz w:val="48"/>
                          <w:szCs w:val="48"/>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2023</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-93345</wp:posOffset>
                </wp:positionH>
                <wp:positionV relativeFrom="page">
                  <wp:posOffset>2642870</wp:posOffset>
                </wp:positionV>
                <wp:extent cx="77184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7718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pt;margin-top:208.1pt;height:0pt;width:607.75pt;mso-position-horizontal-relative:page;mso-position-vertical-relative:page;z-index:251666432;mso-width-relative:page;mso-height-relative:page;" filled="f" stroked="t" coordsize="21600,21600" o:gfxdata="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6lHbtYAAAAMAQAADwAAAAAAAAABACAA&#10;AAAiAAAAZHJzL2Rvd25yZXYueG1sUEsBAhQAFAAAAAgAh07iQL6Z6UjWAQAAmQMAAA4AAAAAAAAA&#10;AQAgAAAAJQEAAGRycy9lMm9Eb2MueG1sUEsFBgAAAAAGAAYAWQEAAG0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4561840</wp:posOffset>
                </wp:positionH>
                <wp:positionV relativeFrom="page">
                  <wp:posOffset>8417560</wp:posOffset>
                </wp:positionV>
                <wp:extent cx="2577465" cy="4464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5776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2pt;margin-top:662.8pt;height:35.15pt;width:202.95pt;mso-position-horizontal-relative:page;mso-position-vertical-relative:page;z-index:251663360;mso-width-relative:page;mso-height-relative:page;" filled="f" stroked="f" coordsize="21600,21600" o:gfxdata="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TUvN3gAAAA4BAAAPAAAAAAAAAAEAIAAAACIAAABkcnMvZG93bnJldi54bWxQSwECFAAUAAAACACH&#10;TuJAM2v2rh4CAAASBAAADgAAAAAAAAABACAAAAAtAQAAZHJzL2Uyb0RvYy54bWxQSwUGAAAAAAYA&#10;BgBZAQAAvQU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v:textbox>
              </v:shape>
            </w:pict>
          </mc:Fallback>
        </mc:AlternateContent>
      </w:r>
    </w:p>
    <w:p>
      <w:pPr>
        <w:pStyle w:val="19"/>
        <w:spacing w:line="360" w:lineRule="auto"/>
        <w:jc w:val="center"/>
        <w:rPr>
          <w:rFonts w:hAnsi="黑体" w:cs="黑体"/>
          <w:spacing w:val="20"/>
          <w:sz w:val="32"/>
          <w:szCs w:val="32"/>
        </w:rPr>
      </w:pPr>
      <w:r>
        <mc:AlternateContent>
          <mc:Choice Requires="wps">
            <w:drawing>
              <wp:anchor distT="0" distB="0" distL="114300" distR="114300" simplePos="0" relativeHeight="251661312" behindDoc="0" locked="0" layoutInCell="1" allowOverlap="1">
                <wp:simplePos x="0" y="0"/>
                <wp:positionH relativeFrom="page">
                  <wp:posOffset>1263015</wp:posOffset>
                </wp:positionH>
                <wp:positionV relativeFrom="page">
                  <wp:posOffset>1264285</wp:posOffset>
                </wp:positionV>
                <wp:extent cx="3776980" cy="723900"/>
                <wp:effectExtent l="0" t="0" r="0" b="635"/>
                <wp:wrapNone/>
                <wp:docPr id="3" name="文本框 3"/>
                <wp:cNvGraphicFramePr/>
                <a:graphic xmlns:a="http://schemas.openxmlformats.org/drawingml/2006/main">
                  <a:graphicData uri="http://schemas.microsoft.com/office/word/2010/wordprocessingShape">
                    <wps:wsp>
                      <wps:cNvSpPr txBox="1"/>
                      <wps:spPr>
                        <a:xfrm>
                          <a:off x="0" y="0"/>
                          <a:ext cx="3776980" cy="72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45pt;margin-top:99.55pt;height:57pt;width:297.4pt;mso-position-horizontal-relative:page;mso-position-vertical-relative:page;z-index:251661312;mso-width-relative:page;mso-height-relative:page;" filled="f" stroked="f" coordsize="21600,21600" o:gfxdata="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gla&#10;9toAAAALAQAADwAAAAAAAAABACAAAAAiAAAAZHJzL2Rvd25yZXYueG1sUEsBAhQAFAAAAAgAh07i&#10;QBi/PcogAgAAEAQAAA4AAAAAAAAAAQAgAAAAKQEAAGRycy9lMm9Eb2MueG1sUEsFBgAAAAAGAAYA&#10;WQEAALsFAAAAAA==&#10;">
                <v:fill on="f" focussize="0,0"/>
                <v:stroke on="f" weight="0.5pt"/>
                <v:imagedata o:title=""/>
                <o:lock v:ext="edit" aspectratio="f"/>
                <v:textbo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v:textbox>
              </v:shape>
            </w:pict>
          </mc:Fallback>
        </mc:AlternateContent>
      </w:r>
    </w:p>
    <w:p>
      <w:pPr>
        <w:pStyle w:val="17"/>
        <w:spacing w:after="240" w:line="360" w:lineRule="auto"/>
        <w:ind w:left="480"/>
        <w:jc w:val="right"/>
        <w:rPr>
          <w:rFonts w:eastAsia="黑体"/>
          <w:b/>
          <w:bCs/>
          <w:color w:val="auto"/>
          <w:spacing w:val="-11"/>
          <w:sz w:val="28"/>
          <w:szCs w:val="28"/>
        </w:rPr>
      </w:pPr>
    </w:p>
    <w:p>
      <w:pPr>
        <w:pStyle w:val="17"/>
        <w:spacing w:after="240" w:line="360" w:lineRule="auto"/>
        <w:ind w:left="480"/>
        <w:jc w:val="right"/>
        <w:rPr>
          <w:rFonts w:eastAsia="黑体"/>
          <w:b/>
          <w:bCs/>
          <w:color w:val="auto"/>
          <w:spacing w:val="-11"/>
          <w:sz w:val="28"/>
          <w:szCs w:val="28"/>
        </w:rPr>
      </w:pPr>
    </w:p>
    <w:p>
      <w:pPr>
        <w:pStyle w:val="18"/>
        <w:spacing w:line="360" w:lineRule="auto"/>
        <w:ind w:right="3840"/>
        <w:rPr>
          <w:rFonts w:eastAsia="黑体e眠副浡渀."/>
          <w:sz w:val="96"/>
          <w:szCs w:val="96"/>
        </w:rPr>
      </w:pPr>
    </w:p>
    <w:p>
      <w:pPr>
        <w:pStyle w:val="17"/>
        <w:rPr>
          <w:color w:val="auto"/>
        </w:rPr>
      </w:pPr>
      <w:r>
        <mc:AlternateContent>
          <mc:Choice Requires="wps">
            <w:drawing>
              <wp:anchor distT="0" distB="0" distL="114300" distR="114300" simplePos="0" relativeHeight="251668480" behindDoc="0" locked="0" layoutInCell="1" allowOverlap="1">
                <wp:simplePos x="0" y="0"/>
                <wp:positionH relativeFrom="page">
                  <wp:posOffset>1195705</wp:posOffset>
                </wp:positionH>
                <wp:positionV relativeFrom="page">
                  <wp:posOffset>3566160</wp:posOffset>
                </wp:positionV>
                <wp:extent cx="5458460" cy="56515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5458264" cy="565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cs="黑体"/>
                                <w:b/>
                                <w:bCs/>
                                <w:spacing w:val="20"/>
                                <w:sz w:val="56"/>
                                <w:szCs w:val="56"/>
                              </w:rPr>
                            </w:pPr>
                            <w:r>
                              <w:rPr>
                                <w:rFonts w:ascii="宋体" w:hAnsi="宋体" w:cs="黑体"/>
                                <w:b/>
                                <w:bCs/>
                                <w:spacing w:val="20"/>
                                <w:sz w:val="56"/>
                                <w:szCs w:val="56"/>
                              </w:rPr>
                              <w:t>建筑</w:t>
                            </w:r>
                            <w:r>
                              <w:rPr>
                                <w:rFonts w:hint="eastAsia" w:ascii="宋体" w:hAnsi="宋体" w:cs="黑体"/>
                                <w:b/>
                                <w:bCs/>
                                <w:spacing w:val="20"/>
                                <w:sz w:val="56"/>
                                <w:szCs w:val="56"/>
                              </w:rPr>
                              <w:t>物绿色拆除技术标准</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15pt;margin-top:280.8pt;height:44.5pt;width:429.8pt;mso-position-horizontal-relative:page;mso-position-vertical-relative:page;z-index:251668480;mso-width-relative:page;mso-height-relative:page;" filled="f" stroked="f" coordsize="21600,21600" o:gfxdata="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97Q&#10;wNwAAAAMAQAADwAAAAAAAAABACAAAAAiAAAAZHJzL2Rvd25yZXYueG1sUEsBAhQAFAAAAAgAh07i&#10;QAzqDbweAgAAEAQAAA4AAAAAAAAAAQAgAAAAKwEAAGRycy9lMm9Eb2MueG1sUEsFBgAAAAAGAAYA&#10;WQEAALsFAAAAAA==&#10;">
                <v:fill on="f" focussize="0,0"/>
                <v:stroke on="f" weight="0.5pt"/>
                <v:imagedata o:title=""/>
                <o:lock v:ext="edit" aspectratio="f"/>
                <v:textbox>
                  <w:txbxContent>
                    <w:p>
                      <w:pPr>
                        <w:jc w:val="center"/>
                        <w:rPr>
                          <w:rFonts w:ascii="宋体" w:hAnsi="宋体" w:cs="黑体"/>
                          <w:b/>
                          <w:bCs/>
                          <w:spacing w:val="20"/>
                          <w:sz w:val="56"/>
                          <w:szCs w:val="56"/>
                        </w:rPr>
                      </w:pPr>
                      <w:r>
                        <w:rPr>
                          <w:rFonts w:ascii="宋体" w:hAnsi="宋体" w:cs="黑体"/>
                          <w:b/>
                          <w:bCs/>
                          <w:spacing w:val="20"/>
                          <w:sz w:val="56"/>
                          <w:szCs w:val="56"/>
                        </w:rPr>
                        <w:t>建筑</w:t>
                      </w:r>
                      <w:r>
                        <w:rPr>
                          <w:rFonts w:hint="eastAsia" w:ascii="宋体" w:hAnsi="宋体" w:cs="黑体"/>
                          <w:b/>
                          <w:bCs/>
                          <w:spacing w:val="20"/>
                          <w:sz w:val="56"/>
                          <w:szCs w:val="56"/>
                        </w:rPr>
                        <w:t>物绿色拆除技术标准</w:t>
                      </w:r>
                    </w:p>
                  </w:txbxContent>
                </v:textbox>
              </v:shape>
            </w:pict>
          </mc:Fallback>
        </mc:AlternateContent>
      </w:r>
    </w:p>
    <w:p>
      <w:pPr>
        <w:rPr>
          <w:kern w:val="0"/>
          <w:sz w:val="44"/>
          <w:szCs w:val="44"/>
        </w:rPr>
      </w:pPr>
    </w:p>
    <w:p>
      <w:pPr>
        <w:jc w:val="left"/>
        <w:rPr>
          <w:kern w:val="0"/>
          <w:sz w:val="44"/>
          <w:szCs w:val="44"/>
        </w:rPr>
      </w:pPr>
      <w:r>
        <w:rPr>
          <w:sz w:val="24"/>
          <w:szCs w:val="24"/>
        </w:rPr>
        <mc:AlternateContent>
          <mc:Choice Requires="wps">
            <w:drawing>
              <wp:anchor distT="0" distB="0" distL="114300" distR="114300" simplePos="0" relativeHeight="251669504" behindDoc="0" locked="0" layoutInCell="1" allowOverlap="1">
                <wp:simplePos x="0" y="0"/>
                <wp:positionH relativeFrom="page">
                  <wp:posOffset>1688465</wp:posOffset>
                </wp:positionH>
                <wp:positionV relativeFrom="page">
                  <wp:posOffset>4204970</wp:posOffset>
                </wp:positionV>
                <wp:extent cx="4539615" cy="565150"/>
                <wp:effectExtent l="0" t="0" r="0" b="6350"/>
                <wp:wrapNone/>
                <wp:docPr id="4" name="文本框 4"/>
                <wp:cNvGraphicFramePr/>
                <a:graphic xmlns:a="http://schemas.openxmlformats.org/drawingml/2006/main">
                  <a:graphicData uri="http://schemas.microsoft.com/office/word/2010/wordprocessingShape">
                    <wps:wsp>
                      <wps:cNvSpPr txBox="1"/>
                      <wps:spPr>
                        <a:xfrm>
                          <a:off x="0" y="0"/>
                          <a:ext cx="4539615" cy="565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黑体"/>
                                <w:b/>
                                <w:bCs/>
                                <w:spacing w:val="20"/>
                                <w:sz w:val="44"/>
                                <w:szCs w:val="44"/>
                              </w:rPr>
                            </w:pPr>
                            <w:r>
                              <w:rPr>
                                <w:bCs/>
                                <w:color w:val="000000"/>
                                <w:sz w:val="32"/>
                                <w:szCs w:val="32"/>
                              </w:rPr>
                              <w:t xml:space="preserve"> </w:t>
                            </w:r>
                            <w:r>
                              <w:rPr>
                                <w:rFonts w:hint="eastAsia"/>
                                <w:bCs/>
                                <w:color w:val="000000"/>
                                <w:sz w:val="32"/>
                                <w:szCs w:val="32"/>
                              </w:rPr>
                              <w:t xml:space="preserve">Standard for </w:t>
                            </w:r>
                            <w:r>
                              <w:rPr>
                                <w:bCs/>
                                <w:color w:val="000000"/>
                                <w:sz w:val="32"/>
                                <w:szCs w:val="32"/>
                              </w:rPr>
                              <w:t>green demolition of constructions</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95pt;margin-top:331.1pt;height:44.5pt;width:357.45pt;mso-position-horizontal-relative:page;mso-position-vertical-relative:page;z-index:251669504;mso-width-relative:page;mso-height-relative:page;" filled="f" stroked="f" coordsize="21600,21600" o:gfxdata="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16&#10;T0fcAAAACwEAAA8AAAAAAAAAAQAgAAAAIgAAAGRycy9kb3ducmV2LnhtbFBLAQIUABQAAAAIAIdO&#10;4kAkj3YEHwIAABAEAAAOAAAAAAAAAAEAIAAAACsBAABkcnMvZTJvRG9jLnhtbFBLBQYAAAAABgAG&#10;AFkBAAC8BQAAAAA=&#10;">
                <v:fill on="f" focussize="0,0"/>
                <v:stroke on="f" weight="0.5pt"/>
                <v:imagedata o:title=""/>
                <o:lock v:ext="edit" aspectratio="f"/>
                <v:textbox>
                  <w:txbxContent>
                    <w:p>
                      <w:pPr>
                        <w:jc w:val="center"/>
                        <w:rPr>
                          <w:rFonts w:eastAsia="黑体"/>
                          <w:b/>
                          <w:bCs/>
                          <w:spacing w:val="20"/>
                          <w:sz w:val="44"/>
                          <w:szCs w:val="44"/>
                        </w:rPr>
                      </w:pPr>
                      <w:r>
                        <w:rPr>
                          <w:bCs/>
                          <w:color w:val="000000"/>
                          <w:sz w:val="32"/>
                          <w:szCs w:val="32"/>
                        </w:rPr>
                        <w:t xml:space="preserve"> </w:t>
                      </w:r>
                      <w:r>
                        <w:rPr>
                          <w:rFonts w:hint="eastAsia"/>
                          <w:bCs/>
                          <w:color w:val="000000"/>
                          <w:sz w:val="32"/>
                          <w:szCs w:val="32"/>
                        </w:rPr>
                        <w:t xml:space="preserve">Standard for </w:t>
                      </w:r>
                      <w:r>
                        <w:rPr>
                          <w:bCs/>
                          <w:color w:val="000000"/>
                          <w:sz w:val="32"/>
                          <w:szCs w:val="32"/>
                        </w:rPr>
                        <w:t>green demolition of constructions</w:t>
                      </w:r>
                    </w:p>
                  </w:txbxContent>
                </v:textbox>
              </v:shape>
            </w:pict>
          </mc:Fallback>
        </mc:AlternateContent>
      </w: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ind w:left="480"/>
        <w:rPr>
          <w:color w:val="auto"/>
        </w:rPr>
      </w:pPr>
    </w:p>
    <w:p>
      <w:pPr>
        <w:pStyle w:val="17"/>
        <w:ind w:left="480"/>
        <w:rPr>
          <w:color w:val="auto"/>
        </w:rPr>
      </w:pPr>
    </w:p>
    <w:p>
      <w:pPr>
        <w:pStyle w:val="17"/>
        <w:ind w:left="480"/>
        <w:rPr>
          <w:color w:val="auto"/>
        </w:rPr>
      </w:pPr>
    </w:p>
    <w:p>
      <w:pPr>
        <w:pStyle w:val="17"/>
        <w:ind w:left="480"/>
        <w:rPr>
          <w:color w:val="auto"/>
        </w:rPr>
      </w:pPr>
    </w:p>
    <w:p>
      <w:pPr>
        <w:pStyle w:val="17"/>
        <w:ind w:left="480"/>
        <w:rPr>
          <w:color w:val="auto"/>
        </w:rPr>
      </w:pPr>
    </w:p>
    <w:p>
      <w:pPr>
        <w:pStyle w:val="17"/>
        <w:ind w:left="480"/>
        <w:rPr>
          <w:color w:val="auto"/>
        </w:rPr>
      </w:pPr>
    </w:p>
    <w:p>
      <w:pPr>
        <w:pStyle w:val="17"/>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line="360" w:lineRule="auto"/>
        <w:ind w:left="480"/>
        <w:rPr>
          <w:color w:val="auto"/>
        </w:rPr>
      </w:pPr>
    </w:p>
    <w:p>
      <w:pPr>
        <w:pStyle w:val="17"/>
        <w:spacing w:after="240" w:line="360" w:lineRule="auto"/>
        <w:ind w:left="480"/>
        <w:jc w:val="right"/>
        <w:rPr>
          <w:rFonts w:eastAsia="黑体"/>
          <w:b/>
          <w:bCs/>
          <w:color w:val="auto"/>
          <w:spacing w:val="-11"/>
          <w:sz w:val="28"/>
          <w:szCs w:val="28"/>
        </w:rPr>
      </w:pPr>
      <w:r>
        <mc:AlternateContent>
          <mc:Choice Requires="wps">
            <w:drawing>
              <wp:anchor distT="0" distB="0" distL="114300" distR="114300" simplePos="0" relativeHeight="251664384" behindDoc="0" locked="0" layoutInCell="1" allowOverlap="1">
                <wp:simplePos x="0" y="0"/>
                <wp:positionH relativeFrom="page">
                  <wp:posOffset>702310</wp:posOffset>
                </wp:positionH>
                <wp:positionV relativeFrom="page">
                  <wp:posOffset>9681845</wp:posOffset>
                </wp:positionV>
                <wp:extent cx="4993005" cy="608330"/>
                <wp:effectExtent l="0" t="0" r="0" b="1270"/>
                <wp:wrapNone/>
                <wp:docPr id="12" name="文本框 12"/>
                <wp:cNvGraphicFramePr/>
                <a:graphic xmlns:a="http://schemas.openxmlformats.org/drawingml/2006/main">
                  <a:graphicData uri="http://schemas.microsoft.com/office/word/2010/wordprocessingShape">
                    <wps:wsp>
                      <wps:cNvSpPr txBox="1"/>
                      <wps:spPr>
                        <a:xfrm>
                          <a:off x="0" y="0"/>
                          <a:ext cx="4993200" cy="608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3pt;margin-top:762.35pt;height:47.9pt;width:393.15pt;mso-position-horizontal-relative:page;mso-position-vertical-relative:page;z-index:251664384;mso-width-relative:page;mso-height-relative:page;" filled="f" stroked="f" coordsize="21600,21600" o:gfxdata="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u+&#10;HandAAAADQEAAA8AAAAAAAAAAQAgAAAAIgAAAGRycy9kb3ducmV2LnhtbFBLAQIUABQAAAAIAIdO&#10;4kBuSuCwHgIAABIEAAAOAAAAAAAAAAEAIAAAACwBAABkcnMvZTJvRG9jLnhtbFBLBQYAAAAABgAG&#10;AFkBAAC8BQAAAAA=&#10;">
                <v:fill on="f" focussize="0,0"/>
                <v:stroke on="f" weight="0.5pt"/>
                <v:imagedata o:title=""/>
                <o:lock v:ext="edit" aspectratio="f"/>
                <v:textbo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v:textbox>
              </v:shape>
            </w:pict>
          </mc:Fallback>
        </mc:AlternateContent>
      </w:r>
      <w:r>
        <mc:AlternateContent>
          <mc:Choice Requires="wps">
            <w:drawing>
              <wp:anchor distT="45720" distB="45720" distL="114300" distR="114300" simplePos="0" relativeHeight="251665408" behindDoc="0" locked="0" layoutInCell="1" allowOverlap="1">
                <wp:simplePos x="0" y="0"/>
                <wp:positionH relativeFrom="page">
                  <wp:posOffset>6124575</wp:posOffset>
                </wp:positionH>
                <wp:positionV relativeFrom="page">
                  <wp:posOffset>9681845</wp:posOffset>
                </wp:positionV>
                <wp:extent cx="752475" cy="547370"/>
                <wp:effectExtent l="0" t="0" r="0" b="5715"/>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752400" cy="547200"/>
                        </a:xfrm>
                        <a:prstGeom prst="rect">
                          <a:avLst/>
                        </a:prstGeom>
                        <a:noFill/>
                        <a:ln w="9525">
                          <a:noFill/>
                          <a:miter lim="800000"/>
                        </a:ln>
                      </wps:spPr>
                      <wps:txbx>
                        <w:txbxContent>
                          <w:p>
                            <w:pPr>
                              <w:jc w:val="distribute"/>
                              <w:rPr>
                                <w:b/>
                                <w:bCs/>
                                <w:sz w:val="28"/>
                                <w:szCs w:val="28"/>
                              </w:rPr>
                            </w:pPr>
                            <w:r>
                              <w:rPr>
                                <w:rFonts w:hint="eastAsia" w:ascii="黑体" w:hAnsi="黑体" w:eastAsia="黑体" w:cs="黑体"/>
                                <w:b/>
                                <w:bCs/>
                                <w:sz w:val="40"/>
                                <w:szCs w:val="40"/>
                              </w:rPr>
                              <w:t>发布</w:t>
                            </w:r>
                          </w:p>
                        </w:txbxContent>
                      </wps:txbx>
                      <wps:bodyPr rot="0" vertOverflow="clip" horzOverflow="clip" vert="horz" wrap="square" lIns="91440" tIns="45720" rIns="91440" bIns="45720" anchor="t" anchorCtr="0">
                        <a:noAutofit/>
                      </wps:bodyPr>
                    </wps:wsp>
                  </a:graphicData>
                </a:graphic>
              </wp:anchor>
            </w:drawing>
          </mc:Choice>
          <mc:Fallback>
            <w:pict>
              <v:shape id="_x0000_s1026" o:spid="_x0000_s1026" o:spt="202" type="#_x0000_t202" style="position:absolute;left:0pt;margin-left:482.25pt;margin-top:762.35pt;height:43.1pt;width:59.25pt;mso-position-horizontal-relative:page;mso-position-vertical-relative:page;z-index:251665408;mso-width-relative:page;mso-height-relative:page;" filled="f" stroked="f" coordsize="21600,21600" o:gfxdata="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z2Yc3aAAAADgEA&#10;AA8AAAAAAAAAAQAgAAAAIgAAAGRycy9kb3ducmV2LnhtbFBLAQIUABQAAAAIAIdO4kBlC4aYGAIA&#10;AAYEAAAOAAAAAAAAAAEAIAAAACkBAABkcnMvZTJvRG9jLnhtbFBLBQYAAAAABgAGAFkBAACzBQAA&#10;AAA=&#10;">
                <v:fill on="f" focussize="0,0"/>
                <v:stroke on="f" miterlimit="8" joinstyle="miter"/>
                <v:imagedata o:title=""/>
                <o:lock v:ext="edit" aspectratio="f"/>
                <v:textbox>
                  <w:txbxContent>
                    <w:p>
                      <w:pPr>
                        <w:jc w:val="distribute"/>
                        <w:rPr>
                          <w:b/>
                          <w:bCs/>
                          <w:sz w:val="28"/>
                          <w:szCs w:val="28"/>
                        </w:rPr>
                      </w:pP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-86360</wp:posOffset>
                </wp:positionH>
                <wp:positionV relativeFrom="page">
                  <wp:posOffset>9069705</wp:posOffset>
                </wp:positionV>
                <wp:extent cx="77146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48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pt;margin-top:714.15pt;height:0pt;width:607.45pt;mso-position-horizontal-relative:page;mso-position-vertical-relative:page;z-index:251667456;mso-width-relative:page;mso-height-relative:page;" filled="f" stroked="t" coordsize="21600,21600" o:gfxdata="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sIzI2AAAAA4BAAAPAAAAAAAAAAEA&#10;IAAAACIAAABkcnMvZG93bnJldi54bWxQSwECFAAUAAAACACHTuJAWacsdtYBAACZAwAADgAAAAAA&#10;AAABACAAAAAnAQAAZHJzL2Uyb0RvYy54bWxQSwUGAAAAAAYABgBZAQAAbwUAAAAA&#10;">
                <v:fill on="f" focussize="0,0"/>
                <v:stroke weight="1.5pt" color="#000000" joinstyle="round"/>
                <v:imagedata o:title=""/>
                <o:lock v:ext="edit" aspectratio="f"/>
              </v:line>
            </w:pict>
          </mc:Fallback>
        </mc:AlternateContent>
      </w:r>
      <w:r>
        <w:rPr>
          <w:rFonts w:eastAsia="黑体"/>
          <w:b/>
          <w:bCs/>
          <w:color w:val="auto"/>
          <w:spacing w:val="-11"/>
          <w:sz w:val="28"/>
          <w:szCs w:val="28"/>
        </w:rPr>
        <w:t xml:space="preserve">                           </w:t>
      </w:r>
    </w:p>
    <w:p>
      <w:pPr>
        <w:spacing w:line="240" w:lineRule="auto"/>
        <w:jc w:val="center"/>
        <w:rPr>
          <w:rFonts w:ascii="黑体" w:hAnsi="黑体" w:eastAsia="黑体"/>
          <w:b/>
          <w:sz w:val="32"/>
        </w:rPr>
        <w:sectPr>
          <w:footerReference r:id="rId3" w:type="default"/>
          <w:footerReference r:id="rId4" w:type="even"/>
          <w:pgSz w:w="11906" w:h="16838"/>
          <w:pgMar w:top="1610" w:right="1349" w:bottom="1213" w:left="1293" w:header="851" w:footer="992" w:gutter="0"/>
          <w:cols w:space="425" w:num="1"/>
          <w:docGrid w:type="lines" w:linePitch="333" w:charSpace="4423"/>
        </w:sectPr>
      </w:pPr>
    </w:p>
    <w:p>
      <w:pPr>
        <w:spacing w:line="240" w:lineRule="auto"/>
        <w:jc w:val="center"/>
        <w:rPr>
          <w:rFonts w:ascii="黑体" w:hAnsi="黑体" w:eastAsia="黑体"/>
          <w:b/>
          <w:sz w:val="32"/>
        </w:rPr>
      </w:pPr>
    </w:p>
    <w:p>
      <w:pPr>
        <w:spacing w:line="240" w:lineRule="auto"/>
        <w:ind w:right="-44"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ascii="宋体" w:hAnsi="宋体"/>
          <w:b/>
          <w:bCs/>
          <w:sz w:val="32"/>
          <w:szCs w:val="32"/>
        </w:rPr>
      </w:pPr>
      <w:r>
        <w:rPr>
          <w:rFonts w:hint="eastAsia" w:ascii="宋体" w:hAnsi="宋体"/>
          <w:b/>
          <w:bCs/>
          <w:sz w:val="32"/>
          <w:szCs w:val="32"/>
        </w:rPr>
        <w:t>建筑物绿色拆除技术标准</w:t>
      </w:r>
    </w:p>
    <w:p>
      <w:pPr>
        <w:spacing w:line="240" w:lineRule="auto"/>
        <w:jc w:val="center"/>
        <w:rPr>
          <w:rFonts w:eastAsia="黑体"/>
          <w:sz w:val="32"/>
          <w:szCs w:val="32"/>
        </w:rPr>
      </w:pPr>
      <w:r>
        <w:rPr>
          <w:rFonts w:eastAsia="黑体"/>
          <w:sz w:val="32"/>
          <w:szCs w:val="32"/>
        </w:rPr>
        <w:t xml:space="preserve">Standard </w:t>
      </w:r>
      <w:r>
        <w:rPr>
          <w:rFonts w:hint="eastAsia" w:eastAsia="黑体"/>
          <w:sz w:val="32"/>
          <w:szCs w:val="32"/>
        </w:rPr>
        <w:t>for</w:t>
      </w:r>
      <w:r>
        <w:rPr>
          <w:rFonts w:eastAsia="黑体"/>
          <w:sz w:val="32"/>
          <w:szCs w:val="32"/>
        </w:rPr>
        <w:t xml:space="preserve"> green demolition of construction</w:t>
      </w:r>
    </w:p>
    <w:p>
      <w:pPr>
        <w:spacing w:line="240" w:lineRule="auto"/>
        <w:jc w:val="center"/>
        <w:rPr>
          <w:b/>
          <w:sz w:val="30"/>
        </w:rPr>
      </w:pPr>
    </w:p>
    <w:p>
      <w:pPr>
        <w:spacing w:line="240" w:lineRule="auto"/>
        <w:jc w:val="center"/>
        <w:rPr>
          <w:b/>
          <w:sz w:val="30"/>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202X</w:t>
      </w:r>
    </w:p>
    <w:p>
      <w:pPr>
        <w:spacing w:line="240" w:lineRule="auto"/>
        <w:ind w:firstLine="600"/>
        <w:jc w:val="center"/>
        <w:rPr>
          <w:sz w:val="30"/>
        </w:rPr>
      </w:pPr>
    </w:p>
    <w:p>
      <w:pPr>
        <w:spacing w:line="240" w:lineRule="auto"/>
        <w:ind w:firstLine="1556" w:firstLineChars="708"/>
        <w:rPr>
          <w:szCs w:val="28"/>
        </w:rPr>
      </w:pPr>
    </w:p>
    <w:p>
      <w:pPr>
        <w:spacing w:line="240" w:lineRule="auto"/>
        <w:ind w:firstLine="1556" w:firstLineChars="708"/>
        <w:rPr>
          <w:szCs w:val="28"/>
        </w:rPr>
      </w:pPr>
    </w:p>
    <w:p>
      <w:pPr>
        <w:spacing w:line="240" w:lineRule="auto"/>
        <w:ind w:firstLine="1556" w:firstLineChars="708"/>
        <w:rPr>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widowControl/>
        <w:spacing w:line="240" w:lineRule="auto"/>
        <w:jc w:val="center"/>
        <w:rPr>
          <w:rFonts w:ascii="黑体" w:hAnsi="黑体" w:eastAsia="黑体"/>
          <w:kern w:val="0"/>
          <w:sz w:val="30"/>
          <w:szCs w:val="30"/>
        </w:rPr>
      </w:pPr>
      <w:r>
        <w:rPr>
          <w:rFonts w:eastAsia="黑体"/>
          <w:kern w:val="0"/>
          <w:sz w:val="30"/>
          <w:szCs w:val="30"/>
        </w:rPr>
        <w:t>2024</w:t>
      </w:r>
      <w:r>
        <w:rPr>
          <w:rFonts w:ascii="黑体" w:hAnsi="黑体" w:eastAsia="黑体"/>
          <w:kern w:val="0"/>
          <w:sz w:val="30"/>
          <w:szCs w:val="30"/>
        </w:rPr>
        <w:t xml:space="preserve"> </w:t>
      </w:r>
      <w:r>
        <w:rPr>
          <w:rFonts w:hint="eastAsia" w:ascii="黑体" w:hAnsi="黑体" w:eastAsia="黑体"/>
          <w:spacing w:val="183"/>
          <w:w w:val="100"/>
          <w:kern w:val="0"/>
          <w:sz w:val="30"/>
          <w:szCs w:val="30"/>
          <w:fitText w:val="966" w:id="-1579431167"/>
        </w:rPr>
        <w:t>深</w:t>
      </w:r>
      <w:r>
        <w:rPr>
          <w:rFonts w:hint="eastAsia" w:ascii="黑体" w:hAnsi="黑体" w:eastAsia="黑体"/>
          <w:spacing w:val="0"/>
          <w:w w:val="100"/>
          <w:kern w:val="0"/>
          <w:sz w:val="30"/>
          <w:szCs w:val="30"/>
          <w:fitText w:val="966" w:id="-1579431167"/>
        </w:rPr>
        <w:t>圳</w:t>
      </w:r>
    </w:p>
    <w:p>
      <w:pPr>
        <w:widowControl/>
        <w:spacing w:line="240" w:lineRule="auto"/>
        <w:jc w:val="left"/>
        <w:rPr>
          <w:rFonts w:ascii="黑体" w:hAnsi="黑体" w:eastAsia="黑体"/>
          <w:kern w:val="0"/>
          <w:sz w:val="30"/>
          <w:szCs w:val="30"/>
        </w:rPr>
      </w:pPr>
      <w:r>
        <w:rPr>
          <w:rFonts w:ascii="黑体" w:hAnsi="黑体" w:eastAsia="黑体"/>
          <w:kern w:val="0"/>
          <w:sz w:val="30"/>
          <w:szCs w:val="30"/>
        </w:rPr>
        <w:br w:type="page"/>
      </w:r>
    </w:p>
    <w:p>
      <w:pPr>
        <w:spacing w:before="360" w:after="360" w:line="240" w:lineRule="auto"/>
        <w:jc w:val="center"/>
        <w:rPr>
          <w:rFonts w:ascii="宋体" w:hAnsi="宋体"/>
          <w:b/>
          <w:sz w:val="28"/>
          <w:szCs w:val="28"/>
        </w:rPr>
      </w:pPr>
      <w:r>
        <w:rPr>
          <w:rFonts w:hint="eastAsia" w:ascii="宋体" w:hAnsi="宋体"/>
          <w:b/>
          <w:sz w:val="28"/>
          <w:szCs w:val="28"/>
        </w:rPr>
        <w:t xml:space="preserve">前 </w:t>
      </w:r>
      <w:r>
        <w:rPr>
          <w:rFonts w:ascii="宋体" w:hAnsi="宋体"/>
          <w:b/>
          <w:sz w:val="28"/>
          <w:szCs w:val="28"/>
        </w:rPr>
        <w:t xml:space="preserve">   </w:t>
      </w:r>
      <w:r>
        <w:rPr>
          <w:rFonts w:hint="eastAsia" w:ascii="宋体" w:hAnsi="宋体"/>
          <w:b/>
          <w:sz w:val="28"/>
          <w:szCs w:val="28"/>
        </w:rPr>
        <w:t>言</w:t>
      </w:r>
    </w:p>
    <w:p>
      <w:pPr>
        <w:spacing w:line="240" w:lineRule="auto"/>
        <w:ind w:firstLine="440" w:firstLineChars="200"/>
        <w:rPr>
          <w:rFonts w:cs="等线"/>
        </w:rPr>
      </w:pPr>
      <w:r>
        <w:rPr>
          <w:rFonts w:hint="eastAsia" w:cs="等线"/>
        </w:rPr>
        <w:t>根据《</w:t>
      </w:r>
      <w:r>
        <w:rPr>
          <w:rFonts w:hint="eastAsia" w:cs="等线"/>
          <w:highlight w:val="yellow"/>
        </w:rPr>
        <w:t>深圳市住房和建设局关于发布20</w:t>
      </w:r>
      <w:r>
        <w:rPr>
          <w:rFonts w:cs="等线"/>
          <w:highlight w:val="yellow"/>
        </w:rPr>
        <w:t>XX</w:t>
      </w:r>
      <w:r>
        <w:rPr>
          <w:rFonts w:hint="eastAsia" w:cs="等线"/>
          <w:highlight w:val="yellow"/>
        </w:rPr>
        <w:t>年深圳市工程建设标准制订修订计划项目的通知</w:t>
      </w:r>
      <w:r>
        <w:rPr>
          <w:rFonts w:hint="eastAsia" w:cs="等线"/>
        </w:rPr>
        <w:t>》（深建</w:t>
      </w:r>
      <w:r>
        <w:rPr>
          <w:rFonts w:hint="eastAsia" w:cs="等线"/>
          <w:highlight w:val="yellow"/>
        </w:rPr>
        <w:t>X〔20</w:t>
      </w:r>
      <w:r>
        <w:rPr>
          <w:rFonts w:cs="等线"/>
          <w:highlight w:val="yellow"/>
        </w:rPr>
        <w:t>XX</w:t>
      </w:r>
      <w:r>
        <w:rPr>
          <w:rFonts w:hint="eastAsia" w:cs="等线"/>
          <w:highlight w:val="yellow"/>
        </w:rPr>
        <w:t>〕</w:t>
      </w:r>
      <w:r>
        <w:rPr>
          <w:rFonts w:cs="等线"/>
          <w:highlight w:val="yellow"/>
        </w:rPr>
        <w:t>XX</w:t>
      </w:r>
      <w:r>
        <w:rPr>
          <w:rFonts w:hint="eastAsia" w:cs="等线"/>
          <w:highlight w:val="yellow"/>
        </w:rPr>
        <w:t>号）</w:t>
      </w:r>
      <w:r>
        <w:rPr>
          <w:rFonts w:hint="eastAsia" w:cs="等线"/>
        </w:rPr>
        <w:t>的要求，标准编制组经广泛调查研究，认真总结实践经验，参考有关国内外先进标准，结合深圳市的实际，并在广泛征求意见的基础上，编制了本标准。</w:t>
      </w:r>
    </w:p>
    <w:p>
      <w:pPr>
        <w:spacing w:line="240" w:lineRule="auto"/>
        <w:ind w:firstLine="440" w:firstLineChars="200"/>
        <w:rPr>
          <w:rFonts w:cs="等线"/>
        </w:rPr>
      </w:pPr>
      <w:r>
        <w:rPr>
          <w:rFonts w:hint="eastAsia" w:cs="等线"/>
        </w:rPr>
        <w:t>本标准主要技术内容是：1.总则；2.术语；3.一般规定；4</w:t>
      </w:r>
      <w:r>
        <w:rPr>
          <w:rFonts w:cs="等线"/>
        </w:rPr>
        <w:t>.</w:t>
      </w:r>
      <w:r>
        <w:rPr>
          <w:rFonts w:hint="eastAsia" w:cs="等线"/>
        </w:rPr>
        <w:t>施工组织设计；5</w:t>
      </w:r>
      <w:r>
        <w:rPr>
          <w:rFonts w:cs="等线"/>
        </w:rPr>
        <w:t>.</w:t>
      </w:r>
      <w:r>
        <w:rPr>
          <w:rFonts w:hint="eastAsia" w:cs="等线"/>
        </w:rPr>
        <w:t>绿色拆除作业；6</w:t>
      </w:r>
      <w:r>
        <w:rPr>
          <w:rFonts w:cs="等线"/>
        </w:rPr>
        <w:t>.</w:t>
      </w:r>
      <w:r>
        <w:rPr>
          <w:rFonts w:hint="eastAsia" w:cs="等线"/>
        </w:rPr>
        <w:t>反向建造工序拆除；</w:t>
      </w:r>
      <w:r>
        <w:rPr>
          <w:rFonts w:cs="等线"/>
        </w:rPr>
        <w:t>7.</w:t>
      </w:r>
      <w:r>
        <w:rPr>
          <w:rFonts w:hint="eastAsia" w:cs="等线"/>
        </w:rPr>
        <w:t>现场减量化方案；8</w:t>
      </w:r>
      <w:r>
        <w:rPr>
          <w:rFonts w:cs="等线"/>
        </w:rPr>
        <w:t>.</w:t>
      </w:r>
      <w:r>
        <w:rPr>
          <w:rFonts w:hint="eastAsia" w:cs="等线"/>
        </w:rPr>
        <w:t>建筑废弃物现场综合利用；9</w:t>
      </w:r>
      <w:r>
        <w:rPr>
          <w:rFonts w:cs="等线"/>
        </w:rPr>
        <w:t>.</w:t>
      </w:r>
      <w:r>
        <w:rPr>
          <w:rFonts w:hint="eastAsia" w:cs="等线"/>
        </w:rPr>
        <w:t>拆除工程碳足迹评价。</w:t>
      </w:r>
    </w:p>
    <w:p>
      <w:pPr>
        <w:spacing w:line="240" w:lineRule="auto"/>
        <w:ind w:firstLine="440" w:firstLineChars="200"/>
        <w:jc w:val="left"/>
        <w:rPr>
          <w:rFonts w:cs="等线"/>
        </w:rPr>
      </w:pPr>
      <w:r>
        <w:rPr>
          <w:rFonts w:hint="eastAsia" w:cs="等线"/>
        </w:rPr>
        <w:t>本标准由深圳市住房和建设局批准发布，由深圳市住房和建设局业务归口并组织深圳市天健（集团）股份有限公司等编制单位负责技术内容的解释</w:t>
      </w:r>
      <w:r>
        <w:rPr>
          <w:rFonts w:hint="eastAsia" w:cs="等线"/>
          <w:color w:val="FF0000"/>
        </w:rPr>
        <w:t>。</w:t>
      </w:r>
      <w:r>
        <w:rPr>
          <w:rFonts w:hint="eastAsia" w:cs="等线"/>
        </w:rPr>
        <w:t>本标准实施过程中如有意见或建议，请寄送深圳市天健（集团）股份有限公司（地址：深圳市福田区红荔路</w:t>
      </w:r>
      <w:r>
        <w:rPr>
          <w:rFonts w:cs="等线"/>
        </w:rPr>
        <w:t>7019</w:t>
      </w:r>
      <w:r>
        <w:rPr>
          <w:rFonts w:hint="eastAsia" w:cs="等线"/>
        </w:rPr>
        <w:t>号，邮编：</w:t>
      </w:r>
      <w:r>
        <w:rPr>
          <w:rFonts w:cs="等线"/>
        </w:rPr>
        <w:t>518118</w:t>
      </w:r>
      <w:r>
        <w:rPr>
          <w:rFonts w:hint="eastAsia" w:cs="等线"/>
        </w:rPr>
        <w:t>），以供今后修订时参考。</w:t>
      </w:r>
    </w:p>
    <w:p>
      <w:pPr>
        <w:spacing w:line="240" w:lineRule="auto"/>
        <w:ind w:firstLine="440" w:firstLineChars="200"/>
        <w:jc w:val="left"/>
        <w:rPr>
          <w:rFonts w:cs="等线"/>
        </w:rPr>
      </w:pPr>
    </w:p>
    <w:p>
      <w:pPr>
        <w:spacing w:line="240" w:lineRule="auto"/>
        <w:ind w:firstLine="455" w:firstLineChars="155"/>
        <w:jc w:val="left"/>
        <w:rPr>
          <w:rFonts w:cs="等线"/>
        </w:rPr>
      </w:pPr>
      <w:r>
        <w:rPr>
          <w:rFonts w:hint="eastAsia" w:ascii="宋体" w:hAnsi="宋体"/>
          <w:spacing w:val="37"/>
          <w:w w:val="100"/>
          <w:kern w:val="0"/>
          <w:szCs w:val="21"/>
          <w:fitText w:val="2210" w:id="-1572572412"/>
        </w:rPr>
        <w:t>本标准主编单位</w:t>
      </w:r>
      <w:r>
        <w:rPr>
          <w:rFonts w:hint="eastAsia" w:cs="等线"/>
          <w:spacing w:val="6"/>
          <w:w w:val="100"/>
          <w:kern w:val="0"/>
          <w:szCs w:val="21"/>
          <w:fitText w:val="2210" w:id="-1572572412"/>
        </w:rPr>
        <w:t>：</w:t>
      </w:r>
      <w:bookmarkStart w:id="0" w:name="OLE_LINK1"/>
      <w:r>
        <w:rPr>
          <w:rFonts w:hint="eastAsia" w:cs="等线"/>
          <w:kern w:val="0"/>
          <w:szCs w:val="21"/>
          <w:lang w:val="en-US" w:eastAsia="zh-CN"/>
        </w:rPr>
        <w:t xml:space="preserve"> </w:t>
      </w:r>
      <w:r>
        <w:rPr>
          <w:rFonts w:hint="eastAsia" w:cs="等线"/>
        </w:rPr>
        <w:t>深圳市</w:t>
      </w:r>
      <w:bookmarkEnd w:id="0"/>
      <w:r>
        <w:rPr>
          <w:rFonts w:hint="eastAsia" w:cs="等线"/>
        </w:rPr>
        <w:t>天健（集团）股份有限公司</w:t>
      </w:r>
    </w:p>
    <w:p>
      <w:pPr>
        <w:spacing w:line="240" w:lineRule="auto"/>
        <w:ind w:firstLine="340" w:firstLineChars="155"/>
        <w:jc w:val="left"/>
        <w:rPr>
          <w:rFonts w:cs="等线"/>
          <w:szCs w:val="21"/>
        </w:rPr>
      </w:pPr>
      <w:r>
        <w:rPr>
          <w:rFonts w:hint="eastAsia" w:cs="等线"/>
        </w:rPr>
        <w:t xml:space="preserve"> </w:t>
      </w:r>
      <w:r>
        <w:rPr>
          <w:rFonts w:cs="等线"/>
        </w:rPr>
        <w:t xml:space="preserve">                     </w:t>
      </w:r>
      <w:r>
        <w:rPr>
          <w:rFonts w:hint="eastAsia" w:cs="等线"/>
        </w:rPr>
        <w:t xml:space="preserve">深圳市特区建工固废资源化有限公司 </w:t>
      </w:r>
    </w:p>
    <w:p>
      <w:pPr>
        <w:spacing w:line="240" w:lineRule="auto"/>
        <w:ind w:firstLine="455" w:firstLineChars="155"/>
        <w:jc w:val="left"/>
        <w:rPr>
          <w:rFonts w:cs="等线"/>
          <w:szCs w:val="21"/>
        </w:rPr>
      </w:pPr>
      <w:r>
        <w:rPr>
          <w:rFonts w:hint="eastAsia" w:ascii="宋体" w:hAnsi="宋体"/>
          <w:spacing w:val="37"/>
          <w:w w:val="100"/>
          <w:kern w:val="0"/>
          <w:szCs w:val="21"/>
          <w:fitText w:val="2210" w:id="-1572572413"/>
        </w:rPr>
        <w:t>本标准参编单位</w:t>
      </w:r>
      <w:r>
        <w:rPr>
          <w:rFonts w:hint="eastAsia" w:cs="等线"/>
          <w:spacing w:val="6"/>
          <w:w w:val="100"/>
          <w:kern w:val="0"/>
          <w:fitText w:val="2210" w:id="-1572572413"/>
        </w:rPr>
        <w:t>：</w:t>
      </w:r>
      <w:r>
        <w:rPr>
          <w:rFonts w:hint="eastAsia" w:cs="等线"/>
          <w:kern w:val="0"/>
          <w:lang w:val="en-US" w:eastAsia="zh-CN"/>
        </w:rPr>
        <w:t xml:space="preserve"> </w:t>
      </w:r>
      <w:r>
        <w:rPr>
          <w:rFonts w:hint="eastAsia" w:cs="等线"/>
          <w:szCs w:val="21"/>
        </w:rPr>
        <w:t>深圳大学</w:t>
      </w:r>
    </w:p>
    <w:p>
      <w:pPr>
        <w:spacing w:line="240" w:lineRule="auto"/>
        <w:ind w:firstLine="340" w:firstLineChars="155"/>
        <w:jc w:val="left"/>
        <w:rPr>
          <w:rFonts w:cs="等线"/>
          <w:szCs w:val="21"/>
        </w:rPr>
      </w:pPr>
      <w:r>
        <w:rPr>
          <w:rFonts w:cs="等线"/>
          <w:szCs w:val="21"/>
        </w:rPr>
        <w:t xml:space="preserve">                      </w:t>
      </w:r>
      <w:r>
        <w:rPr>
          <w:rFonts w:hint="eastAsia" w:cs="等线"/>
          <w:szCs w:val="21"/>
        </w:rPr>
        <w:t>深圳市建设科技促进中心</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深圳市天健建工有限公司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lang w:val="en-US" w:eastAsia="zh-CN"/>
        </w:rPr>
        <w:t xml:space="preserve"> </w:t>
      </w:r>
      <w:r>
        <w:rPr>
          <w:rFonts w:hint="eastAsia" w:cs="等线"/>
          <w:szCs w:val="21"/>
        </w:rPr>
        <w:t xml:space="preserve"> </w:t>
      </w:r>
      <w:r>
        <w:rPr>
          <w:rFonts w:hint="eastAsia" w:cs="等线"/>
          <w:color w:val="FF0000"/>
          <w:szCs w:val="21"/>
        </w:rPr>
        <w:t>深圳市政集团有限公司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深圳市天健棚改投资发展有限公司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深圳市天健坪山建设工程有限公司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深圳市建安集团有限公司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深圳市绿建环保工程有限公司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深圳市汇利德邦环保科技有限公司</w:t>
      </w:r>
    </w:p>
    <w:p>
      <w:pPr>
        <w:spacing w:line="240" w:lineRule="auto"/>
        <w:ind w:firstLine="340" w:firstLineChars="155"/>
        <w:jc w:val="left"/>
        <w:rPr>
          <w:rFonts w:cs="等线"/>
          <w:szCs w:val="21"/>
        </w:rPr>
      </w:pPr>
      <w:r>
        <w:rPr>
          <w:rFonts w:hint="eastAsia" w:cs="等线"/>
          <w:szCs w:val="21"/>
        </w:rPr>
        <w:t xml:space="preserve"> </w:t>
      </w:r>
      <w:r>
        <w:rPr>
          <w:rFonts w:cs="等线"/>
          <w:szCs w:val="21"/>
        </w:rPr>
        <w:t xml:space="preserve">                     </w:t>
      </w:r>
      <w:r>
        <w:rPr>
          <w:rFonts w:hint="eastAsia" w:cs="等线"/>
          <w:szCs w:val="21"/>
        </w:rPr>
        <w:t>深圳市深耕环保科技有限公司</w:t>
      </w:r>
    </w:p>
    <w:p>
      <w:pPr>
        <w:spacing w:line="240" w:lineRule="auto"/>
        <w:ind w:firstLine="2760" w:firstLineChars="1255"/>
        <w:jc w:val="left"/>
        <w:rPr>
          <w:rFonts w:cs="等线"/>
          <w:szCs w:val="21"/>
        </w:rPr>
      </w:pPr>
      <w:r>
        <w:rPr>
          <w:rFonts w:hint="eastAsia" w:cs="等线"/>
          <w:szCs w:val="21"/>
        </w:rPr>
        <w:t>深圳市永安环保实业有限公司</w:t>
      </w:r>
    </w:p>
    <w:p>
      <w:pPr>
        <w:spacing w:line="240" w:lineRule="auto"/>
        <w:ind w:firstLine="2760" w:firstLineChars="1255"/>
        <w:jc w:val="left"/>
        <w:rPr>
          <w:rFonts w:cs="等线"/>
          <w:szCs w:val="21"/>
        </w:rPr>
      </w:pPr>
      <w:r>
        <w:rPr>
          <w:rFonts w:hint="eastAsia" w:cs="等线"/>
          <w:szCs w:val="21"/>
        </w:rPr>
        <w:t>深圳市绿锦隆环保科技有限公司</w:t>
      </w:r>
    </w:p>
    <w:p>
      <w:pPr>
        <w:spacing w:line="240" w:lineRule="auto"/>
        <w:ind w:firstLine="2760" w:firstLineChars="1255"/>
        <w:jc w:val="left"/>
        <w:rPr>
          <w:rFonts w:cs="等线"/>
          <w:szCs w:val="21"/>
        </w:rPr>
      </w:pPr>
      <w:r>
        <w:rPr>
          <w:rFonts w:hint="eastAsia" w:cs="等线"/>
          <w:szCs w:val="21"/>
        </w:rPr>
        <w:t>中铁工程服务有限公司</w:t>
      </w:r>
    </w:p>
    <w:p>
      <w:pPr>
        <w:spacing w:line="240" w:lineRule="auto"/>
        <w:ind w:firstLine="2760" w:firstLineChars="1255"/>
        <w:jc w:val="left"/>
        <w:rPr>
          <w:rFonts w:cs="等线"/>
          <w:color w:val="FF0000"/>
        </w:rPr>
      </w:pPr>
      <w:r>
        <w:rPr>
          <w:rFonts w:hint="eastAsia" w:cs="等线"/>
          <w:color w:val="FF0000"/>
          <w:szCs w:val="21"/>
        </w:rPr>
        <w:t>深圳市智多</w:t>
      </w:r>
      <w:r>
        <w:rPr>
          <w:rFonts w:hint="eastAsia" w:cs="等线"/>
          <w:color w:val="FF0000"/>
          <w:szCs w:val="21"/>
          <w:lang w:val="en-US" w:eastAsia="zh-CN"/>
        </w:rPr>
        <w:t>兴</w:t>
      </w:r>
      <w:r>
        <w:rPr>
          <w:rFonts w:hint="eastAsia" w:cs="等线"/>
          <w:color w:val="FF0000"/>
          <w:szCs w:val="21"/>
        </w:rPr>
        <w:t>投控有限公司</w:t>
      </w:r>
    </w:p>
    <w:p>
      <w:pPr>
        <w:spacing w:line="240" w:lineRule="auto"/>
        <w:ind w:firstLine="464" w:firstLineChars="200"/>
        <w:jc w:val="left"/>
        <w:rPr>
          <w:rFonts w:cs="等线"/>
          <w:color w:val="auto"/>
        </w:rPr>
      </w:pPr>
      <w:r>
        <w:rPr>
          <w:rFonts w:hint="eastAsia" w:cs="等线"/>
          <w:spacing w:val="6"/>
          <w:w w:val="100"/>
          <w:kern w:val="0"/>
          <w:fitText w:val="2210" w:id="-1572572414"/>
        </w:rPr>
        <w:t>本标准主要起草人员</w:t>
      </w:r>
      <w:r>
        <w:rPr>
          <w:rFonts w:hint="eastAsia" w:cs="等线"/>
          <w:spacing w:val="1"/>
          <w:w w:val="100"/>
          <w:kern w:val="0"/>
          <w:fitText w:val="2210" w:id="-1572572414"/>
        </w:rPr>
        <w:t>：</w:t>
      </w:r>
      <w:r>
        <w:rPr>
          <w:rFonts w:hint="eastAsia" w:cs="等线"/>
          <w:kern w:val="0"/>
        </w:rPr>
        <w:t xml:space="preserve"> </w:t>
      </w:r>
      <w:r>
        <w:rPr>
          <w:rFonts w:hint="eastAsia" w:cs="等线"/>
        </w:rPr>
        <w:t>寇世聪</w:t>
      </w:r>
      <w:r>
        <w:rPr>
          <w:rFonts w:hint="eastAsia" w:ascii="宋体" w:hAnsi="宋体" w:cs="等线"/>
        </w:rPr>
        <w:t xml:space="preserve"> </w:t>
      </w:r>
      <w:r>
        <w:rPr>
          <w:rFonts w:ascii="宋体" w:hAnsi="宋体" w:cs="等线"/>
        </w:rPr>
        <w:t xml:space="preserve">  </w:t>
      </w:r>
      <w:r>
        <w:rPr>
          <w:rFonts w:hint="eastAsia" w:cs="等线"/>
        </w:rPr>
        <w:t xml:space="preserve">宋 </w:t>
      </w:r>
      <w:r>
        <w:rPr>
          <w:rFonts w:cs="等线"/>
        </w:rPr>
        <w:t xml:space="preserve"> 扬</w:t>
      </w:r>
      <w:r>
        <w:rPr>
          <w:rFonts w:hint="eastAsia" w:ascii="宋体" w:hAnsi="宋体" w:cs="等线"/>
        </w:rPr>
        <w:t xml:space="preserve"> </w:t>
      </w:r>
      <w:r>
        <w:rPr>
          <w:rFonts w:ascii="宋体" w:hAnsi="宋体" w:cs="等线"/>
        </w:rPr>
        <w:t xml:space="preserve">  </w:t>
      </w:r>
      <w:r>
        <w:rPr>
          <w:rFonts w:hint="eastAsia" w:cs="等线"/>
        </w:rPr>
        <w:t>李有志</w:t>
      </w:r>
      <w:r>
        <w:rPr>
          <w:rFonts w:hint="eastAsia" w:ascii="宋体" w:hAnsi="宋体" w:cs="等线"/>
        </w:rPr>
        <w:t xml:space="preserve"> </w:t>
      </w:r>
      <w:r>
        <w:rPr>
          <w:rFonts w:ascii="宋体" w:hAnsi="宋体" w:cs="等线"/>
        </w:rPr>
        <w:t xml:space="preserve"> </w:t>
      </w:r>
      <w:r>
        <w:rPr>
          <w:rFonts w:ascii="宋体" w:hAnsi="宋体" w:cs="等线"/>
          <w:color w:val="auto"/>
        </w:rPr>
        <w:t xml:space="preserve"> </w:t>
      </w:r>
      <w:r>
        <w:rPr>
          <w:rFonts w:hint="eastAsia" w:ascii="宋体" w:hAnsi="宋体" w:cs="等线"/>
          <w:color w:val="auto"/>
          <w:lang w:val="en-US" w:eastAsia="zh-CN"/>
        </w:rPr>
        <w:t>张永峰</w:t>
      </w:r>
      <w:r>
        <w:rPr>
          <w:rFonts w:hint="eastAsia" w:ascii="宋体" w:hAnsi="宋体" w:cs="等线"/>
          <w:color w:val="auto"/>
        </w:rPr>
        <w:t xml:space="preserve"> </w:t>
      </w:r>
      <w:r>
        <w:rPr>
          <w:rFonts w:ascii="宋体" w:hAnsi="宋体" w:cs="等线"/>
          <w:color w:val="auto"/>
        </w:rPr>
        <w:t xml:space="preserve">  </w:t>
      </w:r>
      <w:r>
        <w:rPr>
          <w:rFonts w:hint="eastAsia" w:ascii="宋体" w:hAnsi="宋体" w:cs="等线"/>
          <w:color w:val="auto"/>
        </w:rPr>
        <w:t>冯志远</w:t>
      </w:r>
      <w:r>
        <w:rPr>
          <w:rFonts w:hint="eastAsia" w:cs="等线"/>
          <w:color w:val="auto"/>
        </w:rPr>
        <w:t xml:space="preserve"> </w:t>
      </w:r>
      <w:r>
        <w:rPr>
          <w:rFonts w:cs="等线"/>
          <w:color w:val="auto"/>
        </w:rPr>
        <w:t xml:space="preserve"> </w:t>
      </w:r>
      <w:r>
        <w:rPr>
          <w:rFonts w:hint="eastAsia" w:cs="等线"/>
          <w:color w:val="auto"/>
        </w:rPr>
        <w:t xml:space="preserve">何 </w:t>
      </w:r>
      <w:r>
        <w:rPr>
          <w:rFonts w:cs="等线"/>
          <w:color w:val="auto"/>
        </w:rPr>
        <w:t xml:space="preserve"> </w:t>
      </w:r>
      <w:r>
        <w:rPr>
          <w:rFonts w:hint="eastAsia" w:cs="等线"/>
          <w:color w:val="auto"/>
        </w:rPr>
        <w:t>锋</w:t>
      </w:r>
    </w:p>
    <w:p>
      <w:pPr>
        <w:spacing w:line="240" w:lineRule="auto"/>
        <w:ind w:left="2310" w:leftChars="1050" w:right="-206" w:rightChars="-94" w:firstLine="466" w:firstLineChars="212"/>
        <w:jc w:val="left"/>
        <w:rPr>
          <w:rFonts w:hint="eastAsia" w:cs="等线"/>
        </w:rPr>
      </w:pPr>
      <w:r>
        <w:rPr>
          <w:rFonts w:hint="eastAsia" w:cs="等线"/>
          <w:color w:val="auto"/>
        </w:rPr>
        <w:t>马坤荣</w:t>
      </w:r>
      <w:r>
        <w:rPr>
          <w:rFonts w:hint="eastAsia" w:cs="等线"/>
          <w:color w:val="auto"/>
          <w:lang w:val="en-US" w:eastAsia="zh-CN"/>
        </w:rPr>
        <w:t xml:space="preserve"> </w:t>
      </w:r>
      <w:r>
        <w:rPr>
          <w:rFonts w:hint="eastAsia" w:ascii="宋体" w:hAnsi="宋体" w:cs="等线"/>
          <w:color w:val="auto"/>
          <w:lang w:val="en-US" w:eastAsia="zh-CN"/>
        </w:rPr>
        <w:t xml:space="preserve">  </w:t>
      </w:r>
      <w:r>
        <w:rPr>
          <w:rFonts w:hint="eastAsia" w:cs="等线"/>
          <w:color w:val="auto"/>
        </w:rPr>
        <w:t>胡代中</w:t>
      </w:r>
      <w:r>
        <w:rPr>
          <w:rFonts w:hint="eastAsia" w:cs="等线"/>
          <w:color w:val="auto"/>
          <w:lang w:val="en-US" w:eastAsia="zh-CN"/>
        </w:rPr>
        <w:t xml:space="preserve">   </w:t>
      </w:r>
      <w:r>
        <w:rPr>
          <w:rFonts w:hint="eastAsia" w:cs="等线"/>
          <w:color w:val="auto"/>
        </w:rPr>
        <w:t xml:space="preserve">徐 </w:t>
      </w:r>
      <w:r>
        <w:rPr>
          <w:rFonts w:cs="等线"/>
          <w:color w:val="auto"/>
        </w:rPr>
        <w:t xml:space="preserve"> </w:t>
      </w:r>
      <w:r>
        <w:rPr>
          <w:rFonts w:hint="eastAsia" w:cs="等线"/>
          <w:color w:val="auto"/>
        </w:rPr>
        <w:t>东</w:t>
      </w:r>
      <w:r>
        <w:rPr>
          <w:rFonts w:hint="eastAsia" w:ascii="宋体" w:hAnsi="宋体" w:cs="等线"/>
          <w:color w:val="auto"/>
        </w:rPr>
        <w:t xml:space="preserve"> </w:t>
      </w:r>
      <w:r>
        <w:rPr>
          <w:rFonts w:ascii="宋体" w:hAnsi="宋体" w:cs="等线"/>
          <w:color w:val="auto"/>
        </w:rPr>
        <w:t xml:space="preserve"> </w:t>
      </w:r>
      <w:r>
        <w:rPr>
          <w:rFonts w:hint="eastAsia" w:ascii="宋体" w:hAnsi="宋体" w:cs="等线"/>
          <w:color w:val="auto"/>
          <w:lang w:val="en-US" w:eastAsia="zh-CN"/>
        </w:rPr>
        <w:t xml:space="preserve"> </w:t>
      </w:r>
      <w:r>
        <w:rPr>
          <w:rFonts w:hint="eastAsia" w:cs="等线"/>
        </w:rPr>
        <w:t xml:space="preserve">武 </w:t>
      </w:r>
      <w:r>
        <w:rPr>
          <w:rFonts w:cs="等线"/>
        </w:rPr>
        <w:t xml:space="preserve"> </w:t>
      </w:r>
      <w:r>
        <w:rPr>
          <w:rFonts w:hint="eastAsia" w:cs="等线"/>
        </w:rPr>
        <w:t>亚</w:t>
      </w:r>
      <w:r>
        <w:rPr>
          <w:rFonts w:hint="eastAsia" w:cs="等线"/>
          <w:lang w:val="en-US" w:eastAsia="zh-CN"/>
        </w:rPr>
        <w:t xml:space="preserve">  </w:t>
      </w:r>
      <w:r>
        <w:rPr>
          <w:rFonts w:hint="eastAsia" w:ascii="宋体" w:hAnsi="宋体" w:cs="等线"/>
          <w:color w:val="auto"/>
          <w:lang w:val="en-US" w:eastAsia="zh-CN"/>
        </w:rPr>
        <w:t xml:space="preserve"> </w:t>
      </w:r>
      <w:r>
        <w:rPr>
          <w:rFonts w:hint="eastAsia" w:ascii="宋体" w:hAnsi="宋体" w:cs="等线"/>
        </w:rPr>
        <w:t>刘正雄</w:t>
      </w:r>
      <w:r>
        <w:rPr>
          <w:rFonts w:hint="eastAsia" w:ascii="宋体" w:hAnsi="宋体" w:cs="等线"/>
          <w:lang w:val="en-US" w:eastAsia="zh-CN"/>
        </w:rPr>
        <w:t xml:space="preserve"> </w:t>
      </w:r>
      <w:r>
        <w:rPr>
          <w:rFonts w:hint="eastAsia" w:ascii="宋体" w:hAnsi="宋体" w:cs="等线"/>
          <w:color w:val="auto"/>
          <w:lang w:val="en-US" w:eastAsia="zh-CN"/>
        </w:rPr>
        <w:t xml:space="preserve"> </w:t>
      </w:r>
      <w:r>
        <w:rPr>
          <w:rFonts w:hint="eastAsia" w:cs="等线"/>
        </w:rPr>
        <w:t xml:space="preserve">李 </w:t>
      </w:r>
      <w:r>
        <w:rPr>
          <w:rFonts w:cs="等线"/>
        </w:rPr>
        <w:t xml:space="preserve"> </w:t>
      </w:r>
      <w:r>
        <w:rPr>
          <w:rFonts w:hint="eastAsia" w:cs="等线"/>
        </w:rPr>
        <w:t>嘉</w:t>
      </w:r>
    </w:p>
    <w:p>
      <w:pPr>
        <w:spacing w:line="240" w:lineRule="auto"/>
        <w:ind w:left="2310" w:leftChars="1050" w:right="-206" w:rightChars="-94" w:firstLine="466" w:firstLineChars="212"/>
        <w:jc w:val="left"/>
        <w:rPr>
          <w:rFonts w:hint="eastAsia" w:ascii="宋体" w:hAnsi="宋体" w:cs="等线"/>
          <w:lang w:val="en-US" w:eastAsia="zh-CN"/>
        </w:rPr>
      </w:pPr>
      <w:r>
        <w:rPr>
          <w:rFonts w:hint="eastAsia" w:ascii="宋体" w:hAnsi="宋体" w:cs="等线"/>
        </w:rPr>
        <w:t>吴裕明</w:t>
      </w:r>
      <w:r>
        <w:rPr>
          <w:rFonts w:hint="eastAsia" w:ascii="宋体" w:hAnsi="宋体" w:cs="等线"/>
          <w:lang w:val="en-US" w:eastAsia="zh-CN"/>
        </w:rPr>
        <w:t xml:space="preserve">   </w:t>
      </w:r>
      <w:r>
        <w:rPr>
          <w:rFonts w:hint="eastAsia" w:ascii="宋体" w:hAnsi="宋体" w:cs="等线"/>
        </w:rPr>
        <w:t>王瑜明</w:t>
      </w:r>
      <w:r>
        <w:rPr>
          <w:rFonts w:hint="eastAsia" w:ascii="宋体" w:hAnsi="宋体" w:cs="等线"/>
          <w:lang w:val="en-US" w:eastAsia="zh-CN"/>
        </w:rPr>
        <w:t xml:space="preserve">   </w:t>
      </w:r>
      <w:r>
        <w:rPr>
          <w:rFonts w:hint="eastAsia" w:cs="等线"/>
        </w:rPr>
        <w:t>张</w:t>
      </w:r>
      <w:r>
        <w:rPr>
          <w:rFonts w:cs="等线"/>
        </w:rPr>
        <w:t xml:space="preserve">  </w:t>
      </w:r>
      <w:r>
        <w:rPr>
          <w:rFonts w:hint="eastAsia" w:cs="等线"/>
        </w:rPr>
        <w:t>辉</w:t>
      </w:r>
      <w:r>
        <w:rPr>
          <w:rFonts w:hint="eastAsia" w:cs="等线"/>
          <w:lang w:val="en-US" w:eastAsia="zh-CN"/>
        </w:rPr>
        <w:t xml:space="preserve">   </w:t>
      </w:r>
      <w:r>
        <w:rPr>
          <w:rFonts w:hint="eastAsia" w:ascii="宋体" w:hAnsi="宋体" w:cs="等线"/>
        </w:rPr>
        <w:t>李开富</w:t>
      </w:r>
      <w:r>
        <w:rPr>
          <w:rFonts w:hint="eastAsia" w:ascii="宋体" w:hAnsi="宋体" w:cs="等线"/>
          <w:lang w:val="en-US" w:eastAsia="zh-CN"/>
        </w:rPr>
        <w:t xml:space="preserve">   </w:t>
      </w:r>
      <w:r>
        <w:rPr>
          <w:rFonts w:hint="eastAsia" w:ascii="宋体" w:hAnsi="宋体" w:cs="等线"/>
        </w:rPr>
        <w:t>李君海</w:t>
      </w:r>
      <w:r>
        <w:rPr>
          <w:rFonts w:hint="eastAsia" w:ascii="宋体" w:hAnsi="宋体" w:cs="等线"/>
          <w:lang w:val="en-US" w:eastAsia="zh-CN"/>
        </w:rPr>
        <w:t xml:space="preserve">  </w:t>
      </w:r>
      <w:r>
        <w:rPr>
          <w:rFonts w:hint="eastAsia" w:ascii="宋体" w:hAnsi="宋体" w:cs="等线"/>
        </w:rPr>
        <w:t>陈涌填</w:t>
      </w:r>
      <w:r>
        <w:rPr>
          <w:rFonts w:hint="eastAsia" w:ascii="宋体" w:hAnsi="宋体" w:cs="等线"/>
          <w:lang w:val="en-US" w:eastAsia="zh-CN"/>
        </w:rPr>
        <w:t xml:space="preserve">  </w:t>
      </w:r>
    </w:p>
    <w:p>
      <w:pPr>
        <w:spacing w:line="240" w:lineRule="auto"/>
        <w:ind w:left="2310" w:leftChars="1050" w:right="-206" w:rightChars="-94" w:firstLine="466" w:firstLineChars="212"/>
        <w:jc w:val="left"/>
        <w:rPr>
          <w:rFonts w:ascii="宋体" w:hAnsi="宋体" w:cs="等线"/>
          <w:color w:val="auto"/>
        </w:rPr>
      </w:pPr>
      <w:r>
        <w:rPr>
          <w:rFonts w:hint="eastAsia" w:ascii="宋体" w:hAnsi="宋体" w:cs="等线"/>
          <w:color w:val="auto"/>
        </w:rPr>
        <w:t xml:space="preserve">沈 </w:t>
      </w:r>
      <w:r>
        <w:rPr>
          <w:rFonts w:ascii="宋体" w:hAnsi="宋体" w:cs="等线"/>
          <w:color w:val="auto"/>
        </w:rPr>
        <w:t xml:space="preserve"> 翔</w:t>
      </w:r>
      <w:r>
        <w:rPr>
          <w:rFonts w:hint="eastAsia" w:ascii="宋体" w:hAnsi="宋体" w:cs="等线"/>
          <w:color w:val="auto"/>
          <w:lang w:val="en-US" w:eastAsia="zh-CN"/>
        </w:rPr>
        <w:t xml:space="preserve">   </w:t>
      </w:r>
      <w:r>
        <w:rPr>
          <w:rFonts w:hint="eastAsia" w:ascii="宋体" w:hAnsi="宋体" w:cs="等线"/>
        </w:rPr>
        <w:t>郭智刚</w:t>
      </w:r>
      <w:r>
        <w:rPr>
          <w:rFonts w:hint="eastAsia" w:ascii="宋体" w:hAnsi="宋体" w:cs="等线"/>
          <w:lang w:val="en-US" w:eastAsia="zh-CN"/>
        </w:rPr>
        <w:t xml:space="preserve">   石军乐</w:t>
      </w:r>
      <w:r>
        <w:rPr>
          <w:rFonts w:hint="eastAsia" w:ascii="宋体" w:hAnsi="宋体" w:cs="等线"/>
        </w:rPr>
        <w:t xml:space="preserve"> </w:t>
      </w:r>
      <w:r>
        <w:rPr>
          <w:rFonts w:hint="eastAsia" w:ascii="宋体" w:hAnsi="宋体" w:cs="等线"/>
          <w:lang w:val="en-US" w:eastAsia="zh-CN"/>
        </w:rPr>
        <w:t xml:space="preserve"> </w:t>
      </w:r>
      <w:r>
        <w:rPr>
          <w:rFonts w:ascii="宋体" w:hAnsi="宋体" w:cs="等线"/>
        </w:rPr>
        <w:t xml:space="preserve"> </w:t>
      </w:r>
      <w:r>
        <w:rPr>
          <w:rFonts w:hint="eastAsia" w:ascii="宋体" w:hAnsi="宋体" w:cs="等线"/>
        </w:rPr>
        <w:t>徐亚非</w:t>
      </w:r>
      <w:r>
        <w:rPr>
          <w:rFonts w:hint="eastAsia" w:ascii="宋体" w:hAnsi="宋体" w:cs="等线"/>
          <w:lang w:val="en-US" w:eastAsia="zh-CN"/>
        </w:rPr>
        <w:t xml:space="preserve">   </w:t>
      </w:r>
      <w:r>
        <w:rPr>
          <w:rFonts w:hint="eastAsia" w:cs="等线"/>
        </w:rPr>
        <w:t>孙立建</w:t>
      </w:r>
      <w:r>
        <w:rPr>
          <w:rFonts w:hint="eastAsia" w:cs="等线"/>
          <w:lang w:val="en-US" w:eastAsia="zh-CN"/>
        </w:rPr>
        <w:t xml:space="preserve">  </w:t>
      </w:r>
      <w:r>
        <w:rPr>
          <w:rFonts w:hint="eastAsia" w:ascii="宋体" w:hAnsi="宋体" w:cs="等线"/>
          <w:color w:val="auto"/>
        </w:rPr>
        <w:t xml:space="preserve">曹民伟 </w:t>
      </w:r>
      <w:r>
        <w:rPr>
          <w:rFonts w:ascii="宋体" w:hAnsi="宋体" w:cs="等线"/>
          <w:color w:val="auto"/>
        </w:rPr>
        <w:t xml:space="preserve"> </w:t>
      </w:r>
    </w:p>
    <w:p>
      <w:pPr>
        <w:spacing w:line="240" w:lineRule="auto"/>
        <w:ind w:left="2310" w:leftChars="1050" w:right="-206" w:rightChars="-94" w:firstLine="466" w:firstLineChars="212"/>
        <w:jc w:val="left"/>
        <w:rPr>
          <w:rFonts w:ascii="宋体" w:hAnsi="宋体" w:cs="等线"/>
          <w:color w:val="auto"/>
        </w:rPr>
      </w:pPr>
      <w:r>
        <w:rPr>
          <w:rFonts w:hint="eastAsia" w:cs="等线"/>
          <w:color w:val="auto"/>
        </w:rPr>
        <w:t>彭孟啟</w:t>
      </w:r>
      <w:r>
        <w:rPr>
          <w:rFonts w:hint="eastAsia" w:cs="等线"/>
          <w:color w:val="auto"/>
          <w:lang w:val="en-US" w:eastAsia="zh-CN"/>
        </w:rPr>
        <w:t xml:space="preserve">   </w:t>
      </w:r>
      <w:r>
        <w:rPr>
          <w:rFonts w:hint="eastAsia" w:cs="等线"/>
          <w:color w:val="auto"/>
        </w:rPr>
        <w:t xml:space="preserve">王 </w:t>
      </w:r>
      <w:r>
        <w:rPr>
          <w:rFonts w:cs="等线"/>
          <w:color w:val="auto"/>
        </w:rPr>
        <w:t xml:space="preserve"> </w:t>
      </w:r>
      <w:r>
        <w:rPr>
          <w:rFonts w:hint="eastAsia" w:cs="等线"/>
          <w:color w:val="auto"/>
        </w:rPr>
        <w:t>进</w:t>
      </w:r>
      <w:r>
        <w:rPr>
          <w:rFonts w:cs="等线"/>
          <w:color w:val="auto"/>
        </w:rPr>
        <w:t xml:space="preserve"> </w:t>
      </w:r>
      <w:r>
        <w:rPr>
          <w:rFonts w:hint="eastAsia" w:cs="等线"/>
          <w:color w:val="auto"/>
          <w:lang w:val="en-US" w:eastAsia="zh-CN"/>
        </w:rPr>
        <w:t xml:space="preserve">  </w:t>
      </w:r>
      <w:r>
        <w:rPr>
          <w:rFonts w:hint="eastAsia" w:ascii="宋体" w:hAnsi="宋体" w:cs="等线"/>
          <w:color w:val="auto"/>
        </w:rPr>
        <w:t xml:space="preserve">刘志翔 </w:t>
      </w:r>
      <w:r>
        <w:rPr>
          <w:rFonts w:ascii="宋体" w:hAnsi="宋体" w:cs="等线"/>
          <w:color w:val="auto"/>
        </w:rPr>
        <w:t xml:space="preserve">  </w:t>
      </w:r>
      <w:r>
        <w:rPr>
          <w:rFonts w:hint="eastAsia" w:ascii="宋体" w:hAnsi="宋体" w:cs="等线"/>
          <w:color w:val="auto"/>
        </w:rPr>
        <w:t>向明姣</w:t>
      </w:r>
      <w:r>
        <w:rPr>
          <w:rFonts w:hint="eastAsia" w:ascii="宋体" w:hAnsi="宋体" w:cs="等线"/>
          <w:color w:val="auto"/>
          <w:lang w:val="en-US" w:eastAsia="zh-CN"/>
        </w:rPr>
        <w:t xml:space="preserve">   </w:t>
      </w:r>
      <w:r>
        <w:rPr>
          <w:rFonts w:hint="eastAsia" w:cs="等线"/>
          <w:color w:val="auto"/>
        </w:rPr>
        <w:t xml:space="preserve">何益方 </w:t>
      </w:r>
      <w:r>
        <w:rPr>
          <w:rFonts w:cs="等线"/>
          <w:color w:val="auto"/>
        </w:rPr>
        <w:t xml:space="preserve"> </w:t>
      </w:r>
      <w:r>
        <w:rPr>
          <w:rFonts w:hint="eastAsia" w:ascii="宋体" w:hAnsi="宋体" w:cs="等线"/>
          <w:color w:val="auto"/>
        </w:rPr>
        <w:t xml:space="preserve">吴坷晟 </w:t>
      </w:r>
      <w:r>
        <w:rPr>
          <w:rFonts w:ascii="宋体" w:hAnsi="宋体" w:cs="等线"/>
          <w:color w:val="auto"/>
        </w:rPr>
        <w:t xml:space="preserve"> </w:t>
      </w:r>
    </w:p>
    <w:p>
      <w:pPr>
        <w:spacing w:line="240" w:lineRule="auto"/>
        <w:ind w:left="2310" w:leftChars="1050" w:right="-206" w:rightChars="-94" w:firstLine="466" w:firstLineChars="212"/>
        <w:jc w:val="left"/>
        <w:rPr>
          <w:rFonts w:ascii="宋体" w:hAnsi="宋体" w:cs="等线"/>
          <w:color w:val="auto"/>
        </w:rPr>
      </w:pPr>
      <w:r>
        <w:rPr>
          <w:rFonts w:hint="eastAsia" w:ascii="宋体" w:hAnsi="宋体" w:cs="等线"/>
          <w:color w:val="auto"/>
        </w:rPr>
        <w:t xml:space="preserve">蔡晓炜 </w:t>
      </w:r>
      <w:r>
        <w:rPr>
          <w:rFonts w:hint="eastAsia" w:ascii="宋体" w:hAnsi="宋体" w:cs="等线"/>
          <w:color w:val="auto"/>
          <w:lang w:val="en-US" w:eastAsia="zh-CN"/>
        </w:rPr>
        <w:t xml:space="preserve"> </w:t>
      </w:r>
      <w:r>
        <w:rPr>
          <w:rFonts w:ascii="宋体" w:hAnsi="宋体" w:cs="等线"/>
          <w:color w:val="auto"/>
          <w:shd w:val="clear" w:color="auto" w:fill="auto"/>
        </w:rPr>
        <w:t xml:space="preserve"> </w:t>
      </w:r>
      <w:r>
        <w:rPr>
          <w:rFonts w:hint="eastAsia" w:ascii="宋体" w:hAnsi="宋体" w:cs="等线"/>
          <w:color w:val="auto"/>
          <w:shd w:val="clear" w:color="auto" w:fill="auto"/>
        </w:rPr>
        <w:t xml:space="preserve">唐 </w:t>
      </w:r>
      <w:r>
        <w:rPr>
          <w:rFonts w:ascii="宋体" w:hAnsi="宋体" w:cs="等线"/>
          <w:color w:val="auto"/>
          <w:shd w:val="clear" w:color="auto" w:fill="auto"/>
        </w:rPr>
        <w:t xml:space="preserve"> </w:t>
      </w:r>
      <w:r>
        <w:rPr>
          <w:rFonts w:hint="eastAsia" w:ascii="宋体" w:hAnsi="宋体" w:cs="等线"/>
          <w:color w:val="auto"/>
          <w:shd w:val="clear" w:color="auto" w:fill="auto"/>
        </w:rPr>
        <w:t xml:space="preserve">薇 </w:t>
      </w:r>
      <w:r>
        <w:rPr>
          <w:rFonts w:ascii="宋体" w:hAnsi="宋体" w:cs="等线"/>
          <w:color w:val="auto"/>
          <w:shd w:val="clear" w:color="auto" w:fill="auto"/>
        </w:rPr>
        <w:t xml:space="preserve">  </w:t>
      </w:r>
      <w:r>
        <w:rPr>
          <w:rFonts w:hint="eastAsia" w:ascii="宋体" w:hAnsi="宋体" w:cs="等线"/>
          <w:color w:val="auto"/>
          <w:shd w:val="clear" w:color="auto" w:fill="auto"/>
        </w:rPr>
        <w:t>苑  卉</w:t>
      </w:r>
      <w:r>
        <w:rPr>
          <w:rFonts w:hint="eastAsia" w:ascii="宋体" w:hAnsi="宋体" w:cs="等线"/>
          <w:color w:val="auto"/>
        </w:rPr>
        <w:t xml:space="preserve"> </w:t>
      </w:r>
      <w:r>
        <w:rPr>
          <w:rFonts w:hint="eastAsia" w:ascii="宋体" w:hAnsi="宋体" w:cs="等线"/>
          <w:color w:val="auto"/>
          <w:lang w:val="en-US" w:eastAsia="zh-CN"/>
        </w:rPr>
        <w:t xml:space="preserve"> </w:t>
      </w:r>
      <w:r>
        <w:rPr>
          <w:rFonts w:ascii="宋体" w:hAnsi="宋体" w:cs="等线"/>
          <w:color w:val="auto"/>
        </w:rPr>
        <w:t xml:space="preserve"> </w:t>
      </w:r>
      <w:r>
        <w:rPr>
          <w:rFonts w:hint="eastAsia" w:ascii="宋体" w:hAnsi="宋体" w:cs="等线"/>
          <w:color w:val="auto"/>
        </w:rPr>
        <w:t xml:space="preserve">吴彩兰 </w:t>
      </w:r>
      <w:r>
        <w:rPr>
          <w:rFonts w:hint="eastAsia" w:ascii="宋体" w:hAnsi="宋体" w:cs="等线"/>
          <w:color w:val="auto"/>
          <w:lang w:val="en-US" w:eastAsia="zh-CN"/>
        </w:rPr>
        <w:t xml:space="preserve"> </w:t>
      </w:r>
      <w:r>
        <w:rPr>
          <w:rFonts w:ascii="宋体" w:hAnsi="宋体" w:cs="等线"/>
          <w:color w:val="auto"/>
        </w:rPr>
        <w:t xml:space="preserve"> </w:t>
      </w:r>
      <w:r>
        <w:rPr>
          <w:rFonts w:hint="eastAsia" w:ascii="宋体" w:hAnsi="宋体" w:cs="等线"/>
          <w:color w:val="auto"/>
        </w:rPr>
        <w:t xml:space="preserve">石鸿韬 </w:t>
      </w:r>
      <w:r>
        <w:rPr>
          <w:rFonts w:hint="eastAsia" w:ascii="宋体" w:hAnsi="宋体" w:cs="等线"/>
          <w:color w:val="auto"/>
          <w:lang w:val="en-US" w:eastAsia="zh-CN"/>
        </w:rPr>
        <w:t xml:space="preserve"> </w:t>
      </w:r>
      <w:r>
        <w:rPr>
          <w:rFonts w:hint="eastAsia" w:ascii="宋体" w:hAnsi="宋体" w:cs="等线"/>
          <w:color w:val="auto"/>
        </w:rPr>
        <w:t xml:space="preserve">方秦亮 </w:t>
      </w:r>
      <w:r>
        <w:rPr>
          <w:rFonts w:ascii="宋体" w:hAnsi="宋体" w:cs="等线"/>
          <w:color w:val="auto"/>
        </w:rPr>
        <w:t xml:space="preserve">  </w:t>
      </w:r>
    </w:p>
    <w:p>
      <w:pPr>
        <w:spacing w:line="240" w:lineRule="auto"/>
        <w:ind w:left="2310" w:leftChars="1050" w:right="-206" w:rightChars="-94" w:firstLine="466" w:firstLineChars="212"/>
        <w:jc w:val="left"/>
        <w:rPr>
          <w:rFonts w:hint="eastAsia" w:ascii="宋体" w:hAnsi="宋体" w:cs="等线"/>
          <w:color w:val="auto"/>
        </w:rPr>
      </w:pPr>
      <w:r>
        <w:rPr>
          <w:rFonts w:hint="eastAsia" w:ascii="宋体" w:hAnsi="宋体" w:cs="等线"/>
          <w:color w:val="auto"/>
        </w:rPr>
        <w:t xml:space="preserve">封 </w:t>
      </w:r>
      <w:r>
        <w:rPr>
          <w:rFonts w:ascii="宋体" w:hAnsi="宋体" w:cs="等线"/>
          <w:color w:val="auto"/>
        </w:rPr>
        <w:t xml:space="preserve"> </w:t>
      </w:r>
      <w:r>
        <w:rPr>
          <w:rFonts w:hint="eastAsia" w:ascii="宋体" w:hAnsi="宋体" w:cs="等线"/>
          <w:color w:val="auto"/>
        </w:rPr>
        <w:t xml:space="preserve">磊 </w:t>
      </w:r>
      <w:r>
        <w:rPr>
          <w:rFonts w:ascii="宋体" w:hAnsi="宋体" w:cs="等线"/>
          <w:color w:val="auto"/>
        </w:rPr>
        <w:t xml:space="preserve">  </w:t>
      </w:r>
      <w:r>
        <w:rPr>
          <w:rFonts w:hint="eastAsia" w:ascii="宋体" w:hAnsi="宋体" w:cs="等线"/>
          <w:color w:val="auto"/>
        </w:rPr>
        <w:t xml:space="preserve">周 </w:t>
      </w:r>
      <w:r>
        <w:rPr>
          <w:rFonts w:ascii="宋体" w:hAnsi="宋体" w:cs="等线"/>
          <w:color w:val="auto"/>
        </w:rPr>
        <w:t xml:space="preserve"> </w:t>
      </w:r>
      <w:r>
        <w:rPr>
          <w:rFonts w:hint="eastAsia" w:ascii="宋体" w:hAnsi="宋体" w:cs="等线"/>
          <w:color w:val="auto"/>
        </w:rPr>
        <w:t>勇</w:t>
      </w:r>
      <w:bookmarkStart w:id="71" w:name="_GoBack"/>
      <w:bookmarkEnd w:id="71"/>
    </w:p>
    <w:p>
      <w:pPr>
        <w:spacing w:line="240" w:lineRule="auto"/>
        <w:ind w:left="2310" w:leftChars="1050" w:right="-206" w:rightChars="-94" w:firstLine="466" w:firstLineChars="212"/>
        <w:jc w:val="left"/>
        <w:rPr>
          <w:rFonts w:hint="eastAsia" w:ascii="宋体" w:hAnsi="宋体" w:cs="等线"/>
        </w:rPr>
      </w:pPr>
    </w:p>
    <w:p>
      <w:pPr>
        <w:spacing w:line="240" w:lineRule="auto"/>
        <w:ind w:firstLine="464" w:firstLineChars="200"/>
        <w:jc w:val="left"/>
        <w:rPr>
          <w:rFonts w:cs="等线"/>
        </w:rPr>
      </w:pPr>
      <w:r>
        <w:rPr>
          <w:rFonts w:hint="eastAsia" w:ascii="宋体" w:hAnsi="宋体"/>
          <w:spacing w:val="6"/>
          <w:w w:val="100"/>
          <w:kern w:val="0"/>
          <w:szCs w:val="21"/>
          <w:highlight w:val="yellow"/>
          <w:fitText w:val="2210" w:id="-1572572415"/>
        </w:rPr>
        <w:t>本标准主要审查人员</w:t>
      </w:r>
      <w:r>
        <w:rPr>
          <w:rFonts w:hint="eastAsia" w:cs="等线"/>
          <w:spacing w:val="1"/>
          <w:w w:val="100"/>
          <w:kern w:val="0"/>
          <w:fitText w:val="2210" w:id="-1572572415"/>
        </w:rPr>
        <w:t>：</w:t>
      </w:r>
      <w:r>
        <w:rPr>
          <w:rFonts w:hint="eastAsia" w:cs="等线"/>
          <w:kern w:val="0"/>
        </w:rPr>
        <w:t xml:space="preserve"> </w:t>
      </w:r>
      <w:r>
        <w:rPr>
          <w:rFonts w:cs="等线"/>
        </w:rPr>
        <w:t>xxx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ascii="宋体" w:hAnsi="宋体" w:cs="等线"/>
        </w:rPr>
        <w:t>x</w:t>
      </w:r>
      <w:r>
        <w:rPr>
          <w:rFonts w:ascii="宋体" w:hAnsi="宋体"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right="-206" w:rightChars="-94" w:firstLine="2776" w:firstLineChars="1262"/>
        <w:jc w:val="left"/>
        <w:rPr>
          <w:rFonts w:cs="等线"/>
        </w:rPr>
      </w:pPr>
    </w:p>
    <w:p>
      <w:pPr>
        <w:spacing w:line="240" w:lineRule="auto"/>
        <w:ind w:right="-206" w:rightChars="-94" w:firstLine="464" w:firstLineChars="200"/>
        <w:jc w:val="left"/>
        <w:rPr>
          <w:rFonts w:cs="等线"/>
        </w:rPr>
      </w:pPr>
      <w:r>
        <w:rPr>
          <w:rFonts w:hint="eastAsia" w:ascii="宋体" w:hAnsi="宋体"/>
          <w:spacing w:val="6"/>
          <w:w w:val="100"/>
          <w:kern w:val="0"/>
          <w:szCs w:val="21"/>
          <w:highlight w:val="yellow"/>
          <w:fitText w:val="2210" w:id="-1572572416"/>
        </w:rPr>
        <w:t>本标准主要指导人员</w:t>
      </w:r>
      <w:r>
        <w:rPr>
          <w:rFonts w:hint="eastAsia" w:ascii="宋体" w:hAnsi="宋体"/>
          <w:spacing w:val="1"/>
          <w:w w:val="100"/>
          <w:kern w:val="0"/>
          <w:szCs w:val="21"/>
          <w:highlight w:val="yellow"/>
          <w:fitText w:val="2210" w:id="-1572572416"/>
        </w:rPr>
        <w:t>：</w:t>
      </w:r>
      <w:r>
        <w:rPr>
          <w:rFonts w:hint="eastAsia" w:ascii="宋体" w:hAnsi="宋体"/>
          <w:kern w:val="0"/>
          <w:szCs w:val="21"/>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ascii="宋体" w:hAnsi="宋体" w:cs="等线"/>
        </w:rPr>
        <w:t>x</w:t>
      </w:r>
      <w:r>
        <w:rPr>
          <w:rFonts w:ascii="宋体" w:hAnsi="宋体"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pStyle w:val="9"/>
        <w:spacing w:before="360" w:after="360"/>
        <w:ind w:firstLine="0"/>
        <w:jc w:val="center"/>
      </w:pPr>
      <w:r>
        <w:rPr>
          <w:rFonts w:hint="eastAsia" w:ascii="仿宋" w:hAnsi="仿宋" w:eastAsia="仿宋" w:cs="Times New Roman"/>
          <w:sz w:val="28"/>
          <w:szCs w:val="28"/>
        </w:rPr>
        <w:t xml:space="preserve">目 </w:t>
      </w:r>
      <w:r>
        <w:rPr>
          <w:rFonts w:ascii="仿宋" w:hAnsi="仿宋" w:eastAsia="仿宋" w:cs="Times New Roman"/>
          <w:sz w:val="28"/>
          <w:szCs w:val="28"/>
        </w:rPr>
        <w:t xml:space="preserve">   </w:t>
      </w:r>
      <w:r>
        <w:rPr>
          <w:rFonts w:hint="eastAsia" w:ascii="仿宋" w:hAnsi="仿宋" w:eastAsia="仿宋" w:cs="Times New Roman"/>
          <w:sz w:val="28"/>
          <w:szCs w:val="28"/>
        </w:rPr>
        <w:t>次</w:t>
      </w:r>
    </w:p>
    <w:sdt>
      <w:sdtPr>
        <w:rPr>
          <w:rFonts w:asciiTheme="minorHAnsi" w:hAnsiTheme="minorHAnsi" w:eastAsiaTheme="minorEastAsia" w:cstheme="minorBidi"/>
          <w:color w:val="auto"/>
          <w:kern w:val="2"/>
          <w:sz w:val="21"/>
          <w:szCs w:val="22"/>
          <w:lang w:val="zh-CN"/>
        </w:rPr>
        <w:id w:val="-524939252"/>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7"/>
          </w:pPr>
        </w:p>
        <w:p>
          <w:pPr>
            <w:pStyle w:val="9"/>
            <w:tabs>
              <w:tab w:val="clear" w:pos="1050"/>
            </w:tabs>
            <w:ind w:firstLine="0"/>
            <w:rPr>
              <w:rFonts w:ascii="宋体" w:hAnsi="宋体" w:eastAsia="宋体" w:cs="Times New Roman"/>
            </w:rPr>
          </w:pPr>
          <w:r>
            <w:rPr>
              <w:rFonts w:ascii="宋体" w:hAnsi="宋体" w:eastAsia="宋体" w:cs="Times New Roman"/>
            </w:rPr>
            <w:fldChar w:fldCharType="begin"/>
          </w:r>
          <w:r>
            <w:rPr>
              <w:rFonts w:ascii="宋体" w:hAnsi="宋体" w:eastAsia="宋体" w:cs="Times New Roman"/>
            </w:rPr>
            <w:instrText xml:space="preserve"> TOC \o "1-3" \h \z \u </w:instrText>
          </w:r>
          <w:r>
            <w:rPr>
              <w:rFonts w:ascii="宋体" w:hAnsi="宋体" w:eastAsia="宋体" w:cs="Times New Roman"/>
            </w:rPr>
            <w:fldChar w:fldCharType="separate"/>
          </w:r>
          <w:r>
            <w:fldChar w:fldCharType="begin"/>
          </w:r>
          <w:r>
            <w:instrText xml:space="preserve"> HYPERLINK \l "_Toc149641201" </w:instrText>
          </w:r>
          <w:r>
            <w:fldChar w:fldCharType="separate"/>
          </w:r>
          <w:r>
            <w:rPr>
              <w:rFonts w:ascii="宋体" w:hAnsi="宋体" w:eastAsia="宋体" w:cs="Times New Roman"/>
            </w:rPr>
            <w:t>1</w:t>
          </w:r>
          <w:r>
            <w:rPr>
              <w:rFonts w:eastAsia="宋体" w:cs="Times New Roman"/>
            </w:rPr>
            <w:t xml:space="preserve">  总则</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_Toc149641201 \h </w:instrText>
          </w:r>
          <w:r>
            <w:rPr>
              <w:rFonts w:ascii="宋体" w:hAnsi="宋体" w:eastAsia="宋体" w:cs="Times New Roman"/>
            </w:rPr>
            <w:fldChar w:fldCharType="separate"/>
          </w:r>
          <w:r>
            <w:rPr>
              <w:rFonts w:ascii="宋体" w:hAnsi="宋体" w:eastAsia="宋体" w:cs="Times New Roman"/>
            </w:rPr>
            <w:t>5</w:t>
          </w:r>
          <w:r>
            <w:rPr>
              <w:rFonts w:ascii="宋体" w:hAnsi="宋体" w:eastAsia="宋体" w:cs="Times New Roman"/>
            </w:rPr>
            <w:fldChar w:fldCharType="end"/>
          </w:r>
          <w:r>
            <w:rPr>
              <w:rFonts w:ascii="宋体" w:hAnsi="宋体" w:eastAsia="宋体" w:cs="Times New Roman"/>
            </w:rPr>
            <w:fldChar w:fldCharType="end"/>
          </w:r>
        </w:p>
        <w:p>
          <w:pPr>
            <w:pStyle w:val="9"/>
            <w:tabs>
              <w:tab w:val="clear" w:pos="1050"/>
            </w:tabs>
            <w:ind w:firstLine="0"/>
            <w:rPr>
              <w:rFonts w:ascii="宋体" w:hAnsi="宋体" w:eastAsia="宋体" w:cs="Times New Roman"/>
            </w:rPr>
          </w:pPr>
          <w:r>
            <w:fldChar w:fldCharType="begin"/>
          </w:r>
          <w:r>
            <w:instrText xml:space="preserve"> HYPERLINK \l "_Toc149641202" </w:instrText>
          </w:r>
          <w:r>
            <w:fldChar w:fldCharType="separate"/>
          </w:r>
          <w:r>
            <w:rPr>
              <w:rFonts w:ascii="宋体" w:hAnsi="宋体" w:eastAsia="宋体" w:cs="Times New Roman"/>
            </w:rPr>
            <w:t>2</w:t>
          </w:r>
          <w:r>
            <w:rPr>
              <w:rFonts w:eastAsia="宋体" w:cs="Times New Roman"/>
            </w:rPr>
            <w:t xml:space="preserve">  </w:t>
          </w:r>
          <w:r>
            <w:rPr>
              <w:rFonts w:ascii="宋体" w:hAnsi="宋体" w:eastAsia="宋体" w:cs="Times New Roman"/>
            </w:rPr>
            <w:t>术语</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_Toc149641202 \h </w:instrText>
          </w:r>
          <w:r>
            <w:rPr>
              <w:rFonts w:ascii="宋体" w:hAnsi="宋体" w:eastAsia="宋体" w:cs="Times New Roman"/>
            </w:rPr>
            <w:fldChar w:fldCharType="separate"/>
          </w:r>
          <w:r>
            <w:rPr>
              <w:rFonts w:ascii="宋体" w:hAnsi="宋体" w:eastAsia="宋体" w:cs="Times New Roman"/>
            </w:rPr>
            <w:t>6</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fldChar w:fldCharType="begin"/>
          </w:r>
          <w:r>
            <w:instrText xml:space="preserve"> HYPERLINK \l "_Toc149641203" </w:instrText>
          </w:r>
          <w:r>
            <w:fldChar w:fldCharType="separate"/>
          </w:r>
          <w:r>
            <w:rPr>
              <w:rFonts w:ascii="宋体" w:hAnsi="宋体" w:eastAsia="宋体" w:cs="Times New Roman"/>
            </w:rPr>
            <w:t>3</w:t>
          </w:r>
          <w:r>
            <w:rPr>
              <w:rFonts w:eastAsia="宋体" w:cs="Times New Roman"/>
            </w:rPr>
            <w:t xml:space="preserve">  一般规定</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_Toc149641203 \h </w:instrText>
          </w:r>
          <w:r>
            <w:rPr>
              <w:rFonts w:ascii="宋体" w:hAnsi="宋体" w:eastAsia="宋体" w:cs="Times New Roman"/>
            </w:rPr>
            <w:fldChar w:fldCharType="separate"/>
          </w:r>
          <w:r>
            <w:rPr>
              <w:rFonts w:ascii="宋体" w:hAnsi="宋体" w:eastAsia="宋体" w:cs="Times New Roman"/>
            </w:rPr>
            <w:t>8</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fldChar w:fldCharType="begin"/>
          </w:r>
          <w:r>
            <w:instrText xml:space="preserve"> HYPERLINK \l "_Toc149641204" </w:instrText>
          </w:r>
          <w:r>
            <w:fldChar w:fldCharType="separate"/>
          </w:r>
          <w:r>
            <w:rPr>
              <w:rFonts w:ascii="宋体" w:hAnsi="宋体" w:eastAsia="宋体" w:cs="Times New Roman"/>
            </w:rPr>
            <w:t>4</w:t>
          </w:r>
          <w:r>
            <w:rPr>
              <w:rFonts w:eastAsia="宋体" w:cs="Times New Roman"/>
            </w:rPr>
            <w:t xml:space="preserve">  施工组织设计</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_Toc149641204 \h </w:instrText>
          </w:r>
          <w:r>
            <w:rPr>
              <w:rFonts w:ascii="宋体" w:hAnsi="宋体" w:eastAsia="宋体" w:cs="Times New Roman"/>
            </w:rPr>
            <w:fldChar w:fldCharType="separate"/>
          </w:r>
          <w:r>
            <w:rPr>
              <w:rFonts w:ascii="宋体" w:hAnsi="宋体" w:eastAsia="宋体" w:cs="Times New Roman"/>
            </w:rPr>
            <w:t>10</w:t>
          </w:r>
          <w:r>
            <w:rPr>
              <w:rFonts w:ascii="宋体" w:hAnsi="宋体" w:eastAsia="宋体" w:cs="Times New Roman"/>
            </w:rPr>
            <w:fldChar w:fldCharType="end"/>
          </w:r>
          <w:r>
            <w:rPr>
              <w:rFonts w:ascii="宋体" w:hAnsi="宋体" w:eastAsia="宋体" w:cs="Times New Roman"/>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"_Toc149641205" </w:instrText>
          </w:r>
          <w:r>
            <w:fldChar w:fldCharType="separate"/>
          </w:r>
          <w:r>
            <w:rPr>
              <w:rFonts w:ascii="宋体" w:hAnsi="宋体" w:eastAsia="宋体" w:cs="Times New Roman"/>
              <w:sz w:val="18"/>
              <w:szCs w:val="18"/>
            </w:rPr>
            <w:t>4.1  一般规定</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_Toc149641205 \h </w:instrText>
          </w:r>
          <w:r>
            <w:rPr>
              <w:rFonts w:ascii="宋体" w:hAnsi="宋体" w:eastAsia="宋体" w:cs="Times New Roman"/>
              <w:szCs w:val="21"/>
            </w:rPr>
            <w:fldChar w:fldCharType="separate"/>
          </w:r>
          <w:r>
            <w:rPr>
              <w:rFonts w:ascii="宋体" w:hAnsi="宋体" w:eastAsia="宋体" w:cs="Times New Roman"/>
              <w:szCs w:val="21"/>
            </w:rPr>
            <w:t>10</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"_Toc149641206" </w:instrText>
          </w:r>
          <w:r>
            <w:fldChar w:fldCharType="separate"/>
          </w:r>
          <w:r>
            <w:rPr>
              <w:rFonts w:ascii="宋体" w:hAnsi="宋体" w:eastAsia="宋体" w:cs="Times New Roman"/>
              <w:sz w:val="18"/>
              <w:szCs w:val="18"/>
            </w:rPr>
            <w:t>4.2  技术论证</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_Toc149641206 \h </w:instrText>
          </w:r>
          <w:r>
            <w:rPr>
              <w:rFonts w:ascii="宋体" w:hAnsi="宋体" w:eastAsia="宋体" w:cs="Times New Roman"/>
              <w:szCs w:val="21"/>
            </w:rPr>
            <w:fldChar w:fldCharType="separate"/>
          </w:r>
          <w:r>
            <w:rPr>
              <w:rFonts w:ascii="宋体" w:hAnsi="宋体" w:eastAsia="宋体" w:cs="Times New Roman"/>
              <w:szCs w:val="21"/>
            </w:rPr>
            <w:t>11</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"_Toc149641207" </w:instrText>
          </w:r>
          <w:r>
            <w:fldChar w:fldCharType="separate"/>
          </w:r>
          <w:r>
            <w:rPr>
              <w:rFonts w:ascii="宋体" w:hAnsi="宋体" w:eastAsia="宋体" w:cs="Times New Roman"/>
            </w:rPr>
            <w:t>5</w:t>
          </w:r>
          <w:r>
            <w:rPr>
              <w:rFonts w:eastAsia="宋体" w:cs="Times New Roman"/>
            </w:rPr>
            <w:t xml:space="preserve">  绿色拆除作业</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_Toc149641207 \h </w:instrText>
          </w:r>
          <w:r>
            <w:rPr>
              <w:rFonts w:ascii="宋体" w:hAnsi="宋体" w:eastAsia="宋体" w:cs="Times New Roman"/>
            </w:rPr>
            <w:fldChar w:fldCharType="separate"/>
          </w:r>
          <w:r>
            <w:rPr>
              <w:rFonts w:ascii="宋体" w:hAnsi="宋体" w:eastAsia="宋体" w:cs="Times New Roman"/>
            </w:rPr>
            <w:t>13</w:t>
          </w:r>
          <w:r>
            <w:rPr>
              <w:rFonts w:ascii="宋体" w:hAnsi="宋体" w:eastAsia="宋体" w:cs="Times New Roman"/>
            </w:rPr>
            <w:fldChar w:fldCharType="end"/>
          </w:r>
          <w:r>
            <w:rPr>
              <w:rFonts w:ascii="宋体" w:hAnsi="宋体" w:eastAsia="宋体" w:cs="Times New Roman"/>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"_Toc149641208" </w:instrText>
          </w:r>
          <w:r>
            <w:fldChar w:fldCharType="separate"/>
          </w:r>
          <w:r>
            <w:rPr>
              <w:rFonts w:ascii="宋体" w:hAnsi="宋体" w:eastAsia="宋体" w:cs="Times New Roman"/>
              <w:sz w:val="18"/>
              <w:szCs w:val="18"/>
            </w:rPr>
            <w:t>5.1  一般规定</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_Toc149641208 \h </w:instrText>
          </w:r>
          <w:r>
            <w:rPr>
              <w:rFonts w:ascii="宋体" w:hAnsi="宋体" w:eastAsia="宋体" w:cs="Times New Roman"/>
              <w:szCs w:val="21"/>
            </w:rPr>
            <w:fldChar w:fldCharType="separate"/>
          </w:r>
          <w:r>
            <w:rPr>
              <w:rFonts w:ascii="宋体" w:hAnsi="宋体" w:eastAsia="宋体" w:cs="Times New Roman"/>
              <w:szCs w:val="21"/>
            </w:rPr>
            <w:t>13</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"_Toc149641209" </w:instrText>
          </w:r>
          <w:r>
            <w:fldChar w:fldCharType="separate"/>
          </w:r>
          <w:r>
            <w:rPr>
              <w:rFonts w:ascii="宋体" w:hAnsi="宋体" w:eastAsia="宋体" w:cs="Times New Roman"/>
              <w:sz w:val="18"/>
              <w:szCs w:val="18"/>
            </w:rPr>
            <w:t>5.2  拆除作业准备</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_Toc149641209 \h </w:instrText>
          </w:r>
          <w:r>
            <w:rPr>
              <w:rFonts w:ascii="宋体" w:hAnsi="宋体" w:eastAsia="宋体" w:cs="Times New Roman"/>
              <w:szCs w:val="21"/>
            </w:rPr>
            <w:fldChar w:fldCharType="separate"/>
          </w:r>
          <w:r>
            <w:rPr>
              <w:rFonts w:ascii="宋体" w:hAnsi="宋体" w:eastAsia="宋体" w:cs="Times New Roman"/>
              <w:szCs w:val="21"/>
            </w:rPr>
            <w:t>13</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"_Toc149641210" </w:instrText>
          </w:r>
          <w:r>
            <w:fldChar w:fldCharType="separate"/>
          </w:r>
          <w:r>
            <w:rPr>
              <w:rFonts w:ascii="宋体" w:hAnsi="宋体" w:eastAsia="宋体" w:cs="Times New Roman"/>
              <w:sz w:val="18"/>
              <w:szCs w:val="18"/>
            </w:rPr>
            <w:t>5.3  现场拆除作业</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_Toc149641210 \h </w:instrText>
          </w:r>
          <w:r>
            <w:rPr>
              <w:rFonts w:ascii="宋体" w:hAnsi="宋体" w:eastAsia="宋体" w:cs="Times New Roman"/>
              <w:szCs w:val="21"/>
            </w:rPr>
            <w:fldChar w:fldCharType="separate"/>
          </w:r>
          <w:r>
            <w:rPr>
              <w:rFonts w:ascii="宋体" w:hAnsi="宋体" w:eastAsia="宋体" w:cs="Times New Roman"/>
              <w:szCs w:val="21"/>
            </w:rPr>
            <w:t>14</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"_Toc149641211" </w:instrText>
          </w:r>
          <w:r>
            <w:fldChar w:fldCharType="separate"/>
          </w:r>
          <w:r>
            <w:rPr>
              <w:rFonts w:ascii="宋体" w:hAnsi="宋体" w:eastAsia="宋体" w:cs="Times New Roman"/>
            </w:rPr>
            <w:t>6</w:t>
          </w:r>
          <w:r>
            <w:rPr>
              <w:rFonts w:eastAsia="宋体" w:cs="Times New Roman"/>
            </w:rPr>
            <w:t xml:space="preserve">  反向建造工序拆除</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_Toc149641211 \h </w:instrText>
          </w:r>
          <w:r>
            <w:rPr>
              <w:rFonts w:ascii="宋体" w:hAnsi="宋体" w:eastAsia="宋体" w:cs="Times New Roman"/>
            </w:rPr>
            <w:fldChar w:fldCharType="separate"/>
          </w:r>
          <w:r>
            <w:rPr>
              <w:rFonts w:ascii="宋体" w:hAnsi="宋体" w:eastAsia="宋体" w:cs="Times New Roman"/>
            </w:rPr>
            <w:t>16</w:t>
          </w:r>
          <w:r>
            <w:rPr>
              <w:rFonts w:ascii="宋体" w:hAnsi="宋体" w:eastAsia="宋体" w:cs="Times New Roman"/>
            </w:rPr>
            <w:fldChar w:fldCharType="end"/>
          </w:r>
          <w:r>
            <w:rPr>
              <w:rFonts w:ascii="宋体" w:hAnsi="宋体" w:eastAsia="宋体" w:cs="Times New Roman"/>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"_Toc149641212" </w:instrText>
          </w:r>
          <w:r>
            <w:fldChar w:fldCharType="separate"/>
          </w:r>
          <w:r>
            <w:rPr>
              <w:rFonts w:ascii="宋体" w:hAnsi="宋体" w:eastAsia="宋体" w:cs="Times New Roman"/>
              <w:sz w:val="18"/>
              <w:szCs w:val="18"/>
            </w:rPr>
            <w:t>6.1  反向建造工序拆除工序</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_Toc149641212 \h </w:instrText>
          </w:r>
          <w:r>
            <w:rPr>
              <w:rFonts w:ascii="宋体" w:hAnsi="宋体" w:eastAsia="宋体" w:cs="Times New Roman"/>
              <w:szCs w:val="21"/>
            </w:rPr>
            <w:fldChar w:fldCharType="separate"/>
          </w:r>
          <w:r>
            <w:rPr>
              <w:rFonts w:ascii="宋体" w:hAnsi="宋体" w:eastAsia="宋体" w:cs="Times New Roman"/>
              <w:szCs w:val="21"/>
            </w:rPr>
            <w:t>16</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"_Toc149641213" </w:instrText>
          </w:r>
          <w:r>
            <w:fldChar w:fldCharType="separate"/>
          </w:r>
          <w:r>
            <w:rPr>
              <w:rFonts w:ascii="宋体" w:hAnsi="宋体" w:eastAsia="宋体" w:cs="Times New Roman"/>
              <w:sz w:val="18"/>
              <w:szCs w:val="18"/>
            </w:rPr>
            <w:t>6.2  人工拆除</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_Toc149641213 \h </w:instrText>
          </w:r>
          <w:r>
            <w:rPr>
              <w:rFonts w:ascii="宋体" w:hAnsi="宋体" w:eastAsia="宋体" w:cs="Times New Roman"/>
              <w:szCs w:val="21"/>
            </w:rPr>
            <w:fldChar w:fldCharType="separate"/>
          </w:r>
          <w:r>
            <w:rPr>
              <w:rFonts w:ascii="宋体" w:hAnsi="宋体" w:eastAsia="宋体" w:cs="Times New Roman"/>
              <w:szCs w:val="21"/>
            </w:rPr>
            <w:t>17</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"_Toc149641214" </w:instrText>
          </w:r>
          <w:r>
            <w:fldChar w:fldCharType="separate"/>
          </w:r>
          <w:r>
            <w:rPr>
              <w:rFonts w:ascii="宋体" w:hAnsi="宋体" w:eastAsia="宋体" w:cs="Times New Roman"/>
              <w:sz w:val="18"/>
              <w:szCs w:val="18"/>
            </w:rPr>
            <w:t>6.3  机械拆除</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_Toc149641214 \h </w:instrText>
          </w:r>
          <w:r>
            <w:rPr>
              <w:rFonts w:ascii="宋体" w:hAnsi="宋体" w:eastAsia="宋体" w:cs="Times New Roman"/>
              <w:szCs w:val="21"/>
            </w:rPr>
            <w:fldChar w:fldCharType="separate"/>
          </w:r>
          <w:r>
            <w:rPr>
              <w:rFonts w:ascii="宋体" w:hAnsi="宋体" w:eastAsia="宋体" w:cs="Times New Roman"/>
              <w:szCs w:val="21"/>
            </w:rPr>
            <w:t>18</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"_Toc149641215" </w:instrText>
          </w:r>
          <w:r>
            <w:fldChar w:fldCharType="separate"/>
          </w:r>
          <w:r>
            <w:rPr>
              <w:rFonts w:ascii="宋体" w:hAnsi="宋体" w:eastAsia="宋体" w:cs="Times New Roman"/>
              <w:sz w:val="18"/>
              <w:szCs w:val="18"/>
            </w:rPr>
            <w:t>6.4  静态爆破拆解</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_Toc149641215 \h </w:instrText>
          </w:r>
          <w:r>
            <w:rPr>
              <w:rFonts w:ascii="宋体" w:hAnsi="宋体" w:eastAsia="宋体" w:cs="Times New Roman"/>
              <w:szCs w:val="21"/>
            </w:rPr>
            <w:fldChar w:fldCharType="separate"/>
          </w:r>
          <w:r>
            <w:rPr>
              <w:rFonts w:ascii="宋体" w:hAnsi="宋体" w:eastAsia="宋体" w:cs="Times New Roman"/>
              <w:szCs w:val="21"/>
            </w:rPr>
            <w:t>20</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"_Toc149641216" </w:instrText>
          </w:r>
          <w:r>
            <w:fldChar w:fldCharType="separate"/>
          </w:r>
          <w:r>
            <w:rPr>
              <w:rFonts w:ascii="宋体" w:hAnsi="宋体" w:eastAsia="宋体" w:cs="Times New Roman"/>
            </w:rPr>
            <w:t>7</w:t>
          </w:r>
          <w:r>
            <w:rPr>
              <w:rFonts w:eastAsia="宋体" w:cs="Times New Roman"/>
            </w:rPr>
            <w:t xml:space="preserve">  现场减量化方案</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_Toc149641216 \h </w:instrText>
          </w:r>
          <w:r>
            <w:rPr>
              <w:rFonts w:ascii="宋体" w:hAnsi="宋体" w:eastAsia="宋体" w:cs="Times New Roman"/>
            </w:rPr>
            <w:fldChar w:fldCharType="separate"/>
          </w:r>
          <w:r>
            <w:rPr>
              <w:rFonts w:ascii="宋体" w:hAnsi="宋体" w:eastAsia="宋体" w:cs="Times New Roman"/>
            </w:rPr>
            <w:t>22</w:t>
          </w:r>
          <w:r>
            <w:rPr>
              <w:rFonts w:ascii="宋体" w:hAnsi="宋体" w:eastAsia="宋体" w:cs="Times New Roman"/>
            </w:rPr>
            <w:fldChar w:fldCharType="end"/>
          </w:r>
          <w:r>
            <w:rPr>
              <w:rFonts w:ascii="宋体" w:hAnsi="宋体" w:eastAsia="宋体" w:cs="Times New Roman"/>
            </w:rPr>
            <w:fldChar w:fldCharType="end"/>
          </w:r>
        </w:p>
        <w:p>
          <w:pPr>
            <w:pStyle w:val="9"/>
            <w:tabs>
              <w:tab w:val="clear" w:pos="1050"/>
            </w:tabs>
            <w:ind w:firstLine="440" w:firstLineChars="200"/>
            <w:rPr>
              <w:rFonts w:ascii="宋体" w:hAnsi="宋体" w:eastAsia="宋体" w:cs="Times New Roman"/>
              <w:sz w:val="18"/>
              <w:szCs w:val="18"/>
            </w:rPr>
          </w:pPr>
          <w:r>
            <w:fldChar w:fldCharType="begin"/>
          </w:r>
          <w:r>
            <w:instrText xml:space="preserve"> HYPERLINK \l "_Toc149641217" </w:instrText>
          </w:r>
          <w:r>
            <w:fldChar w:fldCharType="separate"/>
          </w:r>
          <w:r>
            <w:rPr>
              <w:rFonts w:ascii="宋体" w:hAnsi="宋体" w:eastAsia="宋体" w:cs="Times New Roman"/>
              <w:sz w:val="18"/>
              <w:szCs w:val="18"/>
            </w:rPr>
            <w:t>7.1  分类</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_Toc149641217 \h </w:instrText>
          </w:r>
          <w:r>
            <w:rPr>
              <w:rFonts w:ascii="宋体" w:hAnsi="宋体" w:eastAsia="宋体" w:cs="Times New Roman"/>
              <w:szCs w:val="21"/>
            </w:rPr>
            <w:fldChar w:fldCharType="separate"/>
          </w:r>
          <w:r>
            <w:rPr>
              <w:rFonts w:ascii="宋体" w:hAnsi="宋体" w:eastAsia="宋体" w:cs="Times New Roman"/>
              <w:szCs w:val="21"/>
            </w:rPr>
            <w:t>22</w:t>
          </w:r>
          <w:r>
            <w:rPr>
              <w:rFonts w:ascii="宋体" w:hAnsi="宋体" w:eastAsia="宋体" w:cs="Times New Roman"/>
              <w:szCs w:val="21"/>
            </w:rPr>
            <w:fldChar w:fldCharType="end"/>
          </w:r>
          <w:r>
            <w:rPr>
              <w:rFonts w:ascii="宋体" w:hAnsi="宋体" w:eastAsia="宋体" w:cs="Times New Roman"/>
              <w:szCs w:val="21"/>
            </w:rPr>
            <w:fldChar w:fldCharType="end"/>
          </w:r>
        </w:p>
        <w:p>
          <w:pPr>
            <w:pStyle w:val="9"/>
            <w:tabs>
              <w:tab w:val="clear" w:pos="1050"/>
            </w:tabs>
            <w:ind w:firstLine="440" w:firstLineChars="200"/>
            <w:rPr>
              <w:rFonts w:ascii="宋体" w:hAnsi="宋体" w:eastAsia="宋体" w:cs="Times New Roman"/>
              <w:sz w:val="18"/>
              <w:szCs w:val="18"/>
            </w:rPr>
          </w:pPr>
          <w:r>
            <w:fldChar w:fldCharType="begin"/>
          </w:r>
          <w:r>
            <w:instrText xml:space="preserve"> HYPERLINK \l "_Toc149641218" </w:instrText>
          </w:r>
          <w:r>
            <w:fldChar w:fldCharType="separate"/>
          </w:r>
          <w:r>
            <w:rPr>
              <w:rFonts w:ascii="宋体" w:hAnsi="宋体" w:eastAsia="宋体" w:cs="Times New Roman"/>
              <w:sz w:val="18"/>
              <w:szCs w:val="18"/>
            </w:rPr>
            <w:t>7.2  收集</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_Toc149641218 \h </w:instrText>
          </w:r>
          <w:r>
            <w:rPr>
              <w:rFonts w:ascii="宋体" w:hAnsi="宋体" w:eastAsia="宋体" w:cs="Times New Roman"/>
              <w:szCs w:val="21"/>
            </w:rPr>
            <w:fldChar w:fldCharType="separate"/>
          </w:r>
          <w:r>
            <w:rPr>
              <w:rFonts w:ascii="宋体" w:hAnsi="宋体" w:eastAsia="宋体" w:cs="Times New Roman"/>
              <w:szCs w:val="21"/>
            </w:rPr>
            <w:t>23</w:t>
          </w:r>
          <w:r>
            <w:rPr>
              <w:rFonts w:ascii="宋体" w:hAnsi="宋体" w:eastAsia="宋体" w:cs="Times New Roman"/>
              <w:szCs w:val="21"/>
            </w:rPr>
            <w:fldChar w:fldCharType="end"/>
          </w:r>
          <w:r>
            <w:rPr>
              <w:rFonts w:ascii="宋体" w:hAnsi="宋体" w:eastAsia="宋体" w:cs="Times New Roman"/>
              <w:szCs w:val="21"/>
            </w:rPr>
            <w:fldChar w:fldCharType="end"/>
          </w:r>
        </w:p>
        <w:p>
          <w:pPr>
            <w:pStyle w:val="9"/>
            <w:tabs>
              <w:tab w:val="clear" w:pos="1050"/>
            </w:tabs>
            <w:ind w:firstLine="440" w:firstLineChars="200"/>
            <w:rPr>
              <w:rFonts w:ascii="宋体" w:hAnsi="宋体" w:eastAsia="宋体" w:cs="Times New Roman"/>
              <w:sz w:val="18"/>
              <w:szCs w:val="18"/>
            </w:rPr>
          </w:pPr>
          <w:r>
            <w:fldChar w:fldCharType="begin"/>
          </w:r>
          <w:r>
            <w:instrText xml:space="preserve"> HYPERLINK \l "_Toc149641219" </w:instrText>
          </w:r>
          <w:r>
            <w:fldChar w:fldCharType="separate"/>
          </w:r>
          <w:r>
            <w:rPr>
              <w:rFonts w:ascii="宋体" w:hAnsi="宋体" w:eastAsia="宋体" w:cs="Times New Roman"/>
              <w:sz w:val="18"/>
              <w:szCs w:val="18"/>
            </w:rPr>
            <w:t>7.3  运输</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_Toc149641219 \h </w:instrText>
          </w:r>
          <w:r>
            <w:rPr>
              <w:rFonts w:ascii="宋体" w:hAnsi="宋体" w:eastAsia="宋体" w:cs="Times New Roman"/>
              <w:szCs w:val="21"/>
            </w:rPr>
            <w:fldChar w:fldCharType="separate"/>
          </w:r>
          <w:r>
            <w:rPr>
              <w:rFonts w:ascii="宋体" w:hAnsi="宋体" w:eastAsia="宋体" w:cs="Times New Roman"/>
              <w:szCs w:val="21"/>
            </w:rPr>
            <w:t>24</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"_Toc149641220" </w:instrText>
          </w:r>
          <w:r>
            <w:fldChar w:fldCharType="separate"/>
          </w:r>
          <w:r>
            <w:rPr>
              <w:rFonts w:ascii="宋体" w:hAnsi="宋体" w:eastAsia="宋体" w:cs="Times New Roman"/>
            </w:rPr>
            <w:t>8</w:t>
          </w:r>
          <w:r>
            <w:rPr>
              <w:rFonts w:eastAsia="宋体" w:cs="Times New Roman"/>
            </w:rPr>
            <w:t xml:space="preserve">  建筑废弃物现场综合利用</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_Toc149641220 \h </w:instrText>
          </w:r>
          <w:r>
            <w:rPr>
              <w:rFonts w:ascii="宋体" w:hAnsi="宋体" w:eastAsia="宋体" w:cs="Times New Roman"/>
            </w:rPr>
            <w:fldChar w:fldCharType="separate"/>
          </w:r>
          <w:r>
            <w:rPr>
              <w:rFonts w:ascii="宋体" w:hAnsi="宋体" w:eastAsia="宋体" w:cs="Times New Roman"/>
            </w:rPr>
            <w:t>26</w:t>
          </w:r>
          <w:r>
            <w:rPr>
              <w:rFonts w:ascii="宋体" w:hAnsi="宋体" w:eastAsia="宋体" w:cs="Times New Roman"/>
            </w:rPr>
            <w:fldChar w:fldCharType="end"/>
          </w:r>
          <w:r>
            <w:rPr>
              <w:rFonts w:ascii="宋体" w:hAnsi="宋体" w:eastAsia="宋体" w:cs="Times New Roman"/>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"_Toc149641221" </w:instrText>
          </w:r>
          <w:r>
            <w:fldChar w:fldCharType="separate"/>
          </w:r>
          <w:r>
            <w:rPr>
              <w:rFonts w:ascii="宋体" w:hAnsi="宋体" w:eastAsia="宋体" w:cs="Times New Roman"/>
              <w:sz w:val="18"/>
              <w:szCs w:val="18"/>
            </w:rPr>
            <w:t>8.1  一般规定</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_Toc149641221 \h </w:instrText>
          </w:r>
          <w:r>
            <w:rPr>
              <w:rFonts w:ascii="宋体" w:hAnsi="宋体" w:eastAsia="宋体" w:cs="Times New Roman"/>
              <w:szCs w:val="21"/>
            </w:rPr>
            <w:fldChar w:fldCharType="separate"/>
          </w:r>
          <w:r>
            <w:rPr>
              <w:rFonts w:ascii="宋体" w:hAnsi="宋体" w:eastAsia="宋体" w:cs="Times New Roman"/>
              <w:szCs w:val="21"/>
            </w:rPr>
            <w:t>26</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"_Toc149641222" </w:instrText>
          </w:r>
          <w:r>
            <w:fldChar w:fldCharType="separate"/>
          </w:r>
          <w:r>
            <w:rPr>
              <w:rFonts w:ascii="宋体" w:hAnsi="宋体" w:eastAsia="宋体" w:cs="Times New Roman"/>
              <w:sz w:val="18"/>
              <w:szCs w:val="18"/>
            </w:rPr>
            <w:t>8.2  金属类材料</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_Toc149641222 \h </w:instrText>
          </w:r>
          <w:r>
            <w:rPr>
              <w:rFonts w:ascii="宋体" w:hAnsi="宋体" w:eastAsia="宋体" w:cs="Times New Roman"/>
              <w:szCs w:val="21"/>
            </w:rPr>
            <w:fldChar w:fldCharType="separate"/>
          </w:r>
          <w:r>
            <w:rPr>
              <w:rFonts w:ascii="宋体" w:hAnsi="宋体" w:eastAsia="宋体" w:cs="Times New Roman"/>
              <w:szCs w:val="21"/>
            </w:rPr>
            <w:t>26</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"_Toc149641223" </w:instrText>
          </w:r>
          <w:r>
            <w:fldChar w:fldCharType="separate"/>
          </w:r>
          <w:r>
            <w:rPr>
              <w:rFonts w:ascii="宋体" w:hAnsi="宋体" w:eastAsia="宋体" w:cs="Times New Roman"/>
              <w:sz w:val="18"/>
              <w:szCs w:val="18"/>
            </w:rPr>
            <w:t>8.3  非金属类材料</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_Toc149641223 \h </w:instrText>
          </w:r>
          <w:r>
            <w:rPr>
              <w:rFonts w:ascii="宋体" w:hAnsi="宋体" w:eastAsia="宋体" w:cs="Times New Roman"/>
              <w:szCs w:val="21"/>
            </w:rPr>
            <w:fldChar w:fldCharType="separate"/>
          </w:r>
          <w:r>
            <w:rPr>
              <w:rFonts w:ascii="宋体" w:hAnsi="宋体" w:eastAsia="宋体" w:cs="Times New Roman"/>
              <w:szCs w:val="21"/>
            </w:rPr>
            <w:t>26</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"_Toc149641224" </w:instrText>
          </w:r>
          <w:r>
            <w:fldChar w:fldCharType="separate"/>
          </w:r>
          <w:r>
            <w:rPr>
              <w:rFonts w:ascii="宋体" w:hAnsi="宋体" w:eastAsia="宋体" w:cs="Times New Roman"/>
              <w:sz w:val="18"/>
              <w:szCs w:val="18"/>
            </w:rPr>
            <w:t>8.4  建筑废弃物现场再生利用设备</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_Toc149641224 \h </w:instrText>
          </w:r>
          <w:r>
            <w:rPr>
              <w:rFonts w:ascii="宋体" w:hAnsi="宋体" w:eastAsia="宋体" w:cs="Times New Roman"/>
              <w:szCs w:val="21"/>
            </w:rPr>
            <w:fldChar w:fldCharType="separate"/>
          </w:r>
          <w:r>
            <w:rPr>
              <w:rFonts w:ascii="宋体" w:hAnsi="宋体" w:eastAsia="宋体" w:cs="Times New Roman"/>
              <w:szCs w:val="21"/>
            </w:rPr>
            <w:t>26</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"_Toc149641225" </w:instrText>
          </w:r>
          <w:r>
            <w:fldChar w:fldCharType="separate"/>
          </w:r>
          <w:r>
            <w:rPr>
              <w:rFonts w:ascii="宋体" w:hAnsi="宋体" w:eastAsia="宋体" w:cs="Times New Roman"/>
            </w:rPr>
            <w:t>9</w:t>
          </w:r>
          <w:r>
            <w:rPr>
              <w:rFonts w:eastAsia="宋体" w:cs="Times New Roman"/>
            </w:rPr>
            <w:t xml:space="preserve">  拆除工程碳足迹评价</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_Toc149641225 \h </w:instrText>
          </w:r>
          <w:r>
            <w:rPr>
              <w:rFonts w:ascii="宋体" w:hAnsi="宋体" w:eastAsia="宋体" w:cs="Times New Roman"/>
            </w:rPr>
            <w:fldChar w:fldCharType="separate"/>
          </w:r>
          <w:r>
            <w:rPr>
              <w:rFonts w:ascii="宋体" w:hAnsi="宋体" w:eastAsia="宋体" w:cs="Times New Roman"/>
            </w:rPr>
            <w:t>29</w:t>
          </w:r>
          <w:r>
            <w:rPr>
              <w:rFonts w:ascii="宋体" w:hAnsi="宋体" w:eastAsia="宋体" w:cs="Times New Roman"/>
            </w:rPr>
            <w:fldChar w:fldCharType="end"/>
          </w:r>
          <w:r>
            <w:rPr>
              <w:rFonts w:ascii="宋体" w:hAnsi="宋体" w:eastAsia="宋体" w:cs="Times New Roman"/>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"_Toc149641226" </w:instrText>
          </w:r>
          <w:r>
            <w:fldChar w:fldCharType="separate"/>
          </w:r>
          <w:r>
            <w:rPr>
              <w:rFonts w:ascii="宋体" w:hAnsi="宋体" w:eastAsia="宋体" w:cs="Times New Roman"/>
              <w:sz w:val="18"/>
              <w:szCs w:val="18"/>
            </w:rPr>
            <w:t>9.1  一般规定</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_Toc149641226 \h </w:instrText>
          </w:r>
          <w:r>
            <w:rPr>
              <w:rFonts w:ascii="宋体" w:hAnsi="宋体" w:eastAsia="宋体" w:cs="Times New Roman"/>
              <w:szCs w:val="21"/>
            </w:rPr>
            <w:fldChar w:fldCharType="separate"/>
          </w:r>
          <w:r>
            <w:rPr>
              <w:rFonts w:ascii="宋体" w:hAnsi="宋体" w:eastAsia="宋体" w:cs="Times New Roman"/>
              <w:szCs w:val="21"/>
            </w:rPr>
            <w:t>29</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"_Toc149641227" </w:instrText>
          </w:r>
          <w:r>
            <w:fldChar w:fldCharType="separate"/>
          </w:r>
          <w:r>
            <w:rPr>
              <w:rFonts w:ascii="宋体" w:hAnsi="宋体" w:eastAsia="宋体" w:cs="Times New Roman"/>
              <w:sz w:val="18"/>
              <w:szCs w:val="18"/>
            </w:rPr>
            <w:t>9.2  拆除建筑物碳足迹评价边界</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_Toc149641227 \h </w:instrText>
          </w:r>
          <w:r>
            <w:rPr>
              <w:rFonts w:ascii="宋体" w:hAnsi="宋体" w:eastAsia="宋体" w:cs="Times New Roman"/>
              <w:szCs w:val="21"/>
            </w:rPr>
            <w:fldChar w:fldCharType="separate"/>
          </w:r>
          <w:r>
            <w:rPr>
              <w:rFonts w:ascii="宋体" w:hAnsi="宋体" w:eastAsia="宋体" w:cs="Times New Roman"/>
              <w:szCs w:val="21"/>
            </w:rPr>
            <w:t>29</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440" w:firstLineChars="200"/>
            <w:rPr>
              <w:rFonts w:ascii="宋体" w:hAnsi="宋体" w:eastAsia="宋体" w:cs="Times New Roman"/>
              <w:sz w:val="18"/>
              <w:szCs w:val="18"/>
            </w:rPr>
          </w:pPr>
          <w:r>
            <w:fldChar w:fldCharType="begin"/>
          </w:r>
          <w:r>
            <w:instrText xml:space="preserve"> HYPERLINK \l "_Toc149641228" </w:instrText>
          </w:r>
          <w:r>
            <w:fldChar w:fldCharType="separate"/>
          </w:r>
          <w:r>
            <w:rPr>
              <w:rFonts w:ascii="宋体" w:hAnsi="宋体" w:eastAsia="宋体" w:cs="Times New Roman"/>
              <w:sz w:val="18"/>
              <w:szCs w:val="18"/>
            </w:rPr>
            <w:t>9.3  碳足迹计算</w:t>
          </w:r>
          <w:r>
            <w:rPr>
              <w:rFonts w:ascii="宋体" w:hAnsi="宋体" w:eastAsia="宋体" w:cs="Times New Roman"/>
              <w:sz w:val="18"/>
              <w:szCs w:val="18"/>
            </w:rPr>
            <w:tab/>
          </w:r>
          <w:r>
            <w:rPr>
              <w:rFonts w:ascii="宋体" w:hAnsi="宋体" w:eastAsia="宋体" w:cs="Times New Roman"/>
              <w:szCs w:val="21"/>
            </w:rPr>
            <w:fldChar w:fldCharType="begin"/>
          </w:r>
          <w:r>
            <w:rPr>
              <w:rFonts w:ascii="宋体" w:hAnsi="宋体" w:eastAsia="宋体" w:cs="Times New Roman"/>
              <w:szCs w:val="21"/>
            </w:rPr>
            <w:instrText xml:space="preserve"> PAGEREF _Toc149641228 \h </w:instrText>
          </w:r>
          <w:r>
            <w:rPr>
              <w:rFonts w:ascii="宋体" w:hAnsi="宋体" w:eastAsia="宋体" w:cs="Times New Roman"/>
              <w:szCs w:val="21"/>
            </w:rPr>
            <w:fldChar w:fldCharType="separate"/>
          </w:r>
          <w:r>
            <w:rPr>
              <w:rFonts w:ascii="宋体" w:hAnsi="宋体" w:eastAsia="宋体" w:cs="Times New Roman"/>
              <w:szCs w:val="21"/>
            </w:rPr>
            <w:t>29</w:t>
          </w:r>
          <w:r>
            <w:rPr>
              <w:rFonts w:ascii="宋体" w:hAnsi="宋体" w:eastAsia="宋体" w:cs="Times New Roman"/>
              <w:szCs w:val="21"/>
            </w:rPr>
            <w:fldChar w:fldCharType="end"/>
          </w:r>
          <w:r>
            <w:rPr>
              <w:rFonts w:ascii="宋体" w:hAnsi="宋体" w:eastAsia="宋体" w:cs="Times New Roman"/>
              <w:szCs w:val="21"/>
            </w:rPr>
            <w:fldChar w:fldCharType="end"/>
          </w:r>
        </w:p>
        <w:p>
          <w:pPr>
            <w:pStyle w:val="9"/>
            <w:ind w:firstLine="0"/>
            <w:rPr>
              <w:rFonts w:ascii="宋体" w:hAnsi="宋体" w:eastAsia="宋体" w:cs="Times New Roman"/>
            </w:rPr>
          </w:pPr>
          <w:r>
            <w:fldChar w:fldCharType="begin"/>
          </w:r>
          <w:r>
            <w:instrText xml:space="preserve"> HYPERLINK \l "_Toc149641229" </w:instrText>
          </w:r>
          <w:r>
            <w:fldChar w:fldCharType="separate"/>
          </w:r>
          <w:r>
            <w:rPr>
              <w:rFonts w:eastAsia="宋体" w:cs="Times New Roman"/>
            </w:rPr>
            <w:t>本标准用词说明</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_Toc149641229 \h </w:instrText>
          </w:r>
          <w:r>
            <w:rPr>
              <w:rFonts w:ascii="宋体" w:hAnsi="宋体" w:eastAsia="宋体" w:cs="Times New Roman"/>
            </w:rPr>
            <w:fldChar w:fldCharType="separate"/>
          </w:r>
          <w:r>
            <w:rPr>
              <w:rFonts w:ascii="宋体" w:hAnsi="宋体" w:eastAsia="宋体" w:cs="Times New Roman"/>
            </w:rPr>
            <w:t>31</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fldChar w:fldCharType="begin"/>
          </w:r>
          <w:r>
            <w:instrText xml:space="preserve"> HYPERLINK \l "_Toc149641230" </w:instrText>
          </w:r>
          <w:r>
            <w:fldChar w:fldCharType="separate"/>
          </w:r>
          <w:r>
            <w:rPr>
              <w:rFonts w:ascii="宋体" w:hAnsi="宋体" w:eastAsia="宋体" w:cs="Times New Roman"/>
            </w:rPr>
            <w:t>引用标准名录</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_Toc149641230 \h </w:instrText>
          </w:r>
          <w:r>
            <w:rPr>
              <w:rFonts w:ascii="宋体" w:hAnsi="宋体" w:eastAsia="宋体" w:cs="Times New Roman"/>
            </w:rPr>
            <w:fldChar w:fldCharType="separate"/>
          </w:r>
          <w:r>
            <w:rPr>
              <w:rFonts w:ascii="宋体" w:hAnsi="宋体" w:eastAsia="宋体" w:cs="Times New Roman"/>
            </w:rPr>
            <w:t>32</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rPr>
              <w:rFonts w:ascii="宋体" w:hAnsi="宋体" w:eastAsia="宋体" w:cs="Times New Roman"/>
            </w:rPr>
            <w:t>附</w:t>
          </w:r>
          <w:r>
            <w:rPr>
              <w:rFonts w:hint="eastAsia" w:ascii="宋体" w:hAnsi="宋体" w:eastAsia="宋体" w:cs="Times New Roman"/>
            </w:rPr>
            <w:t>：</w:t>
          </w:r>
          <w:r>
            <w:fldChar w:fldCharType="begin"/>
          </w:r>
          <w:r>
            <w:instrText xml:space="preserve"> HYPERLINK \l "_Toc149641231" </w:instrText>
          </w:r>
          <w:r>
            <w:fldChar w:fldCharType="separate"/>
          </w:r>
          <w:r>
            <w:rPr>
              <w:rFonts w:ascii="宋体" w:hAnsi="宋体" w:eastAsia="宋体" w:cs="Times New Roman"/>
            </w:rPr>
            <w:t>条文说明</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_Toc149641231 \h </w:instrText>
          </w:r>
          <w:r>
            <w:rPr>
              <w:rFonts w:ascii="宋体" w:hAnsi="宋体" w:eastAsia="宋体" w:cs="Times New Roman"/>
            </w:rPr>
            <w:fldChar w:fldCharType="separate"/>
          </w:r>
          <w:r>
            <w:rPr>
              <w:rFonts w:ascii="宋体" w:hAnsi="宋体" w:eastAsia="宋体" w:cs="Times New Roman"/>
            </w:rPr>
            <w:t>33</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p>
        <w:p>
          <w:pPr>
            <w:pStyle w:val="9"/>
            <w:ind w:firstLine="0"/>
          </w:pPr>
          <w:r>
            <w:rPr>
              <w:rFonts w:ascii="宋体" w:hAnsi="宋体" w:eastAsia="宋体" w:cs="Times New Roman"/>
            </w:rPr>
            <w:fldChar w:fldCharType="end"/>
          </w:r>
        </w:p>
      </w:sdtContent>
    </w:sdt>
    <w:p>
      <w:pPr>
        <w:pStyle w:val="20"/>
        <w:widowControl/>
        <w:spacing w:before="240" w:after="0" w:line="360" w:lineRule="auto"/>
        <w:rPr>
          <w:b w:val="0"/>
          <w:bCs w:val="0"/>
        </w:rPr>
      </w:pPr>
      <w:r>
        <w:br w:type="page"/>
      </w:r>
    </w:p>
    <w:p>
      <w:pPr>
        <w:pStyle w:val="20"/>
        <w:widowControl/>
        <w:spacing w:before="360" w:after="360" w:line="240" w:lineRule="auto"/>
        <w:jc w:val="center"/>
        <w:rPr>
          <w:rFonts w:eastAsia="仿宋"/>
          <w:b w:val="0"/>
          <w:bCs w:val="0"/>
          <w:kern w:val="2"/>
          <w:sz w:val="28"/>
          <w:szCs w:val="28"/>
        </w:rPr>
      </w:pPr>
      <w:r>
        <w:rPr>
          <w:rFonts w:eastAsia="仿宋"/>
          <w:b w:val="0"/>
          <w:bCs w:val="0"/>
          <w:kern w:val="2"/>
          <w:sz w:val="28"/>
          <w:szCs w:val="28"/>
        </w:rPr>
        <w:t>Contents</w:t>
      </w:r>
    </w:p>
    <w:sdt>
      <w:sdtPr>
        <w:rPr>
          <w:rFonts w:asciiTheme="minorHAnsi" w:hAnsiTheme="minorHAnsi" w:eastAsiaTheme="minorEastAsia" w:cstheme="minorBidi"/>
          <w:color w:val="auto"/>
          <w:kern w:val="2"/>
          <w:sz w:val="21"/>
          <w:szCs w:val="22"/>
          <w:lang w:val="zh-CN"/>
        </w:rPr>
        <w:id w:val="-135780422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7"/>
          </w:pPr>
        </w:p>
        <w:p>
          <w:pPr>
            <w:pStyle w:val="9"/>
            <w:tabs>
              <w:tab w:val="clear" w:pos="1050"/>
            </w:tabs>
            <w:ind w:firstLine="0"/>
            <w:rPr>
              <w:rFonts w:ascii="Times New Roman" w:hAnsi="Times New Roman" w:eastAsia="宋体" w:cs="Times New Roman"/>
            </w:rPr>
          </w:pPr>
          <w:r>
            <w:rPr>
              <w:rFonts w:ascii="宋体" w:hAnsi="宋体" w:eastAsia="宋体" w:cs="Times New Roman"/>
            </w:rPr>
            <w:fldChar w:fldCharType="begin"/>
          </w:r>
          <w:r>
            <w:rPr>
              <w:rFonts w:ascii="宋体" w:hAnsi="宋体" w:eastAsia="宋体" w:cs="Times New Roman"/>
            </w:rPr>
            <w:instrText xml:space="preserve"> TOC \o "1-3" \h \z \u </w:instrText>
          </w:r>
          <w:r>
            <w:rPr>
              <w:rFonts w:ascii="宋体" w:hAnsi="宋体" w:eastAsia="宋体" w:cs="Times New Roman"/>
            </w:rPr>
            <w:fldChar w:fldCharType="separate"/>
          </w:r>
          <w:r>
            <w:fldChar w:fldCharType="begin"/>
          </w:r>
          <w:r>
            <w:instrText xml:space="preserve"> HYPERLINK \l "_Toc149641201" </w:instrText>
          </w:r>
          <w:r>
            <w:fldChar w:fldCharType="separate"/>
          </w:r>
          <w:r>
            <w:rPr>
              <w:rFonts w:ascii="Times New Roman" w:hAnsi="Times New Roman" w:eastAsia="宋体" w:cs="Times New Roman"/>
            </w:rPr>
            <w:t xml:space="preserve">1  </w:t>
          </w:r>
          <w:r>
            <w:rPr>
              <w:rFonts w:ascii="Times New Roman" w:hAnsi="Times New Roman" w:cs="Times New Roman"/>
            </w:rPr>
            <w:t>General Provisions</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_Toc149641201 \h </w:instrText>
          </w:r>
          <w:r>
            <w:rPr>
              <w:rFonts w:ascii="Times New Roman" w:hAnsi="Times New Roman" w:eastAsia="宋体" w:cs="Times New Roman"/>
            </w:rPr>
            <w:fldChar w:fldCharType="separate"/>
          </w:r>
          <w:r>
            <w:rPr>
              <w:rFonts w:ascii="Times New Roman" w:hAnsi="Times New Roman" w:eastAsia="宋体" w:cs="Times New Roman"/>
            </w:rPr>
            <w:t>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tabs>
              <w:tab w:val="clear" w:pos="1050"/>
            </w:tabs>
            <w:ind w:firstLine="0"/>
            <w:rPr>
              <w:rFonts w:ascii="Times New Roman" w:hAnsi="Times New Roman" w:eastAsia="宋体" w:cs="Times New Roman"/>
            </w:rPr>
          </w:pPr>
          <w:r>
            <w:fldChar w:fldCharType="begin"/>
          </w:r>
          <w:r>
            <w:instrText xml:space="preserve"> HYPERLINK \l "_Toc149641202" </w:instrText>
          </w:r>
          <w:r>
            <w:fldChar w:fldCharType="separate"/>
          </w:r>
          <w:r>
            <w:rPr>
              <w:rFonts w:ascii="Times New Roman" w:hAnsi="Times New Roman" w:eastAsia="宋体" w:cs="Times New Roman"/>
            </w:rPr>
            <w:t>2  Terms</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_Toc149641202 \h </w:instrText>
          </w:r>
          <w:r>
            <w:rPr>
              <w:rFonts w:ascii="Times New Roman" w:hAnsi="Times New Roman" w:eastAsia="宋体" w:cs="Times New Roman"/>
            </w:rPr>
            <w:fldChar w:fldCharType="separate"/>
          </w:r>
          <w:r>
            <w:rPr>
              <w:rFonts w:ascii="Times New Roman" w:hAnsi="Times New Roman" w:eastAsia="宋体" w:cs="Times New Roman"/>
            </w:rPr>
            <w:t>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0"/>
            <w:rPr>
              <w:rFonts w:ascii="Times New Roman" w:hAnsi="Times New Roman" w:eastAsia="宋体" w:cs="Times New Roman"/>
            </w:rPr>
          </w:pPr>
          <w:r>
            <w:fldChar w:fldCharType="begin"/>
          </w:r>
          <w:r>
            <w:instrText xml:space="preserve"> HYPERLINK \l "_Toc149641203" </w:instrText>
          </w:r>
          <w:r>
            <w:fldChar w:fldCharType="separate"/>
          </w:r>
          <w:r>
            <w:rPr>
              <w:rFonts w:ascii="Times New Roman" w:hAnsi="Times New Roman" w:eastAsia="宋体" w:cs="Times New Roman"/>
            </w:rPr>
            <w:t>3  General Regulations</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_Toc149641203 \h </w:instrText>
          </w:r>
          <w:r>
            <w:rPr>
              <w:rFonts w:ascii="Times New Roman" w:hAnsi="Times New Roman" w:eastAsia="宋体" w:cs="Times New Roman"/>
            </w:rPr>
            <w:fldChar w:fldCharType="separate"/>
          </w:r>
          <w:r>
            <w:rPr>
              <w:rFonts w:ascii="Times New Roman" w:hAnsi="Times New Roman" w:eastAsia="宋体" w:cs="Times New Roman"/>
            </w:rPr>
            <w:t>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0"/>
            <w:rPr>
              <w:rFonts w:ascii="Times New Roman" w:hAnsi="Times New Roman" w:eastAsia="宋体" w:cs="Times New Roman"/>
            </w:rPr>
          </w:pPr>
          <w:r>
            <w:fldChar w:fldCharType="begin"/>
          </w:r>
          <w:r>
            <w:instrText xml:space="preserve"> HYPERLINK \l "_Toc149641204" </w:instrText>
          </w:r>
          <w:r>
            <w:fldChar w:fldCharType="separate"/>
          </w:r>
          <w:r>
            <w:rPr>
              <w:rFonts w:ascii="Times New Roman" w:hAnsi="Times New Roman" w:eastAsia="宋体" w:cs="Times New Roman"/>
            </w:rPr>
            <w:t>4  Construction Organization design</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_Toc149641204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"_Toc149641205" </w:instrText>
          </w:r>
          <w:r>
            <w:fldChar w:fldCharType="separate"/>
          </w:r>
          <w:r>
            <w:rPr>
              <w:rFonts w:ascii="Times New Roman" w:hAnsi="Times New Roman" w:eastAsia="宋体" w:cs="Times New Roman"/>
              <w:sz w:val="18"/>
              <w:szCs w:val="18"/>
            </w:rPr>
            <w:t>4.1  General Regulations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_Toc149641205 \h </w:instrText>
          </w:r>
          <w:r>
            <w:rPr>
              <w:rFonts w:ascii="Times New Roman" w:hAnsi="Times New Roman" w:eastAsia="宋体" w:cs="Times New Roman"/>
              <w:szCs w:val="21"/>
            </w:rPr>
            <w:fldChar w:fldCharType="separate"/>
          </w:r>
          <w:r>
            <w:rPr>
              <w:rFonts w:ascii="Times New Roman" w:hAnsi="Times New Roman" w:eastAsia="宋体" w:cs="Times New Roman"/>
              <w:szCs w:val="21"/>
            </w:rPr>
            <w:t>10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"_Toc149641206" </w:instrText>
          </w:r>
          <w:r>
            <w:fldChar w:fldCharType="separate"/>
          </w:r>
          <w:r>
            <w:rPr>
              <w:rFonts w:ascii="Times New Roman" w:hAnsi="Times New Roman" w:eastAsia="宋体" w:cs="Times New Roman"/>
              <w:sz w:val="18"/>
              <w:szCs w:val="18"/>
            </w:rPr>
            <w:t>4.2  Technical Appraisal</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_Toc149641206 \h </w:instrText>
          </w:r>
          <w:r>
            <w:rPr>
              <w:rFonts w:ascii="Times New Roman" w:hAnsi="Times New Roman" w:eastAsia="宋体" w:cs="Times New Roman"/>
              <w:szCs w:val="21"/>
            </w:rPr>
            <w:fldChar w:fldCharType="separate"/>
          </w:r>
          <w:r>
            <w:rPr>
              <w:rFonts w:ascii="Times New Roman" w:hAnsi="Times New Roman" w:eastAsia="宋体" w:cs="Times New Roman"/>
              <w:szCs w:val="21"/>
            </w:rPr>
            <w:t>11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fldChar w:fldCharType="begin"/>
          </w:r>
          <w:r>
            <w:instrText xml:space="preserve"> HYPERLINK \l "_Toc149641207" </w:instrText>
          </w:r>
          <w:r>
            <w:fldChar w:fldCharType="separate"/>
          </w:r>
          <w:r>
            <w:rPr>
              <w:rFonts w:ascii="Times New Roman" w:hAnsi="Times New Roman" w:eastAsia="宋体" w:cs="Times New Roman"/>
            </w:rPr>
            <w:t>5  Green demolition operation</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_Toc149641207 \h </w:instrText>
          </w:r>
          <w:r>
            <w:rPr>
              <w:rFonts w:ascii="Times New Roman" w:hAnsi="Times New Roman" w:eastAsia="宋体" w:cs="Times New Roman"/>
            </w:rPr>
            <w:fldChar w:fldCharType="separate"/>
          </w:r>
          <w:r>
            <w:rPr>
              <w:rFonts w:ascii="Times New Roman" w:hAnsi="Times New Roman" w:eastAsia="宋体" w:cs="Times New Roman"/>
            </w:rPr>
            <w:t>12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"_Toc149641208" </w:instrText>
          </w:r>
          <w:r>
            <w:fldChar w:fldCharType="separate"/>
          </w:r>
          <w:r>
            <w:rPr>
              <w:rFonts w:ascii="Times New Roman" w:hAnsi="Times New Roman" w:eastAsia="宋体" w:cs="Times New Roman"/>
              <w:sz w:val="18"/>
              <w:szCs w:val="18"/>
            </w:rPr>
            <w:t>5.1  General Regulations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_Toc149641208 \h </w:instrText>
          </w:r>
          <w:r>
            <w:rPr>
              <w:rFonts w:ascii="Times New Roman" w:hAnsi="Times New Roman" w:eastAsia="宋体" w:cs="Times New Roman"/>
              <w:szCs w:val="21"/>
            </w:rPr>
            <w:fldChar w:fldCharType="separate"/>
          </w:r>
          <w:r>
            <w:rPr>
              <w:rFonts w:ascii="Times New Roman" w:hAnsi="Times New Roman" w:eastAsia="宋体" w:cs="Times New Roman"/>
              <w:szCs w:val="21"/>
            </w:rPr>
            <w:t>12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"_Toc149641209" </w:instrText>
          </w:r>
          <w:r>
            <w:fldChar w:fldCharType="separate"/>
          </w:r>
          <w:r>
            <w:rPr>
              <w:rFonts w:ascii="Times New Roman" w:hAnsi="Times New Roman" w:eastAsia="宋体" w:cs="Times New Roman"/>
              <w:sz w:val="18"/>
              <w:szCs w:val="18"/>
            </w:rPr>
            <w:t>5.2  Preparation for Demolition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_Toc149641209 \h </w:instrText>
          </w:r>
          <w:r>
            <w:rPr>
              <w:rFonts w:ascii="Times New Roman" w:hAnsi="Times New Roman" w:eastAsia="宋体" w:cs="Times New Roman"/>
              <w:szCs w:val="21"/>
            </w:rPr>
            <w:fldChar w:fldCharType="separate"/>
          </w:r>
          <w:r>
            <w:rPr>
              <w:rFonts w:ascii="Times New Roman" w:hAnsi="Times New Roman" w:eastAsia="宋体" w:cs="Times New Roman"/>
              <w:szCs w:val="21"/>
            </w:rPr>
            <w:t>12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"_Toc149641210" </w:instrText>
          </w:r>
          <w:r>
            <w:fldChar w:fldCharType="separate"/>
          </w:r>
          <w:r>
            <w:rPr>
              <w:rFonts w:ascii="Times New Roman" w:hAnsi="Times New Roman" w:eastAsia="宋体" w:cs="Times New Roman"/>
              <w:sz w:val="18"/>
              <w:szCs w:val="18"/>
            </w:rPr>
            <w:t>5.3  On-site Demolition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_Toc149641210 \h </w:instrText>
          </w:r>
          <w:r>
            <w:rPr>
              <w:rFonts w:ascii="Times New Roman" w:hAnsi="Times New Roman" w:eastAsia="宋体" w:cs="Times New Roman"/>
              <w:szCs w:val="21"/>
            </w:rPr>
            <w:fldChar w:fldCharType="separate"/>
          </w:r>
          <w:r>
            <w:rPr>
              <w:rFonts w:ascii="Times New Roman" w:hAnsi="Times New Roman" w:eastAsia="宋体" w:cs="Times New Roman"/>
              <w:szCs w:val="21"/>
            </w:rPr>
            <w:t>13</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fldChar w:fldCharType="begin"/>
          </w:r>
          <w:r>
            <w:instrText xml:space="preserve"> HYPERLINK \l "_Toc149641211" </w:instrText>
          </w:r>
          <w:r>
            <w:fldChar w:fldCharType="separate"/>
          </w:r>
          <w:r>
            <w:rPr>
              <w:rFonts w:ascii="Times New Roman" w:hAnsi="Times New Roman" w:eastAsia="宋体" w:cs="Times New Roman"/>
            </w:rPr>
            <w:t>6  Selective Demolition</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_Toc149641211 \h </w:instrText>
          </w:r>
          <w:r>
            <w:rPr>
              <w:rFonts w:ascii="Times New Roman" w:hAnsi="Times New Roman" w:eastAsia="宋体" w:cs="Times New Roman"/>
            </w:rPr>
            <w:fldChar w:fldCharType="separate"/>
          </w:r>
          <w:r>
            <w:rPr>
              <w:rFonts w:ascii="Times New Roman" w:hAnsi="Times New Roman" w:eastAsia="宋体" w:cs="Times New Roman"/>
            </w:rPr>
            <w:t>15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"_Toc149641212" </w:instrText>
          </w:r>
          <w:r>
            <w:fldChar w:fldCharType="separate"/>
          </w:r>
          <w:r>
            <w:rPr>
              <w:rFonts w:ascii="Times New Roman" w:hAnsi="Times New Roman" w:eastAsia="宋体" w:cs="Times New Roman"/>
              <w:sz w:val="18"/>
              <w:szCs w:val="18"/>
            </w:rPr>
            <w:t>6.1  Selective Demolition Process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_Toc149641212 \h </w:instrText>
          </w:r>
          <w:r>
            <w:rPr>
              <w:rFonts w:ascii="Times New Roman" w:hAnsi="Times New Roman" w:eastAsia="宋体" w:cs="Times New Roman"/>
              <w:szCs w:val="21"/>
            </w:rPr>
            <w:fldChar w:fldCharType="separate"/>
          </w:r>
          <w:r>
            <w:rPr>
              <w:rFonts w:ascii="Times New Roman" w:hAnsi="Times New Roman" w:eastAsia="宋体" w:cs="Times New Roman"/>
              <w:szCs w:val="21"/>
            </w:rPr>
            <w:t>15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"_Toc149641213" </w:instrText>
          </w:r>
          <w:r>
            <w:fldChar w:fldCharType="separate"/>
          </w:r>
          <w:r>
            <w:rPr>
              <w:rFonts w:ascii="Times New Roman" w:hAnsi="Times New Roman" w:eastAsia="宋体" w:cs="Times New Roman"/>
              <w:sz w:val="18"/>
              <w:szCs w:val="18"/>
            </w:rPr>
            <w:t>6.2  Manpower Demolition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_Toc149641213 \h </w:instrText>
          </w:r>
          <w:r>
            <w:rPr>
              <w:rFonts w:ascii="Times New Roman" w:hAnsi="Times New Roman" w:eastAsia="宋体" w:cs="Times New Roman"/>
              <w:szCs w:val="21"/>
            </w:rPr>
            <w:fldChar w:fldCharType="separate"/>
          </w:r>
          <w:r>
            <w:rPr>
              <w:rFonts w:ascii="Times New Roman" w:hAnsi="Times New Roman" w:eastAsia="宋体" w:cs="Times New Roman"/>
              <w:szCs w:val="21"/>
            </w:rPr>
            <w:t>15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"_Toc149641214" </w:instrText>
          </w:r>
          <w:r>
            <w:fldChar w:fldCharType="separate"/>
          </w:r>
          <w:r>
            <w:rPr>
              <w:rFonts w:ascii="Times New Roman" w:hAnsi="Times New Roman" w:eastAsia="宋体" w:cs="Times New Roman"/>
              <w:sz w:val="18"/>
              <w:szCs w:val="18"/>
            </w:rPr>
            <w:t>6.3  Machine Demolition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_Toc149641214 \h </w:instrText>
          </w:r>
          <w:r>
            <w:rPr>
              <w:rFonts w:ascii="Times New Roman" w:hAnsi="Times New Roman" w:eastAsia="宋体" w:cs="Times New Roman"/>
              <w:szCs w:val="21"/>
            </w:rPr>
            <w:fldChar w:fldCharType="separate"/>
          </w:r>
          <w:r>
            <w:rPr>
              <w:rFonts w:ascii="Times New Roman" w:hAnsi="Times New Roman" w:eastAsia="宋体" w:cs="Times New Roman"/>
              <w:szCs w:val="21"/>
            </w:rPr>
            <w:t>17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"_Toc149641215" </w:instrText>
          </w:r>
          <w:r>
            <w:fldChar w:fldCharType="separate"/>
          </w:r>
          <w:r>
            <w:rPr>
              <w:rFonts w:ascii="Times New Roman" w:hAnsi="Times New Roman" w:eastAsia="宋体" w:cs="Times New Roman"/>
              <w:sz w:val="18"/>
              <w:szCs w:val="18"/>
            </w:rPr>
            <w:t>6.4  Static Blast Disassemble</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_Toc149641215 \h </w:instrText>
          </w:r>
          <w:r>
            <w:rPr>
              <w:rFonts w:ascii="Times New Roman" w:hAnsi="Times New Roman" w:eastAsia="宋体" w:cs="Times New Roman"/>
              <w:szCs w:val="21"/>
            </w:rPr>
            <w:fldChar w:fldCharType="separate"/>
          </w:r>
          <w:r>
            <w:rPr>
              <w:rFonts w:ascii="Times New Roman" w:hAnsi="Times New Roman" w:eastAsia="宋体" w:cs="Times New Roman"/>
              <w:szCs w:val="21"/>
            </w:rPr>
            <w:t>19</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fldChar w:fldCharType="begin"/>
          </w:r>
          <w:r>
            <w:instrText xml:space="preserve"> HYPERLINK \l "_Toc149641216" </w:instrText>
          </w:r>
          <w:r>
            <w:fldChar w:fldCharType="separate"/>
          </w:r>
          <w:r>
            <w:rPr>
              <w:rFonts w:ascii="Times New Roman" w:hAnsi="Times New Roman" w:eastAsia="宋体" w:cs="Times New Roman"/>
            </w:rPr>
            <w:t>7  Recycling and Reusing Programme on Site</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_Toc149641216 \h </w:instrText>
          </w:r>
          <w:r>
            <w:rPr>
              <w:rFonts w:ascii="Times New Roman" w:hAnsi="Times New Roman" w:eastAsia="宋体" w:cs="Times New Roman"/>
            </w:rPr>
            <w:fldChar w:fldCharType="separate"/>
          </w:r>
          <w:r>
            <w:rPr>
              <w:rFonts w:ascii="Times New Roman" w:hAnsi="Times New Roman" w:eastAsia="宋体" w:cs="Times New Roman"/>
            </w:rPr>
            <w:t>21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tabs>
              <w:tab w:val="clear" w:pos="1050"/>
            </w:tabs>
            <w:ind w:firstLine="440" w:firstLineChars="200"/>
            <w:rPr>
              <w:rFonts w:ascii="Times New Roman" w:hAnsi="Times New Roman" w:eastAsia="宋体" w:cs="Times New Roman"/>
              <w:sz w:val="18"/>
              <w:szCs w:val="18"/>
            </w:rPr>
          </w:pPr>
          <w:r>
            <w:fldChar w:fldCharType="begin"/>
          </w:r>
          <w:r>
            <w:instrText xml:space="preserve"> HYPERLINK \l "_Toc149641217" </w:instrText>
          </w:r>
          <w:r>
            <w:fldChar w:fldCharType="separate"/>
          </w:r>
          <w:r>
            <w:rPr>
              <w:rFonts w:ascii="Times New Roman" w:hAnsi="Times New Roman" w:eastAsia="宋体" w:cs="Times New Roman"/>
              <w:sz w:val="18"/>
              <w:szCs w:val="18"/>
            </w:rPr>
            <w:t>7.1  Classification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_Toc149641217 \h </w:instrText>
          </w:r>
          <w:r>
            <w:rPr>
              <w:rFonts w:ascii="Times New Roman" w:hAnsi="Times New Roman" w:eastAsia="宋体" w:cs="Times New Roman"/>
              <w:szCs w:val="21"/>
            </w:rPr>
            <w:fldChar w:fldCharType="separate"/>
          </w:r>
          <w:r>
            <w:rPr>
              <w:rFonts w:ascii="Times New Roman" w:hAnsi="Times New Roman" w:eastAsia="宋体" w:cs="Times New Roman"/>
              <w:szCs w:val="21"/>
            </w:rPr>
            <w:t>21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tabs>
              <w:tab w:val="clear" w:pos="1050"/>
            </w:tabs>
            <w:ind w:firstLine="440" w:firstLineChars="200"/>
            <w:rPr>
              <w:rFonts w:ascii="Times New Roman" w:hAnsi="Times New Roman" w:eastAsia="宋体" w:cs="Times New Roman"/>
              <w:sz w:val="18"/>
              <w:szCs w:val="18"/>
            </w:rPr>
          </w:pPr>
          <w:r>
            <w:fldChar w:fldCharType="begin"/>
          </w:r>
          <w:r>
            <w:instrText xml:space="preserve"> HYPERLINK \l "_Toc149641218" </w:instrText>
          </w:r>
          <w:r>
            <w:fldChar w:fldCharType="separate"/>
          </w:r>
          <w:r>
            <w:rPr>
              <w:rFonts w:ascii="Times New Roman" w:hAnsi="Times New Roman" w:eastAsia="宋体" w:cs="Times New Roman"/>
              <w:sz w:val="18"/>
              <w:szCs w:val="18"/>
            </w:rPr>
            <w:t>7.2  Collection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_Toc149641218 \h </w:instrText>
          </w:r>
          <w:r>
            <w:rPr>
              <w:rFonts w:ascii="Times New Roman" w:hAnsi="Times New Roman" w:eastAsia="宋体" w:cs="Times New Roman"/>
              <w:szCs w:val="21"/>
            </w:rPr>
            <w:fldChar w:fldCharType="separate"/>
          </w:r>
          <w:r>
            <w:rPr>
              <w:rFonts w:ascii="Times New Roman" w:hAnsi="Times New Roman" w:eastAsia="宋体" w:cs="Times New Roman"/>
              <w:szCs w:val="21"/>
            </w:rPr>
            <w:t>22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tabs>
              <w:tab w:val="clear" w:pos="1050"/>
            </w:tabs>
            <w:ind w:firstLine="440" w:firstLineChars="200"/>
            <w:rPr>
              <w:rFonts w:ascii="Times New Roman" w:hAnsi="Times New Roman" w:eastAsia="宋体" w:cs="Times New Roman"/>
              <w:sz w:val="18"/>
              <w:szCs w:val="18"/>
            </w:rPr>
          </w:pPr>
          <w:r>
            <w:fldChar w:fldCharType="begin"/>
          </w:r>
          <w:r>
            <w:instrText xml:space="preserve"> HYPERLINK \l "_Toc149641219" </w:instrText>
          </w:r>
          <w:r>
            <w:fldChar w:fldCharType="separate"/>
          </w:r>
          <w:r>
            <w:rPr>
              <w:rFonts w:ascii="Times New Roman" w:hAnsi="Times New Roman" w:eastAsia="宋体" w:cs="Times New Roman"/>
              <w:sz w:val="18"/>
              <w:szCs w:val="18"/>
            </w:rPr>
            <w:t>7.3  Transportation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_Toc149641219 \h </w:instrText>
          </w:r>
          <w:r>
            <w:rPr>
              <w:rFonts w:ascii="Times New Roman" w:hAnsi="Times New Roman" w:eastAsia="宋体" w:cs="Times New Roman"/>
              <w:szCs w:val="21"/>
            </w:rPr>
            <w:fldChar w:fldCharType="separate"/>
          </w:r>
          <w:r>
            <w:rPr>
              <w:rFonts w:ascii="Times New Roman" w:hAnsi="Times New Roman" w:eastAsia="宋体" w:cs="Times New Roman"/>
              <w:szCs w:val="21"/>
            </w:rPr>
            <w:t>22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fldChar w:fldCharType="begin"/>
          </w:r>
          <w:r>
            <w:instrText xml:space="preserve"> HYPERLINK \l "_Toc149641220" </w:instrText>
          </w:r>
          <w:r>
            <w:fldChar w:fldCharType="separate"/>
          </w:r>
          <w:r>
            <w:rPr>
              <w:rFonts w:ascii="Times New Roman" w:hAnsi="Times New Roman" w:eastAsia="宋体" w:cs="Times New Roman"/>
            </w:rPr>
            <w:t>8  Construction &amp; Demolition Wastes Comprehensive Utilization on Site</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_Toc149641220 \h </w:instrText>
          </w:r>
          <w:r>
            <w:rPr>
              <w:rFonts w:ascii="Times New Roman" w:hAnsi="Times New Roman" w:eastAsia="宋体" w:cs="Times New Roman"/>
            </w:rPr>
            <w:fldChar w:fldCharType="separate"/>
          </w:r>
          <w:r>
            <w:rPr>
              <w:rFonts w:ascii="Times New Roman" w:hAnsi="Times New Roman" w:eastAsia="宋体" w:cs="Times New Roman"/>
            </w:rPr>
            <w:t>25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"_Toc149641221" </w:instrText>
          </w:r>
          <w:r>
            <w:fldChar w:fldCharType="separate"/>
          </w:r>
          <w:r>
            <w:rPr>
              <w:rFonts w:ascii="Times New Roman" w:hAnsi="Times New Roman" w:eastAsia="宋体" w:cs="Times New Roman"/>
              <w:sz w:val="18"/>
              <w:szCs w:val="18"/>
            </w:rPr>
            <w:t>8.1  General Regulations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_Toc149641221 \h </w:instrText>
          </w:r>
          <w:r>
            <w:rPr>
              <w:rFonts w:ascii="Times New Roman" w:hAnsi="Times New Roman" w:eastAsia="宋体" w:cs="Times New Roman"/>
              <w:szCs w:val="21"/>
            </w:rPr>
            <w:fldChar w:fldCharType="separate"/>
          </w:r>
          <w:r>
            <w:rPr>
              <w:rFonts w:ascii="Times New Roman" w:hAnsi="Times New Roman" w:eastAsia="宋体" w:cs="Times New Roman"/>
              <w:szCs w:val="21"/>
            </w:rPr>
            <w:t>25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"_Toc149641222" </w:instrText>
          </w:r>
          <w:r>
            <w:fldChar w:fldCharType="separate"/>
          </w:r>
          <w:r>
            <w:rPr>
              <w:rFonts w:ascii="Times New Roman" w:hAnsi="Times New Roman" w:eastAsia="宋体" w:cs="Times New Roman"/>
              <w:sz w:val="18"/>
              <w:szCs w:val="18"/>
            </w:rPr>
            <w:t>8.2  Metallic Materials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_Toc149641222 \h </w:instrText>
          </w:r>
          <w:r>
            <w:rPr>
              <w:rFonts w:ascii="Times New Roman" w:hAnsi="Times New Roman" w:eastAsia="宋体" w:cs="Times New Roman"/>
              <w:szCs w:val="21"/>
            </w:rPr>
            <w:fldChar w:fldCharType="separate"/>
          </w:r>
          <w:r>
            <w:rPr>
              <w:rFonts w:ascii="Times New Roman" w:hAnsi="Times New Roman" w:eastAsia="宋体" w:cs="Times New Roman"/>
              <w:szCs w:val="21"/>
            </w:rPr>
            <w:t>25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"_Toc149641223" </w:instrText>
          </w:r>
          <w:r>
            <w:fldChar w:fldCharType="separate"/>
          </w:r>
          <w:r>
            <w:rPr>
              <w:rFonts w:ascii="Times New Roman" w:hAnsi="Times New Roman" w:eastAsia="宋体" w:cs="Times New Roman"/>
              <w:sz w:val="18"/>
              <w:szCs w:val="18"/>
            </w:rPr>
            <w:t>8.3  Non-metallic Materials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_Toc149641223 \h </w:instrText>
          </w:r>
          <w:r>
            <w:rPr>
              <w:rFonts w:ascii="Times New Roman" w:hAnsi="Times New Roman" w:eastAsia="宋体" w:cs="Times New Roman"/>
              <w:szCs w:val="21"/>
            </w:rPr>
            <w:fldChar w:fldCharType="separate"/>
          </w:r>
          <w:r>
            <w:rPr>
              <w:rFonts w:ascii="Times New Roman" w:hAnsi="Times New Roman" w:eastAsia="宋体" w:cs="Times New Roman"/>
              <w:szCs w:val="21"/>
            </w:rPr>
            <w:t>25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"_Toc149641224" </w:instrText>
          </w:r>
          <w:r>
            <w:fldChar w:fldCharType="separate"/>
          </w:r>
          <w:r>
            <w:rPr>
              <w:rFonts w:ascii="Times New Roman" w:hAnsi="Times New Roman" w:eastAsia="宋体" w:cs="Times New Roman"/>
              <w:sz w:val="18"/>
              <w:szCs w:val="18"/>
            </w:rPr>
            <w:t>8.4  On-site Recycling Equipment</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_Toc149641224 \h </w:instrText>
          </w:r>
          <w:r>
            <w:rPr>
              <w:rFonts w:ascii="Times New Roman" w:hAnsi="Times New Roman" w:eastAsia="宋体" w:cs="Times New Roman"/>
              <w:szCs w:val="21"/>
            </w:rPr>
            <w:fldChar w:fldCharType="separate"/>
          </w:r>
          <w:r>
            <w:rPr>
              <w:rFonts w:ascii="Times New Roman" w:hAnsi="Times New Roman" w:eastAsia="宋体" w:cs="Times New Roman"/>
              <w:szCs w:val="21"/>
            </w:rPr>
            <w:t>25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fldChar w:fldCharType="begin"/>
          </w:r>
          <w:r>
            <w:instrText xml:space="preserve"> HYPERLINK \l "_Toc149641225" </w:instrText>
          </w:r>
          <w:r>
            <w:fldChar w:fldCharType="separate"/>
          </w:r>
          <w:r>
            <w:rPr>
              <w:rFonts w:ascii="Times New Roman" w:hAnsi="Times New Roman" w:eastAsia="宋体" w:cs="Times New Roman"/>
            </w:rPr>
            <w:t>9  Carbon Footprint Evaluation of Demolition Projects</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_Toc149641225 \h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"_Toc149641226" </w:instrText>
          </w:r>
          <w:r>
            <w:fldChar w:fldCharType="separate"/>
          </w:r>
          <w:r>
            <w:rPr>
              <w:rFonts w:ascii="Times New Roman" w:hAnsi="Times New Roman" w:eastAsia="宋体" w:cs="Times New Roman"/>
              <w:sz w:val="18"/>
              <w:szCs w:val="18"/>
            </w:rPr>
            <w:t>9.1  General Regulations</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_Toc149641226 \h </w:instrText>
          </w:r>
          <w:r>
            <w:rPr>
              <w:rFonts w:ascii="Times New Roman" w:hAnsi="Times New Roman" w:eastAsia="宋体" w:cs="Times New Roman"/>
              <w:szCs w:val="21"/>
            </w:rPr>
            <w:fldChar w:fldCharType="separate"/>
          </w:r>
          <w:r>
            <w:rPr>
              <w:rFonts w:ascii="Times New Roman" w:hAnsi="Times New Roman" w:eastAsia="宋体" w:cs="Times New Roman"/>
              <w:szCs w:val="21"/>
            </w:rPr>
            <w:t>28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"_Toc149641227" </w:instrText>
          </w:r>
          <w:r>
            <w:fldChar w:fldCharType="separate"/>
          </w:r>
          <w:r>
            <w:rPr>
              <w:rFonts w:ascii="Times New Roman" w:hAnsi="Times New Roman" w:eastAsia="宋体" w:cs="Times New Roman"/>
              <w:sz w:val="18"/>
              <w:szCs w:val="18"/>
            </w:rPr>
            <w:t>9.2  Carbon Footprint Assessment Boundary</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_Toc149641227 \h </w:instrText>
          </w:r>
          <w:r>
            <w:rPr>
              <w:rFonts w:ascii="Times New Roman" w:hAnsi="Times New Roman" w:eastAsia="宋体" w:cs="Times New Roman"/>
              <w:szCs w:val="21"/>
            </w:rPr>
            <w:fldChar w:fldCharType="separate"/>
          </w:r>
          <w:r>
            <w:rPr>
              <w:rFonts w:ascii="Times New Roman" w:hAnsi="Times New Roman" w:eastAsia="宋体" w:cs="Times New Roman"/>
              <w:szCs w:val="21"/>
            </w:rPr>
            <w:t>28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440" w:firstLineChars="200"/>
            <w:rPr>
              <w:rFonts w:ascii="Times New Roman" w:hAnsi="Times New Roman" w:eastAsia="宋体" w:cs="Times New Roman"/>
              <w:sz w:val="18"/>
              <w:szCs w:val="18"/>
            </w:rPr>
          </w:pPr>
          <w:r>
            <w:fldChar w:fldCharType="begin"/>
          </w:r>
          <w:r>
            <w:instrText xml:space="preserve"> HYPERLINK \l "_Toc149641228" </w:instrText>
          </w:r>
          <w:r>
            <w:fldChar w:fldCharType="separate"/>
          </w:r>
          <w:r>
            <w:rPr>
              <w:rFonts w:ascii="Times New Roman" w:hAnsi="Times New Roman" w:eastAsia="宋体" w:cs="Times New Roman"/>
              <w:sz w:val="18"/>
              <w:szCs w:val="18"/>
            </w:rPr>
            <w:t>9.3  Carbon Footprint Computation</w:t>
          </w:r>
          <w:r>
            <w:rPr>
              <w:rFonts w:ascii="Times New Roman" w:hAnsi="Times New Roman" w:eastAsia="宋体" w:cs="Times New Roman"/>
              <w:sz w:val="18"/>
              <w:szCs w:val="18"/>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_Toc149641228 \h </w:instrText>
          </w:r>
          <w:r>
            <w:rPr>
              <w:rFonts w:ascii="Times New Roman" w:hAnsi="Times New Roman" w:eastAsia="宋体" w:cs="Times New Roman"/>
              <w:szCs w:val="21"/>
            </w:rPr>
            <w:fldChar w:fldCharType="separate"/>
          </w:r>
          <w:r>
            <w:rPr>
              <w:rFonts w:ascii="Times New Roman" w:hAnsi="Times New Roman" w:eastAsia="宋体" w:cs="Times New Roman"/>
              <w:szCs w:val="21"/>
            </w:rPr>
            <w:t>28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firstLine="0"/>
            <w:rPr>
              <w:rFonts w:ascii="Times New Roman" w:hAnsi="Times New Roman" w:eastAsia="宋体" w:cs="Times New Roman"/>
            </w:rPr>
          </w:pPr>
          <w:r>
            <w:rPr>
              <w:rFonts w:ascii="Times New Roman" w:hAnsi="Times New Roman" w:eastAsia="宋体" w:cs="Times New Roman"/>
            </w:rPr>
            <w:t>Explanation of Wording in This Standard</w:t>
          </w:r>
          <w:r>
            <w:fldChar w:fldCharType="begin"/>
          </w:r>
          <w:r>
            <w:instrText xml:space="preserve"> HYPERLINK \l "_Toc149641229" </w:instrText>
          </w:r>
          <w:r>
            <w:fldChar w:fldCharType="separate"/>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_Toc149641229 \h </w:instrText>
          </w:r>
          <w:r>
            <w:rPr>
              <w:rFonts w:ascii="Times New Roman" w:hAnsi="Times New Roman" w:eastAsia="宋体" w:cs="Times New Roman"/>
            </w:rPr>
            <w:fldChar w:fldCharType="separate"/>
          </w:r>
          <w:r>
            <w:rPr>
              <w:rFonts w:ascii="Times New Roman" w:hAnsi="Times New Roman" w:eastAsia="宋体" w:cs="Times New Roman"/>
            </w:rPr>
            <w:t>30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0"/>
            <w:rPr>
              <w:rFonts w:ascii="Times New Roman" w:hAnsi="Times New Roman" w:eastAsia="宋体" w:cs="Times New Roman"/>
            </w:rPr>
          </w:pPr>
          <w:r>
            <w:rPr>
              <w:rFonts w:ascii="Times New Roman" w:hAnsi="Times New Roman" w:eastAsia="宋体" w:cs="Times New Roman"/>
            </w:rPr>
            <w:t>List of Quoted Standards</w:t>
          </w:r>
          <w:r>
            <w:fldChar w:fldCharType="begin"/>
          </w:r>
          <w:r>
            <w:instrText xml:space="preserve"> HYPERLINK \l "_Toc149641230" </w:instrText>
          </w:r>
          <w:r>
            <w:fldChar w:fldCharType="separate"/>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_Toc149641230 \h </w:instrText>
          </w:r>
          <w:r>
            <w:rPr>
              <w:rFonts w:ascii="Times New Roman" w:hAnsi="Times New Roman" w:eastAsia="宋体" w:cs="Times New Roman"/>
            </w:rPr>
            <w:fldChar w:fldCharType="separate"/>
          </w:r>
          <w:r>
            <w:rPr>
              <w:rFonts w:ascii="Times New Roman" w:hAnsi="Times New Roman" w:eastAsia="宋体" w:cs="Times New Roman"/>
            </w:rPr>
            <w:t>31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0"/>
            <w:rPr>
              <w:rFonts w:ascii="宋体" w:hAnsi="宋体" w:eastAsia="宋体" w:cs="Times New Roman"/>
            </w:rPr>
          </w:pPr>
          <w:r>
            <w:rPr>
              <w:rFonts w:ascii="Times New Roman" w:hAnsi="Times New Roman" w:eastAsia="宋体" w:cs="Times New Roman"/>
            </w:rPr>
            <w:t>Addition: Explanation of Provisions</w:t>
          </w:r>
          <w:r>
            <w:fldChar w:fldCharType="begin"/>
          </w:r>
          <w:r>
            <w:instrText xml:space="preserve"> HYPERLINK \l "_Toc149641230" </w:instrText>
          </w:r>
          <w:r>
            <w:fldChar w:fldCharType="separate"/>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_Toc149641230 \h </w:instrText>
          </w:r>
          <w:r>
            <w:rPr>
              <w:rFonts w:ascii="Times New Roman" w:hAnsi="Times New Roman" w:eastAsia="宋体" w:cs="Times New Roman"/>
            </w:rPr>
            <w:fldChar w:fldCharType="separate"/>
          </w:r>
          <w:r>
            <w:rPr>
              <w:rFonts w:ascii="Times New Roman" w:hAnsi="Times New Roman" w:eastAsia="宋体" w:cs="Times New Roman"/>
            </w:rPr>
            <w:t>32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firstLine="0"/>
            <w:rPr>
              <w:rFonts w:ascii="宋体" w:hAnsi="宋体" w:eastAsia="宋体" w:cs="Times New Roman"/>
            </w:rPr>
          </w:pPr>
        </w:p>
        <w:p>
          <w:pPr>
            <w:pStyle w:val="9"/>
            <w:ind w:firstLine="0"/>
            <w:rPr>
              <w:rFonts w:ascii="Times New Roman" w:hAnsi="Times New Roman" w:eastAsia="宋体" w:cs="Times New Roman"/>
              <w:b/>
              <w:bCs/>
              <w:lang w:val="zh-CN"/>
            </w:rPr>
          </w:pPr>
          <w:r>
            <w:rPr>
              <w:rFonts w:ascii="宋体" w:hAnsi="宋体" w:eastAsia="宋体" w:cs="Times New Roman"/>
            </w:rPr>
            <w:fldChar w:fldCharType="end"/>
          </w:r>
        </w:p>
      </w:sdtContent>
    </w:sdt>
    <w:p>
      <w:pPr>
        <w:pStyle w:val="9"/>
        <w:ind w:firstLine="0"/>
        <w:rPr>
          <w:rFonts w:ascii="Times New Roman" w:hAnsi="Times New Roman" w:cs="Times New Roman"/>
        </w:rPr>
      </w:pPr>
    </w:p>
    <w:p>
      <w:pPr>
        <w:pStyle w:val="9"/>
        <w:ind w:firstLine="0"/>
        <w:rPr>
          <w:rFonts w:ascii="Times New Roman" w:hAnsi="Times New Roman" w:cs="Times New Roman"/>
        </w:rPr>
      </w:pPr>
    </w:p>
    <w:p>
      <w:pPr>
        <w:keepNext/>
        <w:keepLines/>
        <w:spacing w:after="360" w:line="240" w:lineRule="auto"/>
        <w:jc w:val="center"/>
        <w:outlineLvl w:val="0"/>
        <w:rPr>
          <w:rStyle w:val="22"/>
          <w:rFonts w:ascii="宋体" w:hAnsi="宋体" w:eastAsia="宋体" w:cs="Times New Roman"/>
          <w:b w:val="0"/>
          <w:bCs w:val="0"/>
          <w:sz w:val="28"/>
          <w:szCs w:val="21"/>
        </w:rPr>
      </w:pPr>
      <w:bookmarkStart w:id="1" w:name="_Toc149641201"/>
      <w:r>
        <w:rPr>
          <w:rStyle w:val="22"/>
          <w:rFonts w:ascii="Times New Roman" w:hAnsi="Times New Roman" w:cs="Times New Roman"/>
          <w:sz w:val="28"/>
          <w:szCs w:val="21"/>
        </w:rPr>
        <w:t>1</w:t>
      </w:r>
      <w:r>
        <w:rPr>
          <w:rStyle w:val="22"/>
          <w:rFonts w:ascii="宋体" w:hAnsi="宋体" w:eastAsia="宋体" w:cs="Times New Roman"/>
          <w:b w:val="0"/>
          <w:bCs w:val="0"/>
          <w:sz w:val="28"/>
          <w:szCs w:val="21"/>
        </w:rPr>
        <w:t xml:space="preserve">  总    则</w:t>
      </w:r>
      <w:bookmarkEnd w:id="1"/>
    </w:p>
    <w:p>
      <w:pPr>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1</w:t>
      </w:r>
      <w:r>
        <w:rPr>
          <w:szCs w:val="21"/>
        </w:rPr>
        <w:t xml:space="preserve">  </w:t>
      </w:r>
      <w:r>
        <w:rPr>
          <w:rFonts w:hint="eastAsia"/>
          <w:szCs w:val="21"/>
        </w:rPr>
        <w:t>为贯彻国家和深圳市建筑工程安全生产的方针、政策和法规，加强城市建筑废弃物精细化管理及资源化利用，规范建筑物拆除作业，提高拆除废弃物综合利用的效率，促进城市绿色低碳发展，确保建筑物拆除工程规范作业和安全施工，保障从业人员生命、财产安全，根据《城市建筑垃圾管理规定》、《深圳市建筑废弃物减排与利用条例》、《深圳市建筑废弃物管理办法》、《广东城市房屋拆迁管理条例》等法律法规，制定本标准。</w:t>
      </w:r>
    </w:p>
    <w:p>
      <w:pPr>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 xml:space="preserve">2  </w:t>
      </w:r>
      <w:r>
        <w:rPr>
          <w:rFonts w:hint="eastAsia"/>
          <w:szCs w:val="21"/>
        </w:rPr>
        <w:t>本标准适用于深圳市房屋建筑拆除工程，市政构筑物拆除工程可参照执行。</w:t>
      </w:r>
    </w:p>
    <w:p>
      <w:pPr>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3</w:t>
      </w:r>
      <w:r>
        <w:rPr>
          <w:rFonts w:hint="eastAsia"/>
          <w:szCs w:val="21"/>
        </w:rPr>
        <w:t xml:space="preserve"> </w:t>
      </w:r>
      <w:r>
        <w:rPr>
          <w:szCs w:val="21"/>
        </w:rPr>
        <w:t xml:space="preserve"> </w:t>
      </w:r>
      <w:r>
        <w:rPr>
          <w:rFonts w:hint="eastAsia"/>
          <w:szCs w:val="21"/>
        </w:rPr>
        <w:t>拆除工程应在拆除过程中建立拆除废弃物可循环利用模式，拆除工程施工应采用低噪音、低能耗、低污染的绿色拆除技术。</w:t>
      </w:r>
    </w:p>
    <w:p>
      <w:pPr>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4</w:t>
      </w:r>
      <w:r>
        <w:rPr>
          <w:szCs w:val="21"/>
        </w:rPr>
        <w:t xml:space="preserve">  </w:t>
      </w:r>
      <w:r>
        <w:rPr>
          <w:rFonts w:hint="eastAsia"/>
          <w:szCs w:val="21"/>
        </w:rPr>
        <w:t>拆除工程施工及其所使用的工具、设备、易燃易爆物品、电气装置、登高设施等除应符合本规程外，还应符合国家、行业和深圳市现行的有关规定和标准。</w:t>
      </w:r>
    </w:p>
    <w:p>
      <w:pPr>
        <w:widowControl/>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5</w:t>
      </w:r>
      <w:r>
        <w:rPr>
          <w:szCs w:val="21"/>
        </w:rPr>
        <w:t xml:space="preserve">  </w:t>
      </w:r>
      <w:r>
        <w:rPr>
          <w:rFonts w:hint="eastAsia"/>
          <w:szCs w:val="21"/>
        </w:rPr>
        <w:t>拆除工程施工作业的安全生产、环境保护等应符合国家现行有关规定。</w:t>
      </w:r>
    </w:p>
    <w:p>
      <w:pPr>
        <w:widowControl/>
        <w:spacing w:line="240" w:lineRule="auto"/>
        <w:rPr>
          <w:szCs w:val="21"/>
        </w:rPr>
      </w:pPr>
      <w:r>
        <w:rPr>
          <w:b/>
          <w:bCs/>
          <w:szCs w:val="21"/>
        </w:rPr>
        <w:t>1</w:t>
      </w:r>
      <w:r>
        <w:rPr>
          <w:rFonts w:ascii="宋体" w:hAnsi="宋体"/>
          <w:b/>
          <w:bCs/>
          <w:szCs w:val="21"/>
        </w:rPr>
        <w:t>.</w:t>
      </w:r>
      <w:r>
        <w:rPr>
          <w:b/>
          <w:bCs/>
          <w:szCs w:val="21"/>
        </w:rPr>
        <w:t>0</w:t>
      </w:r>
      <w:r>
        <w:rPr>
          <w:rFonts w:ascii="宋体" w:hAnsi="宋体"/>
          <w:b/>
          <w:bCs/>
          <w:szCs w:val="21"/>
        </w:rPr>
        <w:t>.</w:t>
      </w:r>
      <w:r>
        <w:rPr>
          <w:b/>
          <w:bCs/>
          <w:szCs w:val="21"/>
        </w:rPr>
        <w:t>6</w:t>
      </w:r>
      <w:r>
        <w:rPr>
          <w:szCs w:val="21"/>
        </w:rPr>
        <w:t xml:space="preserve">  </w:t>
      </w:r>
      <w:r>
        <w:rPr>
          <w:rFonts w:hint="eastAsia"/>
          <w:szCs w:val="21"/>
        </w:rPr>
        <w:t>拆除工程，除应符合本标准外，尚应符合国家、广东省和深圳市现行的法律法规及有关标准的规定。</w:t>
      </w:r>
    </w:p>
    <w:p>
      <w:pPr>
        <w:widowControl/>
        <w:spacing w:line="240" w:lineRule="auto"/>
        <w:jc w:val="left"/>
        <w:rPr>
          <w:rFonts w:cs="等线" w:asciiTheme="minorEastAsia" w:hAnsiTheme="minorEastAsia"/>
        </w:rPr>
      </w:pPr>
      <w:r>
        <w:rPr>
          <w:rFonts w:cs="等线" w:asciiTheme="minorEastAsia" w:hAnsiTheme="minorEastAsia"/>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2" w:name="_Toc82523962"/>
      <w:bookmarkStart w:id="3" w:name="_Toc93998963"/>
      <w:bookmarkStart w:id="4" w:name="_Toc149641202"/>
      <w:bookmarkStart w:id="5" w:name="_Toc93999724"/>
      <w:r>
        <w:rPr>
          <w:rStyle w:val="22"/>
          <w:rFonts w:ascii="Times New Roman" w:hAnsi="Times New Roman" w:cs="Times New Roman"/>
          <w:sz w:val="28"/>
          <w:szCs w:val="21"/>
        </w:rPr>
        <w:t>2</w:t>
      </w:r>
      <w:r>
        <w:rPr>
          <w:rStyle w:val="22"/>
          <w:rFonts w:hint="eastAsia" w:ascii="宋体" w:hAnsi="宋体"/>
          <w:sz w:val="28"/>
          <w:szCs w:val="21"/>
        </w:rPr>
        <w:t xml:space="preserve">  </w:t>
      </w:r>
      <w:r>
        <w:rPr>
          <w:rStyle w:val="22"/>
          <w:rFonts w:hint="eastAsia" w:ascii="宋体" w:hAnsi="宋体" w:eastAsia="宋体"/>
          <w:b w:val="0"/>
          <w:bCs w:val="0"/>
          <w:sz w:val="28"/>
          <w:szCs w:val="28"/>
        </w:rPr>
        <w:t xml:space="preserve">术 </w:t>
      </w:r>
      <w:r>
        <w:rPr>
          <w:rStyle w:val="22"/>
          <w:rFonts w:ascii="宋体" w:hAnsi="宋体" w:eastAsia="宋体"/>
          <w:b w:val="0"/>
          <w:bCs w:val="0"/>
          <w:sz w:val="28"/>
          <w:szCs w:val="28"/>
        </w:rPr>
        <w:t xml:space="preserve">   </w:t>
      </w:r>
      <w:r>
        <w:rPr>
          <w:rStyle w:val="22"/>
          <w:rFonts w:hint="eastAsia" w:ascii="宋体" w:hAnsi="宋体" w:eastAsia="宋体"/>
          <w:b w:val="0"/>
          <w:bCs w:val="0"/>
          <w:sz w:val="28"/>
          <w:szCs w:val="28"/>
        </w:rPr>
        <w:t>语</w:t>
      </w:r>
      <w:bookmarkEnd w:id="2"/>
      <w:bookmarkEnd w:id="3"/>
      <w:bookmarkEnd w:id="4"/>
      <w:bookmarkEnd w:id="5"/>
    </w:p>
    <w:p>
      <w:pPr>
        <w:spacing w:line="240" w:lineRule="auto"/>
        <w:rPr>
          <w:b/>
          <w:bCs/>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rFonts w:hint="eastAsia"/>
          <w:b/>
          <w:bCs/>
          <w:szCs w:val="21"/>
        </w:rPr>
        <w:t xml:space="preserve">1 </w:t>
      </w:r>
      <w:r>
        <w:rPr>
          <w:b/>
          <w:bCs/>
          <w:szCs w:val="21"/>
        </w:rPr>
        <w:t xml:space="preserve"> </w:t>
      </w:r>
      <w:r>
        <w:rPr>
          <w:rFonts w:hint="eastAsia"/>
          <w:szCs w:val="21"/>
        </w:rPr>
        <w:t xml:space="preserve">拆除工程 </w:t>
      </w:r>
      <w:r>
        <w:rPr>
          <w:szCs w:val="21"/>
        </w:rPr>
        <w:t xml:space="preserve"> </w:t>
      </w:r>
      <w:r>
        <w:rPr>
          <w:rFonts w:hint="eastAsia"/>
          <w:szCs w:val="21"/>
        </w:rPr>
        <w:t>D</w:t>
      </w:r>
      <w:r>
        <w:rPr>
          <w:szCs w:val="21"/>
        </w:rPr>
        <w:t>emolition engineering</w:t>
      </w:r>
    </w:p>
    <w:p>
      <w:pPr>
        <w:spacing w:line="240" w:lineRule="auto"/>
        <w:ind w:firstLine="440" w:firstLineChars="200"/>
        <w:rPr>
          <w:rFonts w:cs="宋体"/>
          <w:szCs w:val="21"/>
        </w:rPr>
      </w:pPr>
      <w:r>
        <w:rPr>
          <w:rFonts w:hint="eastAsia" w:cs="宋体"/>
          <w:szCs w:val="21"/>
        </w:rPr>
        <w:t>将已建成或部分建成的建筑物进行整体或局部拆除的施工项目。</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w:t>
      </w:r>
      <w:r>
        <w:rPr>
          <w:rFonts w:cs="宋体"/>
          <w:szCs w:val="21"/>
        </w:rPr>
        <w:t xml:space="preserve">  </w:t>
      </w:r>
      <w:r>
        <w:rPr>
          <w:rFonts w:hint="eastAsia" w:cs="宋体"/>
          <w:szCs w:val="21"/>
        </w:rPr>
        <w:t xml:space="preserve">绿色拆除 </w:t>
      </w:r>
      <w:r>
        <w:rPr>
          <w:rFonts w:cs="宋体"/>
          <w:szCs w:val="21"/>
        </w:rPr>
        <w:t xml:space="preserve"> Green demolition</w:t>
      </w:r>
    </w:p>
    <w:p>
      <w:pPr>
        <w:spacing w:line="240" w:lineRule="auto"/>
        <w:ind w:firstLine="440" w:firstLineChars="200"/>
        <w:rPr>
          <w:rFonts w:cs="宋体"/>
          <w:szCs w:val="21"/>
        </w:rPr>
      </w:pPr>
      <w:r>
        <w:rPr>
          <w:rFonts w:hint="eastAsia" w:cs="宋体"/>
          <w:szCs w:val="21"/>
        </w:rPr>
        <w:t>以拆除废弃物综合利用为导向，在保障安全的前提下，贯彻低环境影响理念，文明施工的建筑物拆除方式。</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3</w:t>
      </w:r>
      <w:r>
        <w:rPr>
          <w:rFonts w:cs="宋体"/>
          <w:szCs w:val="21"/>
        </w:rPr>
        <w:t xml:space="preserve">  </w:t>
      </w:r>
      <w:r>
        <w:rPr>
          <w:rFonts w:hint="eastAsia" w:cs="宋体"/>
          <w:szCs w:val="21"/>
        </w:rPr>
        <w:t xml:space="preserve">反向建造工序拆除 </w:t>
      </w:r>
      <w:r>
        <w:rPr>
          <w:rFonts w:cs="宋体"/>
          <w:szCs w:val="21"/>
        </w:rPr>
        <w:t xml:space="preserve"> Selection demolition</w:t>
      </w:r>
    </w:p>
    <w:p>
      <w:pPr>
        <w:spacing w:line="240" w:lineRule="auto"/>
        <w:ind w:firstLine="440" w:firstLineChars="200"/>
        <w:rPr>
          <w:rFonts w:cs="宋体"/>
          <w:szCs w:val="21"/>
        </w:rPr>
      </w:pPr>
      <w:r>
        <w:rPr>
          <w:rFonts w:hint="eastAsia" w:cs="宋体"/>
          <w:szCs w:val="21"/>
        </w:rPr>
        <w:t>与建筑物建设程序相反的拆除建筑物施工方法。</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4</w:t>
      </w:r>
      <w:r>
        <w:rPr>
          <w:rFonts w:cs="宋体"/>
          <w:szCs w:val="21"/>
        </w:rPr>
        <w:t xml:space="preserve">  </w:t>
      </w:r>
      <w:r>
        <w:rPr>
          <w:rFonts w:hint="eastAsia" w:cs="宋体"/>
          <w:szCs w:val="21"/>
        </w:rPr>
        <w:t xml:space="preserve">人工拆除 </w:t>
      </w:r>
      <w:r>
        <w:rPr>
          <w:rFonts w:cs="宋体"/>
          <w:szCs w:val="21"/>
        </w:rPr>
        <w:t xml:space="preserve"> Manpower demolition</w:t>
      </w:r>
    </w:p>
    <w:p>
      <w:pPr>
        <w:spacing w:line="240" w:lineRule="auto"/>
        <w:ind w:firstLine="440" w:firstLineChars="200"/>
        <w:rPr>
          <w:rFonts w:cs="宋体"/>
          <w:szCs w:val="21"/>
        </w:rPr>
      </w:pPr>
      <w:r>
        <w:rPr>
          <w:rFonts w:hint="eastAsia" w:cs="宋体"/>
          <w:szCs w:val="21"/>
        </w:rPr>
        <w:t>依靠人力和风镐、切割器具等工具，对建筑物进行解体和破碎的施工方法。</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5</w:t>
      </w:r>
      <w:r>
        <w:rPr>
          <w:rFonts w:cs="宋体"/>
          <w:szCs w:val="21"/>
        </w:rPr>
        <w:t xml:space="preserve">  </w:t>
      </w:r>
      <w:r>
        <w:rPr>
          <w:rFonts w:hint="eastAsia" w:cs="宋体"/>
          <w:szCs w:val="21"/>
        </w:rPr>
        <w:t xml:space="preserve">机械拆除 </w:t>
      </w:r>
      <w:r>
        <w:rPr>
          <w:rFonts w:cs="宋体"/>
          <w:szCs w:val="21"/>
        </w:rPr>
        <w:t xml:space="preserve"> Machine demolition</w:t>
      </w:r>
    </w:p>
    <w:p>
      <w:pPr>
        <w:spacing w:line="240" w:lineRule="auto"/>
        <w:ind w:firstLine="440" w:firstLineChars="200"/>
        <w:rPr>
          <w:rFonts w:cs="宋体"/>
          <w:szCs w:val="21"/>
        </w:rPr>
      </w:pPr>
      <w:r>
        <w:rPr>
          <w:rFonts w:hint="eastAsia" w:cs="宋体"/>
          <w:szCs w:val="21"/>
        </w:rPr>
        <w:t>使用液压挖掘机及液压破碎锤、液压剪和起重机等大、中型机械，对建筑物进行解体和破碎的施工方法。</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6</w:t>
      </w:r>
      <w:r>
        <w:rPr>
          <w:rFonts w:cs="宋体"/>
          <w:szCs w:val="21"/>
        </w:rPr>
        <w:t xml:space="preserve">  </w:t>
      </w:r>
      <w:r>
        <w:rPr>
          <w:rFonts w:hint="eastAsia" w:cs="宋体"/>
          <w:szCs w:val="21"/>
        </w:rPr>
        <w:t xml:space="preserve">切割拆除 </w:t>
      </w:r>
      <w:r>
        <w:rPr>
          <w:rFonts w:cs="宋体"/>
          <w:szCs w:val="21"/>
        </w:rPr>
        <w:t xml:space="preserve"> Cutting demolition</w:t>
      </w:r>
    </w:p>
    <w:p>
      <w:pPr>
        <w:spacing w:line="240" w:lineRule="auto"/>
        <w:ind w:firstLine="440" w:firstLineChars="200"/>
        <w:rPr>
          <w:rFonts w:cs="宋体"/>
          <w:color w:val="FF0000"/>
          <w:szCs w:val="21"/>
        </w:rPr>
      </w:pPr>
      <w:r>
        <w:rPr>
          <w:rFonts w:hint="eastAsia" w:cs="宋体"/>
          <w:szCs w:val="21"/>
        </w:rPr>
        <w:t>利用绳、锯片、钻头等按指定位置对钢筋和混凝土、砌体进行磨削切割，将钢筋混凝土、砌体切割成若干块体。</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7</w:t>
      </w:r>
      <w:r>
        <w:rPr>
          <w:rFonts w:cs="宋体"/>
          <w:szCs w:val="21"/>
        </w:rPr>
        <w:t xml:space="preserve">  </w:t>
      </w:r>
      <w:r>
        <w:rPr>
          <w:rFonts w:hint="eastAsia" w:cs="宋体"/>
          <w:szCs w:val="21"/>
        </w:rPr>
        <w:t xml:space="preserve">重点区域 </w:t>
      </w:r>
      <w:r>
        <w:rPr>
          <w:rFonts w:cs="宋体"/>
          <w:szCs w:val="21"/>
        </w:rPr>
        <w:t xml:space="preserve"> Key area</w:t>
      </w:r>
    </w:p>
    <w:p>
      <w:pPr>
        <w:spacing w:line="240" w:lineRule="auto"/>
        <w:ind w:firstLine="440" w:firstLineChars="200"/>
        <w:rPr>
          <w:rFonts w:cs="宋体"/>
          <w:szCs w:val="21"/>
        </w:rPr>
      </w:pPr>
      <w:r>
        <w:rPr>
          <w:rFonts w:hint="eastAsia" w:cs="宋体"/>
          <w:szCs w:val="21"/>
        </w:rPr>
        <w:t>根据人口密度、居住环境、景观要求确定的文明施工重点区域；文明施工重点区域由深圳市人民政府公布。</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8</w:t>
      </w:r>
      <w:r>
        <w:rPr>
          <w:rFonts w:cs="宋体"/>
          <w:szCs w:val="21"/>
        </w:rPr>
        <w:t xml:space="preserve">  </w:t>
      </w:r>
      <w:r>
        <w:rPr>
          <w:rFonts w:hint="eastAsia" w:cs="宋体"/>
          <w:szCs w:val="21"/>
        </w:rPr>
        <w:t xml:space="preserve">建筑废弃物 </w:t>
      </w:r>
      <w:r>
        <w:rPr>
          <w:rFonts w:cs="宋体"/>
          <w:szCs w:val="21"/>
        </w:rPr>
        <w:t xml:space="preserve"> Construction and demolition waste</w:t>
      </w:r>
    </w:p>
    <w:p>
      <w:pPr>
        <w:spacing w:line="240" w:lineRule="auto"/>
        <w:ind w:firstLine="440" w:firstLineChars="200"/>
        <w:rPr>
          <w:rFonts w:cs="宋体"/>
          <w:szCs w:val="21"/>
        </w:rPr>
      </w:pPr>
      <w:r>
        <w:rPr>
          <w:rFonts w:hint="eastAsia" w:cs="宋体"/>
          <w:szCs w:val="21"/>
        </w:rPr>
        <w:t>在各类建筑工程施工过程中所产生的无法直接利用的弃土、弃料及</w:t>
      </w:r>
      <w:r>
        <w:rPr>
          <w:rFonts w:ascii="宋体" w:hAnsi="宋体"/>
          <w:szCs w:val="21"/>
        </w:rPr>
        <w:t>其它材料</w:t>
      </w:r>
      <w:r>
        <w:rPr>
          <w:rFonts w:hint="eastAsia" w:cs="宋体"/>
          <w:szCs w:val="21"/>
        </w:rPr>
        <w:t>，</w:t>
      </w:r>
      <w:r>
        <w:rPr>
          <w:rFonts w:ascii="宋体" w:hAnsi="宋体"/>
          <w:szCs w:val="21"/>
        </w:rPr>
        <w:t>包括</w:t>
      </w:r>
      <w:r>
        <w:rPr>
          <w:rFonts w:hint="eastAsia" w:cs="宋体"/>
          <w:szCs w:val="21"/>
        </w:rPr>
        <w:t>工程渣土、拆除废弃物、工程泥浆、施工废弃物和装修废弃物五大类。</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9</w:t>
      </w:r>
      <w:r>
        <w:rPr>
          <w:rFonts w:cs="宋体"/>
          <w:szCs w:val="21"/>
        </w:rPr>
        <w:t xml:space="preserve">  </w:t>
      </w:r>
      <w:r>
        <w:rPr>
          <w:rFonts w:hint="eastAsia" w:cs="宋体"/>
          <w:szCs w:val="21"/>
        </w:rPr>
        <w:t xml:space="preserve">施工扬尘 </w:t>
      </w:r>
      <w:r>
        <w:rPr>
          <w:rFonts w:cs="宋体"/>
          <w:szCs w:val="21"/>
        </w:rPr>
        <w:t xml:space="preserve"> Construction dust</w:t>
      </w:r>
    </w:p>
    <w:p>
      <w:pPr>
        <w:spacing w:line="240" w:lineRule="auto"/>
        <w:ind w:firstLine="440" w:firstLineChars="200"/>
        <w:rPr>
          <w:rFonts w:cs="宋体"/>
          <w:szCs w:val="21"/>
        </w:rPr>
      </w:pPr>
      <w:r>
        <w:rPr>
          <w:rFonts w:hint="eastAsia" w:cs="宋体"/>
          <w:szCs w:val="21"/>
        </w:rPr>
        <w:t>在建筑物拆除过程中产生的对大气造成污染的微小颗粒物。</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10</w:t>
      </w:r>
      <w:r>
        <w:rPr>
          <w:rFonts w:cs="宋体"/>
          <w:szCs w:val="21"/>
        </w:rPr>
        <w:t xml:space="preserve">  </w:t>
      </w:r>
      <w:r>
        <w:rPr>
          <w:rFonts w:hint="eastAsia" w:cs="宋体"/>
          <w:szCs w:val="21"/>
        </w:rPr>
        <w:t xml:space="preserve">施工组织设计 </w:t>
      </w:r>
      <w:r>
        <w:rPr>
          <w:rFonts w:cs="宋体"/>
          <w:szCs w:val="21"/>
        </w:rPr>
        <w:t xml:space="preserve"> Construction organization design</w:t>
      </w:r>
    </w:p>
    <w:p>
      <w:pPr>
        <w:spacing w:line="240" w:lineRule="auto"/>
        <w:ind w:firstLine="440" w:firstLineChars="200"/>
        <w:rPr>
          <w:rFonts w:cs="宋体"/>
          <w:szCs w:val="21"/>
        </w:rPr>
      </w:pPr>
      <w:r>
        <w:rPr>
          <w:rFonts w:hint="eastAsia" w:cs="宋体"/>
          <w:szCs w:val="21"/>
        </w:rPr>
        <w:t>以施工项目为对象，用以指导施工的技术、安全和管理的综合性文件编制。</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11</w:t>
      </w:r>
      <w:r>
        <w:rPr>
          <w:rFonts w:cs="宋体"/>
          <w:szCs w:val="21"/>
        </w:rPr>
        <w:t xml:space="preserve">  </w:t>
      </w:r>
      <w:r>
        <w:rPr>
          <w:rFonts w:hint="eastAsia" w:cs="宋体"/>
          <w:szCs w:val="21"/>
        </w:rPr>
        <w:t xml:space="preserve">技术论证 </w:t>
      </w:r>
      <w:r>
        <w:rPr>
          <w:rFonts w:cs="宋体"/>
          <w:szCs w:val="21"/>
        </w:rPr>
        <w:t xml:space="preserve"> </w:t>
      </w:r>
      <w:r>
        <w:rPr>
          <w:rFonts w:hint="eastAsia" w:cs="宋体"/>
          <w:szCs w:val="21"/>
        </w:rPr>
        <w:t>T</w:t>
      </w:r>
      <w:r>
        <w:rPr>
          <w:rFonts w:cs="宋体"/>
          <w:szCs w:val="21"/>
        </w:rPr>
        <w:t>echnical feasibility study</w:t>
      </w:r>
    </w:p>
    <w:p>
      <w:pPr>
        <w:spacing w:line="240" w:lineRule="auto"/>
        <w:ind w:firstLine="440" w:firstLineChars="200"/>
        <w:rPr>
          <w:rFonts w:cs="宋体"/>
          <w:szCs w:val="21"/>
        </w:rPr>
      </w:pPr>
      <w:r>
        <w:rPr>
          <w:rFonts w:hint="eastAsia" w:cs="宋体"/>
          <w:szCs w:val="21"/>
        </w:rPr>
        <w:t>组织专家对拆除技术方案和废弃物综合利用方案进行分析、计算、比较，确定拆除工程施工方法的科学性、合理性、安全性和拆除工程施工技术、文明施工措施的有效性、严密性、环保性。</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12</w:t>
      </w:r>
      <w:r>
        <w:rPr>
          <w:rFonts w:cs="宋体"/>
          <w:szCs w:val="21"/>
        </w:rPr>
        <w:t xml:space="preserve">  </w:t>
      </w:r>
      <w:r>
        <w:rPr>
          <w:rFonts w:hint="eastAsia" w:cs="宋体"/>
          <w:szCs w:val="21"/>
        </w:rPr>
        <w:t xml:space="preserve">安全绳 </w:t>
      </w:r>
      <w:r>
        <w:rPr>
          <w:rFonts w:cs="宋体"/>
          <w:szCs w:val="21"/>
        </w:rPr>
        <w:t xml:space="preserve"> </w:t>
      </w:r>
      <w:r>
        <w:rPr>
          <w:rFonts w:hint="eastAsia" w:cs="宋体"/>
          <w:szCs w:val="21"/>
        </w:rPr>
        <w:t>S</w:t>
      </w:r>
      <w:r>
        <w:rPr>
          <w:rFonts w:cs="宋体"/>
          <w:szCs w:val="21"/>
        </w:rPr>
        <w:t>afety rope</w:t>
      </w:r>
    </w:p>
    <w:p>
      <w:pPr>
        <w:spacing w:line="240" w:lineRule="auto"/>
        <w:ind w:firstLine="440" w:firstLineChars="200"/>
        <w:rPr>
          <w:rFonts w:cs="宋体"/>
          <w:szCs w:val="21"/>
        </w:rPr>
      </w:pPr>
      <w:r>
        <w:rPr>
          <w:rFonts w:hint="eastAsia" w:cs="宋体"/>
          <w:szCs w:val="21"/>
        </w:rPr>
        <w:t>高空作业时用于保护人员和物品安全的绳索，一般为合成纤维绳、麻绳或钢丝绳。</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13</w:t>
      </w:r>
      <w:r>
        <w:rPr>
          <w:rFonts w:cs="宋体"/>
          <w:szCs w:val="21"/>
        </w:rPr>
        <w:t xml:space="preserve">  </w:t>
      </w:r>
      <w:r>
        <w:rPr>
          <w:rFonts w:hint="eastAsia" w:cs="宋体"/>
          <w:szCs w:val="21"/>
        </w:rPr>
        <w:t xml:space="preserve">开孔型绿色不透尘安全网布 </w:t>
      </w:r>
      <w:r>
        <w:rPr>
          <w:rFonts w:cs="宋体"/>
          <w:szCs w:val="21"/>
        </w:rPr>
        <w:t xml:space="preserve"> Green safety net of dustproof with open pore</w:t>
      </w:r>
    </w:p>
    <w:p>
      <w:pPr>
        <w:spacing w:line="240" w:lineRule="auto"/>
        <w:ind w:firstLine="440" w:firstLineChars="200"/>
        <w:rPr>
          <w:rFonts w:cs="宋体"/>
          <w:szCs w:val="21"/>
        </w:rPr>
      </w:pPr>
      <w:r>
        <w:rPr>
          <w:rFonts w:hint="eastAsia" w:cs="宋体"/>
          <w:szCs w:val="21"/>
        </w:rPr>
        <w:t>符合抗贯穿性、阻燃性和毒性控制相关标准和规定的，均匀性开孔的绿色不透尘网布，其孔口具备在外风力作用下自然开启和回风时自然闭合功能。</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14</w:t>
      </w:r>
      <w:r>
        <w:rPr>
          <w:rFonts w:cs="宋体"/>
          <w:szCs w:val="21"/>
        </w:rPr>
        <w:t xml:space="preserve">  </w:t>
      </w:r>
      <w:r>
        <w:rPr>
          <w:rFonts w:hint="eastAsia" w:cs="宋体"/>
          <w:szCs w:val="21"/>
        </w:rPr>
        <w:t xml:space="preserve">现场减量 </w:t>
      </w:r>
      <w:r>
        <w:rPr>
          <w:rFonts w:cs="宋体"/>
          <w:szCs w:val="21"/>
        </w:rPr>
        <w:t xml:space="preserve"> Recycling and reusing on site</w:t>
      </w:r>
    </w:p>
    <w:p>
      <w:pPr>
        <w:spacing w:line="240" w:lineRule="auto"/>
        <w:ind w:firstLine="440" w:firstLineChars="200"/>
        <w:rPr>
          <w:rFonts w:cs="宋体"/>
          <w:szCs w:val="21"/>
        </w:rPr>
      </w:pPr>
      <w:r>
        <w:rPr>
          <w:rFonts w:hint="eastAsia" w:cs="宋体"/>
          <w:szCs w:val="21"/>
        </w:rPr>
        <w:t>在拆除现场回收和利用建筑废弃材料。</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15</w:t>
      </w:r>
      <w:r>
        <w:rPr>
          <w:rFonts w:cs="宋体"/>
          <w:szCs w:val="21"/>
        </w:rPr>
        <w:t xml:space="preserve">  </w:t>
      </w:r>
      <w:r>
        <w:rPr>
          <w:rFonts w:hint="eastAsia" w:cs="宋体"/>
          <w:szCs w:val="21"/>
        </w:rPr>
        <w:t xml:space="preserve">拆除废弃物 </w:t>
      </w:r>
      <w:r>
        <w:rPr>
          <w:rFonts w:cs="宋体"/>
          <w:szCs w:val="21"/>
        </w:rPr>
        <w:t xml:space="preserve"> Demolition waste</w:t>
      </w:r>
    </w:p>
    <w:p>
      <w:pPr>
        <w:spacing w:line="240" w:lineRule="auto"/>
        <w:ind w:firstLine="440" w:firstLineChars="200"/>
        <w:rPr>
          <w:rFonts w:cs="宋体"/>
          <w:szCs w:val="21"/>
        </w:rPr>
      </w:pPr>
      <w:r>
        <w:rPr>
          <w:rFonts w:hint="eastAsia" w:cs="宋体"/>
          <w:szCs w:val="21"/>
        </w:rPr>
        <w:t>拆除各类建筑物、构筑物、管网等产生的建筑废弃砖渣、混凝土块、砖瓦、沥青等。</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16</w:t>
      </w:r>
      <w:r>
        <w:rPr>
          <w:rFonts w:cs="宋体"/>
          <w:szCs w:val="21"/>
        </w:rPr>
        <w:t xml:space="preserve">  </w:t>
      </w:r>
      <w:r>
        <w:rPr>
          <w:rFonts w:hint="eastAsia" w:cs="宋体"/>
          <w:szCs w:val="21"/>
        </w:rPr>
        <w:t xml:space="preserve">综合利用 </w:t>
      </w:r>
      <w:r>
        <w:rPr>
          <w:rFonts w:cs="宋体"/>
          <w:szCs w:val="21"/>
        </w:rPr>
        <w:t xml:space="preserve"> Comprehensive utilization</w:t>
      </w:r>
    </w:p>
    <w:p>
      <w:pPr>
        <w:spacing w:line="240" w:lineRule="auto"/>
        <w:ind w:firstLine="440" w:firstLineChars="200"/>
        <w:rPr>
          <w:rFonts w:cs="宋体"/>
          <w:szCs w:val="21"/>
        </w:rPr>
      </w:pPr>
      <w:r>
        <w:rPr>
          <w:rFonts w:hint="eastAsia" w:cs="宋体"/>
          <w:szCs w:val="21"/>
        </w:rPr>
        <w:t>将建筑废弃物加工制作成各种有用物质进行充分利用的方法。</w:t>
      </w:r>
    </w:p>
    <w:p>
      <w:pPr>
        <w:spacing w:line="240" w:lineRule="auto"/>
        <w:rPr>
          <w:rFonts w:cs="宋体"/>
          <w:szCs w:val="21"/>
        </w:rPr>
      </w:pPr>
      <w:r>
        <w:rPr>
          <w:rFonts w:cs="宋体"/>
          <w:b/>
          <w:szCs w:val="21"/>
        </w:rPr>
        <w:t>2. 0. 17</w:t>
      </w:r>
      <w:r>
        <w:rPr>
          <w:rFonts w:cs="宋体"/>
          <w:szCs w:val="21"/>
        </w:rPr>
        <w:t xml:space="preserve"> 直接利用</w:t>
      </w:r>
      <w:r>
        <w:rPr>
          <w:rFonts w:hint="eastAsia" w:cs="宋体"/>
          <w:szCs w:val="21"/>
        </w:rPr>
        <w:t xml:space="preserve"> </w:t>
      </w:r>
      <w:r>
        <w:rPr>
          <w:rFonts w:cs="宋体"/>
          <w:szCs w:val="21"/>
        </w:rPr>
        <w:t xml:space="preserve"> Direct utilization</w:t>
      </w:r>
    </w:p>
    <w:p>
      <w:pPr>
        <w:spacing w:line="240" w:lineRule="auto"/>
        <w:ind w:firstLine="444"/>
        <w:rPr>
          <w:rFonts w:cs="宋体"/>
          <w:szCs w:val="21"/>
        </w:rPr>
      </w:pPr>
      <w:r>
        <w:rPr>
          <w:rFonts w:cs="宋体"/>
          <w:szCs w:val="21"/>
        </w:rPr>
        <w:t>拆除</w:t>
      </w:r>
      <w:r>
        <w:rPr>
          <w:rFonts w:hint="eastAsia" w:cs="宋体"/>
          <w:szCs w:val="21"/>
        </w:rPr>
        <w:t>工程</w:t>
      </w:r>
      <w:r>
        <w:rPr>
          <w:rFonts w:cs="宋体"/>
          <w:szCs w:val="21"/>
        </w:rPr>
        <w:t>中通过尺寸缩减生产的建筑材料不需要其他生产工序</w:t>
      </w:r>
      <w:r>
        <w:rPr>
          <w:rFonts w:hint="eastAsia" w:cs="宋体"/>
          <w:szCs w:val="21"/>
        </w:rPr>
        <w:t>直接</w:t>
      </w:r>
      <w:r>
        <w:rPr>
          <w:rFonts w:cs="宋体"/>
          <w:szCs w:val="21"/>
        </w:rPr>
        <w:t>用于新的建筑工程</w:t>
      </w:r>
      <w:r>
        <w:rPr>
          <w:rFonts w:hint="eastAsia" w:cs="宋体"/>
          <w:szCs w:val="21"/>
        </w:rPr>
        <w:t>。</w:t>
      </w:r>
    </w:p>
    <w:p>
      <w:pPr>
        <w:spacing w:line="240" w:lineRule="auto"/>
        <w:rPr>
          <w:rFonts w:cs="宋体"/>
          <w:szCs w:val="21"/>
        </w:rPr>
      </w:pPr>
      <w:r>
        <w:rPr>
          <w:rFonts w:cs="宋体"/>
          <w:b/>
          <w:szCs w:val="21"/>
        </w:rPr>
        <w:t xml:space="preserve">2. 0. 18 </w:t>
      </w:r>
      <w:r>
        <w:rPr>
          <w:rFonts w:cs="宋体"/>
          <w:szCs w:val="21"/>
        </w:rPr>
        <w:t>再生利用</w:t>
      </w:r>
      <w:r>
        <w:rPr>
          <w:rFonts w:hint="eastAsia" w:cs="宋体"/>
          <w:szCs w:val="21"/>
        </w:rPr>
        <w:t xml:space="preserve"> </w:t>
      </w:r>
      <w:r>
        <w:rPr>
          <w:rFonts w:cs="宋体"/>
          <w:szCs w:val="21"/>
        </w:rPr>
        <w:t xml:space="preserve"> Recycling use</w:t>
      </w:r>
    </w:p>
    <w:p>
      <w:pPr>
        <w:spacing w:line="240" w:lineRule="auto"/>
        <w:rPr>
          <w:rFonts w:cs="宋体"/>
          <w:b/>
          <w:szCs w:val="21"/>
        </w:rPr>
      </w:pPr>
      <w:r>
        <w:rPr>
          <w:rFonts w:cs="宋体"/>
          <w:szCs w:val="21"/>
        </w:rPr>
        <w:t xml:space="preserve">    拆除工程中产生的不可直接利用的废弃物通过系列生产工序生产的建筑材料用于新的建筑工程</w:t>
      </w:r>
      <w:r>
        <w:rPr>
          <w:rFonts w:hint="eastAsia" w:cs="宋体"/>
          <w:szCs w:val="21"/>
        </w:rPr>
        <w:t>。</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19</w:t>
      </w:r>
      <w:r>
        <w:rPr>
          <w:rFonts w:cs="宋体"/>
          <w:szCs w:val="21"/>
        </w:rPr>
        <w:t xml:space="preserve">  </w:t>
      </w:r>
      <w:r>
        <w:rPr>
          <w:rFonts w:hint="eastAsia" w:cs="宋体"/>
          <w:szCs w:val="21"/>
        </w:rPr>
        <w:t xml:space="preserve">惰性废弃物 </w:t>
      </w:r>
      <w:r>
        <w:rPr>
          <w:rFonts w:cs="宋体"/>
          <w:szCs w:val="21"/>
        </w:rPr>
        <w:t xml:space="preserve"> Inert wastes</w:t>
      </w:r>
    </w:p>
    <w:p>
      <w:pPr>
        <w:spacing w:line="240" w:lineRule="auto"/>
        <w:ind w:firstLine="440" w:firstLineChars="200"/>
        <w:rPr>
          <w:rFonts w:cs="宋体"/>
          <w:szCs w:val="21"/>
        </w:rPr>
      </w:pPr>
      <w:r>
        <w:rPr>
          <w:rFonts w:hint="eastAsia" w:cs="宋体"/>
          <w:szCs w:val="21"/>
        </w:rPr>
        <w:t>未受到污染且填埋后不易与周围环境发生显著的化学反应的废弃物，主要包括混凝土及水泥制品、砖瓦、陶瓷、玻璃及工程渣土等。</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20</w:t>
      </w:r>
      <w:r>
        <w:rPr>
          <w:rFonts w:cs="宋体"/>
          <w:szCs w:val="21"/>
        </w:rPr>
        <w:t xml:space="preserve">  </w:t>
      </w:r>
      <w:r>
        <w:rPr>
          <w:rFonts w:hint="eastAsia" w:cs="宋体"/>
          <w:szCs w:val="21"/>
        </w:rPr>
        <w:t xml:space="preserve">非惰性废弃物 </w:t>
      </w:r>
      <w:r>
        <w:rPr>
          <w:rFonts w:cs="宋体"/>
          <w:szCs w:val="21"/>
        </w:rPr>
        <w:t xml:space="preserve"> N</w:t>
      </w:r>
      <w:r>
        <w:rPr>
          <w:rFonts w:hint="eastAsia" w:cs="宋体"/>
          <w:szCs w:val="21"/>
        </w:rPr>
        <w:t>on</w:t>
      </w:r>
      <w:r>
        <w:rPr>
          <w:rFonts w:cs="宋体"/>
          <w:szCs w:val="21"/>
        </w:rPr>
        <w:t>-</w:t>
      </w:r>
      <w:r>
        <w:rPr>
          <w:rFonts w:hint="eastAsia" w:cs="宋体"/>
          <w:szCs w:val="21"/>
        </w:rPr>
        <w:t>i</w:t>
      </w:r>
      <w:r>
        <w:rPr>
          <w:rFonts w:cs="宋体"/>
          <w:szCs w:val="21"/>
        </w:rPr>
        <w:t>nert wastes</w:t>
      </w:r>
    </w:p>
    <w:p>
      <w:pPr>
        <w:spacing w:line="240" w:lineRule="auto"/>
        <w:ind w:firstLine="440" w:firstLineChars="200"/>
        <w:rPr>
          <w:rFonts w:cs="宋体"/>
          <w:szCs w:val="21"/>
        </w:rPr>
      </w:pPr>
      <w:r>
        <w:rPr>
          <w:rFonts w:hint="eastAsia" w:cs="宋体"/>
          <w:szCs w:val="21"/>
        </w:rPr>
        <w:t>填埋后易与周围环境发生显著的化学反应的废弃物，主要包括金属、木材、塑料等。</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21</w:t>
      </w:r>
      <w:r>
        <w:rPr>
          <w:rFonts w:cs="宋体"/>
          <w:szCs w:val="21"/>
        </w:rPr>
        <w:t xml:space="preserve">  </w:t>
      </w:r>
      <w:r>
        <w:rPr>
          <w:rFonts w:hint="eastAsia" w:cs="宋体"/>
          <w:szCs w:val="21"/>
        </w:rPr>
        <w:t xml:space="preserve">危险废弃物 </w:t>
      </w:r>
      <w:r>
        <w:rPr>
          <w:rFonts w:cs="宋体"/>
          <w:szCs w:val="21"/>
        </w:rPr>
        <w:t xml:space="preserve"> H</w:t>
      </w:r>
      <w:r>
        <w:rPr>
          <w:rFonts w:hint="eastAsia" w:cs="宋体"/>
          <w:szCs w:val="21"/>
        </w:rPr>
        <w:t>azardous</w:t>
      </w:r>
      <w:r>
        <w:rPr>
          <w:rFonts w:cs="宋体"/>
          <w:szCs w:val="21"/>
        </w:rPr>
        <w:t xml:space="preserve"> wastes</w:t>
      </w:r>
    </w:p>
    <w:p>
      <w:pPr>
        <w:spacing w:line="240" w:lineRule="auto"/>
        <w:ind w:firstLine="440" w:firstLineChars="200"/>
        <w:rPr>
          <w:rFonts w:cs="宋体"/>
          <w:szCs w:val="21"/>
        </w:rPr>
      </w:pPr>
      <w:r>
        <w:rPr>
          <w:rFonts w:hint="eastAsia" w:cs="宋体"/>
          <w:szCs w:val="21"/>
        </w:rPr>
        <w:t>列入《国家危险废物名录》或者根据国家规定的危险废物鉴别标准和鉴别方法认定的具有危险特性的固体废物。</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22</w:t>
      </w:r>
      <w:r>
        <w:rPr>
          <w:rFonts w:cs="宋体"/>
          <w:szCs w:val="21"/>
        </w:rPr>
        <w:t xml:space="preserve">  </w:t>
      </w:r>
      <w:r>
        <w:rPr>
          <w:rFonts w:hint="eastAsia" w:cs="宋体"/>
          <w:szCs w:val="21"/>
        </w:rPr>
        <w:t xml:space="preserve">再生骨料 </w:t>
      </w:r>
      <w:r>
        <w:rPr>
          <w:rFonts w:cs="宋体"/>
          <w:szCs w:val="21"/>
        </w:rPr>
        <w:t xml:space="preserve"> R</w:t>
      </w:r>
      <w:r>
        <w:rPr>
          <w:rFonts w:hint="eastAsia" w:cs="宋体"/>
          <w:szCs w:val="21"/>
        </w:rPr>
        <w:t>ecycled</w:t>
      </w:r>
      <w:r>
        <w:rPr>
          <w:rFonts w:cs="宋体"/>
          <w:szCs w:val="21"/>
        </w:rPr>
        <w:t xml:space="preserve"> </w:t>
      </w:r>
      <w:r>
        <w:rPr>
          <w:rFonts w:hint="eastAsia" w:cs="宋体"/>
          <w:szCs w:val="21"/>
        </w:rPr>
        <w:t>aggregate</w:t>
      </w:r>
    </w:p>
    <w:p>
      <w:pPr>
        <w:spacing w:line="240" w:lineRule="auto"/>
        <w:ind w:firstLine="440" w:firstLineChars="200"/>
        <w:rPr>
          <w:rFonts w:cs="宋体"/>
          <w:szCs w:val="21"/>
        </w:rPr>
      </w:pPr>
      <w:r>
        <w:rPr>
          <w:rFonts w:hint="eastAsia" w:cs="宋体"/>
          <w:szCs w:val="21"/>
        </w:rPr>
        <w:t>由建筑废弃物中的混凝土、砂浆、石或砖瓦等加工而成，具有不同粒径的颗粒。其中，粒径大于4.75mm为再生粗骨料；粒径不大于4.75mm为再生细骨料。</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23</w:t>
      </w:r>
      <w:r>
        <w:rPr>
          <w:rFonts w:cs="宋体"/>
          <w:szCs w:val="21"/>
        </w:rPr>
        <w:t xml:space="preserve">  </w:t>
      </w:r>
      <w:r>
        <w:rPr>
          <w:rFonts w:hint="eastAsia" w:cs="宋体"/>
          <w:szCs w:val="21"/>
        </w:rPr>
        <w:t xml:space="preserve">再生骨料混凝土 </w:t>
      </w:r>
      <w:r>
        <w:rPr>
          <w:rFonts w:cs="宋体"/>
          <w:szCs w:val="21"/>
        </w:rPr>
        <w:t xml:space="preserve"> R</w:t>
      </w:r>
      <w:r>
        <w:rPr>
          <w:rFonts w:hint="eastAsia" w:cs="宋体"/>
          <w:szCs w:val="21"/>
        </w:rPr>
        <w:t>ecycled</w:t>
      </w:r>
      <w:r>
        <w:rPr>
          <w:rFonts w:cs="宋体"/>
          <w:szCs w:val="21"/>
        </w:rPr>
        <w:t xml:space="preserve"> </w:t>
      </w:r>
      <w:r>
        <w:rPr>
          <w:rFonts w:hint="eastAsia" w:cs="宋体"/>
          <w:szCs w:val="21"/>
        </w:rPr>
        <w:t>aggregate</w:t>
      </w:r>
      <w:r>
        <w:rPr>
          <w:rFonts w:cs="宋体"/>
          <w:szCs w:val="21"/>
        </w:rPr>
        <w:t xml:space="preserve"> </w:t>
      </w:r>
      <w:r>
        <w:rPr>
          <w:rFonts w:hint="eastAsia" w:cs="宋体"/>
          <w:szCs w:val="21"/>
        </w:rPr>
        <w:t>concrete</w:t>
      </w:r>
    </w:p>
    <w:p>
      <w:pPr>
        <w:spacing w:line="240" w:lineRule="auto"/>
        <w:ind w:firstLine="440" w:firstLineChars="200"/>
        <w:rPr>
          <w:rFonts w:cs="宋体"/>
          <w:szCs w:val="21"/>
        </w:rPr>
      </w:pPr>
      <w:r>
        <w:rPr>
          <w:rFonts w:hint="eastAsia" w:cs="宋体"/>
          <w:szCs w:val="21"/>
        </w:rPr>
        <w:t>再生骨料部分或全部取代天然骨料配制的混凝土。</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24</w:t>
      </w:r>
      <w:r>
        <w:rPr>
          <w:rFonts w:cs="宋体"/>
          <w:szCs w:val="21"/>
        </w:rPr>
        <w:t xml:space="preserve">  </w:t>
      </w:r>
      <w:r>
        <w:rPr>
          <w:rFonts w:hint="eastAsia" w:cs="宋体"/>
          <w:szCs w:val="21"/>
        </w:rPr>
        <w:t xml:space="preserve">杂物含量 </w:t>
      </w:r>
      <w:r>
        <w:rPr>
          <w:rFonts w:cs="宋体"/>
          <w:szCs w:val="21"/>
        </w:rPr>
        <w:t xml:space="preserve"> S</w:t>
      </w:r>
      <w:r>
        <w:rPr>
          <w:rFonts w:hint="eastAsia" w:cs="宋体"/>
          <w:szCs w:val="21"/>
        </w:rPr>
        <w:t>undry</w:t>
      </w:r>
      <w:r>
        <w:rPr>
          <w:rFonts w:cs="宋体"/>
          <w:szCs w:val="21"/>
        </w:rPr>
        <w:t xml:space="preserve"> </w:t>
      </w:r>
      <w:r>
        <w:rPr>
          <w:rFonts w:hint="eastAsia" w:cs="宋体"/>
          <w:szCs w:val="21"/>
        </w:rPr>
        <w:t>content</w:t>
      </w:r>
    </w:p>
    <w:p>
      <w:pPr>
        <w:spacing w:line="240" w:lineRule="auto"/>
        <w:ind w:firstLine="440" w:firstLineChars="200"/>
        <w:rPr>
          <w:rFonts w:cs="宋体"/>
          <w:color w:val="FF0000"/>
          <w:szCs w:val="21"/>
        </w:rPr>
      </w:pPr>
      <w:r>
        <w:rPr>
          <w:rFonts w:hint="eastAsia" w:cs="宋体"/>
          <w:szCs w:val="21"/>
        </w:rPr>
        <w:t>分类收集的一类废弃物当中混入其它物质的比例。</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25</w:t>
      </w:r>
      <w:r>
        <w:rPr>
          <w:rFonts w:cs="宋体"/>
          <w:szCs w:val="21"/>
        </w:rPr>
        <w:t xml:space="preserve">  </w:t>
      </w:r>
      <w:r>
        <w:rPr>
          <w:rFonts w:hint="eastAsia" w:cs="宋体"/>
          <w:szCs w:val="21"/>
        </w:rPr>
        <w:t xml:space="preserve">静态破碎拆解 </w:t>
      </w:r>
      <w:r>
        <w:rPr>
          <w:rFonts w:cs="宋体"/>
          <w:szCs w:val="21"/>
        </w:rPr>
        <w:t xml:space="preserve"> S</w:t>
      </w:r>
      <w:r>
        <w:rPr>
          <w:rFonts w:hint="eastAsia" w:cs="宋体"/>
          <w:szCs w:val="21"/>
        </w:rPr>
        <w:t>tatic</w:t>
      </w:r>
      <w:r>
        <w:rPr>
          <w:rFonts w:cs="宋体"/>
          <w:szCs w:val="21"/>
        </w:rPr>
        <w:t xml:space="preserve"> </w:t>
      </w:r>
      <w:r>
        <w:rPr>
          <w:rFonts w:hint="eastAsia" w:cs="宋体"/>
          <w:szCs w:val="21"/>
        </w:rPr>
        <w:t>bro</w:t>
      </w:r>
      <w:r>
        <w:rPr>
          <w:rFonts w:cs="宋体"/>
          <w:szCs w:val="21"/>
        </w:rPr>
        <w:t xml:space="preserve">ken </w:t>
      </w:r>
      <w:r>
        <w:rPr>
          <w:rFonts w:hint="eastAsia" w:cs="宋体"/>
          <w:szCs w:val="21"/>
        </w:rPr>
        <w:t>disassemble</w:t>
      </w:r>
    </w:p>
    <w:p>
      <w:pPr>
        <w:spacing w:line="240" w:lineRule="auto"/>
        <w:ind w:firstLine="440" w:firstLineChars="200"/>
        <w:rPr>
          <w:rFonts w:cs="宋体"/>
          <w:szCs w:val="21"/>
        </w:rPr>
      </w:pPr>
      <w:r>
        <w:rPr>
          <w:rFonts w:hint="eastAsia" w:cs="宋体"/>
          <w:szCs w:val="21"/>
        </w:rPr>
        <w:t>利用膨胀剂涨裂大型建筑构件，缩小其尺寸以便装卸和运输的破碎方式。</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26</w:t>
      </w:r>
      <w:r>
        <w:rPr>
          <w:rFonts w:cs="宋体"/>
          <w:szCs w:val="21"/>
        </w:rPr>
        <w:t xml:space="preserve">  </w:t>
      </w:r>
      <w:r>
        <w:rPr>
          <w:rFonts w:hint="eastAsia" w:cs="宋体"/>
          <w:szCs w:val="21"/>
        </w:rPr>
        <w:t xml:space="preserve">建筑碳排放 </w:t>
      </w:r>
      <w:r>
        <w:rPr>
          <w:rFonts w:cs="宋体"/>
          <w:szCs w:val="21"/>
        </w:rPr>
        <w:t xml:space="preserve"> B</w:t>
      </w:r>
      <w:r>
        <w:rPr>
          <w:rFonts w:hint="eastAsia" w:cs="宋体"/>
          <w:szCs w:val="21"/>
        </w:rPr>
        <w:t>uilding</w:t>
      </w:r>
      <w:r>
        <w:rPr>
          <w:rFonts w:cs="宋体"/>
          <w:szCs w:val="21"/>
        </w:rPr>
        <w:t xml:space="preserve"> </w:t>
      </w:r>
      <w:r>
        <w:rPr>
          <w:rFonts w:hint="eastAsia" w:cs="宋体"/>
          <w:szCs w:val="21"/>
        </w:rPr>
        <w:t>carbon</w:t>
      </w:r>
      <w:r>
        <w:rPr>
          <w:rFonts w:cs="宋体"/>
          <w:szCs w:val="21"/>
        </w:rPr>
        <w:t xml:space="preserve"> </w:t>
      </w:r>
      <w:r>
        <w:rPr>
          <w:rFonts w:hint="eastAsia" w:cs="宋体"/>
          <w:szCs w:val="21"/>
        </w:rPr>
        <w:t>emission</w:t>
      </w:r>
    </w:p>
    <w:p>
      <w:pPr>
        <w:spacing w:line="240" w:lineRule="auto"/>
        <w:ind w:firstLine="440" w:firstLineChars="200"/>
        <w:rPr>
          <w:rFonts w:cs="宋体"/>
          <w:szCs w:val="21"/>
        </w:rPr>
      </w:pPr>
      <w:r>
        <w:rPr>
          <w:rFonts w:hint="eastAsia" w:cs="宋体"/>
          <w:szCs w:val="21"/>
        </w:rPr>
        <w:t>建筑物在与其有关的建材生产及运输，建造及拆除、运行阶段产生的温室气体排放的总和，以二氧化碳当量表示。</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27</w:t>
      </w:r>
      <w:r>
        <w:rPr>
          <w:rFonts w:cs="宋体"/>
          <w:szCs w:val="21"/>
        </w:rPr>
        <w:t xml:space="preserve">  </w:t>
      </w:r>
      <w:r>
        <w:rPr>
          <w:rFonts w:hint="eastAsia" w:cs="宋体"/>
          <w:szCs w:val="21"/>
        </w:rPr>
        <w:t xml:space="preserve">计算边界 </w:t>
      </w:r>
      <w:r>
        <w:rPr>
          <w:rFonts w:cs="宋体"/>
          <w:szCs w:val="21"/>
        </w:rPr>
        <w:t xml:space="preserve"> A</w:t>
      </w:r>
      <w:r>
        <w:rPr>
          <w:rFonts w:hint="eastAsia" w:cs="宋体"/>
          <w:szCs w:val="21"/>
        </w:rPr>
        <w:t>ccounting</w:t>
      </w:r>
      <w:r>
        <w:rPr>
          <w:rFonts w:cs="宋体"/>
          <w:szCs w:val="21"/>
        </w:rPr>
        <w:t xml:space="preserve"> </w:t>
      </w:r>
      <w:r>
        <w:rPr>
          <w:rFonts w:hint="eastAsia" w:cs="宋体"/>
          <w:szCs w:val="21"/>
        </w:rPr>
        <w:t>boundary</w:t>
      </w:r>
    </w:p>
    <w:p>
      <w:pPr>
        <w:spacing w:line="240" w:lineRule="auto"/>
        <w:ind w:firstLine="440" w:firstLineChars="200"/>
        <w:rPr>
          <w:rFonts w:cs="宋体"/>
          <w:szCs w:val="21"/>
        </w:rPr>
      </w:pPr>
      <w:r>
        <w:rPr>
          <w:rFonts w:hint="eastAsia" w:cs="宋体"/>
          <w:szCs w:val="21"/>
        </w:rPr>
        <w:t>与建筑物建材生产及运输、建造及拆除、运行等活动相关的温室气体排放的计算范围。</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28</w:t>
      </w:r>
      <w:r>
        <w:rPr>
          <w:rFonts w:cs="宋体"/>
          <w:szCs w:val="21"/>
        </w:rPr>
        <w:t xml:space="preserve">  </w:t>
      </w:r>
      <w:r>
        <w:rPr>
          <w:rFonts w:hint="eastAsia" w:cs="宋体"/>
          <w:szCs w:val="21"/>
        </w:rPr>
        <w:t xml:space="preserve">碳排放因子 </w:t>
      </w:r>
      <w:r>
        <w:rPr>
          <w:rFonts w:cs="宋体"/>
          <w:szCs w:val="21"/>
        </w:rPr>
        <w:t xml:space="preserve"> C</w:t>
      </w:r>
      <w:r>
        <w:rPr>
          <w:rFonts w:hint="eastAsia" w:cs="宋体"/>
          <w:szCs w:val="21"/>
        </w:rPr>
        <w:t>arbon</w:t>
      </w:r>
      <w:r>
        <w:rPr>
          <w:rFonts w:cs="宋体"/>
          <w:szCs w:val="21"/>
        </w:rPr>
        <w:t xml:space="preserve"> </w:t>
      </w:r>
      <w:r>
        <w:rPr>
          <w:rFonts w:hint="eastAsia" w:cs="宋体"/>
          <w:szCs w:val="21"/>
        </w:rPr>
        <w:t>emission</w:t>
      </w:r>
      <w:r>
        <w:rPr>
          <w:rFonts w:cs="宋体"/>
          <w:szCs w:val="21"/>
        </w:rPr>
        <w:t xml:space="preserve"> </w:t>
      </w:r>
      <w:r>
        <w:rPr>
          <w:rFonts w:hint="eastAsia" w:cs="宋体"/>
          <w:szCs w:val="21"/>
        </w:rPr>
        <w:t>factor</w:t>
      </w:r>
    </w:p>
    <w:p>
      <w:pPr>
        <w:spacing w:line="240" w:lineRule="auto"/>
        <w:ind w:firstLine="440" w:firstLineChars="200"/>
        <w:rPr>
          <w:rFonts w:cs="宋体"/>
          <w:szCs w:val="21"/>
        </w:rPr>
      </w:pPr>
      <w:r>
        <w:rPr>
          <w:rFonts w:hint="eastAsia" w:cs="宋体"/>
          <w:szCs w:val="21"/>
        </w:rPr>
        <w:t>将能源与材料消耗量与二氧化碳排放量相对应的系数，用于量化建筑物不同阶段相关活动的碳排放。</w:t>
      </w:r>
    </w:p>
    <w:p>
      <w:pPr>
        <w:spacing w:line="240" w:lineRule="auto"/>
        <w:rPr>
          <w:rFonts w:cs="宋体"/>
          <w:szCs w:val="21"/>
        </w:rPr>
      </w:pPr>
      <w:r>
        <w:rPr>
          <w:rFonts w:hint="eastAsia"/>
          <w:b/>
          <w:bCs/>
          <w:szCs w:val="21"/>
        </w:rPr>
        <w:t>2</w:t>
      </w:r>
      <w:r>
        <w:rPr>
          <w:rFonts w:hint="eastAsia" w:ascii="宋体" w:hAnsi="宋体"/>
          <w:b/>
          <w:bCs/>
          <w:szCs w:val="21"/>
        </w:rPr>
        <w:t>.</w:t>
      </w:r>
      <w:r>
        <w:rPr>
          <w:b/>
          <w:bCs/>
          <w:szCs w:val="21"/>
        </w:rPr>
        <w:t>0</w:t>
      </w:r>
      <w:r>
        <w:rPr>
          <w:rFonts w:hint="eastAsia" w:ascii="宋体" w:hAnsi="宋体"/>
          <w:b/>
          <w:bCs/>
          <w:szCs w:val="21"/>
        </w:rPr>
        <w:t>.</w:t>
      </w:r>
      <w:r>
        <w:rPr>
          <w:b/>
          <w:bCs/>
          <w:szCs w:val="21"/>
        </w:rPr>
        <w:t>29</w:t>
      </w:r>
      <w:r>
        <w:rPr>
          <w:rFonts w:cs="宋体"/>
          <w:szCs w:val="21"/>
        </w:rPr>
        <w:t xml:space="preserve">  </w:t>
      </w:r>
      <w:r>
        <w:rPr>
          <w:rFonts w:hint="eastAsia" w:cs="宋体"/>
          <w:szCs w:val="21"/>
        </w:rPr>
        <w:t xml:space="preserve">全球变暖潜值 </w:t>
      </w:r>
      <w:r>
        <w:rPr>
          <w:rFonts w:cs="宋体"/>
          <w:szCs w:val="21"/>
        </w:rPr>
        <w:t xml:space="preserve"> G</w:t>
      </w:r>
      <w:r>
        <w:rPr>
          <w:rFonts w:hint="eastAsia" w:cs="宋体"/>
          <w:szCs w:val="21"/>
        </w:rPr>
        <w:t>lobal</w:t>
      </w:r>
      <w:r>
        <w:rPr>
          <w:rFonts w:cs="宋体"/>
          <w:szCs w:val="21"/>
        </w:rPr>
        <w:t xml:space="preserve"> </w:t>
      </w:r>
      <w:r>
        <w:rPr>
          <w:rFonts w:hint="eastAsia" w:cs="宋体"/>
          <w:szCs w:val="21"/>
        </w:rPr>
        <w:t>warming</w:t>
      </w:r>
      <w:r>
        <w:rPr>
          <w:rFonts w:cs="宋体"/>
          <w:szCs w:val="21"/>
        </w:rPr>
        <w:t xml:space="preserve"> </w:t>
      </w:r>
      <w:r>
        <w:rPr>
          <w:rFonts w:hint="eastAsia" w:cs="宋体"/>
          <w:szCs w:val="21"/>
        </w:rPr>
        <w:t>potential</w:t>
      </w:r>
    </w:p>
    <w:p>
      <w:pPr>
        <w:spacing w:line="240" w:lineRule="auto"/>
        <w:ind w:firstLine="440" w:firstLineChars="200"/>
        <w:rPr>
          <w:rFonts w:cs="宋体"/>
          <w:szCs w:val="21"/>
        </w:rPr>
      </w:pPr>
      <w:r>
        <w:rPr>
          <w:rFonts w:hint="eastAsia" w:cs="宋体"/>
          <w:szCs w:val="21"/>
        </w:rPr>
        <w:t>在固定时间范围内1kg物质与1kg二氧化碳（CO</w:t>
      </w:r>
      <w:r>
        <w:rPr>
          <w:rFonts w:hint="eastAsia" w:cs="宋体"/>
          <w:szCs w:val="21"/>
          <w:vertAlign w:val="subscript"/>
        </w:rPr>
        <w:t>2</w:t>
      </w:r>
      <w:r>
        <w:rPr>
          <w:rFonts w:hint="eastAsia" w:cs="宋体"/>
          <w:szCs w:val="21"/>
        </w:rPr>
        <w:t>）的脉冲排放引起的时间累积辐射力的比率。</w:t>
      </w:r>
    </w:p>
    <w:p>
      <w:pPr>
        <w:widowControl/>
        <w:jc w:val="left"/>
        <w:rPr>
          <w:rFonts w:cs="宋体"/>
          <w:szCs w:val="21"/>
        </w:rPr>
      </w:pPr>
      <w:r>
        <w:rPr>
          <w:rFonts w:cs="宋体"/>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6" w:name="_Toc93998964"/>
      <w:bookmarkStart w:id="7" w:name="_Toc93999725"/>
      <w:bookmarkStart w:id="8" w:name="_Toc149641203"/>
      <w:r>
        <w:rPr>
          <w:rStyle w:val="22"/>
          <w:rFonts w:ascii="Times New Roman" w:hAnsi="Times New Roman" w:cs="Times New Roman"/>
          <w:sz w:val="28"/>
          <w:szCs w:val="28"/>
        </w:rPr>
        <w:t>3</w:t>
      </w:r>
      <w:r>
        <w:rPr>
          <w:rStyle w:val="22"/>
          <w:rFonts w:hint="eastAsia" w:ascii="宋体" w:hAnsi="宋体"/>
          <w:sz w:val="28"/>
          <w:szCs w:val="28"/>
        </w:rPr>
        <w:t xml:space="preserve">  </w:t>
      </w:r>
      <w:r>
        <w:rPr>
          <w:rStyle w:val="22"/>
          <w:rFonts w:hint="eastAsia" w:ascii="宋体" w:hAnsi="宋体" w:eastAsia="宋体"/>
          <w:b w:val="0"/>
          <w:bCs w:val="0"/>
          <w:sz w:val="28"/>
          <w:szCs w:val="28"/>
        </w:rPr>
        <w:t>一 般 规 定</w:t>
      </w:r>
      <w:bookmarkEnd w:id="6"/>
      <w:bookmarkEnd w:id="7"/>
      <w:bookmarkEnd w:id="8"/>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  </w:t>
      </w:r>
      <w:r>
        <w:rPr>
          <w:rFonts w:hint="eastAsia"/>
          <w:szCs w:val="21"/>
        </w:rPr>
        <w:t>从事拆除工程施工的企业应具有相应等级的建筑工程资质证书，并在其资质等级许可的范围内承接拆除工程；拆除工程施工企业的从业人员应经过培训、考核合格、持证上岗。</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2  </w:t>
      </w:r>
      <w:r>
        <w:rPr>
          <w:rFonts w:hint="eastAsia"/>
          <w:szCs w:val="21"/>
        </w:rPr>
        <w:t>从事拆除工程施工的企业，应根据本标准和拆除工程的特点，制定企业的拆除工程施工安全管理规定、操作技术规程。</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3  </w:t>
      </w:r>
      <w:r>
        <w:rPr>
          <w:rFonts w:hint="eastAsia"/>
          <w:szCs w:val="21"/>
        </w:rPr>
        <w:t>拆除工程施工前，拆除工程施工企业的项目经理和技术人员必须在对建设单位提供的图纸和资料作认真研究和分析，深人现场和周边区域进行详细查勘、利用无损检测技术对建筑物的各部位性能检测的基础上，制定拆除工程施工和建筑废弃物综合利用的全面规划，编制拆除工程施工组织设计；在施工中严格按拆除工程施工组织设计组织实施，不得擅自变更。</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4  </w:t>
      </w:r>
      <w:r>
        <w:rPr>
          <w:rFonts w:hint="eastAsia"/>
          <w:szCs w:val="21"/>
        </w:rPr>
        <w:t>拆除工程拆除应符合下列规定：</w:t>
      </w:r>
    </w:p>
    <w:p>
      <w:pPr>
        <w:spacing w:line="240" w:lineRule="auto"/>
        <w:ind w:firstLine="440"/>
        <w:rPr>
          <w:szCs w:val="21"/>
        </w:rPr>
      </w:pPr>
      <w:r>
        <w:rPr>
          <w:b/>
          <w:bCs/>
          <w:szCs w:val="21"/>
        </w:rPr>
        <w:t xml:space="preserve">1  </w:t>
      </w:r>
      <w:r>
        <w:rPr>
          <w:rFonts w:hint="eastAsia"/>
          <w:szCs w:val="21"/>
        </w:rPr>
        <w:t>施工人员进人拆除应按规定佩戴安全帽；登高作业时应系好安全带，安全带应高挂低用，挂点牢靠；</w:t>
      </w:r>
    </w:p>
    <w:p>
      <w:pPr>
        <w:spacing w:line="240" w:lineRule="auto"/>
        <w:ind w:firstLine="440"/>
        <w:rPr>
          <w:szCs w:val="21"/>
        </w:rPr>
      </w:pPr>
      <w:r>
        <w:rPr>
          <w:b/>
          <w:bCs/>
          <w:szCs w:val="21"/>
        </w:rPr>
        <w:t>2</w:t>
      </w:r>
      <w:r>
        <w:rPr>
          <w:szCs w:val="21"/>
        </w:rPr>
        <w:t xml:space="preserve">  </w:t>
      </w:r>
      <w:r>
        <w:rPr>
          <w:rFonts w:hint="eastAsia"/>
          <w:szCs w:val="21"/>
        </w:rPr>
        <w:t>拆除危险区域应设立警戒隔离带等隔离设施，设置醒目的安全警示标志，并设专人警戒；除规定的作业人员外，其他人不得进入拆除作业现场；</w:t>
      </w:r>
    </w:p>
    <w:p>
      <w:pPr>
        <w:spacing w:line="240" w:lineRule="auto"/>
        <w:ind w:firstLine="440"/>
        <w:rPr>
          <w:szCs w:val="21"/>
        </w:rPr>
      </w:pPr>
      <w:r>
        <w:rPr>
          <w:rFonts w:hint="eastAsia"/>
          <w:b/>
          <w:bCs/>
          <w:szCs w:val="21"/>
        </w:rPr>
        <w:t>3</w:t>
      </w:r>
      <w:r>
        <w:rPr>
          <w:b/>
          <w:bCs/>
          <w:szCs w:val="21"/>
        </w:rPr>
        <w:t xml:space="preserve">  </w:t>
      </w:r>
      <w:r>
        <w:rPr>
          <w:rFonts w:hint="eastAsia"/>
          <w:szCs w:val="21"/>
        </w:rPr>
        <w:t>毗邻道路、建筑的施工区域，应搭设脚手架等安全防护设施，必要时应设置防护隔离棚；</w:t>
      </w:r>
    </w:p>
    <w:p>
      <w:pPr>
        <w:spacing w:line="240" w:lineRule="auto"/>
        <w:ind w:firstLine="440"/>
        <w:rPr>
          <w:szCs w:val="21"/>
        </w:rPr>
      </w:pPr>
      <w:r>
        <w:rPr>
          <w:rFonts w:hint="eastAsia"/>
          <w:b/>
          <w:bCs/>
          <w:szCs w:val="21"/>
        </w:rPr>
        <w:t>4</w:t>
      </w:r>
      <w:r>
        <w:rPr>
          <w:szCs w:val="21"/>
        </w:rPr>
        <w:t xml:space="preserve">  </w:t>
      </w:r>
      <w:r>
        <w:rPr>
          <w:rFonts w:hint="eastAsia"/>
          <w:szCs w:val="21"/>
        </w:rPr>
        <w:t>拆除作业时，作业点应有专人监管、监护；</w:t>
      </w:r>
    </w:p>
    <w:p>
      <w:pPr>
        <w:spacing w:line="240" w:lineRule="auto"/>
        <w:ind w:firstLine="440"/>
        <w:rPr>
          <w:szCs w:val="21"/>
        </w:rPr>
      </w:pPr>
      <w:r>
        <w:rPr>
          <w:rFonts w:hint="eastAsia"/>
          <w:b/>
          <w:bCs/>
          <w:szCs w:val="21"/>
        </w:rPr>
        <w:t>5</w:t>
      </w:r>
      <w:r>
        <w:rPr>
          <w:szCs w:val="21"/>
        </w:rPr>
        <w:t xml:space="preserve">  </w:t>
      </w:r>
      <w:r>
        <w:rPr>
          <w:rFonts w:hint="eastAsia"/>
          <w:szCs w:val="21"/>
        </w:rPr>
        <w:t>拆除工程拆除应配备消防设施，如灭火器材等，设立消防通道；对易燃易爆物品应采取相应的防火、防爆措施；</w:t>
      </w:r>
    </w:p>
    <w:p>
      <w:pPr>
        <w:spacing w:line="240" w:lineRule="auto"/>
        <w:ind w:firstLine="440"/>
        <w:rPr>
          <w:szCs w:val="21"/>
        </w:rPr>
      </w:pPr>
      <w:r>
        <w:rPr>
          <w:rFonts w:hint="eastAsia"/>
          <w:b/>
          <w:bCs/>
          <w:szCs w:val="21"/>
        </w:rPr>
        <w:t>6</w:t>
      </w:r>
      <w:r>
        <w:rPr>
          <w:b/>
          <w:bCs/>
          <w:szCs w:val="21"/>
        </w:rPr>
        <w:t xml:space="preserve">  </w:t>
      </w:r>
      <w:r>
        <w:rPr>
          <w:rFonts w:hint="eastAsia"/>
          <w:szCs w:val="21"/>
        </w:rPr>
        <w:t>拆除作业区内的洞口、临边等处，应设置安全防护设施和安全警示标志；</w:t>
      </w:r>
    </w:p>
    <w:p>
      <w:pPr>
        <w:spacing w:line="240" w:lineRule="auto"/>
        <w:ind w:firstLine="440"/>
        <w:rPr>
          <w:szCs w:val="21"/>
        </w:rPr>
      </w:pPr>
      <w:r>
        <w:rPr>
          <w:rFonts w:hint="eastAsia"/>
          <w:b/>
          <w:bCs/>
          <w:szCs w:val="21"/>
        </w:rPr>
        <w:t>7</w:t>
      </w:r>
      <w:r>
        <w:rPr>
          <w:szCs w:val="21"/>
        </w:rPr>
        <w:t xml:space="preserve">  </w:t>
      </w:r>
      <w:r>
        <w:rPr>
          <w:rFonts w:hint="eastAsia"/>
          <w:szCs w:val="21"/>
        </w:rPr>
        <w:t>拆除应做到材料堆放整齐，建筑废弃物应及时外运，24小时内不能清运完毕时，应采取遮盖措施；建筑废弃物堆放高度不得超过围挡高度，渣土堆放的底部边沿到围挡不应小于1m的距离；</w:t>
      </w:r>
    </w:p>
    <w:p>
      <w:pPr>
        <w:spacing w:line="240" w:lineRule="auto"/>
        <w:ind w:firstLine="440"/>
        <w:rPr>
          <w:szCs w:val="21"/>
        </w:rPr>
      </w:pPr>
      <w:r>
        <w:rPr>
          <w:b/>
          <w:bCs/>
          <w:szCs w:val="21"/>
        </w:rPr>
        <w:t xml:space="preserve">8  </w:t>
      </w:r>
      <w:r>
        <w:rPr>
          <w:rFonts w:hint="eastAsia"/>
          <w:szCs w:val="21"/>
        </w:rPr>
        <w:t>人工拆除应采用施工脚手架、绿色密目式安全网或开孔型绿色不透尘安全网布等控制扬尘措施；</w:t>
      </w:r>
    </w:p>
    <w:p>
      <w:pPr>
        <w:spacing w:line="240" w:lineRule="auto"/>
        <w:ind w:firstLine="440"/>
        <w:rPr>
          <w:szCs w:val="21"/>
        </w:rPr>
      </w:pPr>
      <w:r>
        <w:rPr>
          <w:rFonts w:hint="eastAsia"/>
          <w:b/>
          <w:bCs/>
          <w:szCs w:val="21"/>
        </w:rPr>
        <w:t>9</w:t>
      </w:r>
      <w:r>
        <w:rPr>
          <w:szCs w:val="21"/>
        </w:rPr>
        <w:t xml:space="preserve">  </w:t>
      </w:r>
      <w:r>
        <w:rPr>
          <w:rFonts w:hint="eastAsia"/>
          <w:szCs w:val="21"/>
        </w:rPr>
        <w:t>机械拆除或破碎构件、翻渣、建筑废弃物清运时，必须采用洒水或喷淋措施，控制粉尘飞扬；</w:t>
      </w:r>
    </w:p>
    <w:p>
      <w:pPr>
        <w:spacing w:line="240" w:lineRule="auto"/>
        <w:ind w:firstLine="440"/>
        <w:rPr>
          <w:szCs w:val="21"/>
        </w:rPr>
      </w:pPr>
      <w:r>
        <w:rPr>
          <w:rFonts w:hint="eastAsia"/>
          <w:b/>
          <w:bCs/>
          <w:szCs w:val="21"/>
        </w:rPr>
        <w:t>1</w:t>
      </w:r>
      <w:r>
        <w:rPr>
          <w:b/>
          <w:bCs/>
          <w:szCs w:val="21"/>
        </w:rPr>
        <w:t xml:space="preserve">0  </w:t>
      </w:r>
      <w:r>
        <w:rPr>
          <w:rFonts w:hint="eastAsia"/>
          <w:szCs w:val="21"/>
        </w:rPr>
        <w:t>施工企业未经区环保部门审批的，不得夜间施工；</w:t>
      </w:r>
    </w:p>
    <w:p>
      <w:pPr>
        <w:spacing w:line="240" w:lineRule="auto"/>
        <w:ind w:firstLine="440"/>
        <w:rPr>
          <w:szCs w:val="21"/>
        </w:rPr>
      </w:pPr>
      <w:r>
        <w:rPr>
          <w:rFonts w:hint="eastAsia"/>
          <w:b/>
          <w:bCs/>
          <w:szCs w:val="21"/>
        </w:rPr>
        <w:t>1</w:t>
      </w:r>
      <w:r>
        <w:rPr>
          <w:b/>
          <w:bCs/>
          <w:szCs w:val="21"/>
        </w:rPr>
        <w:t>1</w:t>
      </w:r>
      <w:r>
        <w:rPr>
          <w:szCs w:val="21"/>
        </w:rPr>
        <w:t xml:space="preserve">  </w:t>
      </w:r>
      <w:r>
        <w:rPr>
          <w:rFonts w:hint="eastAsia"/>
          <w:szCs w:val="21"/>
        </w:rPr>
        <w:t>拆除办公、生活区的设置应与作业区、易燃易爆物品临时堆放点保持安全距离；如：氧气、乙炔气瓶、油漆稀料等危险品仓库应设置在施工场地、生活办公区25m外。</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5  </w:t>
      </w:r>
      <w:r>
        <w:rPr>
          <w:rFonts w:hint="eastAsia"/>
          <w:szCs w:val="21"/>
        </w:rPr>
        <w:t>临时用电设施安装前，应符合《拆除临时用电安全技术规范》(JGJ46)的规定。</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6  </w:t>
      </w:r>
      <w:r>
        <w:rPr>
          <w:rFonts w:hint="eastAsia"/>
          <w:szCs w:val="21"/>
        </w:rPr>
        <w:t>拆除工程施工作业前和拆除过程中，技术人员应对参加作业的人员进行详细的技术交底；技术交底的主要内容应包括拆除技术要求、作业危险点与安全措施；每次技术交底应有书面记录，并由交底人和被交底人双方签字确认。</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7  </w:t>
      </w:r>
      <w:r>
        <w:rPr>
          <w:rFonts w:hint="eastAsia"/>
          <w:szCs w:val="21"/>
        </w:rPr>
        <w:t>一般区域拆除围挡设置高度不应低于2</w:t>
      </w:r>
      <w:r>
        <w:rPr>
          <w:szCs w:val="21"/>
        </w:rPr>
        <w:t>.5</w:t>
      </w:r>
      <w:r>
        <w:rPr>
          <w:rFonts w:hint="eastAsia"/>
          <w:szCs w:val="21"/>
        </w:rPr>
        <w:t>m，重点区域拆除围挡设置高度不应低于</w:t>
      </w:r>
      <w:r>
        <w:rPr>
          <w:szCs w:val="21"/>
        </w:rPr>
        <w:t>3.0</w:t>
      </w:r>
      <w:r>
        <w:rPr>
          <w:rFonts w:hint="eastAsia"/>
          <w:szCs w:val="21"/>
        </w:rPr>
        <w:t>m，并应符合下列要求：</w:t>
      </w:r>
    </w:p>
    <w:p>
      <w:pPr>
        <w:spacing w:line="240" w:lineRule="auto"/>
        <w:ind w:firstLine="440"/>
        <w:rPr>
          <w:szCs w:val="21"/>
        </w:rPr>
      </w:pPr>
      <w:r>
        <w:rPr>
          <w:b/>
          <w:bCs/>
          <w:szCs w:val="21"/>
        </w:rPr>
        <w:t xml:space="preserve">1  </w:t>
      </w:r>
      <w:r>
        <w:rPr>
          <w:rFonts w:hint="eastAsia"/>
          <w:szCs w:val="21"/>
        </w:rPr>
        <w:t>单体建筑物拆除时，应在其单体建筑物的外围设置封闭围挡；</w:t>
      </w:r>
    </w:p>
    <w:p>
      <w:pPr>
        <w:spacing w:line="240" w:lineRule="auto"/>
        <w:ind w:firstLine="440"/>
        <w:rPr>
          <w:szCs w:val="21"/>
        </w:rPr>
      </w:pPr>
      <w:r>
        <w:rPr>
          <w:b/>
          <w:bCs/>
          <w:szCs w:val="21"/>
        </w:rPr>
        <w:t>2</w:t>
      </w:r>
      <w:r>
        <w:rPr>
          <w:szCs w:val="21"/>
        </w:rPr>
        <w:t xml:space="preserve">  </w:t>
      </w:r>
      <w:r>
        <w:rPr>
          <w:rFonts w:hint="eastAsia"/>
          <w:szCs w:val="21"/>
        </w:rPr>
        <w:t>市区房屋征收基地的拆除工程，应根据征收进度和拆除工程施工相关规范、规定，具备设置围挡封闭条件的，应在其外围设置封闭围挡；凡实施作业的区域应设立封闭围挡；</w:t>
      </w:r>
    </w:p>
    <w:p>
      <w:pPr>
        <w:spacing w:line="240" w:lineRule="auto"/>
        <w:ind w:firstLine="440"/>
        <w:rPr>
          <w:szCs w:val="21"/>
        </w:rPr>
      </w:pPr>
      <w:r>
        <w:rPr>
          <w:rFonts w:hint="eastAsia"/>
          <w:b/>
          <w:bCs/>
          <w:szCs w:val="21"/>
        </w:rPr>
        <w:t>3</w:t>
      </w:r>
      <w:r>
        <w:rPr>
          <w:b/>
          <w:bCs/>
          <w:szCs w:val="21"/>
        </w:rPr>
        <w:t xml:space="preserve">  </w:t>
      </w:r>
      <w:r>
        <w:rPr>
          <w:rFonts w:hint="eastAsia"/>
          <w:szCs w:val="21"/>
        </w:rPr>
        <w:t>商业繁华区域、人口密集区域的拆除工程，其围挡设置，参照相关规定执行。</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8  </w:t>
      </w:r>
      <w:r>
        <w:rPr>
          <w:rFonts w:hint="eastAsia"/>
          <w:szCs w:val="21"/>
        </w:rPr>
        <w:t>围挡材料应满足硬度和耐燃性要求，宜采用彩钢板等轻型硬质材料。</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9  </w:t>
      </w:r>
      <w:r>
        <w:rPr>
          <w:rFonts w:hint="eastAsia"/>
          <w:szCs w:val="21"/>
        </w:rPr>
        <w:t>脚手架搭设应符合以下要求：</w:t>
      </w:r>
    </w:p>
    <w:p>
      <w:pPr>
        <w:spacing w:line="240" w:lineRule="auto"/>
        <w:ind w:firstLine="440"/>
        <w:rPr>
          <w:szCs w:val="21"/>
        </w:rPr>
      </w:pPr>
      <w:r>
        <w:rPr>
          <w:b/>
          <w:bCs/>
          <w:szCs w:val="21"/>
        </w:rPr>
        <w:t xml:space="preserve">1  </w:t>
      </w:r>
      <w:r>
        <w:rPr>
          <w:rFonts w:hint="eastAsia"/>
          <w:szCs w:val="21"/>
        </w:rPr>
        <w:t>搭设材料应选用金属管材，严禁使用毛竹和金属杆件混搭脚手架；脚手架临近高压线半径距离不大于5m一侧的建筑立面，宜使用毛竹脚手架，并形成独立体系；</w:t>
      </w:r>
    </w:p>
    <w:p>
      <w:pPr>
        <w:spacing w:line="240" w:lineRule="auto"/>
        <w:ind w:firstLine="440"/>
        <w:rPr>
          <w:szCs w:val="21"/>
        </w:rPr>
      </w:pPr>
      <w:r>
        <w:rPr>
          <w:b/>
          <w:bCs/>
          <w:szCs w:val="21"/>
        </w:rPr>
        <w:t xml:space="preserve">2  </w:t>
      </w:r>
      <w:r>
        <w:rPr>
          <w:rFonts w:hint="eastAsia"/>
          <w:szCs w:val="21"/>
        </w:rPr>
        <w:t>脚手架的外立面应使用绿色密目式安全网或开孔型绿色不透尘安全网布封闭围护或包裹；使用开孔型绿色不透尘安全网布作封闭围护时，施工单位应实施论证验算，确保脚手架支撑体系和拉结强度满足安全要求；</w:t>
      </w:r>
    </w:p>
    <w:p>
      <w:pPr>
        <w:spacing w:line="240" w:lineRule="auto"/>
        <w:ind w:firstLine="440"/>
        <w:rPr>
          <w:szCs w:val="21"/>
        </w:rPr>
      </w:pPr>
      <w:r>
        <w:rPr>
          <w:rFonts w:hint="eastAsia"/>
          <w:b/>
          <w:bCs/>
          <w:szCs w:val="21"/>
        </w:rPr>
        <w:t>3</w:t>
      </w:r>
      <w:r>
        <w:rPr>
          <w:b/>
          <w:bCs/>
          <w:szCs w:val="21"/>
        </w:rPr>
        <w:t xml:space="preserve">  </w:t>
      </w:r>
      <w:r>
        <w:rPr>
          <w:rFonts w:hint="eastAsia"/>
          <w:szCs w:val="21"/>
        </w:rPr>
        <w:t>重点区域内搭设落地脚手架的，其离地高度不大于30m的外围，应使用开孔型绿色不透尘安全网布。</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10  </w:t>
      </w:r>
      <w:r>
        <w:rPr>
          <w:rFonts w:hint="eastAsia"/>
          <w:szCs w:val="21"/>
        </w:rPr>
        <w:t>拆除工程施工影响范围内的建筑物及管线保护应符合下列要求：</w:t>
      </w:r>
    </w:p>
    <w:p>
      <w:pPr>
        <w:spacing w:line="240" w:lineRule="auto"/>
        <w:ind w:firstLine="440"/>
        <w:rPr>
          <w:szCs w:val="21"/>
        </w:rPr>
      </w:pPr>
      <w:r>
        <w:rPr>
          <w:b/>
          <w:bCs/>
          <w:szCs w:val="21"/>
        </w:rPr>
        <w:t xml:space="preserve">1  </w:t>
      </w:r>
      <w:r>
        <w:rPr>
          <w:rFonts w:hint="eastAsia"/>
          <w:szCs w:val="21"/>
        </w:rPr>
        <w:t>拆除工程施工企业对毗邻的建筑物除采取必要的安全防护措施外，应事先检查、取证，并实施全过程动态监护；</w:t>
      </w:r>
    </w:p>
    <w:p>
      <w:pPr>
        <w:spacing w:line="240" w:lineRule="auto"/>
        <w:ind w:firstLine="440"/>
        <w:rPr>
          <w:szCs w:val="21"/>
        </w:rPr>
      </w:pPr>
      <w:r>
        <w:rPr>
          <w:rFonts w:hint="eastAsia"/>
          <w:b/>
          <w:bCs/>
          <w:szCs w:val="21"/>
        </w:rPr>
        <w:t>2</w:t>
      </w:r>
      <w:r>
        <w:rPr>
          <w:b/>
          <w:bCs/>
          <w:szCs w:val="21"/>
        </w:rPr>
        <w:t xml:space="preserve">  </w:t>
      </w:r>
      <w:r>
        <w:rPr>
          <w:rFonts w:hint="eastAsia"/>
          <w:szCs w:val="21"/>
        </w:rPr>
        <w:t>相邻管线应经管线管理单位采取切断、移位措施，或落实防护措施后方可进行拆除工程施工；拆除工程施工中应实施全过程动态监护；</w:t>
      </w:r>
    </w:p>
    <w:p>
      <w:pPr>
        <w:spacing w:line="240" w:lineRule="auto"/>
        <w:ind w:firstLine="440"/>
        <w:rPr>
          <w:szCs w:val="21"/>
        </w:rPr>
      </w:pPr>
      <w:r>
        <w:rPr>
          <w:rFonts w:hint="eastAsia"/>
          <w:b/>
          <w:bCs/>
          <w:szCs w:val="21"/>
        </w:rPr>
        <w:t>3</w:t>
      </w:r>
      <w:r>
        <w:rPr>
          <w:b/>
          <w:bCs/>
          <w:szCs w:val="21"/>
        </w:rPr>
        <w:t xml:space="preserve">  </w:t>
      </w:r>
      <w:r>
        <w:rPr>
          <w:rFonts w:hint="eastAsia"/>
          <w:szCs w:val="21"/>
        </w:rPr>
        <w:t>被拆除建筑物的高度超过相邻电力、电讯等管线高度时，在拆除超过部分的建筑物时，应采取严密的防护措施；</w:t>
      </w:r>
    </w:p>
    <w:p>
      <w:pPr>
        <w:spacing w:line="240" w:lineRule="auto"/>
        <w:ind w:firstLine="440"/>
        <w:rPr>
          <w:szCs w:val="21"/>
        </w:rPr>
      </w:pPr>
      <w:r>
        <w:rPr>
          <w:rFonts w:hint="eastAsia"/>
          <w:b/>
          <w:bCs/>
          <w:szCs w:val="21"/>
        </w:rPr>
        <w:t>4</w:t>
      </w:r>
      <w:r>
        <w:rPr>
          <w:b/>
          <w:bCs/>
          <w:szCs w:val="21"/>
        </w:rPr>
        <w:t xml:space="preserve">  </w:t>
      </w:r>
      <w:r>
        <w:rPr>
          <w:rFonts w:hint="eastAsia"/>
          <w:szCs w:val="21"/>
        </w:rPr>
        <w:t>拆除工程施工中，遇到特殊情况或发生管线损坏时，应及时报告有关部门，并配合做好抢修工作。</w:t>
      </w:r>
    </w:p>
    <w:p>
      <w:pPr>
        <w:spacing w:line="240" w:lineRule="auto"/>
        <w:rPr>
          <w:szCs w:val="21"/>
        </w:rPr>
      </w:pPr>
      <w:bookmarkStart w:id="9" w:name="_Hlk149568903"/>
      <w:r>
        <w:rPr>
          <w:b/>
          <w:bCs/>
          <w:szCs w:val="21"/>
        </w:rPr>
        <w:t>3</w:t>
      </w:r>
      <w:r>
        <w:rPr>
          <w:rFonts w:ascii="宋体" w:hAnsi="宋体"/>
          <w:b/>
          <w:bCs/>
          <w:szCs w:val="21"/>
        </w:rPr>
        <w:t>.</w:t>
      </w:r>
      <w:r>
        <w:rPr>
          <w:b/>
          <w:bCs/>
          <w:szCs w:val="21"/>
        </w:rPr>
        <w:t>0</w:t>
      </w:r>
      <w:r>
        <w:rPr>
          <w:rFonts w:ascii="宋体" w:hAnsi="宋体"/>
          <w:b/>
          <w:bCs/>
          <w:szCs w:val="21"/>
        </w:rPr>
        <w:t>.</w:t>
      </w:r>
      <w:r>
        <w:rPr>
          <w:b/>
          <w:bCs/>
          <w:szCs w:val="21"/>
        </w:rPr>
        <w:t>11</w:t>
      </w:r>
      <w:bookmarkEnd w:id="9"/>
      <w:r>
        <w:rPr>
          <w:b/>
          <w:bCs/>
          <w:szCs w:val="21"/>
        </w:rPr>
        <w:t xml:space="preserve">  </w:t>
      </w:r>
      <w:r>
        <w:rPr>
          <w:rFonts w:hint="eastAsia"/>
          <w:szCs w:val="21"/>
        </w:rPr>
        <w:t>拆除工程施工时，应保证拆除排水畅通，并满足以下要求：</w:t>
      </w:r>
    </w:p>
    <w:p>
      <w:pPr>
        <w:spacing w:line="240" w:lineRule="auto"/>
        <w:ind w:firstLine="440"/>
        <w:rPr>
          <w:szCs w:val="21"/>
        </w:rPr>
      </w:pPr>
      <w:r>
        <w:rPr>
          <w:b/>
          <w:bCs/>
          <w:szCs w:val="21"/>
        </w:rPr>
        <w:t xml:space="preserve">1  </w:t>
      </w:r>
      <w:r>
        <w:rPr>
          <w:rFonts w:hint="eastAsia"/>
          <w:szCs w:val="21"/>
        </w:rPr>
        <w:t>施工企业应保护原排水系统，避免场地积水；</w:t>
      </w:r>
    </w:p>
    <w:p>
      <w:pPr>
        <w:spacing w:line="240" w:lineRule="auto"/>
        <w:ind w:firstLine="440"/>
        <w:rPr>
          <w:szCs w:val="21"/>
        </w:rPr>
      </w:pPr>
      <w:r>
        <w:rPr>
          <w:rFonts w:hint="eastAsia"/>
          <w:b/>
          <w:bCs/>
          <w:szCs w:val="21"/>
        </w:rPr>
        <w:t>2</w:t>
      </w:r>
      <w:r>
        <w:rPr>
          <w:b/>
          <w:bCs/>
          <w:szCs w:val="21"/>
        </w:rPr>
        <w:t xml:space="preserve">  </w:t>
      </w:r>
      <w:r>
        <w:rPr>
          <w:rFonts w:hint="eastAsia"/>
          <w:szCs w:val="21"/>
        </w:rPr>
        <w:t>当施工损坏原排水系统时，应设置满足排水需要的标准水井或简易集水井；</w:t>
      </w:r>
    </w:p>
    <w:p>
      <w:pPr>
        <w:spacing w:line="240" w:lineRule="auto"/>
        <w:ind w:firstLine="440"/>
        <w:rPr>
          <w:szCs w:val="21"/>
        </w:rPr>
      </w:pPr>
      <w:r>
        <w:rPr>
          <w:rFonts w:hint="eastAsia"/>
          <w:szCs w:val="21"/>
        </w:rPr>
        <w:t>3</w:t>
      </w:r>
      <w:r>
        <w:rPr>
          <w:szCs w:val="21"/>
        </w:rPr>
        <w:t xml:space="preserve">  </w:t>
      </w:r>
      <w:r>
        <w:rPr>
          <w:rFonts w:hint="eastAsia"/>
          <w:szCs w:val="21"/>
        </w:rPr>
        <w:t>重点区域内的拆除工程，施工单位应在作业区域的低洼处开挖集水井，配置能满足排水量需要的排水泵。</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12  </w:t>
      </w:r>
      <w:r>
        <w:rPr>
          <w:rFonts w:hint="eastAsia"/>
          <w:szCs w:val="21"/>
        </w:rPr>
        <w:t>特殊管道和容器的拆除，应首先查清该管道、容器中介质的化学性质，对影响施工安全的物质，应先由专业单位采取排空、中和、清洗等措施。</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13  </w:t>
      </w:r>
      <w:r>
        <w:rPr>
          <w:rFonts w:hint="eastAsia"/>
          <w:szCs w:val="21"/>
        </w:rPr>
        <w:t>拆除工程竣工后，建设单位应按合同要求组织验收。</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14  </w:t>
      </w:r>
      <w:r>
        <w:rPr>
          <w:rFonts w:hint="eastAsia"/>
          <w:szCs w:val="21"/>
        </w:rPr>
        <w:t>当遇到风力大于5级、大雾、雨雪等恶劣天气时，施工企业必须停止室外拆除和清除作业。</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15  </w:t>
      </w:r>
      <w:r>
        <w:rPr>
          <w:rFonts w:hint="eastAsia"/>
          <w:szCs w:val="21"/>
        </w:rPr>
        <w:t>施工企业、工地应制订拆除工程应急救援预案，建立应急救援组织，并配备排险、救灾的设备和工具。</w:t>
      </w:r>
    </w:p>
    <w:p>
      <w:pPr>
        <w:spacing w:line="240" w:lineRule="auto"/>
        <w:rPr>
          <w:szCs w:val="21"/>
        </w:rPr>
      </w:pPr>
      <w:r>
        <w:rPr>
          <w:b/>
          <w:bCs/>
          <w:szCs w:val="21"/>
        </w:rPr>
        <w:t>3</w:t>
      </w:r>
      <w:r>
        <w:rPr>
          <w:rFonts w:ascii="宋体" w:hAnsi="宋体"/>
          <w:b/>
          <w:bCs/>
          <w:szCs w:val="21"/>
        </w:rPr>
        <w:t>.</w:t>
      </w:r>
      <w:r>
        <w:rPr>
          <w:b/>
          <w:bCs/>
          <w:szCs w:val="21"/>
        </w:rPr>
        <w:t>0</w:t>
      </w:r>
      <w:r>
        <w:rPr>
          <w:rFonts w:ascii="宋体" w:hAnsi="宋体"/>
          <w:b/>
          <w:bCs/>
          <w:szCs w:val="21"/>
        </w:rPr>
        <w:t>.</w:t>
      </w:r>
      <w:r>
        <w:rPr>
          <w:b/>
          <w:bCs/>
          <w:szCs w:val="21"/>
        </w:rPr>
        <w:t xml:space="preserve">16  </w:t>
      </w:r>
      <w:r>
        <w:rPr>
          <w:rFonts w:hint="eastAsia"/>
          <w:szCs w:val="21"/>
        </w:rPr>
        <w:t>拆除工程施工期间遇到汛期，应制定汛期及强爆雨天气时工地内的排水预案。</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10" w:name="_Toc149641204"/>
      <w:r>
        <w:rPr>
          <w:rStyle w:val="22"/>
          <w:rFonts w:ascii="Times New Roman" w:hAnsi="Times New Roman" w:cs="Times New Roman"/>
          <w:sz w:val="28"/>
          <w:szCs w:val="28"/>
        </w:rPr>
        <w:t>4</w:t>
      </w:r>
      <w:r>
        <w:rPr>
          <w:rStyle w:val="22"/>
          <w:rFonts w:hint="eastAsia" w:ascii="宋体" w:hAnsi="宋体"/>
          <w:sz w:val="28"/>
          <w:szCs w:val="28"/>
        </w:rPr>
        <w:t xml:space="preserve">  </w:t>
      </w:r>
      <w:r>
        <w:rPr>
          <w:rStyle w:val="22"/>
          <w:rFonts w:hint="eastAsia" w:ascii="宋体" w:hAnsi="宋体" w:eastAsia="宋体"/>
          <w:b w:val="0"/>
          <w:bCs w:val="0"/>
          <w:sz w:val="28"/>
          <w:szCs w:val="28"/>
        </w:rPr>
        <w:t>施工组织设计</w:t>
      </w:r>
      <w:bookmarkEnd w:id="10"/>
    </w:p>
    <w:p>
      <w:pPr>
        <w:pStyle w:val="4"/>
        <w:spacing w:before="240" w:after="240" w:line="240" w:lineRule="auto"/>
        <w:jc w:val="center"/>
        <w:rPr>
          <w:rFonts w:ascii="黑体" w:hAnsi="黑体" w:cs="宋体"/>
          <w:b w:val="0"/>
          <w:bCs w:val="0"/>
          <w:sz w:val="21"/>
          <w:szCs w:val="21"/>
        </w:rPr>
      </w:pPr>
      <w:bookmarkStart w:id="11" w:name="_Toc93999728"/>
      <w:bookmarkStart w:id="12" w:name="_Toc93998967"/>
      <w:bookmarkStart w:id="13" w:name="_Toc149641205"/>
      <w:r>
        <w:rPr>
          <w:rFonts w:ascii="Times New Roman" w:hAnsi="Times New Roman"/>
          <w:sz w:val="21"/>
          <w:szCs w:val="21"/>
        </w:rPr>
        <w:t>4</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bookmarkEnd w:id="11"/>
      <w:bookmarkEnd w:id="12"/>
      <w:r>
        <w:rPr>
          <w:rFonts w:hint="eastAsia" w:ascii="黑体" w:hAnsi="黑体" w:eastAsia="黑体"/>
          <w:b w:val="0"/>
          <w:sz w:val="21"/>
          <w:szCs w:val="21"/>
        </w:rPr>
        <w:t>一 般 规 定</w:t>
      </w:r>
      <w:bookmarkEnd w:id="13"/>
    </w:p>
    <w:p>
      <w:pPr>
        <w:spacing w:line="240" w:lineRule="auto"/>
        <w:rPr>
          <w:szCs w:val="21"/>
        </w:rPr>
      </w:pPr>
      <w:r>
        <w:rPr>
          <w:b/>
          <w:bCs/>
          <w:szCs w:val="21"/>
        </w:rPr>
        <w:t>4</w:t>
      </w:r>
      <w:r>
        <w:rPr>
          <w:rFonts w:ascii="宋体" w:hAnsi="宋体"/>
          <w:b/>
          <w:bCs/>
          <w:szCs w:val="21"/>
        </w:rPr>
        <w:t>.</w:t>
      </w:r>
      <w:r>
        <w:rPr>
          <w:rFonts w:hint="eastAsia"/>
          <w:b/>
          <w:bCs/>
          <w:szCs w:val="21"/>
        </w:rPr>
        <w:t>1</w:t>
      </w:r>
      <w:r>
        <w:rPr>
          <w:rFonts w:ascii="宋体" w:hAnsi="宋体"/>
          <w:b/>
          <w:bCs/>
          <w:szCs w:val="21"/>
        </w:rPr>
        <w:t>.</w:t>
      </w:r>
      <w:r>
        <w:rPr>
          <w:b/>
          <w:bCs/>
          <w:szCs w:val="21"/>
        </w:rPr>
        <w:t>1</w:t>
      </w:r>
      <w:r>
        <w:rPr>
          <w:rFonts w:hint="eastAsia"/>
          <w:szCs w:val="21"/>
        </w:rPr>
        <w:t xml:space="preserve"> </w:t>
      </w:r>
      <w:r>
        <w:rPr>
          <w:szCs w:val="21"/>
        </w:rPr>
        <w:t xml:space="preserve"> </w:t>
      </w:r>
      <w:r>
        <w:rPr>
          <w:rFonts w:hint="eastAsia"/>
          <w:szCs w:val="21"/>
        </w:rPr>
        <w:t>施工组织设计应具备下列资料：</w:t>
      </w:r>
    </w:p>
    <w:p>
      <w:pPr>
        <w:spacing w:line="240" w:lineRule="auto"/>
        <w:ind w:firstLine="440"/>
        <w:rPr>
          <w:szCs w:val="21"/>
        </w:rPr>
      </w:pPr>
      <w:r>
        <w:rPr>
          <w:b/>
          <w:bCs/>
          <w:szCs w:val="21"/>
        </w:rPr>
        <w:t>1</w:t>
      </w:r>
      <w:r>
        <w:rPr>
          <w:szCs w:val="21"/>
        </w:rPr>
        <w:t xml:space="preserve">  </w:t>
      </w:r>
      <w:r>
        <w:rPr>
          <w:rFonts w:hint="eastAsia"/>
          <w:szCs w:val="21"/>
        </w:rPr>
        <w:t>建筑物的图纸和相关资料；</w:t>
      </w:r>
    </w:p>
    <w:p>
      <w:pPr>
        <w:spacing w:line="240" w:lineRule="auto"/>
        <w:ind w:firstLine="440"/>
        <w:rPr>
          <w:szCs w:val="21"/>
        </w:rPr>
      </w:pPr>
      <w:r>
        <w:rPr>
          <w:b/>
          <w:bCs/>
          <w:szCs w:val="21"/>
        </w:rPr>
        <w:t>2</w:t>
      </w:r>
      <w:r>
        <w:rPr>
          <w:szCs w:val="21"/>
        </w:rPr>
        <w:t xml:space="preserve">  </w:t>
      </w:r>
      <w:r>
        <w:rPr>
          <w:rFonts w:hint="eastAsia"/>
          <w:szCs w:val="21"/>
        </w:rPr>
        <w:t>拆除及毗邻区域内供水、排水、供电、供气、供热、通信、广播电视等地下管线资料；相邻建筑物和构筑物、地下工程的有关资料；</w:t>
      </w:r>
    </w:p>
    <w:p>
      <w:pPr>
        <w:spacing w:line="240" w:lineRule="auto"/>
        <w:ind w:firstLine="440"/>
        <w:rPr>
          <w:szCs w:val="21"/>
        </w:rPr>
      </w:pPr>
      <w:r>
        <w:rPr>
          <w:rFonts w:hint="eastAsia"/>
          <w:b/>
          <w:bCs/>
          <w:szCs w:val="21"/>
        </w:rPr>
        <w:t>3</w:t>
      </w:r>
      <w:r>
        <w:rPr>
          <w:b/>
          <w:bCs/>
          <w:szCs w:val="21"/>
        </w:rPr>
        <w:t xml:space="preserve">  </w:t>
      </w:r>
      <w:r>
        <w:rPr>
          <w:rFonts w:hint="eastAsia"/>
          <w:szCs w:val="21"/>
        </w:rPr>
        <w:t>勘查拆除所获得的详细资料与信息，其内容应包括：</w:t>
      </w:r>
    </w:p>
    <w:p>
      <w:pPr>
        <w:pStyle w:val="25"/>
        <w:numPr>
          <w:ilvl w:val="0"/>
          <w:numId w:val="1"/>
        </w:numPr>
        <w:spacing w:line="240" w:lineRule="auto"/>
        <w:ind w:firstLineChars="0"/>
        <w:rPr>
          <w:rFonts w:cs="宋体"/>
          <w:szCs w:val="21"/>
        </w:rPr>
      </w:pPr>
      <w:r>
        <w:rPr>
          <w:rFonts w:hint="eastAsia" w:cs="宋体"/>
          <w:szCs w:val="21"/>
        </w:rPr>
        <w:t>主体结构的变动及损坏情况；</w:t>
      </w:r>
    </w:p>
    <w:p>
      <w:pPr>
        <w:pStyle w:val="25"/>
        <w:numPr>
          <w:ilvl w:val="0"/>
          <w:numId w:val="1"/>
        </w:numPr>
        <w:spacing w:line="240" w:lineRule="auto"/>
        <w:ind w:firstLineChars="0"/>
        <w:rPr>
          <w:rFonts w:cs="宋体"/>
          <w:szCs w:val="21"/>
        </w:rPr>
      </w:pPr>
      <w:r>
        <w:rPr>
          <w:rFonts w:hint="eastAsia" w:cs="宋体"/>
          <w:szCs w:val="21"/>
        </w:rPr>
        <w:t>主体结构各部位的性能评价；</w:t>
      </w:r>
    </w:p>
    <w:p>
      <w:pPr>
        <w:spacing w:line="240" w:lineRule="auto"/>
        <w:ind w:firstLine="660" w:firstLineChars="300"/>
        <w:rPr>
          <w:rFonts w:cs="宋体"/>
          <w:szCs w:val="21"/>
        </w:rPr>
      </w:pPr>
      <w:r>
        <w:rPr>
          <w:rFonts w:cs="宋体"/>
          <w:b/>
          <w:szCs w:val="21"/>
        </w:rPr>
        <w:t>3</w:t>
      </w:r>
      <w:r>
        <w:rPr>
          <w:rFonts w:hint="eastAsia" w:cs="宋体"/>
          <w:szCs w:val="21"/>
        </w:rPr>
        <w:t>）拆除物的特殊性和隐蔽性(包括地上、地下管线分布等)；</w:t>
      </w:r>
    </w:p>
    <w:p>
      <w:pPr>
        <w:spacing w:line="240" w:lineRule="auto"/>
        <w:ind w:firstLine="660" w:firstLineChars="300"/>
        <w:rPr>
          <w:rFonts w:cs="宋体"/>
          <w:szCs w:val="21"/>
        </w:rPr>
      </w:pPr>
      <w:r>
        <w:rPr>
          <w:rFonts w:cs="宋体"/>
          <w:b/>
          <w:szCs w:val="21"/>
        </w:rPr>
        <w:t>4</w:t>
      </w:r>
      <w:r>
        <w:rPr>
          <w:rFonts w:hint="eastAsia" w:cs="宋体"/>
          <w:szCs w:val="21"/>
        </w:rPr>
        <w:t>）部分杆件、构件或节点的勘查情况等。</w:t>
      </w:r>
    </w:p>
    <w:p>
      <w:pPr>
        <w:spacing w:line="240" w:lineRule="auto"/>
        <w:rPr>
          <w:szCs w:val="21"/>
        </w:rPr>
      </w:pPr>
      <w:r>
        <w:rPr>
          <w:b/>
          <w:bCs/>
          <w:szCs w:val="21"/>
        </w:rPr>
        <w:t>4</w:t>
      </w:r>
      <w:r>
        <w:rPr>
          <w:rFonts w:ascii="宋体" w:hAnsi="宋体"/>
          <w:b/>
          <w:bCs/>
          <w:szCs w:val="21"/>
        </w:rPr>
        <w:t>.</w:t>
      </w:r>
      <w:r>
        <w:rPr>
          <w:rFonts w:hint="eastAsia"/>
          <w:b/>
          <w:bCs/>
          <w:szCs w:val="21"/>
        </w:rPr>
        <w:t>1</w:t>
      </w:r>
      <w:r>
        <w:rPr>
          <w:rFonts w:ascii="宋体" w:hAnsi="宋体"/>
          <w:b/>
          <w:bCs/>
          <w:szCs w:val="21"/>
        </w:rPr>
        <w:t>.</w:t>
      </w:r>
      <w:r>
        <w:rPr>
          <w:b/>
          <w:bCs/>
          <w:szCs w:val="21"/>
        </w:rPr>
        <w:t xml:space="preserve">2  </w:t>
      </w:r>
      <w:r>
        <w:rPr>
          <w:rFonts w:hint="eastAsia"/>
          <w:szCs w:val="21"/>
        </w:rPr>
        <w:t>施工组织设计应由下列内容组成：</w:t>
      </w:r>
    </w:p>
    <w:p>
      <w:pPr>
        <w:spacing w:line="240" w:lineRule="auto"/>
        <w:ind w:firstLine="440"/>
        <w:rPr>
          <w:szCs w:val="21"/>
        </w:rPr>
      </w:pPr>
      <w:r>
        <w:rPr>
          <w:b/>
          <w:bCs/>
          <w:szCs w:val="21"/>
        </w:rPr>
        <w:t>1</w:t>
      </w:r>
      <w:r>
        <w:rPr>
          <w:szCs w:val="21"/>
        </w:rPr>
        <w:t xml:space="preserve">  </w:t>
      </w:r>
      <w:r>
        <w:rPr>
          <w:rFonts w:hint="eastAsia"/>
          <w:szCs w:val="21"/>
        </w:rPr>
        <w:t>拆除工程的概况及特点，其内容应包括：</w:t>
      </w:r>
    </w:p>
    <w:p>
      <w:pPr>
        <w:spacing w:line="240" w:lineRule="auto"/>
        <w:ind w:firstLine="660" w:firstLineChars="300"/>
        <w:rPr>
          <w:rFonts w:cs="宋体"/>
          <w:szCs w:val="21"/>
        </w:rPr>
      </w:pPr>
      <w:r>
        <w:rPr>
          <w:rFonts w:hint="eastAsia" w:cs="宋体"/>
          <w:b/>
          <w:szCs w:val="21"/>
        </w:rPr>
        <w:t>1</w:t>
      </w:r>
      <w:r>
        <w:rPr>
          <w:rFonts w:hint="eastAsia" w:cs="宋体"/>
          <w:szCs w:val="21"/>
        </w:rPr>
        <w:t>）拆除工程的位置，拆除物的类型、结构、面积、高度和层数；</w:t>
      </w:r>
    </w:p>
    <w:p>
      <w:pPr>
        <w:spacing w:line="240" w:lineRule="auto"/>
        <w:ind w:firstLine="660" w:firstLineChars="300"/>
        <w:rPr>
          <w:rFonts w:cs="宋体"/>
          <w:szCs w:val="21"/>
        </w:rPr>
      </w:pPr>
      <w:r>
        <w:rPr>
          <w:rFonts w:cs="宋体"/>
          <w:b/>
          <w:szCs w:val="21"/>
        </w:rPr>
        <w:t>2</w:t>
      </w:r>
      <w:r>
        <w:rPr>
          <w:rFonts w:hint="eastAsia" w:cs="宋体"/>
          <w:szCs w:val="21"/>
        </w:rPr>
        <w:t>）水、电、燃气、通讯等管线分布情况；</w:t>
      </w:r>
    </w:p>
    <w:p>
      <w:pPr>
        <w:spacing w:line="240" w:lineRule="auto"/>
        <w:ind w:firstLine="660" w:firstLineChars="300"/>
        <w:rPr>
          <w:rFonts w:cs="宋体"/>
          <w:szCs w:val="21"/>
        </w:rPr>
      </w:pPr>
      <w:r>
        <w:rPr>
          <w:rFonts w:cs="宋体"/>
          <w:b/>
          <w:szCs w:val="21"/>
        </w:rPr>
        <w:t>3</w:t>
      </w:r>
      <w:r>
        <w:rPr>
          <w:rFonts w:hint="eastAsia" w:cs="宋体"/>
          <w:szCs w:val="21"/>
        </w:rPr>
        <w:t>）周边建筑、道路、环境情况；</w:t>
      </w:r>
    </w:p>
    <w:p>
      <w:pPr>
        <w:spacing w:line="240" w:lineRule="auto"/>
        <w:ind w:firstLine="660" w:firstLineChars="300"/>
        <w:rPr>
          <w:rFonts w:cs="宋体"/>
          <w:szCs w:val="21"/>
        </w:rPr>
      </w:pPr>
      <w:r>
        <w:rPr>
          <w:rFonts w:cs="宋体"/>
          <w:b/>
          <w:szCs w:val="21"/>
        </w:rPr>
        <w:t>4</w:t>
      </w:r>
      <w:r>
        <w:rPr>
          <w:rFonts w:hint="eastAsia" w:cs="宋体"/>
          <w:szCs w:val="21"/>
        </w:rPr>
        <w:t>）拆除工程施工的难度和危险点；</w:t>
      </w:r>
    </w:p>
    <w:p>
      <w:pPr>
        <w:spacing w:line="240" w:lineRule="auto"/>
        <w:ind w:firstLine="660" w:firstLineChars="300"/>
        <w:rPr>
          <w:rFonts w:cs="宋体"/>
          <w:szCs w:val="21"/>
        </w:rPr>
      </w:pPr>
      <w:r>
        <w:rPr>
          <w:rFonts w:cs="宋体"/>
          <w:b/>
          <w:szCs w:val="21"/>
        </w:rPr>
        <w:t>5</w:t>
      </w:r>
      <w:r>
        <w:rPr>
          <w:rFonts w:hint="eastAsia" w:cs="宋体"/>
          <w:szCs w:val="21"/>
        </w:rPr>
        <w:t>）有毒有害物的清除；</w:t>
      </w:r>
    </w:p>
    <w:p>
      <w:pPr>
        <w:spacing w:line="240" w:lineRule="auto"/>
        <w:ind w:firstLine="660" w:firstLineChars="300"/>
        <w:rPr>
          <w:rFonts w:hint="eastAsia" w:cs="宋体"/>
          <w:szCs w:val="21"/>
        </w:rPr>
      </w:pPr>
      <w:r>
        <w:rPr>
          <w:rFonts w:hint="eastAsia" w:cs="宋体"/>
          <w:szCs w:val="21"/>
        </w:rPr>
        <w:t>6）绿色拆除；</w:t>
      </w:r>
    </w:p>
    <w:p>
      <w:pPr>
        <w:spacing w:line="240" w:lineRule="auto"/>
        <w:ind w:firstLine="440"/>
        <w:rPr>
          <w:rFonts w:cs="宋体"/>
          <w:szCs w:val="21"/>
        </w:rPr>
      </w:pPr>
      <w:r>
        <w:rPr>
          <w:rFonts w:cs="宋体"/>
          <w:b/>
          <w:bCs/>
          <w:szCs w:val="21"/>
        </w:rPr>
        <w:t>2</w:t>
      </w:r>
      <w:r>
        <w:rPr>
          <w:rFonts w:cs="宋体"/>
          <w:szCs w:val="21"/>
        </w:rPr>
        <w:t xml:space="preserve">  </w:t>
      </w:r>
      <w:r>
        <w:rPr>
          <w:rFonts w:hint="eastAsia" w:cs="宋体"/>
          <w:szCs w:val="21"/>
        </w:rPr>
        <w:t>拆除工程拆除平面布置图，其内容应包括：</w:t>
      </w:r>
    </w:p>
    <w:p>
      <w:pPr>
        <w:spacing w:line="240" w:lineRule="auto"/>
        <w:ind w:firstLine="660" w:firstLineChars="300"/>
        <w:rPr>
          <w:rFonts w:cs="宋体"/>
          <w:szCs w:val="21"/>
        </w:rPr>
      </w:pPr>
      <w:r>
        <w:rPr>
          <w:rFonts w:hint="eastAsia" w:cs="宋体"/>
          <w:b/>
          <w:szCs w:val="21"/>
        </w:rPr>
        <w:t>1</w:t>
      </w:r>
      <w:r>
        <w:rPr>
          <w:rFonts w:hint="eastAsia" w:cs="宋体"/>
          <w:szCs w:val="21"/>
        </w:rPr>
        <w:t>）现场待拆建筑物和周边建筑、道路等的布置；</w:t>
      </w:r>
    </w:p>
    <w:p>
      <w:pPr>
        <w:spacing w:line="240" w:lineRule="auto"/>
        <w:ind w:firstLine="660" w:firstLineChars="300"/>
        <w:rPr>
          <w:rFonts w:cs="宋体"/>
          <w:szCs w:val="21"/>
        </w:rPr>
      </w:pPr>
      <w:r>
        <w:rPr>
          <w:rFonts w:cs="宋体"/>
          <w:b/>
          <w:szCs w:val="21"/>
        </w:rPr>
        <w:t>2</w:t>
      </w:r>
      <w:r>
        <w:rPr>
          <w:rFonts w:hint="eastAsia" w:cs="宋体"/>
          <w:szCs w:val="21"/>
        </w:rPr>
        <w:t>）隔离和防护设施的布置位置；</w:t>
      </w:r>
    </w:p>
    <w:p>
      <w:pPr>
        <w:spacing w:line="240" w:lineRule="auto"/>
        <w:ind w:firstLine="660" w:firstLineChars="300"/>
        <w:rPr>
          <w:rFonts w:cs="宋体"/>
          <w:szCs w:val="21"/>
        </w:rPr>
      </w:pPr>
      <w:r>
        <w:rPr>
          <w:rFonts w:cs="宋体"/>
          <w:b/>
          <w:szCs w:val="21"/>
        </w:rPr>
        <w:t>3</w:t>
      </w:r>
      <w:r>
        <w:rPr>
          <w:rFonts w:hint="eastAsia" w:cs="宋体"/>
          <w:szCs w:val="21"/>
        </w:rPr>
        <w:t>）施工作业方向；</w:t>
      </w:r>
    </w:p>
    <w:p>
      <w:pPr>
        <w:spacing w:line="240" w:lineRule="auto"/>
        <w:ind w:firstLine="660" w:firstLineChars="300"/>
        <w:rPr>
          <w:rFonts w:cs="宋体"/>
          <w:szCs w:val="21"/>
        </w:rPr>
      </w:pPr>
      <w:r>
        <w:rPr>
          <w:rFonts w:cs="宋体"/>
          <w:b/>
          <w:szCs w:val="21"/>
        </w:rPr>
        <w:t>4</w:t>
      </w:r>
      <w:r>
        <w:rPr>
          <w:rFonts w:hint="eastAsia" w:cs="宋体"/>
          <w:szCs w:val="21"/>
        </w:rPr>
        <w:t>）临时用电设施位置；</w:t>
      </w:r>
    </w:p>
    <w:p>
      <w:pPr>
        <w:spacing w:line="240" w:lineRule="auto"/>
        <w:ind w:firstLine="660" w:firstLineChars="300"/>
        <w:rPr>
          <w:rFonts w:cs="宋体"/>
          <w:szCs w:val="21"/>
        </w:rPr>
      </w:pPr>
      <w:r>
        <w:rPr>
          <w:rFonts w:cs="宋体"/>
          <w:b/>
          <w:szCs w:val="21"/>
        </w:rPr>
        <w:t>5</w:t>
      </w:r>
      <w:r>
        <w:rPr>
          <w:rFonts w:hint="eastAsia" w:cs="宋体"/>
          <w:szCs w:val="21"/>
        </w:rPr>
        <w:t>）现场办公、生活区域位置；</w:t>
      </w:r>
    </w:p>
    <w:p>
      <w:pPr>
        <w:spacing w:line="240" w:lineRule="auto"/>
        <w:ind w:firstLine="660" w:firstLineChars="300"/>
        <w:rPr>
          <w:rFonts w:cs="宋体"/>
          <w:szCs w:val="21"/>
        </w:rPr>
      </w:pPr>
      <w:r>
        <w:rPr>
          <w:rFonts w:cs="宋体"/>
          <w:b/>
          <w:szCs w:val="21"/>
        </w:rPr>
        <w:t>6</w:t>
      </w:r>
      <w:r>
        <w:rPr>
          <w:rFonts w:hint="eastAsia" w:cs="宋体"/>
          <w:szCs w:val="21"/>
        </w:rPr>
        <w:t>）回收材料的堆放位置；</w:t>
      </w:r>
    </w:p>
    <w:p>
      <w:pPr>
        <w:spacing w:line="240" w:lineRule="auto"/>
        <w:ind w:firstLine="660" w:firstLineChars="300"/>
        <w:rPr>
          <w:rFonts w:cs="宋体"/>
          <w:szCs w:val="21"/>
        </w:rPr>
      </w:pPr>
      <w:r>
        <w:rPr>
          <w:rFonts w:cs="宋体"/>
          <w:b/>
          <w:szCs w:val="21"/>
        </w:rPr>
        <w:t>7</w:t>
      </w:r>
      <w:r>
        <w:rPr>
          <w:rFonts w:hint="eastAsia" w:cs="宋体"/>
          <w:szCs w:val="21"/>
        </w:rPr>
        <w:t>）氧、乙炔瓶等易燃、易爆物品临时堆放点；</w:t>
      </w:r>
    </w:p>
    <w:p>
      <w:pPr>
        <w:spacing w:line="240" w:lineRule="auto"/>
        <w:ind w:firstLine="660" w:firstLineChars="300"/>
        <w:rPr>
          <w:rFonts w:cs="宋体"/>
          <w:szCs w:val="21"/>
        </w:rPr>
      </w:pPr>
      <w:r>
        <w:rPr>
          <w:rFonts w:cs="宋体"/>
          <w:b/>
          <w:szCs w:val="21"/>
        </w:rPr>
        <w:t>8</w:t>
      </w:r>
      <w:r>
        <w:rPr>
          <w:rFonts w:hint="eastAsia" w:cs="宋体"/>
          <w:szCs w:val="21"/>
        </w:rPr>
        <w:t>）需保留、保护的管线、设施、建筑等位置；</w:t>
      </w:r>
    </w:p>
    <w:p>
      <w:pPr>
        <w:spacing w:line="240" w:lineRule="auto"/>
        <w:ind w:firstLine="660" w:firstLineChars="300"/>
        <w:rPr>
          <w:rFonts w:cs="宋体"/>
          <w:szCs w:val="21"/>
        </w:rPr>
      </w:pPr>
      <w:r>
        <w:rPr>
          <w:rFonts w:cs="宋体"/>
          <w:b/>
          <w:szCs w:val="21"/>
        </w:rPr>
        <w:t>9</w:t>
      </w:r>
      <w:r>
        <w:rPr>
          <w:rFonts w:hint="eastAsia" w:cs="宋体"/>
          <w:szCs w:val="21"/>
        </w:rPr>
        <w:t>）拆除区域内的主要通道和出人口；</w:t>
      </w:r>
    </w:p>
    <w:p>
      <w:pPr>
        <w:spacing w:line="240" w:lineRule="auto"/>
        <w:ind w:firstLine="440"/>
        <w:rPr>
          <w:rFonts w:cs="宋体"/>
          <w:szCs w:val="21"/>
        </w:rPr>
      </w:pPr>
      <w:r>
        <w:rPr>
          <w:rFonts w:cs="宋体"/>
          <w:b/>
          <w:bCs/>
          <w:szCs w:val="21"/>
        </w:rPr>
        <w:t xml:space="preserve">3  </w:t>
      </w:r>
      <w:r>
        <w:rPr>
          <w:rFonts w:hint="eastAsia" w:cs="宋体"/>
          <w:szCs w:val="21"/>
        </w:rPr>
        <w:t>项目经理和技术人员应根据被拆除建筑物的特点，勘查现场所获得的资料、信息，确定拆除方案和拆除废弃物的综合利用方案；</w:t>
      </w:r>
    </w:p>
    <w:p>
      <w:pPr>
        <w:spacing w:line="240" w:lineRule="auto"/>
        <w:ind w:firstLine="440"/>
        <w:rPr>
          <w:rFonts w:cs="宋体"/>
          <w:szCs w:val="21"/>
        </w:rPr>
      </w:pPr>
      <w:r>
        <w:rPr>
          <w:rFonts w:cs="宋体"/>
          <w:b/>
          <w:bCs/>
          <w:szCs w:val="21"/>
        </w:rPr>
        <w:t>4</w:t>
      </w:r>
      <w:r>
        <w:rPr>
          <w:rFonts w:cs="宋体"/>
          <w:szCs w:val="21"/>
        </w:rPr>
        <w:t xml:space="preserve">  </w:t>
      </w:r>
      <w:r>
        <w:rPr>
          <w:rFonts w:hint="eastAsia" w:cs="宋体"/>
          <w:szCs w:val="21"/>
        </w:rPr>
        <w:t>施工组织管理网络，其内容应包括：</w:t>
      </w:r>
    </w:p>
    <w:p>
      <w:pPr>
        <w:spacing w:line="240" w:lineRule="auto"/>
        <w:ind w:firstLine="660" w:firstLineChars="300"/>
        <w:rPr>
          <w:rFonts w:cs="宋体"/>
          <w:szCs w:val="21"/>
        </w:rPr>
      </w:pPr>
      <w:r>
        <w:rPr>
          <w:rFonts w:hint="eastAsia" w:cs="宋体"/>
          <w:b/>
          <w:szCs w:val="21"/>
        </w:rPr>
        <w:t>1</w:t>
      </w:r>
      <w:r>
        <w:rPr>
          <w:rFonts w:hint="eastAsia" w:cs="宋体"/>
          <w:szCs w:val="21"/>
        </w:rPr>
        <w:t>）建立由项目经理为主要责任人的施工管理网络；</w:t>
      </w:r>
    </w:p>
    <w:p>
      <w:pPr>
        <w:spacing w:line="240" w:lineRule="auto"/>
        <w:ind w:firstLine="660" w:firstLineChars="300"/>
        <w:rPr>
          <w:rFonts w:cs="宋体"/>
          <w:szCs w:val="21"/>
        </w:rPr>
      </w:pPr>
      <w:r>
        <w:rPr>
          <w:rFonts w:cs="宋体"/>
          <w:b/>
          <w:szCs w:val="21"/>
        </w:rPr>
        <w:t>2</w:t>
      </w:r>
      <w:r>
        <w:rPr>
          <w:rFonts w:hint="eastAsia" w:cs="宋体"/>
          <w:szCs w:val="21"/>
        </w:rPr>
        <w:t>）配备相应专业的技术人员和专职安全员；</w:t>
      </w:r>
    </w:p>
    <w:p>
      <w:pPr>
        <w:spacing w:line="240" w:lineRule="auto"/>
        <w:ind w:firstLine="440"/>
        <w:rPr>
          <w:rFonts w:cs="宋体"/>
          <w:szCs w:val="21"/>
        </w:rPr>
      </w:pPr>
      <w:r>
        <w:rPr>
          <w:rFonts w:cs="宋体"/>
          <w:b/>
          <w:bCs/>
          <w:szCs w:val="21"/>
        </w:rPr>
        <w:t>5</w:t>
      </w:r>
      <w:r>
        <w:rPr>
          <w:rFonts w:cs="宋体"/>
          <w:szCs w:val="21"/>
        </w:rPr>
        <w:t xml:space="preserve">  </w:t>
      </w:r>
      <w:r>
        <w:rPr>
          <w:rFonts w:hint="eastAsia" w:cs="宋体"/>
          <w:szCs w:val="21"/>
        </w:rPr>
        <w:t>施工进度计划及劳动力安排，其内容应包括：</w:t>
      </w:r>
    </w:p>
    <w:p>
      <w:pPr>
        <w:spacing w:line="240" w:lineRule="auto"/>
        <w:ind w:firstLine="660" w:firstLineChars="300"/>
        <w:rPr>
          <w:rFonts w:cs="宋体"/>
          <w:szCs w:val="21"/>
        </w:rPr>
      </w:pPr>
      <w:r>
        <w:rPr>
          <w:rFonts w:hint="eastAsia" w:cs="宋体"/>
          <w:b/>
          <w:szCs w:val="21"/>
        </w:rPr>
        <w:t>1</w:t>
      </w:r>
      <w:r>
        <w:rPr>
          <w:rFonts w:hint="eastAsia" w:cs="宋体"/>
          <w:szCs w:val="21"/>
        </w:rPr>
        <w:t>）整个拆除区域建筑物的拆除工程施工顺序；</w:t>
      </w:r>
    </w:p>
    <w:p>
      <w:pPr>
        <w:spacing w:line="240" w:lineRule="auto"/>
        <w:ind w:firstLine="660" w:firstLineChars="300"/>
        <w:rPr>
          <w:rFonts w:cs="宋体"/>
          <w:szCs w:val="21"/>
        </w:rPr>
      </w:pPr>
      <w:r>
        <w:rPr>
          <w:rFonts w:cs="宋体"/>
          <w:b/>
          <w:szCs w:val="21"/>
        </w:rPr>
        <w:t>2</w:t>
      </w:r>
      <w:r>
        <w:rPr>
          <w:rFonts w:hint="eastAsia" w:cs="宋体"/>
          <w:szCs w:val="21"/>
        </w:rPr>
        <w:t>）单体结构的解体顺序；</w:t>
      </w:r>
    </w:p>
    <w:p>
      <w:pPr>
        <w:spacing w:line="240" w:lineRule="auto"/>
        <w:ind w:firstLine="660" w:firstLineChars="300"/>
        <w:rPr>
          <w:rFonts w:cs="宋体"/>
          <w:b/>
          <w:szCs w:val="21"/>
        </w:rPr>
      </w:pPr>
      <w:r>
        <w:rPr>
          <w:rFonts w:hint="eastAsia" w:cs="宋体"/>
          <w:b/>
          <w:szCs w:val="21"/>
        </w:rPr>
        <w:t>3）</w:t>
      </w:r>
      <w:r>
        <w:rPr>
          <w:rFonts w:hint="eastAsia" w:cs="宋体"/>
          <w:szCs w:val="21"/>
        </w:rPr>
        <w:t>尺寸缩减制造建筑材料的工序；</w:t>
      </w:r>
    </w:p>
    <w:p>
      <w:pPr>
        <w:spacing w:line="240" w:lineRule="auto"/>
        <w:ind w:firstLine="660" w:firstLineChars="300"/>
        <w:rPr>
          <w:rFonts w:cs="宋体"/>
          <w:szCs w:val="21"/>
        </w:rPr>
      </w:pPr>
      <w:r>
        <w:rPr>
          <w:rFonts w:cs="宋体"/>
          <w:b/>
          <w:szCs w:val="21"/>
        </w:rPr>
        <w:t>4</w:t>
      </w:r>
      <w:r>
        <w:rPr>
          <w:rFonts w:hint="eastAsia" w:cs="宋体"/>
          <w:szCs w:val="21"/>
        </w:rPr>
        <w:t>）施工形象进度表；</w:t>
      </w:r>
    </w:p>
    <w:p>
      <w:pPr>
        <w:spacing w:line="240" w:lineRule="auto"/>
        <w:ind w:firstLine="660" w:firstLineChars="300"/>
        <w:rPr>
          <w:rFonts w:cs="宋体"/>
          <w:szCs w:val="21"/>
        </w:rPr>
      </w:pPr>
      <w:r>
        <w:rPr>
          <w:rFonts w:cs="宋体"/>
          <w:b/>
          <w:szCs w:val="21"/>
        </w:rPr>
        <w:t>5</w:t>
      </w:r>
      <w:r>
        <w:rPr>
          <w:rFonts w:hint="eastAsia" w:cs="宋体"/>
          <w:szCs w:val="21"/>
        </w:rPr>
        <w:t>）劳动力需用量；</w:t>
      </w:r>
    </w:p>
    <w:p>
      <w:pPr>
        <w:spacing w:line="240" w:lineRule="auto"/>
        <w:ind w:firstLine="440"/>
        <w:rPr>
          <w:rFonts w:cs="宋体"/>
          <w:szCs w:val="21"/>
        </w:rPr>
      </w:pPr>
      <w:r>
        <w:rPr>
          <w:rFonts w:cs="宋体"/>
          <w:b/>
          <w:bCs/>
          <w:szCs w:val="21"/>
        </w:rPr>
        <w:t>6</w:t>
      </w:r>
      <w:r>
        <w:rPr>
          <w:rFonts w:cs="宋体"/>
          <w:szCs w:val="21"/>
        </w:rPr>
        <w:t xml:space="preserve">  </w:t>
      </w:r>
      <w:r>
        <w:rPr>
          <w:rFonts w:hint="eastAsia" w:cs="宋体"/>
          <w:szCs w:val="21"/>
        </w:rPr>
        <w:t>机械设备需用量计划，其内容应包括：</w:t>
      </w:r>
    </w:p>
    <w:p>
      <w:pPr>
        <w:spacing w:line="240" w:lineRule="auto"/>
        <w:ind w:firstLine="660" w:firstLineChars="300"/>
        <w:rPr>
          <w:rFonts w:cs="宋体"/>
          <w:szCs w:val="21"/>
        </w:rPr>
      </w:pPr>
      <w:r>
        <w:rPr>
          <w:rFonts w:hint="eastAsia" w:cs="宋体"/>
          <w:b/>
          <w:szCs w:val="21"/>
        </w:rPr>
        <w:t>1</w:t>
      </w:r>
      <w:r>
        <w:rPr>
          <w:rFonts w:hint="eastAsia" w:cs="宋体"/>
          <w:szCs w:val="21"/>
        </w:rPr>
        <w:t>）各种机械设备(注明名称、型号)、作业有效高度和各种料具(注明品种、规格)的数量；</w:t>
      </w:r>
    </w:p>
    <w:p>
      <w:pPr>
        <w:spacing w:line="240" w:lineRule="auto"/>
        <w:ind w:firstLine="660" w:firstLineChars="300"/>
        <w:rPr>
          <w:rFonts w:cs="宋体"/>
          <w:szCs w:val="21"/>
        </w:rPr>
      </w:pPr>
      <w:r>
        <w:rPr>
          <w:rFonts w:cs="宋体"/>
          <w:b/>
          <w:szCs w:val="21"/>
        </w:rPr>
        <w:t>2</w:t>
      </w:r>
      <w:r>
        <w:rPr>
          <w:rFonts w:hint="eastAsia" w:cs="宋体"/>
          <w:szCs w:val="21"/>
        </w:rPr>
        <w:t>）设备、料具的进、退场的口期及作业计划；</w:t>
      </w:r>
    </w:p>
    <w:p>
      <w:pPr>
        <w:spacing w:line="240" w:lineRule="auto"/>
        <w:ind w:firstLine="660" w:firstLineChars="300"/>
        <w:rPr>
          <w:rFonts w:cs="宋体"/>
          <w:szCs w:val="21"/>
        </w:rPr>
      </w:pPr>
      <w:r>
        <w:rPr>
          <w:rFonts w:cs="宋体"/>
          <w:b/>
          <w:szCs w:val="21"/>
        </w:rPr>
        <w:t>3</w:t>
      </w:r>
      <w:r>
        <w:rPr>
          <w:rFonts w:hint="eastAsia" w:cs="宋体"/>
          <w:szCs w:val="21"/>
        </w:rPr>
        <w:t>）专用设备的定机定人名单；</w:t>
      </w:r>
    </w:p>
    <w:p>
      <w:pPr>
        <w:spacing w:line="240" w:lineRule="auto"/>
        <w:ind w:firstLine="440"/>
        <w:rPr>
          <w:rFonts w:cs="宋体"/>
          <w:bCs/>
          <w:szCs w:val="21"/>
        </w:rPr>
      </w:pPr>
      <w:r>
        <w:rPr>
          <w:rFonts w:cs="宋体"/>
          <w:b/>
          <w:szCs w:val="21"/>
        </w:rPr>
        <w:t xml:space="preserve">7  </w:t>
      </w:r>
      <w:r>
        <w:rPr>
          <w:rFonts w:hint="eastAsia" w:cs="宋体"/>
          <w:bCs/>
          <w:szCs w:val="21"/>
        </w:rPr>
        <w:t>拆除工程施工、安全技术、文明施工措施，其内容应包括：</w:t>
      </w:r>
    </w:p>
    <w:p>
      <w:pPr>
        <w:spacing w:line="240" w:lineRule="auto"/>
        <w:ind w:firstLine="660" w:firstLineChars="300"/>
        <w:rPr>
          <w:rFonts w:cs="宋体"/>
          <w:szCs w:val="21"/>
        </w:rPr>
      </w:pPr>
      <w:r>
        <w:rPr>
          <w:rFonts w:cs="宋体"/>
          <w:b/>
          <w:szCs w:val="21"/>
        </w:rPr>
        <w:t>1</w:t>
      </w:r>
      <w:r>
        <w:rPr>
          <w:rFonts w:hint="eastAsia" w:cs="宋体"/>
          <w:szCs w:val="21"/>
        </w:rPr>
        <w:t>）施工技术和安全技术交底措施；</w:t>
      </w:r>
    </w:p>
    <w:p>
      <w:pPr>
        <w:spacing w:line="240" w:lineRule="auto"/>
        <w:ind w:firstLine="660" w:firstLineChars="300"/>
        <w:rPr>
          <w:rFonts w:cs="宋体"/>
          <w:szCs w:val="21"/>
        </w:rPr>
      </w:pPr>
      <w:r>
        <w:rPr>
          <w:rFonts w:cs="宋体"/>
          <w:b/>
          <w:szCs w:val="21"/>
        </w:rPr>
        <w:t>2</w:t>
      </w:r>
      <w:r>
        <w:rPr>
          <w:rFonts w:hint="eastAsia" w:cs="宋体"/>
          <w:szCs w:val="21"/>
        </w:rPr>
        <w:t>）拆除物涉及区域内地上、地下设施的安全防护技术措施；</w:t>
      </w:r>
    </w:p>
    <w:p>
      <w:pPr>
        <w:spacing w:line="240" w:lineRule="auto"/>
        <w:ind w:firstLine="660" w:firstLineChars="300"/>
        <w:rPr>
          <w:rFonts w:cs="宋体"/>
          <w:szCs w:val="21"/>
        </w:rPr>
      </w:pPr>
      <w:r>
        <w:rPr>
          <w:rFonts w:cs="宋体"/>
          <w:b/>
          <w:szCs w:val="21"/>
        </w:rPr>
        <w:t>3</w:t>
      </w:r>
      <w:r>
        <w:rPr>
          <w:rFonts w:hint="eastAsia" w:cs="宋体"/>
          <w:szCs w:val="21"/>
        </w:rPr>
        <w:t>）周边环境和道路的防护隔离措施；</w:t>
      </w:r>
    </w:p>
    <w:p>
      <w:pPr>
        <w:spacing w:line="240" w:lineRule="auto"/>
        <w:ind w:firstLine="660" w:firstLineChars="300"/>
        <w:rPr>
          <w:rFonts w:cs="宋体"/>
          <w:szCs w:val="21"/>
        </w:rPr>
      </w:pPr>
      <w:r>
        <w:rPr>
          <w:rFonts w:cs="宋体"/>
          <w:b/>
          <w:szCs w:val="21"/>
        </w:rPr>
        <w:t>4</w:t>
      </w:r>
      <w:r>
        <w:rPr>
          <w:rFonts w:hint="eastAsia" w:cs="宋体"/>
          <w:szCs w:val="21"/>
        </w:rPr>
        <w:t>）控制施工噪声、粉尘污染的措施；</w:t>
      </w:r>
    </w:p>
    <w:p>
      <w:pPr>
        <w:spacing w:line="240" w:lineRule="auto"/>
        <w:ind w:firstLine="660" w:firstLineChars="300"/>
        <w:rPr>
          <w:rFonts w:cs="宋体"/>
          <w:szCs w:val="21"/>
        </w:rPr>
      </w:pPr>
      <w:r>
        <w:rPr>
          <w:rFonts w:cs="宋体"/>
          <w:b/>
          <w:szCs w:val="21"/>
        </w:rPr>
        <w:t>5</w:t>
      </w:r>
      <w:r>
        <w:rPr>
          <w:rFonts w:hint="eastAsia" w:cs="宋体"/>
          <w:szCs w:val="21"/>
        </w:rPr>
        <w:t>）施工机械设备、临时用电、拆除物堆场、易燃易爆物品的安全、卫生和防火措施；</w:t>
      </w:r>
    </w:p>
    <w:p>
      <w:pPr>
        <w:spacing w:line="240" w:lineRule="auto"/>
        <w:ind w:firstLine="660" w:firstLineChars="300"/>
        <w:rPr>
          <w:rFonts w:cs="宋体"/>
          <w:szCs w:val="21"/>
        </w:rPr>
      </w:pPr>
      <w:r>
        <w:rPr>
          <w:rFonts w:cs="宋体"/>
          <w:b/>
          <w:szCs w:val="21"/>
        </w:rPr>
        <w:t>6</w:t>
      </w:r>
      <w:r>
        <w:rPr>
          <w:rFonts w:hint="eastAsia" w:cs="宋体"/>
          <w:szCs w:val="21"/>
        </w:rPr>
        <w:t>）脚手架及防护隔离棚，搭设、使用与拆除的安全措施；</w:t>
      </w:r>
    </w:p>
    <w:p>
      <w:pPr>
        <w:spacing w:line="240" w:lineRule="auto"/>
        <w:ind w:firstLine="660" w:firstLineChars="300"/>
        <w:rPr>
          <w:rFonts w:cs="宋体"/>
          <w:szCs w:val="21"/>
        </w:rPr>
      </w:pPr>
      <w:r>
        <w:rPr>
          <w:rFonts w:cs="宋体"/>
          <w:b/>
          <w:szCs w:val="21"/>
        </w:rPr>
        <w:t>7</w:t>
      </w:r>
      <w:r>
        <w:rPr>
          <w:rFonts w:hint="eastAsia" w:cs="宋体"/>
          <w:szCs w:val="21"/>
        </w:rPr>
        <w:t>）对可能发生各类事故的抢救、排险应急预案。</w:t>
      </w:r>
    </w:p>
    <w:p>
      <w:pPr>
        <w:spacing w:line="240" w:lineRule="auto"/>
        <w:rPr>
          <w:rFonts w:hint="eastAsia"/>
          <w:bCs/>
          <w:szCs w:val="21"/>
        </w:rPr>
      </w:pPr>
      <w:r>
        <w:rPr>
          <w:b/>
          <w:bCs/>
          <w:szCs w:val="21"/>
        </w:rPr>
        <w:t xml:space="preserve">4. 1. 3  </w:t>
      </w:r>
      <w:r>
        <w:rPr>
          <w:bCs/>
          <w:szCs w:val="21"/>
        </w:rPr>
        <w:t>施工组织设计应包括建筑废弃物资源化方案</w:t>
      </w:r>
      <w:r>
        <w:rPr>
          <w:rFonts w:hint="eastAsia"/>
          <w:bCs/>
          <w:szCs w:val="21"/>
        </w:rPr>
        <w:t>，降噪、降尘方案等绿色拆除方案；</w:t>
      </w:r>
    </w:p>
    <w:p>
      <w:pPr>
        <w:spacing w:line="240" w:lineRule="auto"/>
        <w:rPr>
          <w:szCs w:val="21"/>
        </w:rPr>
      </w:pPr>
      <w:r>
        <w:rPr>
          <w:b/>
          <w:bCs/>
          <w:szCs w:val="21"/>
        </w:rPr>
        <w:t>4</w:t>
      </w:r>
      <w:r>
        <w:rPr>
          <w:rFonts w:ascii="宋体" w:hAnsi="宋体"/>
          <w:b/>
          <w:bCs/>
          <w:szCs w:val="21"/>
        </w:rPr>
        <w:t>.</w:t>
      </w:r>
      <w:r>
        <w:rPr>
          <w:rFonts w:hint="eastAsia"/>
          <w:b/>
          <w:bCs/>
          <w:szCs w:val="21"/>
        </w:rPr>
        <w:t>1</w:t>
      </w:r>
      <w:r>
        <w:rPr>
          <w:rFonts w:ascii="宋体" w:hAnsi="宋体"/>
          <w:b/>
          <w:bCs/>
          <w:szCs w:val="21"/>
        </w:rPr>
        <w:t>.</w:t>
      </w:r>
      <w:r>
        <w:rPr>
          <w:b/>
          <w:bCs/>
          <w:szCs w:val="21"/>
        </w:rPr>
        <w:t xml:space="preserve">4  </w:t>
      </w:r>
      <w:r>
        <w:rPr>
          <w:rFonts w:hint="eastAsia"/>
          <w:szCs w:val="21"/>
        </w:rPr>
        <w:t>施工组织设计应由企业技术部门组织有关人员编制，企业技术负责人审定；施工过程中确需变更施工组织设计的，应由企业技术负责人重新审定、批准。</w:t>
      </w:r>
    </w:p>
    <w:p>
      <w:pPr>
        <w:pStyle w:val="4"/>
        <w:spacing w:before="240" w:after="240" w:line="240" w:lineRule="auto"/>
        <w:jc w:val="center"/>
        <w:rPr>
          <w:rFonts w:ascii="黑体" w:hAnsi="黑体" w:cs="宋体"/>
          <w:b w:val="0"/>
          <w:bCs w:val="0"/>
          <w:sz w:val="21"/>
          <w:szCs w:val="21"/>
        </w:rPr>
      </w:pPr>
      <w:bookmarkStart w:id="14" w:name="_Toc149641206"/>
      <w:r>
        <w:rPr>
          <w:rFonts w:ascii="Times New Roman" w:hAnsi="Times New Roman"/>
          <w:sz w:val="21"/>
          <w:szCs w:val="21"/>
        </w:rPr>
        <w:t>4</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技 术 论 证</w:t>
      </w:r>
      <w:bookmarkEnd w:id="14"/>
    </w:p>
    <w:p>
      <w:pPr>
        <w:spacing w:line="240" w:lineRule="auto"/>
        <w:rPr>
          <w:szCs w:val="21"/>
        </w:rPr>
      </w:pPr>
      <w:r>
        <w:rPr>
          <w:b/>
          <w:bCs/>
          <w:szCs w:val="21"/>
        </w:rPr>
        <w:t>4</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有下列情况之一，拆除工程施工组织设计应通过专家论证：</w:t>
      </w:r>
    </w:p>
    <w:p>
      <w:pPr>
        <w:spacing w:line="240" w:lineRule="auto"/>
        <w:ind w:firstLine="440"/>
        <w:rPr>
          <w:szCs w:val="21"/>
        </w:rPr>
      </w:pPr>
      <w:r>
        <w:rPr>
          <w:b/>
          <w:bCs/>
          <w:szCs w:val="21"/>
        </w:rPr>
        <w:t>1</w:t>
      </w:r>
      <w:r>
        <w:rPr>
          <w:szCs w:val="21"/>
        </w:rPr>
        <w:t xml:space="preserve">  </w:t>
      </w:r>
      <w:r>
        <w:rPr>
          <w:rFonts w:hint="eastAsia"/>
          <w:szCs w:val="21"/>
        </w:rPr>
        <w:t>拆除工程在市区、中心城镇主要路段或临近公共场所等人流稠密的地方，影响行人、交通和其他建筑物安全；</w:t>
      </w:r>
    </w:p>
    <w:p>
      <w:pPr>
        <w:spacing w:line="240" w:lineRule="auto"/>
        <w:ind w:firstLine="440"/>
        <w:rPr>
          <w:szCs w:val="21"/>
        </w:rPr>
      </w:pPr>
      <w:r>
        <w:rPr>
          <w:rFonts w:hint="eastAsia"/>
          <w:b/>
          <w:bCs/>
          <w:szCs w:val="21"/>
        </w:rPr>
        <w:t>2</w:t>
      </w:r>
      <w:r>
        <w:rPr>
          <w:szCs w:val="21"/>
        </w:rPr>
        <w:t xml:space="preserve">  </w:t>
      </w:r>
      <w:r>
        <w:rPr>
          <w:rFonts w:hint="eastAsia"/>
          <w:szCs w:val="21"/>
        </w:rPr>
        <w:t>拆除的建筑物体为高层建筑、复杂钢结构；</w:t>
      </w:r>
    </w:p>
    <w:p>
      <w:pPr>
        <w:spacing w:line="240" w:lineRule="auto"/>
        <w:ind w:firstLine="440"/>
        <w:rPr>
          <w:szCs w:val="21"/>
        </w:rPr>
      </w:pPr>
      <w:r>
        <w:rPr>
          <w:rFonts w:hint="eastAsia"/>
          <w:b/>
          <w:bCs/>
          <w:szCs w:val="21"/>
        </w:rPr>
        <w:t>3</w:t>
      </w:r>
      <w:r>
        <w:rPr>
          <w:szCs w:val="21"/>
        </w:rPr>
        <w:t xml:space="preserve">  </w:t>
      </w:r>
      <w:r>
        <w:rPr>
          <w:rFonts w:hint="eastAsia"/>
          <w:szCs w:val="21"/>
        </w:rPr>
        <w:t>拆除区域地处文物保护建筑、优秀历史建筑或历史文化风貌区内控制地带范围；</w:t>
      </w:r>
    </w:p>
    <w:p>
      <w:pPr>
        <w:spacing w:line="240" w:lineRule="auto"/>
        <w:ind w:firstLine="440"/>
        <w:rPr>
          <w:szCs w:val="21"/>
        </w:rPr>
      </w:pPr>
      <w:r>
        <w:rPr>
          <w:rFonts w:hint="eastAsia"/>
          <w:b/>
          <w:bCs/>
          <w:szCs w:val="21"/>
        </w:rPr>
        <w:t>4</w:t>
      </w:r>
      <w:r>
        <w:rPr>
          <w:szCs w:val="21"/>
        </w:rPr>
        <w:t xml:space="preserve">  </w:t>
      </w:r>
      <w:r>
        <w:rPr>
          <w:rFonts w:hint="eastAsia"/>
          <w:szCs w:val="21"/>
        </w:rPr>
        <w:t>拆除区域处于轨道交通保护范围、隧道、桥梁以及重要河道，临近地下构筑物或拆除可能影响燃气管道，给排水管道、重要电缆、电讯网；</w:t>
      </w:r>
    </w:p>
    <w:p>
      <w:pPr>
        <w:spacing w:line="240" w:lineRule="auto"/>
        <w:ind w:firstLine="440"/>
        <w:rPr>
          <w:szCs w:val="21"/>
        </w:rPr>
      </w:pPr>
      <w:r>
        <w:rPr>
          <w:rFonts w:hint="eastAsia"/>
          <w:b/>
          <w:bCs/>
          <w:szCs w:val="21"/>
        </w:rPr>
        <w:t>5</w:t>
      </w:r>
      <w:r>
        <w:rPr>
          <w:szCs w:val="21"/>
        </w:rPr>
        <w:t xml:space="preserve">  </w:t>
      </w:r>
      <w:r>
        <w:rPr>
          <w:rFonts w:hint="eastAsia"/>
          <w:szCs w:val="21"/>
        </w:rPr>
        <w:t>拆除高层建筑、码头、桥梁或有毒有害气体、易燃易爆等有其他特殊安全要求的拆除工程，或采用新技术、特殊施工作业方法；</w:t>
      </w:r>
    </w:p>
    <w:p>
      <w:pPr>
        <w:spacing w:line="240" w:lineRule="auto"/>
        <w:ind w:firstLine="440"/>
        <w:rPr>
          <w:szCs w:val="21"/>
        </w:rPr>
      </w:pPr>
      <w:r>
        <w:rPr>
          <w:rFonts w:hint="eastAsia"/>
          <w:b/>
          <w:bCs/>
          <w:szCs w:val="21"/>
        </w:rPr>
        <w:t>6</w:t>
      </w:r>
      <w:r>
        <w:rPr>
          <w:szCs w:val="21"/>
        </w:rPr>
        <w:t xml:space="preserve">  </w:t>
      </w:r>
      <w:r>
        <w:rPr>
          <w:rFonts w:hint="eastAsia"/>
          <w:szCs w:val="21"/>
        </w:rPr>
        <w:t>因环境不允许采用机械拆除，必须采用人工拆除方法；</w:t>
      </w:r>
    </w:p>
    <w:p>
      <w:pPr>
        <w:spacing w:line="240" w:lineRule="auto"/>
        <w:ind w:firstLine="440"/>
        <w:rPr>
          <w:szCs w:val="21"/>
        </w:rPr>
      </w:pPr>
      <w:r>
        <w:rPr>
          <w:rFonts w:hint="eastAsia"/>
          <w:b/>
          <w:bCs/>
          <w:szCs w:val="21"/>
        </w:rPr>
        <w:t>7</w:t>
      </w:r>
      <w:r>
        <w:rPr>
          <w:szCs w:val="21"/>
        </w:rPr>
        <w:t xml:space="preserve">  </w:t>
      </w:r>
      <w:r>
        <w:rPr>
          <w:rFonts w:hint="eastAsia"/>
          <w:szCs w:val="21"/>
        </w:rPr>
        <w:t>应企业要求需要论证。</w:t>
      </w:r>
    </w:p>
    <w:p>
      <w:pPr>
        <w:spacing w:line="240" w:lineRule="auto"/>
        <w:rPr>
          <w:szCs w:val="21"/>
        </w:rPr>
      </w:pPr>
      <w:r>
        <w:rPr>
          <w:b/>
          <w:bCs/>
          <w:szCs w:val="21"/>
        </w:rPr>
        <w:t>4</w:t>
      </w:r>
      <w:r>
        <w:rPr>
          <w:rFonts w:ascii="宋体" w:hAnsi="宋体"/>
          <w:b/>
          <w:bCs/>
          <w:szCs w:val="21"/>
        </w:rPr>
        <w:t>.</w:t>
      </w:r>
      <w:r>
        <w:rPr>
          <w:b/>
          <w:bCs/>
          <w:szCs w:val="21"/>
        </w:rPr>
        <w:t>2</w:t>
      </w:r>
      <w:r>
        <w:rPr>
          <w:rFonts w:ascii="宋体" w:hAnsi="宋体"/>
          <w:b/>
          <w:bCs/>
          <w:szCs w:val="21"/>
        </w:rPr>
        <w:t>.</w:t>
      </w:r>
      <w:r>
        <w:rPr>
          <w:b/>
          <w:bCs/>
          <w:szCs w:val="21"/>
        </w:rPr>
        <w:t xml:space="preserve">2  </w:t>
      </w:r>
      <w:r>
        <w:rPr>
          <w:rFonts w:hint="eastAsia"/>
          <w:szCs w:val="21"/>
        </w:rPr>
        <w:t>技术论证小组应由土木工程、机械工程、环境工程等相关领域专家组成。</w:t>
      </w:r>
    </w:p>
    <w:p>
      <w:pPr>
        <w:spacing w:line="240" w:lineRule="auto"/>
        <w:rPr>
          <w:szCs w:val="21"/>
        </w:rPr>
      </w:pPr>
      <w:r>
        <w:rPr>
          <w:b/>
          <w:bCs/>
          <w:szCs w:val="21"/>
        </w:rPr>
        <w:t>4</w:t>
      </w:r>
      <w:r>
        <w:rPr>
          <w:rFonts w:ascii="宋体" w:hAnsi="宋体"/>
          <w:b/>
          <w:bCs/>
          <w:szCs w:val="21"/>
        </w:rPr>
        <w:t>.</w:t>
      </w:r>
      <w:r>
        <w:rPr>
          <w:b/>
          <w:bCs/>
          <w:szCs w:val="21"/>
        </w:rPr>
        <w:t>2</w:t>
      </w:r>
      <w:r>
        <w:rPr>
          <w:rFonts w:ascii="宋体" w:hAnsi="宋体"/>
          <w:b/>
          <w:bCs/>
          <w:szCs w:val="21"/>
        </w:rPr>
        <w:t>.</w:t>
      </w:r>
      <w:r>
        <w:rPr>
          <w:b/>
          <w:bCs/>
          <w:szCs w:val="21"/>
        </w:rPr>
        <w:t xml:space="preserve">3  </w:t>
      </w:r>
      <w:r>
        <w:rPr>
          <w:rFonts w:hint="eastAsia"/>
          <w:szCs w:val="21"/>
        </w:rPr>
        <w:t>技术论证时应由建设单位(或委托单位)会同拆除工程施工企业提供下列资料：</w:t>
      </w:r>
    </w:p>
    <w:p>
      <w:pPr>
        <w:spacing w:line="240" w:lineRule="auto"/>
        <w:ind w:firstLine="440"/>
        <w:rPr>
          <w:szCs w:val="21"/>
        </w:rPr>
      </w:pPr>
      <w:r>
        <w:rPr>
          <w:b/>
          <w:bCs/>
          <w:szCs w:val="21"/>
        </w:rPr>
        <w:t>1</w:t>
      </w:r>
      <w:r>
        <w:rPr>
          <w:szCs w:val="21"/>
        </w:rPr>
        <w:t xml:space="preserve">  </w:t>
      </w:r>
      <w:r>
        <w:rPr>
          <w:rFonts w:hint="eastAsia"/>
          <w:szCs w:val="21"/>
        </w:rPr>
        <w:t>经有关行政管理部门批准的建设项目文件；</w:t>
      </w:r>
    </w:p>
    <w:p>
      <w:pPr>
        <w:spacing w:line="240" w:lineRule="auto"/>
        <w:ind w:firstLine="440"/>
        <w:rPr>
          <w:szCs w:val="21"/>
        </w:rPr>
      </w:pPr>
      <w:r>
        <w:rPr>
          <w:b/>
          <w:bCs/>
          <w:szCs w:val="21"/>
        </w:rPr>
        <w:t>2</w:t>
      </w:r>
      <w:r>
        <w:rPr>
          <w:szCs w:val="21"/>
        </w:rPr>
        <w:t xml:space="preserve">  从事</w:t>
      </w:r>
      <w:r>
        <w:rPr>
          <w:rFonts w:hint="eastAsia"/>
          <w:szCs w:val="21"/>
        </w:rPr>
        <w:t>拆除工程施工相应的建筑企业的资质证明；</w:t>
      </w:r>
    </w:p>
    <w:p>
      <w:pPr>
        <w:spacing w:line="240" w:lineRule="auto"/>
        <w:ind w:firstLine="440"/>
        <w:rPr>
          <w:szCs w:val="21"/>
        </w:rPr>
      </w:pPr>
      <w:r>
        <w:rPr>
          <w:rFonts w:hint="eastAsia"/>
          <w:b/>
          <w:bCs/>
          <w:szCs w:val="21"/>
        </w:rPr>
        <w:t>3</w:t>
      </w:r>
      <w:r>
        <w:rPr>
          <w:szCs w:val="21"/>
        </w:rPr>
        <w:t xml:space="preserve">  </w:t>
      </w:r>
      <w:r>
        <w:rPr>
          <w:rFonts w:hint="eastAsia"/>
          <w:szCs w:val="21"/>
        </w:rPr>
        <w:t>拆除工程施工合同及安全管理协议；</w:t>
      </w:r>
    </w:p>
    <w:p>
      <w:pPr>
        <w:spacing w:line="240" w:lineRule="auto"/>
        <w:ind w:firstLine="440"/>
        <w:rPr>
          <w:szCs w:val="21"/>
        </w:rPr>
      </w:pPr>
      <w:r>
        <w:rPr>
          <w:rFonts w:hint="eastAsia"/>
          <w:b/>
          <w:bCs/>
          <w:szCs w:val="21"/>
        </w:rPr>
        <w:t>4</w:t>
      </w:r>
      <w:r>
        <w:rPr>
          <w:szCs w:val="21"/>
        </w:rPr>
        <w:t xml:space="preserve">  </w:t>
      </w:r>
      <w:r>
        <w:rPr>
          <w:rFonts w:hint="eastAsia"/>
          <w:szCs w:val="21"/>
        </w:rPr>
        <w:t>拆除工程施工组织设计文件；</w:t>
      </w:r>
    </w:p>
    <w:p>
      <w:pPr>
        <w:spacing w:line="240" w:lineRule="auto"/>
        <w:ind w:firstLine="440"/>
        <w:rPr>
          <w:szCs w:val="21"/>
        </w:rPr>
      </w:pPr>
      <w:r>
        <w:rPr>
          <w:rFonts w:hint="eastAsia"/>
          <w:b/>
          <w:bCs/>
          <w:szCs w:val="21"/>
        </w:rPr>
        <w:t>5</w:t>
      </w:r>
      <w:r>
        <w:rPr>
          <w:szCs w:val="21"/>
        </w:rPr>
        <w:t xml:space="preserve">  </w:t>
      </w:r>
      <w:r>
        <w:rPr>
          <w:rFonts w:hint="eastAsia"/>
          <w:szCs w:val="21"/>
        </w:rPr>
        <w:t>拆除工程项目经理、技术负责人和安全人员名单和有效证件。</w:t>
      </w:r>
    </w:p>
    <w:p>
      <w:pPr>
        <w:spacing w:line="240" w:lineRule="auto"/>
        <w:rPr>
          <w:szCs w:val="21"/>
        </w:rPr>
      </w:pPr>
      <w:r>
        <w:rPr>
          <w:b/>
          <w:bCs/>
          <w:szCs w:val="21"/>
        </w:rPr>
        <w:t>4</w:t>
      </w:r>
      <w:r>
        <w:rPr>
          <w:rFonts w:ascii="宋体" w:hAnsi="宋体"/>
          <w:b/>
          <w:bCs/>
          <w:szCs w:val="21"/>
        </w:rPr>
        <w:t>.</w:t>
      </w:r>
      <w:r>
        <w:rPr>
          <w:b/>
          <w:bCs/>
          <w:szCs w:val="21"/>
        </w:rPr>
        <w:t>2</w:t>
      </w:r>
      <w:r>
        <w:rPr>
          <w:rFonts w:ascii="宋体" w:hAnsi="宋体"/>
          <w:b/>
          <w:bCs/>
          <w:szCs w:val="21"/>
        </w:rPr>
        <w:t>.</w:t>
      </w:r>
      <w:r>
        <w:rPr>
          <w:b/>
          <w:bCs/>
          <w:szCs w:val="21"/>
        </w:rPr>
        <w:t xml:space="preserve">4  </w:t>
      </w:r>
      <w:r>
        <w:rPr>
          <w:rFonts w:hint="eastAsia"/>
          <w:szCs w:val="21"/>
        </w:rPr>
        <w:t>技术论证的重点应包括：</w:t>
      </w:r>
    </w:p>
    <w:p>
      <w:pPr>
        <w:spacing w:line="240" w:lineRule="auto"/>
        <w:ind w:firstLine="440"/>
        <w:rPr>
          <w:szCs w:val="21"/>
        </w:rPr>
      </w:pPr>
      <w:r>
        <w:rPr>
          <w:b/>
          <w:bCs/>
          <w:szCs w:val="21"/>
        </w:rPr>
        <w:t>1</w:t>
      </w:r>
      <w:r>
        <w:rPr>
          <w:szCs w:val="21"/>
        </w:rPr>
        <w:t xml:space="preserve">  </w:t>
      </w:r>
      <w:r>
        <w:rPr>
          <w:rFonts w:hint="eastAsia"/>
          <w:szCs w:val="21"/>
        </w:rPr>
        <w:t>拆除工程施工方法的科学性、合理性和安全性；</w:t>
      </w:r>
    </w:p>
    <w:p>
      <w:pPr>
        <w:spacing w:line="240" w:lineRule="auto"/>
        <w:ind w:firstLine="440"/>
        <w:rPr>
          <w:szCs w:val="21"/>
        </w:rPr>
      </w:pPr>
      <w:r>
        <w:rPr>
          <w:b/>
          <w:bCs/>
          <w:szCs w:val="21"/>
        </w:rPr>
        <w:t>2</w:t>
      </w:r>
      <w:r>
        <w:rPr>
          <w:szCs w:val="21"/>
        </w:rPr>
        <w:t xml:space="preserve">  </w:t>
      </w:r>
      <w:r>
        <w:rPr>
          <w:rFonts w:hint="eastAsia"/>
          <w:szCs w:val="21"/>
        </w:rPr>
        <w:t>拆除工程施工安全技术、文明施工措施的有效性和严密性。</w:t>
      </w:r>
    </w:p>
    <w:p>
      <w:pPr>
        <w:spacing w:line="240" w:lineRule="auto"/>
        <w:rPr>
          <w:szCs w:val="21"/>
        </w:rPr>
      </w:pPr>
      <w:r>
        <w:rPr>
          <w:b/>
          <w:bCs/>
          <w:szCs w:val="21"/>
        </w:rPr>
        <w:t>4</w:t>
      </w:r>
      <w:r>
        <w:rPr>
          <w:rFonts w:ascii="宋体" w:hAnsi="宋体"/>
          <w:b/>
          <w:bCs/>
          <w:szCs w:val="21"/>
        </w:rPr>
        <w:t>.</w:t>
      </w:r>
      <w:r>
        <w:rPr>
          <w:b/>
          <w:bCs/>
          <w:szCs w:val="21"/>
        </w:rPr>
        <w:t>2</w:t>
      </w:r>
      <w:r>
        <w:rPr>
          <w:rFonts w:ascii="宋体" w:hAnsi="宋体"/>
          <w:b/>
          <w:bCs/>
          <w:szCs w:val="21"/>
        </w:rPr>
        <w:t>.</w:t>
      </w:r>
      <w:r>
        <w:rPr>
          <w:b/>
          <w:bCs/>
          <w:szCs w:val="21"/>
        </w:rPr>
        <w:t xml:space="preserve">5  </w:t>
      </w:r>
      <w:r>
        <w:rPr>
          <w:rFonts w:hint="eastAsia"/>
          <w:szCs w:val="21"/>
        </w:rPr>
        <w:t>技术论证应形成书面意见书，经专家组组长签字确认后作为拆除工程施工单位开工报监材料之一。</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15" w:name="_Toc149641207"/>
      <w:r>
        <w:rPr>
          <w:rStyle w:val="22"/>
          <w:rFonts w:ascii="Times New Roman" w:hAnsi="Times New Roman" w:cs="Times New Roman"/>
          <w:sz w:val="28"/>
          <w:szCs w:val="28"/>
        </w:rPr>
        <w:t>5</w:t>
      </w:r>
      <w:r>
        <w:rPr>
          <w:rStyle w:val="22"/>
          <w:rFonts w:hint="eastAsia" w:ascii="宋体" w:hAnsi="宋体"/>
          <w:sz w:val="28"/>
          <w:szCs w:val="28"/>
        </w:rPr>
        <w:t xml:space="preserve">  </w:t>
      </w:r>
      <w:r>
        <w:rPr>
          <w:rStyle w:val="22"/>
          <w:rFonts w:hint="eastAsia" w:ascii="宋体" w:hAnsi="宋体" w:eastAsia="宋体"/>
          <w:b w:val="0"/>
          <w:bCs w:val="0"/>
          <w:sz w:val="28"/>
          <w:szCs w:val="28"/>
        </w:rPr>
        <w:t>绿色拆除作业</w:t>
      </w:r>
      <w:bookmarkEnd w:id="15"/>
    </w:p>
    <w:p>
      <w:pPr>
        <w:pStyle w:val="4"/>
        <w:spacing w:before="240" w:after="240" w:line="240" w:lineRule="auto"/>
        <w:jc w:val="center"/>
        <w:rPr>
          <w:rFonts w:ascii="黑体" w:hAnsi="黑体" w:cs="宋体"/>
          <w:b w:val="0"/>
          <w:bCs w:val="0"/>
          <w:sz w:val="21"/>
          <w:szCs w:val="21"/>
        </w:rPr>
      </w:pPr>
      <w:bookmarkStart w:id="16" w:name="_Toc149641208"/>
      <w:r>
        <w:rPr>
          <w:rFonts w:ascii="Times New Roman" w:hAnsi="Times New Roman"/>
          <w:sz w:val="21"/>
          <w:szCs w:val="21"/>
        </w:rPr>
        <w:t>5</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r>
        <w:rPr>
          <w:rFonts w:hint="eastAsia" w:ascii="黑体" w:hAnsi="黑体" w:eastAsia="黑体"/>
          <w:b w:val="0"/>
          <w:sz w:val="21"/>
          <w:szCs w:val="21"/>
        </w:rPr>
        <w:t>一 般 规 定</w:t>
      </w:r>
      <w:bookmarkEnd w:id="16"/>
    </w:p>
    <w:p>
      <w:pPr>
        <w:spacing w:line="240" w:lineRule="auto"/>
        <w:rPr>
          <w:szCs w:val="21"/>
        </w:rPr>
      </w:pPr>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 xml:space="preserve">1  </w:t>
      </w:r>
      <w:r>
        <w:rPr>
          <w:rFonts w:hint="eastAsia"/>
          <w:szCs w:val="21"/>
        </w:rPr>
        <w:t>绿色拆除作业应遵循“围挡封闭、监测覆盖、湿法作业、反向建造工序拆除、分类堆放、源头减量、密闭运输、全程监控”的原则。</w:t>
      </w:r>
    </w:p>
    <w:p>
      <w:pPr>
        <w:spacing w:line="240" w:lineRule="auto"/>
        <w:rPr>
          <w:szCs w:val="21"/>
        </w:rPr>
      </w:pPr>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 xml:space="preserve">2  </w:t>
      </w:r>
      <w:r>
        <w:rPr>
          <w:rFonts w:hint="eastAsia"/>
          <w:szCs w:val="21"/>
        </w:rPr>
        <w:t>绿色拆除应符合《建筑工程绿色施工规范》GB/T 50905、《建筑物拆除工程安全技术规范》JGJ 147的规定。</w:t>
      </w:r>
    </w:p>
    <w:p>
      <w:pPr>
        <w:spacing w:line="240" w:lineRule="auto"/>
        <w:rPr>
          <w:szCs w:val="21"/>
        </w:rPr>
      </w:pPr>
      <w:bookmarkStart w:id="17" w:name="_Hlk149575936"/>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3</w:t>
      </w:r>
      <w:bookmarkEnd w:id="17"/>
      <w:r>
        <w:rPr>
          <w:b/>
          <w:bCs/>
          <w:szCs w:val="21"/>
        </w:rPr>
        <w:t xml:space="preserve">  </w:t>
      </w:r>
      <w:r>
        <w:rPr>
          <w:rFonts w:hint="eastAsia"/>
          <w:szCs w:val="21"/>
        </w:rPr>
        <w:t>拆除作业不应对大气、地表水、地下水、土壤、生态环境等造成污染和破坏。</w:t>
      </w:r>
    </w:p>
    <w:p>
      <w:pPr>
        <w:spacing w:line="240" w:lineRule="auto"/>
        <w:rPr>
          <w:szCs w:val="21"/>
        </w:rPr>
      </w:pPr>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 xml:space="preserve">4  </w:t>
      </w:r>
      <w:r>
        <w:rPr>
          <w:rFonts w:hint="eastAsia"/>
          <w:szCs w:val="21"/>
        </w:rPr>
        <w:t>拆除作业必须使用节能环保型机具，且机具操作应保证专机专人，持证上岗。</w:t>
      </w:r>
    </w:p>
    <w:p>
      <w:pPr>
        <w:spacing w:line="240" w:lineRule="auto"/>
        <w:rPr>
          <w:szCs w:val="21"/>
        </w:rPr>
      </w:pPr>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 xml:space="preserve">5  </w:t>
      </w:r>
      <w:r>
        <w:rPr>
          <w:rFonts w:hint="eastAsia"/>
          <w:szCs w:val="21"/>
        </w:rPr>
        <w:t>拆除材料应及时清理、分类收集、分类存放，并保证现场堆体的稳定性。</w:t>
      </w:r>
    </w:p>
    <w:p>
      <w:pPr>
        <w:spacing w:line="240" w:lineRule="auto"/>
        <w:rPr>
          <w:szCs w:val="21"/>
        </w:rPr>
      </w:pPr>
      <w:r>
        <w:rPr>
          <w:b/>
          <w:bCs/>
          <w:szCs w:val="21"/>
        </w:rPr>
        <w:t>5</w:t>
      </w:r>
      <w:r>
        <w:rPr>
          <w:rFonts w:ascii="宋体" w:hAnsi="宋体"/>
          <w:b/>
          <w:bCs/>
          <w:szCs w:val="21"/>
        </w:rPr>
        <w:t>.</w:t>
      </w:r>
      <w:r>
        <w:rPr>
          <w:rFonts w:hint="eastAsia"/>
          <w:b/>
          <w:bCs/>
          <w:szCs w:val="21"/>
        </w:rPr>
        <w:t>1</w:t>
      </w:r>
      <w:r>
        <w:rPr>
          <w:rFonts w:ascii="宋体" w:hAnsi="宋体"/>
          <w:b/>
          <w:bCs/>
          <w:szCs w:val="21"/>
        </w:rPr>
        <w:t>.</w:t>
      </w:r>
      <w:r>
        <w:rPr>
          <w:b/>
          <w:bCs/>
          <w:szCs w:val="21"/>
        </w:rPr>
        <w:t xml:space="preserve">6  </w:t>
      </w:r>
      <w:r>
        <w:rPr>
          <w:rFonts w:hint="eastAsia"/>
          <w:szCs w:val="21"/>
        </w:rPr>
        <w:t>危险性较大的建筑物拆除应由拆除工程承包单位织编制专项施工方案；超过一定规模的，应按相关规定组织专家论证。</w:t>
      </w:r>
    </w:p>
    <w:p>
      <w:pPr>
        <w:pStyle w:val="4"/>
        <w:spacing w:before="240" w:after="240" w:line="240" w:lineRule="auto"/>
        <w:jc w:val="center"/>
        <w:rPr>
          <w:rFonts w:ascii="黑体" w:hAnsi="黑体" w:cs="宋体"/>
          <w:b w:val="0"/>
          <w:bCs w:val="0"/>
          <w:sz w:val="21"/>
          <w:szCs w:val="21"/>
        </w:rPr>
      </w:pPr>
      <w:bookmarkStart w:id="18" w:name="_Toc149641209"/>
      <w:r>
        <w:rPr>
          <w:rFonts w:ascii="Times New Roman" w:hAnsi="Times New Roman"/>
          <w:sz w:val="21"/>
          <w:szCs w:val="21"/>
        </w:rPr>
        <w:t>5</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拆除作业准备</w:t>
      </w:r>
      <w:bookmarkEnd w:id="18"/>
    </w:p>
    <w:p>
      <w:pPr>
        <w:spacing w:line="240" w:lineRule="auto"/>
        <w:rPr>
          <w:szCs w:val="21"/>
        </w:rPr>
      </w:pPr>
      <w:r>
        <w:rPr>
          <w:b/>
          <w:bCs/>
          <w:szCs w:val="21"/>
        </w:rPr>
        <w:t>5</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场区围挡应符合下列规定：</w:t>
      </w:r>
    </w:p>
    <w:p>
      <w:pPr>
        <w:spacing w:line="240" w:lineRule="auto"/>
        <w:ind w:firstLine="440"/>
        <w:rPr>
          <w:szCs w:val="21"/>
        </w:rPr>
      </w:pPr>
      <w:r>
        <w:rPr>
          <w:b/>
          <w:bCs/>
          <w:szCs w:val="21"/>
        </w:rPr>
        <w:t>1</w:t>
      </w:r>
      <w:r>
        <w:rPr>
          <w:szCs w:val="21"/>
        </w:rPr>
        <w:t xml:space="preserve">  </w:t>
      </w:r>
      <w:r>
        <w:rPr>
          <w:rFonts w:hint="eastAsia"/>
          <w:szCs w:val="21"/>
        </w:rPr>
        <w:t>围挡应连续封闭设置，围挡高度不应低于</w:t>
      </w:r>
      <w:r>
        <w:rPr>
          <w:szCs w:val="21"/>
        </w:rPr>
        <w:t>3.0</w:t>
      </w:r>
      <w:r>
        <w:rPr>
          <w:rFonts w:hint="eastAsia"/>
          <w:szCs w:val="21"/>
        </w:rPr>
        <w:t>m，围挡底部应与地面无缝衔接，严禁泥浆外漏；</w:t>
      </w:r>
    </w:p>
    <w:p>
      <w:pPr>
        <w:spacing w:line="240" w:lineRule="auto"/>
        <w:ind w:firstLine="440"/>
        <w:rPr>
          <w:szCs w:val="21"/>
        </w:rPr>
      </w:pPr>
      <w:r>
        <w:rPr>
          <w:rFonts w:hint="eastAsia"/>
          <w:b/>
          <w:bCs/>
          <w:szCs w:val="21"/>
        </w:rPr>
        <w:t>2</w:t>
      </w:r>
      <w:r>
        <w:rPr>
          <w:szCs w:val="21"/>
        </w:rPr>
        <w:t xml:space="preserve">  </w:t>
      </w:r>
      <w:r>
        <w:rPr>
          <w:rFonts w:hint="eastAsia"/>
          <w:szCs w:val="21"/>
        </w:rPr>
        <w:t>围挡上部应设置喷淋系统，喷头大小宜设置为</w:t>
      </w:r>
      <w:r>
        <w:rPr>
          <w:szCs w:val="21"/>
        </w:rPr>
        <w:t>4cm</w:t>
      </w:r>
      <w:r>
        <w:rPr>
          <w:rFonts w:hint="eastAsia"/>
          <w:szCs w:val="21"/>
        </w:rPr>
        <w:t>，间隔距离不应超过</w:t>
      </w:r>
      <w:r>
        <w:rPr>
          <w:szCs w:val="21"/>
        </w:rPr>
        <w:t>3m</w:t>
      </w:r>
      <w:r>
        <w:rPr>
          <w:rFonts w:hint="eastAsia"/>
          <w:szCs w:val="21"/>
        </w:rPr>
        <w:t>，围挡内外侧水雾范围应达到</w:t>
      </w:r>
      <w:r>
        <w:rPr>
          <w:szCs w:val="21"/>
        </w:rPr>
        <w:t>2m</w:t>
      </w:r>
      <w:r>
        <w:rPr>
          <w:rFonts w:hint="eastAsia"/>
          <w:szCs w:val="21"/>
        </w:rPr>
        <w:t>～</w:t>
      </w:r>
      <w:r>
        <w:rPr>
          <w:szCs w:val="21"/>
        </w:rPr>
        <w:t>3m</w:t>
      </w:r>
      <w:r>
        <w:rPr>
          <w:rFonts w:hint="eastAsia"/>
          <w:szCs w:val="21"/>
        </w:rPr>
        <w:t>，喷头向上喷射角度与水平墙顶的夹角应为</w:t>
      </w:r>
      <w:r>
        <w:rPr>
          <w:szCs w:val="21"/>
        </w:rPr>
        <w:t>30°</w:t>
      </w:r>
      <w:r>
        <w:rPr>
          <w:rFonts w:hint="eastAsia"/>
          <w:szCs w:val="21"/>
        </w:rPr>
        <w:t>~</w:t>
      </w:r>
      <w:r>
        <w:rPr>
          <w:szCs w:val="21"/>
        </w:rPr>
        <w:t>60°</w:t>
      </w:r>
      <w:r>
        <w:rPr>
          <w:rFonts w:hint="eastAsia"/>
          <w:szCs w:val="21"/>
        </w:rPr>
        <w:t>，且必须与拆除作业同步全时开启；</w:t>
      </w:r>
    </w:p>
    <w:p>
      <w:pPr>
        <w:spacing w:line="240" w:lineRule="auto"/>
        <w:ind w:firstLine="440"/>
        <w:rPr>
          <w:szCs w:val="21"/>
        </w:rPr>
      </w:pPr>
      <w:r>
        <w:rPr>
          <w:rFonts w:hint="eastAsia"/>
          <w:b/>
          <w:bCs/>
          <w:szCs w:val="21"/>
        </w:rPr>
        <w:t>3</w:t>
      </w:r>
      <w:r>
        <w:rPr>
          <w:szCs w:val="21"/>
        </w:rPr>
        <w:t xml:space="preserve">  </w:t>
      </w:r>
      <w:r>
        <w:rPr>
          <w:rFonts w:hint="eastAsia"/>
          <w:szCs w:val="21"/>
        </w:rPr>
        <w:t>主次干道及重要部位应采用围挡，其他道路可采用护栏；</w:t>
      </w:r>
    </w:p>
    <w:p>
      <w:pPr>
        <w:spacing w:line="240" w:lineRule="auto"/>
        <w:ind w:firstLine="440"/>
        <w:rPr>
          <w:szCs w:val="21"/>
        </w:rPr>
      </w:pPr>
      <w:r>
        <w:rPr>
          <w:rFonts w:hint="eastAsia"/>
          <w:b/>
          <w:bCs/>
          <w:szCs w:val="21"/>
        </w:rPr>
        <w:t>4</w:t>
      </w:r>
      <w:r>
        <w:rPr>
          <w:szCs w:val="21"/>
        </w:rPr>
        <w:t xml:space="preserve">  </w:t>
      </w:r>
      <w:r>
        <w:rPr>
          <w:rFonts w:hint="eastAsia"/>
          <w:szCs w:val="21"/>
        </w:rPr>
        <w:t>出入口及弯道部位应设置透视围挡，防止产生视觉盲区。</w:t>
      </w:r>
    </w:p>
    <w:p>
      <w:pPr>
        <w:spacing w:line="240" w:lineRule="auto"/>
        <w:rPr>
          <w:szCs w:val="21"/>
        </w:rPr>
      </w:pPr>
      <w:r>
        <w:rPr>
          <w:b/>
          <w:bCs/>
          <w:szCs w:val="21"/>
        </w:rPr>
        <w:t>5</w:t>
      </w:r>
      <w:r>
        <w:rPr>
          <w:rFonts w:ascii="宋体" w:hAnsi="宋体"/>
          <w:b/>
          <w:bCs/>
          <w:szCs w:val="21"/>
        </w:rPr>
        <w:t>.</w:t>
      </w:r>
      <w:r>
        <w:rPr>
          <w:b/>
          <w:bCs/>
          <w:szCs w:val="21"/>
        </w:rPr>
        <w:t>2</w:t>
      </w:r>
      <w:r>
        <w:rPr>
          <w:rFonts w:ascii="宋体" w:hAnsi="宋体"/>
          <w:b/>
          <w:bCs/>
          <w:szCs w:val="21"/>
        </w:rPr>
        <w:t>.</w:t>
      </w:r>
      <w:r>
        <w:rPr>
          <w:b/>
          <w:bCs/>
          <w:szCs w:val="21"/>
        </w:rPr>
        <w:t xml:space="preserve">2  </w:t>
      </w:r>
      <w:r>
        <w:rPr>
          <w:rFonts w:hint="eastAsia"/>
          <w:szCs w:val="21"/>
        </w:rPr>
        <w:t>拆除现场出入口设置应符合下列规定：</w:t>
      </w:r>
    </w:p>
    <w:p>
      <w:pPr>
        <w:spacing w:line="240" w:lineRule="auto"/>
        <w:ind w:firstLine="440"/>
        <w:rPr>
          <w:szCs w:val="21"/>
        </w:rPr>
      </w:pPr>
      <w:r>
        <w:rPr>
          <w:b/>
          <w:bCs/>
          <w:szCs w:val="21"/>
        </w:rPr>
        <w:t>1</w:t>
      </w:r>
      <w:r>
        <w:rPr>
          <w:szCs w:val="21"/>
        </w:rPr>
        <w:t xml:space="preserve">  </w:t>
      </w:r>
      <w:r>
        <w:rPr>
          <w:rFonts w:hint="eastAsia"/>
          <w:szCs w:val="21"/>
        </w:rPr>
        <w:t>出入口处必须按要求设置工程概况牌、施工管理人员及监督电话牌、安全生产纪律牌、文明施工管理牌、消防保卫管理牌、十项安全技术措施牌、警示佩戴安全帽牌、扬尘治理和拆除废弃物处置责任公示牌等；</w:t>
      </w:r>
    </w:p>
    <w:p>
      <w:pPr>
        <w:spacing w:line="240" w:lineRule="auto"/>
        <w:ind w:firstLine="440"/>
        <w:rPr>
          <w:szCs w:val="21"/>
        </w:rPr>
      </w:pPr>
      <w:r>
        <w:rPr>
          <w:rFonts w:hint="eastAsia"/>
          <w:b/>
          <w:bCs/>
          <w:szCs w:val="21"/>
        </w:rPr>
        <w:t>2</w:t>
      </w:r>
      <w:r>
        <w:rPr>
          <w:szCs w:val="21"/>
        </w:rPr>
        <w:t xml:space="preserve">  </w:t>
      </w:r>
      <w:r>
        <w:rPr>
          <w:rFonts w:hint="eastAsia"/>
          <w:szCs w:val="21"/>
        </w:rPr>
        <w:t>拆除现场出入口门净宽不小于6m，应采用道闸或电动门。出入口处路面必须硬化，硬化长度一般不低于50m或连接至市政道路；</w:t>
      </w:r>
    </w:p>
    <w:p>
      <w:pPr>
        <w:spacing w:line="240" w:lineRule="auto"/>
        <w:ind w:firstLine="440"/>
        <w:rPr>
          <w:szCs w:val="21"/>
        </w:rPr>
      </w:pPr>
      <w:r>
        <w:rPr>
          <w:rFonts w:hint="eastAsia"/>
          <w:b/>
          <w:bCs/>
          <w:szCs w:val="21"/>
        </w:rPr>
        <w:t>3</w:t>
      </w:r>
      <w:r>
        <w:rPr>
          <w:szCs w:val="21"/>
        </w:rPr>
        <w:t xml:space="preserve">  </w:t>
      </w:r>
      <w:r>
        <w:rPr>
          <w:rFonts w:hint="eastAsia"/>
          <w:szCs w:val="21"/>
        </w:rPr>
        <w:t>出入口必须设置人行道和机动车道两种通道，人行道应设置刷卡或人脸识别系统闸机，机动车通道的宽度不小于3.5m，并设置门卫室，由专人管护；</w:t>
      </w:r>
    </w:p>
    <w:p>
      <w:pPr>
        <w:spacing w:line="240" w:lineRule="auto"/>
        <w:ind w:firstLine="440"/>
        <w:rPr>
          <w:szCs w:val="21"/>
        </w:rPr>
      </w:pPr>
      <w:r>
        <w:rPr>
          <w:rFonts w:hint="eastAsia"/>
          <w:b/>
          <w:bCs/>
          <w:szCs w:val="21"/>
        </w:rPr>
        <w:t>4</w:t>
      </w:r>
      <w:r>
        <w:rPr>
          <w:szCs w:val="21"/>
        </w:rPr>
        <w:t xml:space="preserve">  </w:t>
      </w:r>
      <w:r>
        <w:rPr>
          <w:rFonts w:hint="eastAsia"/>
          <w:szCs w:val="21"/>
        </w:rPr>
        <w:t>出入口内侧应设置洗车平台，配备高压冲洗水枪或安装自动洗车装置，保证车辆冲洗干净；</w:t>
      </w:r>
    </w:p>
    <w:p>
      <w:pPr>
        <w:spacing w:line="240" w:lineRule="auto"/>
        <w:ind w:firstLine="440"/>
        <w:rPr>
          <w:szCs w:val="21"/>
        </w:rPr>
      </w:pPr>
      <w:r>
        <w:rPr>
          <w:rFonts w:hint="eastAsia"/>
          <w:b/>
          <w:bCs/>
          <w:szCs w:val="21"/>
        </w:rPr>
        <w:t>5</w:t>
      </w:r>
      <w:r>
        <w:rPr>
          <w:szCs w:val="21"/>
        </w:rPr>
        <w:t xml:space="preserve">  </w:t>
      </w:r>
      <w:r>
        <w:rPr>
          <w:rFonts w:hint="eastAsia"/>
          <w:szCs w:val="21"/>
        </w:rPr>
        <w:t>出入口处必须设置具备夜视功能的安全警示牌、视频监控和在线污染物监测显示屏；</w:t>
      </w:r>
    </w:p>
    <w:p>
      <w:pPr>
        <w:spacing w:line="240" w:lineRule="auto"/>
        <w:ind w:firstLine="440"/>
        <w:rPr>
          <w:szCs w:val="21"/>
        </w:rPr>
      </w:pPr>
      <w:r>
        <w:rPr>
          <w:rFonts w:hint="eastAsia"/>
          <w:b/>
          <w:bCs/>
          <w:szCs w:val="21"/>
        </w:rPr>
        <w:t>6</w:t>
      </w:r>
      <w:r>
        <w:rPr>
          <w:szCs w:val="21"/>
        </w:rPr>
        <w:t xml:space="preserve">  </w:t>
      </w:r>
      <w:r>
        <w:rPr>
          <w:rFonts w:hint="eastAsia"/>
          <w:szCs w:val="21"/>
        </w:rPr>
        <w:t>拆除现场周边50m、出入口道路500m范围内作为环境卫生责任区，应设专人管理。若卫生责任区出现重叠，应优先以道路、桥梁和自然河流等为界划分。</w:t>
      </w:r>
    </w:p>
    <w:p>
      <w:pPr>
        <w:spacing w:line="240" w:lineRule="auto"/>
        <w:rPr>
          <w:szCs w:val="21"/>
        </w:rPr>
      </w:pPr>
      <w:r>
        <w:rPr>
          <w:b/>
          <w:bCs/>
          <w:szCs w:val="21"/>
        </w:rPr>
        <w:t>5</w:t>
      </w:r>
      <w:r>
        <w:rPr>
          <w:rFonts w:ascii="宋体" w:hAnsi="宋体"/>
          <w:b/>
          <w:bCs/>
          <w:szCs w:val="21"/>
        </w:rPr>
        <w:t>.</w:t>
      </w:r>
      <w:r>
        <w:rPr>
          <w:b/>
          <w:bCs/>
          <w:szCs w:val="21"/>
        </w:rPr>
        <w:t>2</w:t>
      </w:r>
      <w:r>
        <w:rPr>
          <w:rFonts w:ascii="宋体" w:hAnsi="宋体"/>
          <w:b/>
          <w:bCs/>
          <w:szCs w:val="21"/>
        </w:rPr>
        <w:t>.</w:t>
      </w:r>
      <w:r>
        <w:rPr>
          <w:b/>
          <w:bCs/>
          <w:szCs w:val="21"/>
        </w:rPr>
        <w:t xml:space="preserve">3  </w:t>
      </w:r>
      <w:r>
        <w:rPr>
          <w:rFonts w:hint="eastAsia"/>
          <w:szCs w:val="21"/>
        </w:rPr>
        <w:t>扬尘污染物在线监测系统设置应符合下列规定：</w:t>
      </w:r>
    </w:p>
    <w:p>
      <w:pPr>
        <w:spacing w:line="240" w:lineRule="auto"/>
        <w:ind w:firstLine="440"/>
        <w:rPr>
          <w:szCs w:val="21"/>
        </w:rPr>
      </w:pPr>
      <w:r>
        <w:rPr>
          <w:b/>
          <w:bCs/>
          <w:szCs w:val="21"/>
        </w:rPr>
        <w:t>1</w:t>
      </w:r>
      <w:r>
        <w:rPr>
          <w:szCs w:val="21"/>
        </w:rPr>
        <w:t xml:space="preserve">  </w:t>
      </w:r>
      <w:r>
        <w:rPr>
          <w:rFonts w:hint="eastAsia"/>
          <w:szCs w:val="21"/>
        </w:rPr>
        <w:t>扬尘污染物在线监测系统应实现数据实时监测、实时上传，数据与设备实现联动，并具有超出限值报警功能，数据资料应永久保存、不可覆盖；</w:t>
      </w:r>
    </w:p>
    <w:p>
      <w:pPr>
        <w:spacing w:line="240" w:lineRule="auto"/>
        <w:ind w:firstLine="440"/>
        <w:rPr>
          <w:szCs w:val="21"/>
        </w:rPr>
      </w:pPr>
      <w:r>
        <w:rPr>
          <w:b/>
          <w:bCs/>
          <w:szCs w:val="21"/>
        </w:rPr>
        <w:t>2</w:t>
      </w:r>
      <w:r>
        <w:rPr>
          <w:szCs w:val="21"/>
        </w:rPr>
        <w:t xml:space="preserve">  </w:t>
      </w:r>
      <w:r>
        <w:rPr>
          <w:rFonts w:hint="eastAsia"/>
          <w:szCs w:val="21"/>
        </w:rPr>
        <w:t>拆除面积在0.5万m</w:t>
      </w:r>
      <w:r>
        <w:rPr>
          <w:rFonts w:hint="eastAsia"/>
          <w:szCs w:val="21"/>
          <w:vertAlign w:val="superscript"/>
        </w:rPr>
        <w:t>2</w:t>
      </w:r>
      <w:r>
        <w:rPr>
          <w:rFonts w:hint="eastAsia"/>
          <w:szCs w:val="21"/>
        </w:rPr>
        <w:t>及以下，监测点数量不应少于1个；拆除面积在0.5万m</w:t>
      </w:r>
      <w:r>
        <w:rPr>
          <w:rFonts w:hint="eastAsia"/>
          <w:szCs w:val="21"/>
          <w:vertAlign w:val="superscript"/>
        </w:rPr>
        <w:t>2</w:t>
      </w:r>
      <w:r>
        <w:rPr>
          <w:rFonts w:hint="eastAsia"/>
          <w:szCs w:val="21"/>
        </w:rPr>
        <w:t>～1.0万m</w:t>
      </w:r>
      <w:r>
        <w:rPr>
          <w:rFonts w:hint="eastAsia"/>
          <w:szCs w:val="21"/>
          <w:vertAlign w:val="superscript"/>
        </w:rPr>
        <w:t>2</w:t>
      </w:r>
      <w:r>
        <w:rPr>
          <w:rFonts w:hint="eastAsia"/>
          <w:szCs w:val="21"/>
        </w:rPr>
        <w:t>之间，监测点数量不应少于2个；拆除面积在1万m</w:t>
      </w:r>
      <w:r>
        <w:rPr>
          <w:rFonts w:hint="eastAsia"/>
          <w:szCs w:val="21"/>
          <w:vertAlign w:val="superscript"/>
        </w:rPr>
        <w:t>2</w:t>
      </w:r>
      <w:r>
        <w:rPr>
          <w:rFonts w:hint="eastAsia"/>
          <w:szCs w:val="21"/>
        </w:rPr>
        <w:t>～10万m</w:t>
      </w:r>
      <w:r>
        <w:rPr>
          <w:rFonts w:hint="eastAsia"/>
          <w:szCs w:val="21"/>
          <w:vertAlign w:val="superscript"/>
        </w:rPr>
        <w:t>2</w:t>
      </w:r>
      <w:r>
        <w:rPr>
          <w:rFonts w:hint="eastAsia"/>
          <w:szCs w:val="21"/>
        </w:rPr>
        <w:t>之间，监测点数量不应小于4个；拆除面积大于10万m</w:t>
      </w:r>
      <w:r>
        <w:rPr>
          <w:rFonts w:hint="eastAsia"/>
          <w:szCs w:val="21"/>
          <w:vertAlign w:val="superscript"/>
        </w:rPr>
        <w:t>2</w:t>
      </w:r>
      <w:r>
        <w:rPr>
          <w:rFonts w:hint="eastAsia"/>
          <w:szCs w:val="21"/>
        </w:rPr>
        <w:t>，在设置4个监测点的基础上，每增加10万m</w:t>
      </w:r>
      <w:r>
        <w:rPr>
          <w:rFonts w:hint="eastAsia"/>
          <w:szCs w:val="21"/>
          <w:vertAlign w:val="superscript"/>
        </w:rPr>
        <w:t>2</w:t>
      </w:r>
      <w:r>
        <w:rPr>
          <w:rFonts w:hint="eastAsia"/>
          <w:szCs w:val="21"/>
        </w:rPr>
        <w:t>应最少增设1个监测点（不足10万m</w:t>
      </w:r>
      <w:r>
        <w:rPr>
          <w:rFonts w:hint="eastAsia"/>
          <w:szCs w:val="21"/>
          <w:vertAlign w:val="superscript"/>
        </w:rPr>
        <w:t>2</w:t>
      </w:r>
      <w:r>
        <w:rPr>
          <w:rFonts w:hint="eastAsia"/>
          <w:szCs w:val="21"/>
        </w:rPr>
        <w:t>按10万m</w:t>
      </w:r>
      <w:r>
        <w:rPr>
          <w:rFonts w:hint="eastAsia"/>
          <w:szCs w:val="21"/>
          <w:vertAlign w:val="superscript"/>
        </w:rPr>
        <w:t>2</w:t>
      </w:r>
      <w:r>
        <w:rPr>
          <w:rFonts w:hint="eastAsia"/>
          <w:szCs w:val="21"/>
        </w:rPr>
        <w:t>计）；</w:t>
      </w:r>
    </w:p>
    <w:p>
      <w:pPr>
        <w:spacing w:line="240" w:lineRule="auto"/>
        <w:ind w:firstLine="440"/>
        <w:rPr>
          <w:szCs w:val="21"/>
        </w:rPr>
      </w:pPr>
      <w:r>
        <w:rPr>
          <w:rFonts w:hint="eastAsia"/>
          <w:b/>
          <w:bCs/>
          <w:szCs w:val="21"/>
        </w:rPr>
        <w:t>3</w:t>
      </w:r>
      <w:r>
        <w:rPr>
          <w:szCs w:val="21"/>
        </w:rPr>
        <w:t xml:space="preserve">  </w:t>
      </w:r>
      <w:r>
        <w:rPr>
          <w:rFonts w:hint="eastAsia"/>
          <w:szCs w:val="21"/>
        </w:rPr>
        <w:t>扬尘监测点位应设置在作业区域围挡安全范围内，优先设置在车辆进出口处及工地下风向处。采样口高度应在距地面3m～5m范围内；</w:t>
      </w:r>
    </w:p>
    <w:p>
      <w:pPr>
        <w:spacing w:line="240" w:lineRule="auto"/>
        <w:ind w:firstLine="440"/>
        <w:rPr>
          <w:szCs w:val="21"/>
        </w:rPr>
      </w:pPr>
      <w:r>
        <w:rPr>
          <w:rFonts w:hint="eastAsia"/>
          <w:b/>
          <w:bCs/>
          <w:szCs w:val="21"/>
        </w:rPr>
        <w:t>4</w:t>
      </w:r>
      <w:r>
        <w:rPr>
          <w:szCs w:val="21"/>
        </w:rPr>
        <w:t xml:space="preserve">  </w:t>
      </w:r>
      <w:r>
        <w:rPr>
          <w:rFonts w:hint="eastAsia"/>
          <w:szCs w:val="21"/>
        </w:rPr>
        <w:t>扬尘监测点数量多于车辆进出口数量时，多余的监测点沿围挡内侧均匀设置。</w:t>
      </w:r>
    </w:p>
    <w:p>
      <w:pPr>
        <w:spacing w:line="240" w:lineRule="auto"/>
        <w:rPr>
          <w:szCs w:val="21"/>
        </w:rPr>
      </w:pPr>
      <w:r>
        <w:rPr>
          <w:b/>
          <w:bCs/>
          <w:szCs w:val="21"/>
        </w:rPr>
        <w:t>5</w:t>
      </w:r>
      <w:r>
        <w:rPr>
          <w:rFonts w:ascii="宋体" w:hAnsi="宋体"/>
          <w:b/>
          <w:bCs/>
          <w:szCs w:val="21"/>
        </w:rPr>
        <w:t>.</w:t>
      </w:r>
      <w:r>
        <w:rPr>
          <w:b/>
          <w:bCs/>
          <w:szCs w:val="21"/>
        </w:rPr>
        <w:t>2</w:t>
      </w:r>
      <w:r>
        <w:rPr>
          <w:rFonts w:ascii="宋体" w:hAnsi="宋体"/>
          <w:b/>
          <w:bCs/>
          <w:szCs w:val="21"/>
        </w:rPr>
        <w:t>.</w:t>
      </w:r>
      <w:r>
        <w:rPr>
          <w:b/>
          <w:bCs/>
          <w:szCs w:val="21"/>
        </w:rPr>
        <w:t xml:space="preserve">4  </w:t>
      </w:r>
      <w:r>
        <w:rPr>
          <w:rFonts w:hint="eastAsia"/>
          <w:szCs w:val="21"/>
        </w:rPr>
        <w:t>噪声监测点应设置在场界外1m处，设置高度应不低于1.2m，实时监测并记录拆除现场噪声，数据资料应永久保存、不可覆盖。</w:t>
      </w:r>
    </w:p>
    <w:p>
      <w:pPr>
        <w:spacing w:line="240" w:lineRule="auto"/>
        <w:rPr>
          <w:szCs w:val="21"/>
        </w:rPr>
      </w:pPr>
      <w:r>
        <w:rPr>
          <w:b/>
          <w:bCs/>
          <w:szCs w:val="21"/>
        </w:rPr>
        <w:t>5</w:t>
      </w:r>
      <w:r>
        <w:rPr>
          <w:rFonts w:ascii="宋体" w:hAnsi="宋体"/>
          <w:b/>
          <w:bCs/>
          <w:szCs w:val="21"/>
        </w:rPr>
        <w:t>.</w:t>
      </w:r>
      <w:r>
        <w:rPr>
          <w:b/>
          <w:bCs/>
          <w:szCs w:val="21"/>
        </w:rPr>
        <w:t>2</w:t>
      </w:r>
      <w:r>
        <w:rPr>
          <w:rFonts w:ascii="宋体" w:hAnsi="宋体"/>
          <w:b/>
          <w:bCs/>
          <w:szCs w:val="21"/>
        </w:rPr>
        <w:t>.</w:t>
      </w:r>
      <w:r>
        <w:rPr>
          <w:b/>
          <w:bCs/>
          <w:szCs w:val="21"/>
        </w:rPr>
        <w:t xml:space="preserve">5  </w:t>
      </w:r>
      <w:r>
        <w:rPr>
          <w:rFonts w:hint="eastAsia"/>
          <w:szCs w:val="21"/>
        </w:rPr>
        <w:t>拆除前准备应符合下列规定：</w:t>
      </w:r>
    </w:p>
    <w:p>
      <w:pPr>
        <w:spacing w:line="240" w:lineRule="auto"/>
        <w:ind w:firstLine="440"/>
        <w:rPr>
          <w:szCs w:val="21"/>
        </w:rPr>
      </w:pPr>
      <w:r>
        <w:rPr>
          <w:b/>
          <w:bCs/>
          <w:szCs w:val="21"/>
        </w:rPr>
        <w:t>1</w:t>
      </w:r>
      <w:r>
        <w:rPr>
          <w:szCs w:val="21"/>
        </w:rPr>
        <w:t xml:space="preserve">  </w:t>
      </w:r>
      <w:r>
        <w:rPr>
          <w:rFonts w:hint="eastAsia"/>
          <w:szCs w:val="21"/>
        </w:rPr>
        <w:t>应切断或迁移拆除区域的水、电、气等管线及其附属设施；</w:t>
      </w:r>
    </w:p>
    <w:p>
      <w:pPr>
        <w:spacing w:line="240" w:lineRule="auto"/>
        <w:ind w:firstLine="440"/>
        <w:rPr>
          <w:szCs w:val="21"/>
        </w:rPr>
      </w:pPr>
      <w:r>
        <w:rPr>
          <w:b/>
          <w:bCs/>
          <w:szCs w:val="21"/>
        </w:rPr>
        <w:t>2</w:t>
      </w:r>
      <w:r>
        <w:rPr>
          <w:szCs w:val="21"/>
        </w:rPr>
        <w:t xml:space="preserve">  </w:t>
      </w:r>
      <w:r>
        <w:rPr>
          <w:rFonts w:hint="eastAsia"/>
          <w:szCs w:val="21"/>
        </w:rPr>
        <w:t>清除建筑物内、外的生活垃圾；</w:t>
      </w:r>
    </w:p>
    <w:p>
      <w:pPr>
        <w:spacing w:line="240" w:lineRule="auto"/>
        <w:ind w:firstLine="440"/>
        <w:rPr>
          <w:szCs w:val="21"/>
        </w:rPr>
      </w:pPr>
      <w:r>
        <w:rPr>
          <w:rFonts w:hint="eastAsia"/>
          <w:b/>
          <w:bCs/>
          <w:szCs w:val="21"/>
        </w:rPr>
        <w:t>3</w:t>
      </w:r>
      <w:r>
        <w:rPr>
          <w:szCs w:val="21"/>
        </w:rPr>
        <w:t xml:space="preserve">  </w:t>
      </w:r>
      <w:r>
        <w:rPr>
          <w:rFonts w:hint="eastAsia"/>
          <w:szCs w:val="21"/>
        </w:rPr>
        <w:t>应拆除建筑物的门窗、装修材料等非墙体的构件；</w:t>
      </w:r>
    </w:p>
    <w:p>
      <w:pPr>
        <w:spacing w:line="240" w:lineRule="auto"/>
        <w:ind w:firstLine="440"/>
        <w:rPr>
          <w:szCs w:val="21"/>
        </w:rPr>
      </w:pPr>
      <w:r>
        <w:rPr>
          <w:rFonts w:hint="eastAsia"/>
          <w:b/>
          <w:bCs/>
          <w:szCs w:val="21"/>
        </w:rPr>
        <w:t>4</w:t>
      </w:r>
      <w:r>
        <w:rPr>
          <w:szCs w:val="21"/>
        </w:rPr>
        <w:t xml:space="preserve">  </w:t>
      </w:r>
      <w:r>
        <w:rPr>
          <w:rFonts w:hint="eastAsia"/>
          <w:szCs w:val="21"/>
        </w:rPr>
        <w:t>应对建筑物进行喷淋；</w:t>
      </w:r>
    </w:p>
    <w:p>
      <w:pPr>
        <w:spacing w:line="240" w:lineRule="auto"/>
        <w:ind w:firstLine="440"/>
        <w:rPr>
          <w:szCs w:val="21"/>
        </w:rPr>
      </w:pPr>
      <w:r>
        <w:rPr>
          <w:rFonts w:hint="eastAsia"/>
          <w:b/>
          <w:szCs w:val="21"/>
        </w:rPr>
        <w:t>5</w:t>
      </w:r>
      <w:r>
        <w:rPr>
          <w:rFonts w:hint="eastAsia"/>
          <w:szCs w:val="21"/>
        </w:rPr>
        <w:t xml:space="preserve"> </w:t>
      </w:r>
      <w:r>
        <w:rPr>
          <w:szCs w:val="21"/>
        </w:rPr>
        <w:t xml:space="preserve"> 危险废弃物应交专业人员或企业进行处理</w:t>
      </w:r>
      <w:r>
        <w:rPr>
          <w:rFonts w:hint="eastAsia"/>
          <w:szCs w:val="21"/>
        </w:rPr>
        <w:t>。</w:t>
      </w:r>
    </w:p>
    <w:p>
      <w:pPr>
        <w:pStyle w:val="4"/>
        <w:spacing w:before="240" w:after="240" w:line="240" w:lineRule="auto"/>
        <w:jc w:val="center"/>
        <w:rPr>
          <w:rFonts w:ascii="黑体" w:hAnsi="黑体" w:cs="宋体"/>
          <w:b w:val="0"/>
          <w:bCs w:val="0"/>
          <w:sz w:val="21"/>
          <w:szCs w:val="21"/>
        </w:rPr>
      </w:pPr>
      <w:bookmarkStart w:id="19" w:name="_Toc149641210"/>
      <w:r>
        <w:rPr>
          <w:rFonts w:ascii="Times New Roman" w:hAnsi="Times New Roman"/>
          <w:sz w:val="21"/>
          <w:szCs w:val="21"/>
        </w:rPr>
        <w:t>5</w:t>
      </w:r>
      <w:r>
        <w:rPr>
          <w:rFonts w:hint="eastAsia" w:ascii="宋体" w:hAnsi="宋体" w:eastAsia="宋体"/>
          <w:sz w:val="21"/>
          <w:szCs w:val="21"/>
        </w:rPr>
        <w:t>.</w:t>
      </w:r>
      <w:r>
        <w:rPr>
          <w:rFonts w:ascii="Times New Roman" w:hAnsi="Times New Roman"/>
          <w:sz w:val="21"/>
          <w:szCs w:val="21"/>
        </w:rPr>
        <w:t>3</w:t>
      </w:r>
      <w:r>
        <w:rPr>
          <w:rFonts w:hint="eastAsia" w:ascii="黑体" w:hAnsi="黑体"/>
          <w:b w:val="0"/>
          <w:sz w:val="21"/>
          <w:szCs w:val="21"/>
        </w:rPr>
        <w:t xml:space="preserve">  </w:t>
      </w:r>
      <w:r>
        <w:rPr>
          <w:rFonts w:hint="eastAsia" w:ascii="黑体" w:hAnsi="黑体" w:eastAsia="黑体"/>
          <w:b w:val="0"/>
          <w:sz w:val="21"/>
          <w:szCs w:val="21"/>
        </w:rPr>
        <w:t>现场拆除作业</w:t>
      </w:r>
      <w:bookmarkEnd w:id="19"/>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1  </w:t>
      </w:r>
      <w:r>
        <w:rPr>
          <w:rFonts w:hint="eastAsia"/>
          <w:szCs w:val="21"/>
        </w:rPr>
        <w:t>绿色拆除作业应严格执行基于反向建造的反向建造工序拆除工序，自内而外，先上后下按照分部、分类的原则进行，先拆除附着物，再拆非承重墙，最后拆主体结构，严禁立体交叉拆除作业。</w:t>
      </w:r>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2  </w:t>
      </w:r>
      <w:r>
        <w:rPr>
          <w:rFonts w:hint="eastAsia"/>
          <w:szCs w:val="21"/>
        </w:rPr>
        <w:t>拆除砖混结构宜采用液压破碎锤或液压剪自上而下、逐层逐间按屋面板（楼板）、墙体、构造柱等顺序拆除，严禁采用直接破除下部结构造成整体坍塌的拆除方式。</w:t>
      </w:r>
    </w:p>
    <w:p>
      <w:pPr>
        <w:spacing w:line="240" w:lineRule="auto"/>
        <w:rPr>
          <w:b/>
          <w:szCs w:val="21"/>
        </w:rPr>
      </w:pPr>
      <w:r>
        <w:rPr>
          <w:rFonts w:hint="eastAsia"/>
          <w:b/>
          <w:szCs w:val="21"/>
        </w:rPr>
        <w:t>5</w:t>
      </w:r>
      <w:r>
        <w:rPr>
          <w:b/>
          <w:szCs w:val="21"/>
        </w:rPr>
        <w:t xml:space="preserve">. 3. 3  </w:t>
      </w:r>
      <w:r>
        <w:rPr>
          <w:szCs w:val="21"/>
        </w:rPr>
        <w:t>屋面板</w:t>
      </w:r>
      <w:r>
        <w:rPr>
          <w:rFonts w:hint="eastAsia"/>
          <w:szCs w:val="21"/>
        </w:rPr>
        <w:t>、</w:t>
      </w:r>
      <w:r>
        <w:rPr>
          <w:szCs w:val="21"/>
        </w:rPr>
        <w:t>构造柱等部位制造尺寸缩减直接作为建筑材料利用</w:t>
      </w:r>
      <w:r>
        <w:rPr>
          <w:rFonts w:hint="eastAsia"/>
          <w:szCs w:val="21"/>
        </w:rPr>
        <w:t>时</w:t>
      </w:r>
      <w:r>
        <w:rPr>
          <w:szCs w:val="21"/>
        </w:rPr>
        <w:t>宜采用片锯或绳锯进行</w:t>
      </w:r>
      <w:r>
        <w:rPr>
          <w:rFonts w:hint="eastAsia"/>
          <w:szCs w:val="21"/>
        </w:rPr>
        <w:t>。</w:t>
      </w:r>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4  </w:t>
      </w:r>
      <w:r>
        <w:rPr>
          <w:rFonts w:hint="eastAsia"/>
          <w:szCs w:val="21"/>
        </w:rPr>
        <w:t>拆除现场区域设置应符合下列规定：</w:t>
      </w:r>
    </w:p>
    <w:p>
      <w:pPr>
        <w:spacing w:line="240" w:lineRule="auto"/>
        <w:ind w:firstLine="440"/>
        <w:rPr>
          <w:szCs w:val="21"/>
        </w:rPr>
      </w:pPr>
      <w:r>
        <w:rPr>
          <w:b/>
          <w:bCs/>
          <w:szCs w:val="21"/>
        </w:rPr>
        <w:t>1</w:t>
      </w:r>
      <w:r>
        <w:rPr>
          <w:szCs w:val="21"/>
        </w:rPr>
        <w:t xml:space="preserve">  </w:t>
      </w:r>
      <w:r>
        <w:rPr>
          <w:rFonts w:hint="eastAsia"/>
          <w:szCs w:val="21"/>
        </w:rPr>
        <w:t>拆除现场必须有明确的拆除废弃物和生活垃圾分类存放区域，并应独立布置，防火间距应符合《建设工程施工现场消防安全技术规范》GB 50720的规定；</w:t>
      </w:r>
    </w:p>
    <w:p>
      <w:pPr>
        <w:spacing w:line="240" w:lineRule="auto"/>
        <w:ind w:firstLine="440"/>
        <w:rPr>
          <w:szCs w:val="21"/>
        </w:rPr>
      </w:pPr>
      <w:r>
        <w:rPr>
          <w:b/>
          <w:bCs/>
          <w:szCs w:val="21"/>
        </w:rPr>
        <w:t>2</w:t>
      </w:r>
      <w:r>
        <w:rPr>
          <w:szCs w:val="21"/>
        </w:rPr>
        <w:t xml:space="preserve">  </w:t>
      </w:r>
      <w:r>
        <w:rPr>
          <w:rFonts w:hint="eastAsia"/>
          <w:szCs w:val="21"/>
        </w:rPr>
        <w:t>高处拆除作业区域必须设置安全距离的警示标志，配备专职安全员，并有应急预案措施；</w:t>
      </w:r>
    </w:p>
    <w:p>
      <w:pPr>
        <w:spacing w:line="240" w:lineRule="auto"/>
        <w:ind w:firstLine="440"/>
        <w:rPr>
          <w:szCs w:val="21"/>
        </w:rPr>
      </w:pPr>
      <w:r>
        <w:rPr>
          <w:rFonts w:hint="eastAsia"/>
          <w:b/>
          <w:bCs/>
          <w:szCs w:val="21"/>
        </w:rPr>
        <w:t>3</w:t>
      </w:r>
      <w:r>
        <w:rPr>
          <w:szCs w:val="21"/>
        </w:rPr>
        <w:t xml:space="preserve">  </w:t>
      </w:r>
      <w:r>
        <w:rPr>
          <w:rFonts w:hint="eastAsia"/>
          <w:szCs w:val="21"/>
        </w:rPr>
        <w:t>拆除现场应设置拆除机具停放、拆除作业用具存储、消防器具存放和雨水导排等区域。</w:t>
      </w:r>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5  </w:t>
      </w:r>
      <w:r>
        <w:rPr>
          <w:rFonts w:hint="eastAsia"/>
          <w:szCs w:val="21"/>
        </w:rPr>
        <w:t>拆除机具作业应符合下列规定：</w:t>
      </w:r>
    </w:p>
    <w:p>
      <w:pPr>
        <w:spacing w:line="240" w:lineRule="auto"/>
        <w:ind w:firstLine="440"/>
        <w:rPr>
          <w:szCs w:val="21"/>
        </w:rPr>
      </w:pPr>
      <w:r>
        <w:rPr>
          <w:b/>
          <w:bCs/>
          <w:szCs w:val="21"/>
        </w:rPr>
        <w:t>1</w:t>
      </w:r>
      <w:r>
        <w:rPr>
          <w:szCs w:val="21"/>
        </w:rPr>
        <w:t xml:space="preserve">  </w:t>
      </w:r>
      <w:r>
        <w:rPr>
          <w:rFonts w:hint="eastAsia"/>
          <w:szCs w:val="21"/>
        </w:rPr>
        <w:t>拆除机具必须为低能耗、低排放、低噪音的节能环保型，且拆除工程承包单位应在拆除机具明显位置悬挂专用号牌、粘贴绿色标识；</w:t>
      </w:r>
    </w:p>
    <w:p>
      <w:pPr>
        <w:spacing w:line="240" w:lineRule="auto"/>
        <w:ind w:firstLine="440"/>
        <w:rPr>
          <w:szCs w:val="21"/>
        </w:rPr>
      </w:pPr>
      <w:r>
        <w:rPr>
          <w:b/>
          <w:bCs/>
          <w:szCs w:val="21"/>
        </w:rPr>
        <w:t>2</w:t>
      </w:r>
      <w:r>
        <w:rPr>
          <w:szCs w:val="21"/>
        </w:rPr>
        <w:t xml:space="preserve">  </w:t>
      </w:r>
      <w:r>
        <w:rPr>
          <w:rFonts w:hint="eastAsia"/>
          <w:szCs w:val="21"/>
        </w:rPr>
        <w:t>拆除机具严禁超载、超速、超分贝、超排放、带故障作业或任意扩大适用范围；</w:t>
      </w:r>
    </w:p>
    <w:p>
      <w:pPr>
        <w:spacing w:line="240" w:lineRule="auto"/>
        <w:ind w:firstLine="440"/>
        <w:rPr>
          <w:szCs w:val="21"/>
        </w:rPr>
      </w:pPr>
      <w:r>
        <w:rPr>
          <w:rFonts w:hint="eastAsia"/>
          <w:b/>
          <w:bCs/>
          <w:szCs w:val="21"/>
        </w:rPr>
        <w:t>3</w:t>
      </w:r>
      <w:r>
        <w:rPr>
          <w:szCs w:val="21"/>
        </w:rPr>
        <w:t xml:space="preserve">  </w:t>
      </w:r>
      <w:r>
        <w:rPr>
          <w:rFonts w:hint="eastAsia"/>
          <w:szCs w:val="21"/>
        </w:rPr>
        <w:t>雾炮车、洒水车等降尘机具必须随拆除作业同步启动，且喷洒范围要完全覆盖拆除作业面；</w:t>
      </w:r>
    </w:p>
    <w:p>
      <w:pPr>
        <w:spacing w:line="240" w:lineRule="auto"/>
        <w:ind w:firstLine="440"/>
        <w:rPr>
          <w:szCs w:val="21"/>
        </w:rPr>
      </w:pPr>
      <w:r>
        <w:rPr>
          <w:rFonts w:hint="eastAsia"/>
          <w:b/>
          <w:bCs/>
          <w:szCs w:val="21"/>
        </w:rPr>
        <w:t>4</w:t>
      </w:r>
      <w:r>
        <w:rPr>
          <w:szCs w:val="21"/>
        </w:rPr>
        <w:t xml:space="preserve">  </w:t>
      </w:r>
      <w:r>
        <w:rPr>
          <w:rFonts w:hint="eastAsia"/>
          <w:szCs w:val="21"/>
        </w:rPr>
        <w:t>拆除机具必须在安全距离范围内作业和停放，且作业和停放区域的场地必须稳固并保证足够的承载力。</w:t>
      </w:r>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6  </w:t>
      </w:r>
      <w:r>
        <w:rPr>
          <w:rFonts w:hint="eastAsia"/>
          <w:szCs w:val="21"/>
        </w:rPr>
        <w:t>绿色拆除作业安全管理应符合下列规定：</w:t>
      </w:r>
    </w:p>
    <w:p>
      <w:pPr>
        <w:spacing w:line="240" w:lineRule="auto"/>
        <w:ind w:firstLine="440"/>
        <w:rPr>
          <w:szCs w:val="21"/>
        </w:rPr>
      </w:pPr>
      <w:r>
        <w:rPr>
          <w:b/>
          <w:bCs/>
          <w:szCs w:val="21"/>
        </w:rPr>
        <w:t>1</w:t>
      </w:r>
      <w:r>
        <w:rPr>
          <w:szCs w:val="21"/>
        </w:rPr>
        <w:t xml:space="preserve">  </w:t>
      </w:r>
      <w:r>
        <w:rPr>
          <w:rFonts w:hint="eastAsia"/>
          <w:szCs w:val="21"/>
        </w:rPr>
        <w:t>机械拆除作业应有专人指挥，机械作业范围内不得有机械操作人员以外其他人活动；</w:t>
      </w:r>
    </w:p>
    <w:p>
      <w:pPr>
        <w:spacing w:line="240" w:lineRule="auto"/>
        <w:ind w:firstLine="440"/>
        <w:rPr>
          <w:szCs w:val="21"/>
        </w:rPr>
      </w:pPr>
      <w:r>
        <w:rPr>
          <w:b/>
          <w:bCs/>
          <w:szCs w:val="21"/>
        </w:rPr>
        <w:t>2</w:t>
      </w:r>
      <w:r>
        <w:rPr>
          <w:szCs w:val="21"/>
        </w:rPr>
        <w:t xml:space="preserve">  </w:t>
      </w:r>
      <w:r>
        <w:rPr>
          <w:rFonts w:hint="eastAsia"/>
          <w:szCs w:val="21"/>
        </w:rPr>
        <w:t>机械拆除作业需人工拆除配合时，人员与机械不得在同一作业面上同时作业；</w:t>
      </w:r>
    </w:p>
    <w:p>
      <w:pPr>
        <w:spacing w:line="240" w:lineRule="auto"/>
        <w:ind w:firstLine="440"/>
        <w:rPr>
          <w:szCs w:val="21"/>
        </w:rPr>
      </w:pPr>
      <w:r>
        <w:rPr>
          <w:rFonts w:hint="eastAsia"/>
          <w:b/>
          <w:bCs/>
          <w:szCs w:val="21"/>
        </w:rPr>
        <w:t>3</w:t>
      </w:r>
      <w:r>
        <w:rPr>
          <w:szCs w:val="21"/>
        </w:rPr>
        <w:t xml:space="preserve">  </w:t>
      </w:r>
      <w:r>
        <w:rPr>
          <w:rFonts w:hint="eastAsia"/>
          <w:szCs w:val="21"/>
        </w:rPr>
        <w:t>脚手架、安全网等安全防护设施必须由专业人员搭设，经验收合格后方可使用；</w:t>
      </w:r>
    </w:p>
    <w:p>
      <w:pPr>
        <w:spacing w:line="240" w:lineRule="auto"/>
        <w:ind w:firstLine="440"/>
        <w:rPr>
          <w:szCs w:val="21"/>
        </w:rPr>
      </w:pPr>
      <w:r>
        <w:rPr>
          <w:rFonts w:hint="eastAsia"/>
          <w:b/>
          <w:bCs/>
          <w:szCs w:val="21"/>
        </w:rPr>
        <w:t>4</w:t>
      </w:r>
      <w:r>
        <w:rPr>
          <w:szCs w:val="21"/>
        </w:rPr>
        <w:t xml:space="preserve">  </w:t>
      </w:r>
      <w:r>
        <w:rPr>
          <w:rFonts w:hint="eastAsia"/>
          <w:szCs w:val="21"/>
        </w:rPr>
        <w:t>拆除作业对毗邻建筑及道路的安全距离不能满足要求时，必须采取安全防护措施；</w:t>
      </w:r>
    </w:p>
    <w:p>
      <w:pPr>
        <w:spacing w:line="240" w:lineRule="auto"/>
        <w:ind w:firstLine="440"/>
        <w:rPr>
          <w:szCs w:val="21"/>
        </w:rPr>
      </w:pPr>
      <w:r>
        <w:rPr>
          <w:rFonts w:hint="eastAsia"/>
          <w:b/>
          <w:bCs/>
          <w:szCs w:val="21"/>
        </w:rPr>
        <w:t>5</w:t>
      </w:r>
      <w:r>
        <w:rPr>
          <w:szCs w:val="21"/>
        </w:rPr>
        <w:t xml:space="preserve">  </w:t>
      </w:r>
      <w:r>
        <w:rPr>
          <w:rFonts w:hint="eastAsia"/>
          <w:szCs w:val="21"/>
        </w:rPr>
        <w:t>拆除作业中，发现不明物体，应立即停止施工，采取相应的应急措施，保护现场，及时向上一级主管部门报告；</w:t>
      </w:r>
    </w:p>
    <w:p>
      <w:pPr>
        <w:spacing w:line="240" w:lineRule="auto"/>
        <w:ind w:firstLine="440"/>
        <w:rPr>
          <w:szCs w:val="21"/>
        </w:rPr>
      </w:pPr>
      <w:r>
        <w:rPr>
          <w:rFonts w:hint="eastAsia"/>
          <w:b/>
          <w:bCs/>
          <w:szCs w:val="21"/>
        </w:rPr>
        <w:t>6</w:t>
      </w:r>
      <w:r>
        <w:rPr>
          <w:szCs w:val="21"/>
        </w:rPr>
        <w:t xml:space="preserve">  </w:t>
      </w:r>
      <w:r>
        <w:rPr>
          <w:rFonts w:hint="eastAsia"/>
          <w:szCs w:val="21"/>
        </w:rPr>
        <w:t>中途停止拆除时，严禁留有可能倾倒、坍塌的建筑物；</w:t>
      </w:r>
    </w:p>
    <w:p>
      <w:pPr>
        <w:spacing w:line="240" w:lineRule="auto"/>
        <w:ind w:firstLine="440"/>
        <w:rPr>
          <w:szCs w:val="21"/>
        </w:rPr>
      </w:pPr>
      <w:r>
        <w:rPr>
          <w:rFonts w:hint="eastAsia"/>
          <w:b/>
          <w:bCs/>
          <w:szCs w:val="21"/>
        </w:rPr>
        <w:t>7</w:t>
      </w:r>
      <w:r>
        <w:rPr>
          <w:szCs w:val="21"/>
        </w:rPr>
        <w:t xml:space="preserve">  </w:t>
      </w:r>
      <w:r>
        <w:rPr>
          <w:rFonts w:hint="eastAsia"/>
          <w:szCs w:val="21"/>
        </w:rPr>
        <w:t>车辆进入拆除现场不得鸣笛并限速15km/h；</w:t>
      </w:r>
    </w:p>
    <w:p>
      <w:pPr>
        <w:spacing w:line="240" w:lineRule="auto"/>
        <w:ind w:firstLine="440"/>
        <w:rPr>
          <w:szCs w:val="21"/>
        </w:rPr>
      </w:pPr>
      <w:r>
        <w:rPr>
          <w:rFonts w:hint="eastAsia"/>
          <w:b/>
          <w:bCs/>
          <w:szCs w:val="21"/>
        </w:rPr>
        <w:t>8</w:t>
      </w:r>
      <w:r>
        <w:rPr>
          <w:szCs w:val="21"/>
        </w:rPr>
        <w:t xml:space="preserve">  </w:t>
      </w:r>
      <w:r>
        <w:rPr>
          <w:rFonts w:hint="eastAsia"/>
          <w:szCs w:val="21"/>
        </w:rPr>
        <w:t>临时用电设施应符合《施工现场临时用电安全技术规范》JGJ 46的规定；</w:t>
      </w:r>
    </w:p>
    <w:p>
      <w:pPr>
        <w:spacing w:line="240" w:lineRule="auto"/>
        <w:ind w:firstLine="440"/>
        <w:rPr>
          <w:szCs w:val="21"/>
        </w:rPr>
      </w:pPr>
      <w:r>
        <w:rPr>
          <w:rFonts w:hint="eastAsia"/>
          <w:b/>
          <w:bCs/>
          <w:szCs w:val="21"/>
        </w:rPr>
        <w:t>9</w:t>
      </w:r>
      <w:r>
        <w:rPr>
          <w:szCs w:val="21"/>
        </w:rPr>
        <w:t xml:space="preserve">  </w:t>
      </w:r>
      <w:r>
        <w:rPr>
          <w:rFonts w:hint="eastAsia"/>
          <w:szCs w:val="21"/>
        </w:rPr>
        <w:t>施工现场人员的劳动防护用品及其使用应符合《建筑施工作业劳动防护用品配备及使用标准》JGJ 184的规定；</w:t>
      </w:r>
    </w:p>
    <w:p>
      <w:pPr>
        <w:spacing w:line="240" w:lineRule="auto"/>
        <w:ind w:firstLine="440"/>
        <w:rPr>
          <w:szCs w:val="21"/>
        </w:rPr>
      </w:pPr>
      <w:r>
        <w:rPr>
          <w:rFonts w:hint="eastAsia"/>
          <w:b/>
          <w:bCs/>
          <w:szCs w:val="21"/>
        </w:rPr>
        <w:t>1</w:t>
      </w:r>
      <w:r>
        <w:rPr>
          <w:b/>
          <w:bCs/>
          <w:szCs w:val="21"/>
        </w:rPr>
        <w:t>0</w:t>
      </w:r>
      <w:r>
        <w:rPr>
          <w:szCs w:val="21"/>
        </w:rPr>
        <w:t xml:space="preserve">  </w:t>
      </w:r>
      <w:r>
        <w:rPr>
          <w:rFonts w:hint="eastAsia"/>
          <w:szCs w:val="21"/>
        </w:rPr>
        <w:t>拆除施工现场应按《建设工程施工现场消防安全技术规范》GB 50720、《建筑灭火器配置设计规范》GB 50140执行配备消防器材；</w:t>
      </w:r>
    </w:p>
    <w:p>
      <w:pPr>
        <w:spacing w:line="240" w:lineRule="auto"/>
        <w:ind w:firstLine="440"/>
        <w:rPr>
          <w:szCs w:val="21"/>
        </w:rPr>
      </w:pPr>
      <w:r>
        <w:rPr>
          <w:b/>
          <w:bCs/>
          <w:szCs w:val="21"/>
        </w:rPr>
        <w:t>11</w:t>
      </w:r>
      <w:r>
        <w:rPr>
          <w:szCs w:val="21"/>
        </w:rPr>
        <w:t xml:space="preserve">  </w:t>
      </w:r>
      <w:r>
        <w:rPr>
          <w:rFonts w:hint="eastAsia"/>
          <w:szCs w:val="21"/>
        </w:rPr>
        <w:t>爆雨、大雾、风力大于</w:t>
      </w:r>
      <w:r>
        <w:rPr>
          <w:szCs w:val="21"/>
        </w:rPr>
        <w:t>5</w:t>
      </w:r>
      <w:r>
        <w:rPr>
          <w:rFonts w:hint="eastAsia"/>
          <w:szCs w:val="21"/>
        </w:rPr>
        <w:t>级（含5级）或重度污染天气时应立即停止拆除作业。</w:t>
      </w:r>
    </w:p>
    <w:p>
      <w:pPr>
        <w:spacing w:line="240" w:lineRule="auto"/>
        <w:rPr>
          <w:szCs w:val="21"/>
        </w:rPr>
      </w:pPr>
      <w:r>
        <w:rPr>
          <w:b/>
          <w:bCs/>
          <w:szCs w:val="21"/>
        </w:rPr>
        <w:t>5</w:t>
      </w:r>
      <w:r>
        <w:rPr>
          <w:rFonts w:ascii="宋体" w:hAnsi="宋体"/>
          <w:b/>
          <w:bCs/>
          <w:szCs w:val="21"/>
        </w:rPr>
        <w:t>.</w:t>
      </w:r>
      <w:r>
        <w:rPr>
          <w:b/>
          <w:bCs/>
          <w:szCs w:val="21"/>
        </w:rPr>
        <w:t>3</w:t>
      </w:r>
      <w:r>
        <w:rPr>
          <w:rFonts w:ascii="宋体" w:hAnsi="宋体"/>
          <w:b/>
          <w:bCs/>
          <w:szCs w:val="21"/>
        </w:rPr>
        <w:t>.</w:t>
      </w:r>
      <w:r>
        <w:rPr>
          <w:b/>
          <w:bCs/>
          <w:szCs w:val="21"/>
        </w:rPr>
        <w:t xml:space="preserve">7  </w:t>
      </w:r>
      <w:r>
        <w:rPr>
          <w:rFonts w:hint="eastAsia"/>
          <w:szCs w:val="21"/>
        </w:rPr>
        <w:t>绿色拆除作业环境保护应符合下列规定：</w:t>
      </w:r>
    </w:p>
    <w:p>
      <w:pPr>
        <w:spacing w:line="240" w:lineRule="auto"/>
        <w:ind w:firstLine="440"/>
        <w:rPr>
          <w:szCs w:val="21"/>
        </w:rPr>
      </w:pPr>
      <w:r>
        <w:rPr>
          <w:b/>
          <w:bCs/>
          <w:szCs w:val="21"/>
        </w:rPr>
        <w:t>1</w:t>
      </w:r>
      <w:r>
        <w:rPr>
          <w:szCs w:val="21"/>
        </w:rPr>
        <w:t xml:space="preserve">  </w:t>
      </w:r>
      <w:r>
        <w:rPr>
          <w:rFonts w:hint="eastAsia"/>
          <w:szCs w:val="21"/>
        </w:rPr>
        <w:t>拆除现场的扬尘和噪声监测设施超标报警时必须停止拆除作业；</w:t>
      </w:r>
    </w:p>
    <w:p>
      <w:pPr>
        <w:spacing w:line="240" w:lineRule="auto"/>
        <w:ind w:firstLine="440"/>
        <w:rPr>
          <w:szCs w:val="21"/>
        </w:rPr>
      </w:pPr>
      <w:r>
        <w:rPr>
          <w:rFonts w:hint="eastAsia"/>
          <w:b/>
          <w:bCs/>
          <w:szCs w:val="21"/>
        </w:rPr>
        <w:t>2</w:t>
      </w:r>
      <w:r>
        <w:rPr>
          <w:szCs w:val="21"/>
        </w:rPr>
        <w:t xml:space="preserve">  </w:t>
      </w:r>
      <w:r>
        <w:rPr>
          <w:rFonts w:hint="eastAsia"/>
          <w:szCs w:val="21"/>
        </w:rPr>
        <w:t>扬尘排放应符合《大气污染物综合排放标准》GB 16297的规定，扬尘防控应按《深圳市扬尘污染防治管理办法》执行；</w:t>
      </w:r>
    </w:p>
    <w:p>
      <w:pPr>
        <w:spacing w:line="240" w:lineRule="auto"/>
        <w:ind w:firstLine="440"/>
        <w:rPr>
          <w:szCs w:val="21"/>
        </w:rPr>
      </w:pPr>
      <w:r>
        <w:rPr>
          <w:b/>
          <w:bCs/>
          <w:szCs w:val="21"/>
        </w:rPr>
        <w:t>3</w:t>
      </w:r>
      <w:r>
        <w:rPr>
          <w:szCs w:val="21"/>
        </w:rPr>
        <w:t xml:space="preserve">  </w:t>
      </w:r>
      <w:r>
        <w:rPr>
          <w:rFonts w:hint="eastAsia"/>
          <w:szCs w:val="21"/>
        </w:rPr>
        <w:t>噪声排放应符合《建筑施工场界环境噪声排放标准》GB 12523的规定，并采取降低噪声措施；</w:t>
      </w:r>
    </w:p>
    <w:p>
      <w:pPr>
        <w:spacing w:line="240" w:lineRule="auto"/>
        <w:ind w:firstLine="440"/>
        <w:rPr>
          <w:szCs w:val="21"/>
        </w:rPr>
      </w:pPr>
      <w:r>
        <w:rPr>
          <w:b/>
          <w:bCs/>
          <w:szCs w:val="21"/>
        </w:rPr>
        <w:t>4</w:t>
      </w:r>
      <w:r>
        <w:rPr>
          <w:szCs w:val="21"/>
        </w:rPr>
        <w:t xml:space="preserve">  </w:t>
      </w:r>
      <w:r>
        <w:rPr>
          <w:rFonts w:hint="eastAsia"/>
          <w:szCs w:val="21"/>
        </w:rPr>
        <w:t>拆除现场用水应采用节水机具和节水器具，注重水的循环利用；</w:t>
      </w:r>
    </w:p>
    <w:p>
      <w:pPr>
        <w:spacing w:line="240" w:lineRule="auto"/>
        <w:ind w:firstLine="440"/>
        <w:rPr>
          <w:szCs w:val="21"/>
        </w:rPr>
      </w:pPr>
      <w:r>
        <w:rPr>
          <w:rFonts w:hint="eastAsia"/>
          <w:b/>
          <w:bCs/>
          <w:szCs w:val="21"/>
        </w:rPr>
        <w:t>5</w:t>
      </w:r>
      <w:r>
        <w:rPr>
          <w:szCs w:val="21"/>
        </w:rPr>
        <w:t xml:space="preserve">  </w:t>
      </w:r>
      <w:r>
        <w:rPr>
          <w:rFonts w:hint="eastAsia"/>
          <w:szCs w:val="21"/>
        </w:rPr>
        <w:t>拆除现场应设置生活垃圾分类垃圾桶，及时收集生活垃圾；</w:t>
      </w:r>
    </w:p>
    <w:p>
      <w:pPr>
        <w:spacing w:line="240" w:lineRule="auto"/>
        <w:ind w:firstLine="440"/>
        <w:rPr>
          <w:szCs w:val="21"/>
        </w:rPr>
      </w:pPr>
      <w:r>
        <w:rPr>
          <w:rFonts w:hint="eastAsia"/>
          <w:b/>
          <w:bCs/>
          <w:szCs w:val="21"/>
        </w:rPr>
        <w:t>6</w:t>
      </w:r>
      <w:r>
        <w:rPr>
          <w:szCs w:val="21"/>
        </w:rPr>
        <w:t xml:space="preserve">  </w:t>
      </w:r>
      <w:r>
        <w:rPr>
          <w:rFonts w:hint="eastAsia"/>
          <w:szCs w:val="21"/>
        </w:rPr>
        <w:t>拆除工程承包单位应及时清运各类垃圾，现场严禁焚烧各类垃圾；</w:t>
      </w:r>
    </w:p>
    <w:p>
      <w:pPr>
        <w:spacing w:line="240" w:lineRule="auto"/>
        <w:ind w:firstLine="440"/>
        <w:rPr>
          <w:szCs w:val="21"/>
        </w:rPr>
      </w:pPr>
      <w:r>
        <w:rPr>
          <w:rFonts w:hint="eastAsia"/>
          <w:b/>
          <w:bCs/>
          <w:szCs w:val="21"/>
        </w:rPr>
        <w:t>7</w:t>
      </w:r>
      <w:r>
        <w:rPr>
          <w:szCs w:val="21"/>
        </w:rPr>
        <w:t xml:space="preserve">  </w:t>
      </w:r>
      <w:r>
        <w:rPr>
          <w:rFonts w:hint="eastAsia"/>
          <w:szCs w:val="21"/>
        </w:rPr>
        <w:t>拆除工程承包单位应及时对堆存超过24h的拆除垃圾和裸露的场地喷洒抑尘剂或用密目网遮盖，宜选用带颜色的抑尘剂，喷洒频率应不小于1次/天；</w:t>
      </w:r>
    </w:p>
    <w:p>
      <w:pPr>
        <w:spacing w:line="240" w:lineRule="auto"/>
        <w:ind w:firstLine="440"/>
        <w:rPr>
          <w:szCs w:val="21"/>
        </w:rPr>
      </w:pPr>
      <w:r>
        <w:rPr>
          <w:rFonts w:hint="eastAsia"/>
          <w:b/>
          <w:bCs/>
          <w:szCs w:val="21"/>
        </w:rPr>
        <w:t>8</w:t>
      </w:r>
      <w:r>
        <w:rPr>
          <w:szCs w:val="21"/>
        </w:rPr>
        <w:t xml:space="preserve">  </w:t>
      </w:r>
      <w:r>
        <w:rPr>
          <w:rFonts w:hint="eastAsia"/>
          <w:szCs w:val="21"/>
        </w:rPr>
        <w:t>拆除作业完成后应及时清理现场，临时占用的场地应及时腾退并恢复原貌。</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20" w:name="_Toc149641211"/>
      <w:r>
        <w:rPr>
          <w:rStyle w:val="22"/>
          <w:rFonts w:ascii="Times New Roman" w:hAnsi="Times New Roman" w:cs="Times New Roman"/>
          <w:sz w:val="28"/>
          <w:szCs w:val="28"/>
        </w:rPr>
        <w:t>6</w:t>
      </w:r>
      <w:r>
        <w:rPr>
          <w:rStyle w:val="22"/>
          <w:rFonts w:hint="eastAsia" w:ascii="宋体" w:hAnsi="宋体"/>
          <w:sz w:val="28"/>
          <w:szCs w:val="28"/>
        </w:rPr>
        <w:t xml:space="preserve">  </w:t>
      </w:r>
      <w:r>
        <w:rPr>
          <w:rStyle w:val="22"/>
          <w:rFonts w:hint="eastAsia" w:ascii="宋体" w:hAnsi="宋体" w:eastAsia="宋体"/>
          <w:b w:val="0"/>
          <w:bCs w:val="0"/>
          <w:sz w:val="28"/>
          <w:szCs w:val="28"/>
        </w:rPr>
        <w:t>反向建造工序拆除</w:t>
      </w:r>
      <w:bookmarkEnd w:id="20"/>
    </w:p>
    <w:p>
      <w:pPr>
        <w:pStyle w:val="4"/>
        <w:spacing w:before="240" w:after="240" w:line="240" w:lineRule="auto"/>
        <w:jc w:val="center"/>
        <w:rPr>
          <w:rFonts w:ascii="黑体" w:hAnsi="黑体" w:cs="宋体"/>
          <w:b w:val="0"/>
          <w:bCs w:val="0"/>
          <w:sz w:val="21"/>
          <w:szCs w:val="21"/>
        </w:rPr>
      </w:pPr>
      <w:bookmarkStart w:id="21" w:name="_Toc149641212"/>
      <w:r>
        <w:rPr>
          <w:rFonts w:ascii="Times New Roman" w:hAnsi="Times New Roman"/>
          <w:sz w:val="21"/>
          <w:szCs w:val="21"/>
        </w:rPr>
        <w:t>6</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r>
        <w:rPr>
          <w:rFonts w:hint="eastAsia" w:ascii="黑体" w:hAnsi="黑体" w:eastAsia="黑体"/>
          <w:b w:val="0"/>
          <w:sz w:val="21"/>
          <w:szCs w:val="21"/>
        </w:rPr>
        <w:t>反向建造工序拆除工序</w:t>
      </w:r>
      <w:bookmarkEnd w:id="21"/>
    </w:p>
    <w:p>
      <w:pPr>
        <w:spacing w:line="240" w:lineRule="auto"/>
        <w:rPr>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 xml:space="preserve">1  </w:t>
      </w:r>
      <w:r>
        <w:rPr>
          <w:rFonts w:hint="eastAsia"/>
          <w:szCs w:val="21"/>
        </w:rPr>
        <w:t>反向建造工序拆除应以促进建筑和拆除材料的回收，便于再利用/回收，减少城市废弃物填埋场和公共填埋区为目标。</w:t>
      </w:r>
    </w:p>
    <w:p>
      <w:pPr>
        <w:spacing w:line="240" w:lineRule="auto"/>
        <w:rPr>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 xml:space="preserve">2  </w:t>
      </w:r>
      <w:r>
        <w:rPr>
          <w:rFonts w:hint="eastAsia"/>
          <w:szCs w:val="21"/>
        </w:rPr>
        <w:t>反向建造工序拆除应遵循图6</w:t>
      </w:r>
      <w:r>
        <w:rPr>
          <w:szCs w:val="21"/>
        </w:rPr>
        <w:t>.1.1</w:t>
      </w:r>
      <w:r>
        <w:rPr>
          <w:rFonts w:hint="eastAsia"/>
          <w:szCs w:val="21"/>
        </w:rPr>
        <w:t>所示的技术路线开展作业。</w:t>
      </w:r>
    </w:p>
    <w:p>
      <w:pPr>
        <w:spacing w:line="240" w:lineRule="auto"/>
        <w:rPr>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 xml:space="preserve">3  </w:t>
      </w:r>
      <w:r>
        <w:rPr>
          <w:rFonts w:hint="eastAsia"/>
          <w:szCs w:val="21"/>
        </w:rPr>
        <w:t>反向建造工序拆除应对建筑材料的分离和分类进行排序。首先宜将家具、家用电器等生活垃圾，窗框、管道等金属构件，门、木地板等木质构件，瓷砖、陶瓷制品等其他废弃物逐一清除，其次拆解主体结构。</w:t>
      </w:r>
    </w:p>
    <w:p>
      <w:pPr>
        <w:spacing w:line="240" w:lineRule="auto"/>
        <w:rPr>
          <w:rFonts w:hint="eastAsia"/>
          <w:szCs w:val="21"/>
        </w:rPr>
      </w:pPr>
    </w:p>
    <w:p>
      <w:pPr>
        <w:spacing w:line="240" w:lineRule="auto"/>
        <w:jc w:val="center"/>
        <w:rPr>
          <w:szCs w:val="21"/>
        </w:rPr>
      </w:pPr>
      <w:r>
        <w:rPr>
          <w:szCs w:val="21"/>
        </w:rPr>
        <w:drawing>
          <wp:inline distT="0" distB="0" distL="0" distR="0">
            <wp:extent cx="5509895" cy="45116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09895" cy="4511675"/>
                    </a:xfrm>
                    <a:prstGeom prst="rect">
                      <a:avLst/>
                    </a:prstGeom>
                    <a:noFill/>
                  </pic:spPr>
                </pic:pic>
              </a:graphicData>
            </a:graphic>
          </wp:inline>
        </w:drawing>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sz w:val="18"/>
          <w:szCs w:val="18"/>
        </w:rPr>
        <w:t>6</w:t>
      </w:r>
      <w:r>
        <w:rPr>
          <w:rFonts w:hint="eastAsia" w:ascii="宋体" w:hAnsi="宋体" w:cs="黑体"/>
          <w:b/>
          <w:sz w:val="18"/>
          <w:szCs w:val="18"/>
        </w:rPr>
        <w:t>.</w:t>
      </w:r>
      <w:r>
        <w:rPr>
          <w:rFonts w:hint="eastAsia" w:eastAsia="黑体" w:cs="黑体"/>
          <w:b/>
          <w:sz w:val="18"/>
          <w:szCs w:val="18"/>
        </w:rPr>
        <w:t>1</w:t>
      </w:r>
      <w:r>
        <w:rPr>
          <w:rFonts w:hint="eastAsia" w:ascii="宋体" w:hAnsi="宋体" w:cs="黑体"/>
          <w:b/>
          <w:sz w:val="18"/>
          <w:szCs w:val="18"/>
        </w:rPr>
        <w:t>.</w:t>
      </w:r>
      <w:r>
        <w:rPr>
          <w:rFonts w:hint="eastAsia" w:eastAsia="黑体" w:cs="黑体"/>
          <w:b/>
          <w:sz w:val="18"/>
          <w:szCs w:val="18"/>
        </w:rPr>
        <w:t>1</w:t>
      </w:r>
      <w:r>
        <w:rPr>
          <w:rFonts w:ascii="宋体" w:hAnsi="宋体" w:cs="黑体"/>
          <w:bCs/>
          <w:sz w:val="18"/>
          <w:szCs w:val="18"/>
        </w:rPr>
        <w:t xml:space="preserve">  </w:t>
      </w:r>
      <w:r>
        <w:rPr>
          <w:rFonts w:hint="eastAsia" w:eastAsia="黑体" w:cs="黑体"/>
          <w:bCs/>
          <w:sz w:val="18"/>
          <w:szCs w:val="18"/>
        </w:rPr>
        <w:t>建筑物反向建造工序拆除技术路线</w:t>
      </w:r>
    </w:p>
    <w:p>
      <w:pPr>
        <w:spacing w:line="240" w:lineRule="auto"/>
        <w:rPr>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 xml:space="preserve">4  </w:t>
      </w:r>
      <w:r>
        <w:rPr>
          <w:rFonts w:hint="eastAsia"/>
          <w:szCs w:val="21"/>
        </w:rPr>
        <w:t>结构主体拆除作业应按先拆除墙体，再拆除混凝土框架的顺序进行，墙体和框架分开堆放，避免砖、瓦与混凝土混合。</w:t>
      </w:r>
    </w:p>
    <w:p>
      <w:pPr>
        <w:spacing w:line="240" w:lineRule="auto"/>
        <w:rPr>
          <w:b/>
          <w:szCs w:val="21"/>
        </w:rPr>
      </w:pPr>
      <w:r>
        <w:rPr>
          <w:rFonts w:hint="eastAsia"/>
          <w:b/>
          <w:szCs w:val="21"/>
        </w:rPr>
        <w:t>6</w:t>
      </w:r>
      <w:r>
        <w:rPr>
          <w:b/>
          <w:szCs w:val="21"/>
        </w:rPr>
        <w:t xml:space="preserve">. 1. 5  </w:t>
      </w:r>
      <w:r>
        <w:rPr>
          <w:szCs w:val="21"/>
        </w:rPr>
        <w:t>结构主体拆除过程中能缩减尺寸制造建筑材料的部位应最大化制造可直接利用的建筑材料</w:t>
      </w:r>
      <w:r>
        <w:rPr>
          <w:rFonts w:hint="eastAsia"/>
          <w:szCs w:val="21"/>
        </w:rPr>
        <w:t>。</w:t>
      </w:r>
    </w:p>
    <w:p>
      <w:pPr>
        <w:pStyle w:val="4"/>
        <w:spacing w:before="240" w:after="240" w:line="240" w:lineRule="auto"/>
        <w:jc w:val="center"/>
        <w:rPr>
          <w:rFonts w:ascii="黑体" w:hAnsi="黑体" w:cs="宋体"/>
          <w:b w:val="0"/>
          <w:bCs w:val="0"/>
          <w:sz w:val="21"/>
          <w:szCs w:val="21"/>
        </w:rPr>
      </w:pPr>
      <w:bookmarkStart w:id="22" w:name="_Toc149641213"/>
      <w:r>
        <w:rPr>
          <w:rFonts w:ascii="Times New Roman" w:hAnsi="Times New Roman"/>
          <w:sz w:val="21"/>
          <w:szCs w:val="21"/>
        </w:rPr>
        <w:t>6</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人 工 拆 除</w:t>
      </w:r>
      <w:bookmarkEnd w:id="22"/>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人工拆除适用于木结构、砖木结构、檐口高度l0m以下的砖混结构等民用建筑的拆除，以及因环境不允许采用爆破、机械拆除，必须采用人工拆除方法的情况。</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2  </w:t>
      </w:r>
      <w:r>
        <w:rPr>
          <w:rFonts w:hint="eastAsia"/>
          <w:szCs w:val="21"/>
        </w:rPr>
        <w:t>人工拆除作业必须按建造施工工序的逆顺序自上而下、逐层、逐个构件、杆件进行；屋檐、外楼梯、挑阳台、雨蓬、广告牌和铸铁落水管道等在拆除工程施工中容易失稳的外挑构件必须先行拆除；栏杆、楼梯、楼板等构件拆除必须与结构整体拆除同步进行，严禁先行拆除；承重的墙、梁、柱，必须在其所承载的全部构件拆除后再进行拆除；严禁垂直交叉作业。</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3  </w:t>
      </w:r>
      <w:r>
        <w:rPr>
          <w:rFonts w:hint="eastAsia"/>
          <w:szCs w:val="21"/>
        </w:rPr>
        <w:t>拆除工程的拆除作业通道的设置要求：</w:t>
      </w:r>
    </w:p>
    <w:p>
      <w:pPr>
        <w:spacing w:line="240" w:lineRule="auto"/>
        <w:ind w:firstLine="440"/>
        <w:rPr>
          <w:szCs w:val="21"/>
        </w:rPr>
      </w:pPr>
      <w:r>
        <w:rPr>
          <w:b/>
          <w:bCs/>
          <w:szCs w:val="21"/>
        </w:rPr>
        <w:t>1</w:t>
      </w:r>
      <w:r>
        <w:rPr>
          <w:szCs w:val="21"/>
        </w:rPr>
        <w:t xml:space="preserve">  </w:t>
      </w:r>
      <w:r>
        <w:rPr>
          <w:rFonts w:hint="eastAsia"/>
          <w:szCs w:val="21"/>
        </w:rPr>
        <w:t>平面通道宽度应适合运输工具和施工人员通行的需要；</w:t>
      </w:r>
    </w:p>
    <w:p>
      <w:pPr>
        <w:spacing w:line="240" w:lineRule="auto"/>
        <w:ind w:firstLine="440"/>
        <w:rPr>
          <w:szCs w:val="21"/>
        </w:rPr>
      </w:pPr>
      <w:r>
        <w:rPr>
          <w:b/>
          <w:bCs/>
          <w:szCs w:val="21"/>
        </w:rPr>
        <w:t>2</w:t>
      </w:r>
      <w:r>
        <w:rPr>
          <w:szCs w:val="21"/>
        </w:rPr>
        <w:t xml:space="preserve">  </w:t>
      </w:r>
      <w:r>
        <w:rPr>
          <w:rFonts w:hint="eastAsia"/>
          <w:szCs w:val="21"/>
        </w:rPr>
        <w:t>上、下通道宜利用原建筑通道，无法利用原通道的，应搭设临时施工通道。</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4  </w:t>
      </w:r>
      <w:r>
        <w:rPr>
          <w:rFonts w:hint="eastAsia"/>
          <w:szCs w:val="21"/>
        </w:rPr>
        <w:t>对于拆除物高度的檐口高度大于2m或屋面坡度大于30°的拆除工程，应搭设施工脚手架，落地脚手架首排底笆应选用不漏尘的板材铺设；脚手架应经验收合格后方可使用；拆除工程施工中，应检查和采取相应措施，防止脚手架倒塌；脚手架应随建筑物的拆除进程同步拆除。</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5  </w:t>
      </w:r>
      <w:r>
        <w:rPr>
          <w:rFonts w:hint="eastAsia"/>
          <w:szCs w:val="21"/>
        </w:rPr>
        <w:t>作业人员必须站在脚手架、脚手板或其它稳固的结构或部位上操作，严禁站在墙体、挑梁等不稳固、危险的构件上作业。</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6  </w:t>
      </w:r>
      <w:r>
        <w:rPr>
          <w:rFonts w:hint="eastAsia"/>
          <w:szCs w:val="21"/>
        </w:rPr>
        <w:t>拆除工程施工、材料回收、建筑废弃物清理时不得高空抛物，并符合下列要求：</w:t>
      </w:r>
    </w:p>
    <w:p>
      <w:pPr>
        <w:spacing w:line="240" w:lineRule="auto"/>
        <w:ind w:firstLine="440"/>
        <w:rPr>
          <w:szCs w:val="21"/>
        </w:rPr>
      </w:pPr>
      <w:r>
        <w:rPr>
          <w:b/>
          <w:bCs/>
          <w:szCs w:val="21"/>
        </w:rPr>
        <w:t>1</w:t>
      </w:r>
      <w:r>
        <w:rPr>
          <w:szCs w:val="21"/>
        </w:rPr>
        <w:t xml:space="preserve">  </w:t>
      </w:r>
      <w:r>
        <w:rPr>
          <w:rFonts w:hint="eastAsia"/>
          <w:szCs w:val="21"/>
        </w:rPr>
        <w:t>拆卸下的材料、构件、杆件等，应由垂直升降设备或在流放槽中卸下，或通过楼梯搬运到地面；</w:t>
      </w:r>
    </w:p>
    <w:p>
      <w:pPr>
        <w:spacing w:line="240" w:lineRule="auto"/>
        <w:ind w:firstLine="440"/>
        <w:rPr>
          <w:szCs w:val="21"/>
        </w:rPr>
      </w:pPr>
      <w:r>
        <w:rPr>
          <w:b/>
          <w:bCs/>
          <w:szCs w:val="21"/>
        </w:rPr>
        <w:t>2</w:t>
      </w:r>
      <w:r>
        <w:rPr>
          <w:szCs w:val="21"/>
        </w:rPr>
        <w:t xml:space="preserve">  </w:t>
      </w:r>
      <w:r>
        <w:rPr>
          <w:rFonts w:hint="eastAsia"/>
          <w:szCs w:val="21"/>
        </w:rPr>
        <w:t>建筑废弃物可通过原电梯井道或设置的废弃物井道卸下，在楼板上开设的废弃物井道，洞口不宜过大，且洞口边缘下部应有梁或墙支撑以确保洞口稳固，洞口四周必须采取牢固的防护栏等防坠落安全措施。</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7  </w:t>
      </w:r>
      <w:r>
        <w:rPr>
          <w:rFonts w:hint="eastAsia"/>
          <w:szCs w:val="21"/>
        </w:rPr>
        <w:t>屋面、楼面、平(阳)台上或脚手架上，不得聚集人员、集中堆放材料和建筑废弃物；楼面或脚手架上的材料和散落的建筑废弃物，应及时子以清理。</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8  </w:t>
      </w:r>
      <w:r>
        <w:rPr>
          <w:rFonts w:hint="eastAsia"/>
          <w:szCs w:val="21"/>
        </w:rPr>
        <w:t>坡屋面拆除应符合下列要求：</w:t>
      </w:r>
    </w:p>
    <w:p>
      <w:pPr>
        <w:spacing w:line="240" w:lineRule="auto"/>
        <w:ind w:firstLine="440"/>
        <w:rPr>
          <w:szCs w:val="21"/>
        </w:rPr>
      </w:pPr>
      <w:r>
        <w:rPr>
          <w:b/>
          <w:bCs/>
          <w:szCs w:val="21"/>
        </w:rPr>
        <w:t>1</w:t>
      </w:r>
      <w:r>
        <w:rPr>
          <w:szCs w:val="21"/>
        </w:rPr>
        <w:t xml:space="preserve">  </w:t>
      </w:r>
      <w:r>
        <w:rPr>
          <w:rFonts w:hint="eastAsia"/>
          <w:szCs w:val="21"/>
        </w:rPr>
        <w:t>拆除坡度大于30°的屋面和石棉瓦屋面、冷摊瓦屋面、轻质钢架屋面，操作人员应系好安全带，并有防滑、防坠落措施；</w:t>
      </w:r>
    </w:p>
    <w:p>
      <w:pPr>
        <w:spacing w:line="240" w:lineRule="auto"/>
        <w:ind w:firstLine="440"/>
        <w:rPr>
          <w:szCs w:val="21"/>
        </w:rPr>
      </w:pPr>
      <w:r>
        <w:rPr>
          <w:rFonts w:hint="eastAsia"/>
          <w:b/>
          <w:bCs/>
          <w:szCs w:val="21"/>
        </w:rPr>
        <w:t>2</w:t>
      </w:r>
      <w:r>
        <w:rPr>
          <w:szCs w:val="21"/>
        </w:rPr>
        <w:t xml:space="preserve">  </w:t>
      </w:r>
      <w:r>
        <w:rPr>
          <w:rFonts w:hint="eastAsia"/>
          <w:szCs w:val="21"/>
        </w:rPr>
        <w:t>屋架应逐榀拆除，对未拆屋架应保留桁条、水平支撑、剪刀撑，确保其稳定性；</w:t>
      </w:r>
    </w:p>
    <w:p>
      <w:pPr>
        <w:spacing w:line="240" w:lineRule="auto"/>
        <w:ind w:firstLine="440"/>
        <w:rPr>
          <w:szCs w:val="21"/>
        </w:rPr>
      </w:pPr>
      <w:r>
        <w:rPr>
          <w:rFonts w:hint="eastAsia"/>
          <w:b/>
          <w:bCs/>
          <w:szCs w:val="21"/>
        </w:rPr>
        <w:t>3</w:t>
      </w:r>
      <w:r>
        <w:rPr>
          <w:szCs w:val="21"/>
        </w:rPr>
        <w:t xml:space="preserve">  </w:t>
      </w:r>
      <w:r>
        <w:rPr>
          <w:rFonts w:hint="eastAsia"/>
          <w:szCs w:val="21"/>
        </w:rPr>
        <w:t>拆除屋架应在屋架顶端两侧设置揽风绳，防止屋架意外倾覆；</w:t>
      </w:r>
    </w:p>
    <w:p>
      <w:pPr>
        <w:spacing w:line="240" w:lineRule="auto"/>
        <w:ind w:firstLine="440"/>
        <w:rPr>
          <w:szCs w:val="21"/>
        </w:rPr>
      </w:pPr>
      <w:r>
        <w:rPr>
          <w:rFonts w:hint="eastAsia"/>
          <w:b/>
          <w:bCs/>
          <w:szCs w:val="21"/>
        </w:rPr>
        <w:t>4</w:t>
      </w:r>
      <w:r>
        <w:rPr>
          <w:szCs w:val="21"/>
        </w:rPr>
        <w:t xml:space="preserve">  </w:t>
      </w:r>
      <w:r>
        <w:rPr>
          <w:rFonts w:hint="eastAsia"/>
          <w:szCs w:val="21"/>
        </w:rPr>
        <w:t>屋架跨度大于9m时，应采用起重设备起吊拆除。</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9  </w:t>
      </w:r>
      <w:r>
        <w:rPr>
          <w:rFonts w:hint="eastAsia"/>
          <w:szCs w:val="21"/>
        </w:rPr>
        <w:t>楼板(包括平屋面)拆除应符合下列要求：</w:t>
      </w:r>
    </w:p>
    <w:p>
      <w:pPr>
        <w:spacing w:line="240" w:lineRule="auto"/>
        <w:ind w:firstLine="440"/>
        <w:rPr>
          <w:szCs w:val="21"/>
        </w:rPr>
      </w:pPr>
      <w:r>
        <w:rPr>
          <w:b/>
          <w:bCs/>
          <w:szCs w:val="21"/>
        </w:rPr>
        <w:t>1</w:t>
      </w:r>
      <w:r>
        <w:rPr>
          <w:szCs w:val="21"/>
        </w:rPr>
        <w:t xml:space="preserve">  </w:t>
      </w:r>
      <w:r>
        <w:rPr>
          <w:rFonts w:hint="eastAsia"/>
          <w:szCs w:val="21"/>
        </w:rPr>
        <w:t>现浇钢筋混凝土楼板应采用粉碎性拆除，保留钢筋网至钢筋混凝土梁拆除前切割；</w:t>
      </w:r>
    </w:p>
    <w:p>
      <w:pPr>
        <w:spacing w:line="240" w:lineRule="auto"/>
        <w:ind w:firstLine="440"/>
        <w:rPr>
          <w:szCs w:val="21"/>
        </w:rPr>
      </w:pPr>
      <w:r>
        <w:rPr>
          <w:b/>
          <w:bCs/>
          <w:szCs w:val="21"/>
        </w:rPr>
        <w:t>2</w:t>
      </w:r>
      <w:r>
        <w:rPr>
          <w:szCs w:val="21"/>
        </w:rPr>
        <w:t xml:space="preserve">  </w:t>
      </w:r>
      <w:r>
        <w:rPr>
          <w:rFonts w:hint="eastAsia"/>
          <w:szCs w:val="21"/>
        </w:rPr>
        <w:t>预制楼板应采用粉碎性拆除；拆除工程施工前，作业人员应系好安全带，并攀挂在安全绳上，安全绳固定在稳定牢固的位置；施工作业时，作业人员应站立在跳板上，跳板两端搁置在墙体或梁上。</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10  </w:t>
      </w:r>
      <w:r>
        <w:rPr>
          <w:rFonts w:hint="eastAsia"/>
          <w:szCs w:val="21"/>
        </w:rPr>
        <w:t>拆除次梁时，在梁的两端凿缝，先割断一端钢筋，应用起重设备缓慢放至下层楼面后，再割断另一端的钢筋，用起重设备缓慢放至下层楼面，先尺寸缩减加工直接利用材料，不能直接利用的进行破碎；当次梁过大、过重，用起重设备不能安全吊放时，应按照主梁的拆除方法拆除。</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11  </w:t>
      </w:r>
      <w:r>
        <w:rPr>
          <w:rFonts w:hint="eastAsia"/>
          <w:szCs w:val="21"/>
        </w:rPr>
        <w:t>主梁应采用尺寸缩减和粉碎性拆除；主梁的两端和下部必须设置相应的支撑，先切割两端，然后用起重设备缓慢放至下层楼面，先尺寸缩减加工直接利用材料，不能直接利用的进行破碎；</w:t>
      </w:r>
      <w:r>
        <w:rPr>
          <w:szCs w:val="21"/>
        </w:rPr>
        <w:t xml:space="preserve"> </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12  </w:t>
      </w:r>
      <w:r>
        <w:rPr>
          <w:rFonts w:hint="eastAsia"/>
          <w:szCs w:val="21"/>
        </w:rPr>
        <w:t>墙体必须自上而下粉碎性拆除，禁止采用开墙槽、砍凿墙脚人力推倒或拉倒墙体的方法拆除墙体。</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13  </w:t>
      </w:r>
      <w:r>
        <w:rPr>
          <w:rFonts w:hint="eastAsia"/>
          <w:szCs w:val="21"/>
        </w:rPr>
        <w:t>拆除立柱应符合下列要求：</w:t>
      </w:r>
    </w:p>
    <w:p>
      <w:pPr>
        <w:spacing w:line="240" w:lineRule="auto"/>
        <w:ind w:firstLine="440"/>
        <w:rPr>
          <w:szCs w:val="21"/>
        </w:rPr>
      </w:pPr>
      <w:r>
        <w:rPr>
          <w:b/>
          <w:bCs/>
          <w:szCs w:val="21"/>
        </w:rPr>
        <w:t>1</w:t>
      </w:r>
      <w:r>
        <w:rPr>
          <w:szCs w:val="21"/>
        </w:rPr>
        <w:t xml:space="preserve">  </w:t>
      </w:r>
      <w:r>
        <w:rPr>
          <w:rFonts w:hint="eastAsia"/>
          <w:szCs w:val="21"/>
        </w:rPr>
        <w:t>立柱倒塌方向应选择在楼板下有梁或墙的位置，边(角)柱应控制向内倒塌；</w:t>
      </w:r>
    </w:p>
    <w:p>
      <w:pPr>
        <w:spacing w:line="240" w:lineRule="auto"/>
        <w:ind w:firstLine="440"/>
        <w:rPr>
          <w:szCs w:val="21"/>
        </w:rPr>
      </w:pPr>
      <w:r>
        <w:rPr>
          <w:b/>
          <w:bCs/>
          <w:szCs w:val="21"/>
        </w:rPr>
        <w:t>2</w:t>
      </w:r>
      <w:r>
        <w:rPr>
          <w:szCs w:val="21"/>
        </w:rPr>
        <w:t xml:space="preserve">  </w:t>
      </w:r>
      <w:r>
        <w:rPr>
          <w:rFonts w:hint="eastAsia"/>
          <w:szCs w:val="21"/>
        </w:rPr>
        <w:t>应沿立柱根部切断部位凿出钢筋，用手动倒链或用长度和强度足够的绳索定向牵引，将牵引方向反向的钢筋和两侧的钢筋用气割割断，保留牵引方向的钢筋，然后将立柱向倒塌方向牵引拉倒；</w:t>
      </w:r>
    </w:p>
    <w:p>
      <w:pPr>
        <w:spacing w:line="240" w:lineRule="auto"/>
        <w:ind w:firstLine="440"/>
        <w:rPr>
          <w:szCs w:val="21"/>
        </w:rPr>
      </w:pPr>
      <w:r>
        <w:rPr>
          <w:rFonts w:hint="eastAsia"/>
          <w:b/>
          <w:bCs/>
          <w:szCs w:val="21"/>
        </w:rPr>
        <w:t>3</w:t>
      </w:r>
      <w:r>
        <w:rPr>
          <w:szCs w:val="21"/>
        </w:rPr>
        <w:t xml:space="preserve">  </w:t>
      </w:r>
      <w:r>
        <w:rPr>
          <w:rFonts w:hint="eastAsia"/>
          <w:szCs w:val="21"/>
        </w:rPr>
        <w:t>立柱倒塌撞击点应采取缓冲减震措施；</w:t>
      </w:r>
    </w:p>
    <w:p>
      <w:pPr>
        <w:spacing w:line="240" w:lineRule="auto"/>
        <w:ind w:firstLine="440"/>
        <w:rPr>
          <w:szCs w:val="21"/>
        </w:rPr>
      </w:pPr>
      <w:r>
        <w:rPr>
          <w:rFonts w:hint="eastAsia"/>
          <w:b/>
          <w:szCs w:val="21"/>
        </w:rPr>
        <w:t>4</w:t>
      </w:r>
      <w:r>
        <w:rPr>
          <w:b/>
          <w:szCs w:val="21"/>
        </w:rPr>
        <w:t xml:space="preserve">  </w:t>
      </w:r>
      <w:r>
        <w:rPr>
          <w:szCs w:val="21"/>
        </w:rPr>
        <w:t>立柱倒下后</w:t>
      </w:r>
      <w:r>
        <w:rPr>
          <w:rFonts w:hint="eastAsia"/>
          <w:szCs w:val="21"/>
        </w:rPr>
        <w:t>先尺寸缩减加工直接利用材料，不能直接利用的进行破碎；</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14  </w:t>
      </w:r>
      <w:r>
        <w:rPr>
          <w:rFonts w:hint="eastAsia"/>
          <w:szCs w:val="21"/>
        </w:rPr>
        <w:t>建筑物局部拆除必须保证保留部分结构的完整和稳定。</w:t>
      </w:r>
    </w:p>
    <w:p>
      <w:pPr>
        <w:spacing w:line="240" w:lineRule="auto"/>
        <w:rPr>
          <w:szCs w:val="21"/>
        </w:rPr>
      </w:pPr>
      <w:r>
        <w:rPr>
          <w:b/>
          <w:bCs/>
          <w:szCs w:val="21"/>
        </w:rPr>
        <w:t>6</w:t>
      </w:r>
      <w:r>
        <w:rPr>
          <w:rFonts w:ascii="宋体" w:hAnsi="宋体"/>
          <w:b/>
          <w:bCs/>
          <w:szCs w:val="21"/>
        </w:rPr>
        <w:t>.</w:t>
      </w:r>
      <w:r>
        <w:rPr>
          <w:b/>
          <w:bCs/>
          <w:szCs w:val="21"/>
        </w:rPr>
        <w:t>2</w:t>
      </w:r>
      <w:r>
        <w:rPr>
          <w:rFonts w:ascii="宋体" w:hAnsi="宋体"/>
          <w:b/>
          <w:bCs/>
          <w:szCs w:val="21"/>
        </w:rPr>
        <w:t>.</w:t>
      </w:r>
      <w:r>
        <w:rPr>
          <w:b/>
          <w:bCs/>
          <w:szCs w:val="21"/>
        </w:rPr>
        <w:t xml:space="preserve">15  </w:t>
      </w:r>
      <w:r>
        <w:rPr>
          <w:rFonts w:hint="eastAsia"/>
          <w:szCs w:val="21"/>
        </w:rPr>
        <w:t>钢筋混凝土建筑物在特定噪音、扬尘控制区域宜采用低噪音切割方式拆除；使用金刚石链锯、碟锯、水钻等切割工具，其作业应符合下列要求：</w:t>
      </w:r>
    </w:p>
    <w:p>
      <w:pPr>
        <w:spacing w:line="240" w:lineRule="auto"/>
        <w:ind w:firstLine="440"/>
        <w:rPr>
          <w:szCs w:val="21"/>
        </w:rPr>
      </w:pPr>
      <w:r>
        <w:rPr>
          <w:b/>
          <w:bCs/>
          <w:szCs w:val="21"/>
        </w:rPr>
        <w:t>1</w:t>
      </w:r>
      <w:r>
        <w:rPr>
          <w:szCs w:val="21"/>
        </w:rPr>
        <w:t xml:space="preserve">  </w:t>
      </w:r>
      <w:r>
        <w:rPr>
          <w:rFonts w:hint="eastAsia"/>
          <w:szCs w:val="21"/>
        </w:rPr>
        <w:t>切割放线作业前应验算被切割构件的重量和体积；</w:t>
      </w:r>
    </w:p>
    <w:p>
      <w:pPr>
        <w:spacing w:line="240" w:lineRule="auto"/>
        <w:ind w:firstLine="440"/>
        <w:rPr>
          <w:szCs w:val="21"/>
        </w:rPr>
      </w:pPr>
      <w:r>
        <w:rPr>
          <w:b/>
          <w:bCs/>
          <w:szCs w:val="21"/>
        </w:rPr>
        <w:t>2</w:t>
      </w:r>
      <w:r>
        <w:rPr>
          <w:szCs w:val="21"/>
        </w:rPr>
        <w:t xml:space="preserve">  </w:t>
      </w:r>
      <w:r>
        <w:rPr>
          <w:rFonts w:hint="eastAsia"/>
          <w:szCs w:val="21"/>
        </w:rPr>
        <w:t>切割前先在被切割构件底部搭设钢管支撑架，支撑架应具有足够的支承力以保证被切割构件割断后的稳定；</w:t>
      </w:r>
    </w:p>
    <w:p>
      <w:pPr>
        <w:spacing w:line="240" w:lineRule="auto"/>
        <w:ind w:firstLine="440"/>
        <w:rPr>
          <w:szCs w:val="21"/>
        </w:rPr>
      </w:pPr>
      <w:r>
        <w:rPr>
          <w:rFonts w:hint="eastAsia"/>
          <w:b/>
          <w:bCs/>
          <w:szCs w:val="21"/>
        </w:rPr>
        <w:t>3</w:t>
      </w:r>
      <w:r>
        <w:rPr>
          <w:szCs w:val="21"/>
        </w:rPr>
        <w:t xml:space="preserve">  </w:t>
      </w:r>
      <w:r>
        <w:rPr>
          <w:rFonts w:hint="eastAsia"/>
          <w:szCs w:val="21"/>
        </w:rPr>
        <w:t>钢筋混凝土立柱和楼板切割前应先在被切割构件上钻起吊孔，用起重设备起吊，立柱的吊点应布置在重心以上部位；</w:t>
      </w:r>
    </w:p>
    <w:p>
      <w:pPr>
        <w:spacing w:line="240" w:lineRule="auto"/>
        <w:ind w:firstLine="440"/>
        <w:rPr>
          <w:szCs w:val="21"/>
        </w:rPr>
      </w:pPr>
      <w:r>
        <w:rPr>
          <w:rFonts w:hint="eastAsia"/>
          <w:b/>
          <w:bCs/>
          <w:szCs w:val="21"/>
        </w:rPr>
        <w:t>4</w:t>
      </w:r>
      <w:r>
        <w:rPr>
          <w:szCs w:val="21"/>
        </w:rPr>
        <w:t xml:space="preserve">  </w:t>
      </w:r>
      <w:r>
        <w:rPr>
          <w:rFonts w:hint="eastAsia"/>
          <w:szCs w:val="21"/>
        </w:rPr>
        <w:t>根据附属设施、非承重结构、次承重结构和主承重结构的先后顺序，按照放线的位置分块切割，并逐一吊至指定地点；</w:t>
      </w:r>
    </w:p>
    <w:p>
      <w:pPr>
        <w:spacing w:line="240" w:lineRule="auto"/>
        <w:ind w:firstLine="440"/>
        <w:rPr>
          <w:szCs w:val="21"/>
        </w:rPr>
      </w:pPr>
      <w:r>
        <w:rPr>
          <w:rFonts w:hint="eastAsia"/>
          <w:b/>
          <w:bCs/>
          <w:szCs w:val="21"/>
        </w:rPr>
        <w:t>5</w:t>
      </w:r>
      <w:r>
        <w:rPr>
          <w:szCs w:val="21"/>
        </w:rPr>
        <w:t xml:space="preserve">  </w:t>
      </w:r>
      <w:r>
        <w:rPr>
          <w:rFonts w:hint="eastAsia"/>
          <w:szCs w:val="21"/>
        </w:rPr>
        <w:t>切割过程中产生的污水要设置接收及处理设施。</w:t>
      </w:r>
    </w:p>
    <w:p>
      <w:pPr>
        <w:pStyle w:val="4"/>
        <w:spacing w:before="240" w:after="240" w:line="240" w:lineRule="auto"/>
        <w:jc w:val="center"/>
        <w:rPr>
          <w:rFonts w:ascii="黑体" w:hAnsi="黑体" w:cs="宋体"/>
          <w:b w:val="0"/>
          <w:bCs w:val="0"/>
          <w:sz w:val="21"/>
          <w:szCs w:val="21"/>
        </w:rPr>
      </w:pPr>
      <w:bookmarkStart w:id="23" w:name="_Toc149641214"/>
      <w:r>
        <w:rPr>
          <w:rFonts w:ascii="Times New Roman" w:hAnsi="Times New Roman"/>
          <w:sz w:val="21"/>
          <w:szCs w:val="21"/>
        </w:rPr>
        <w:t>6</w:t>
      </w:r>
      <w:r>
        <w:rPr>
          <w:rFonts w:hint="eastAsia" w:ascii="宋体" w:hAnsi="宋体" w:eastAsia="宋体"/>
          <w:sz w:val="21"/>
          <w:szCs w:val="21"/>
        </w:rPr>
        <w:t>.</w:t>
      </w:r>
      <w:r>
        <w:rPr>
          <w:rFonts w:ascii="Times New Roman" w:hAnsi="Times New Roman"/>
          <w:sz w:val="21"/>
          <w:szCs w:val="21"/>
        </w:rPr>
        <w:t>3</w:t>
      </w:r>
      <w:r>
        <w:rPr>
          <w:rFonts w:hint="eastAsia" w:ascii="黑体" w:hAnsi="黑体"/>
          <w:b w:val="0"/>
          <w:sz w:val="21"/>
          <w:szCs w:val="21"/>
        </w:rPr>
        <w:t xml:space="preserve">  </w:t>
      </w:r>
      <w:r>
        <w:rPr>
          <w:rFonts w:hint="eastAsia" w:ascii="黑体" w:hAnsi="黑体" w:eastAsia="黑体"/>
          <w:b w:val="0"/>
          <w:sz w:val="21"/>
          <w:szCs w:val="21"/>
        </w:rPr>
        <w:t>机 械 拆 除</w:t>
      </w:r>
      <w:bookmarkEnd w:id="23"/>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  </w:t>
      </w:r>
      <w:r>
        <w:rPr>
          <w:rFonts w:hint="eastAsia"/>
          <w:szCs w:val="21"/>
        </w:rPr>
        <w:t>机械拆除适用于砖木结构、砖混结构、框架结构、框剪结构、排架结构、钢结构等各类建筑物和各类基础、地下工程。</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  </w:t>
      </w:r>
      <w:r>
        <w:rPr>
          <w:rFonts w:hint="eastAsia"/>
          <w:szCs w:val="21"/>
        </w:rPr>
        <w:t>拆除机械应具有产品合格证及有关技术主管部门对该机械检验合格的证明；并应符合机械操作人员手册的要求和《建筑机械使用安全技术规程》(JGJ33)的规定使用和进行日常保养、定期保养、维护和维修，确保机械完好、使用安全。</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3  </w:t>
      </w:r>
      <w:r>
        <w:rPr>
          <w:rFonts w:hint="eastAsia"/>
          <w:szCs w:val="21"/>
        </w:rPr>
        <w:t>拆除机械使用前或交接使用时应对各种安全防护装置、监测、报警装置、升降、变幅、旋转、移动等系统进行调试检查，机械各项性能应安全、完好，方可使用或交接。</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4  </w:t>
      </w:r>
      <w:r>
        <w:rPr>
          <w:rFonts w:hint="eastAsia"/>
          <w:szCs w:val="21"/>
        </w:rPr>
        <w:t>拆除工程现场应具备机械作业的道路、水电、停机场地等必备的条件，夜间作业应设置充足的照明灯光；强光照明灯应配有防眩光罩，照明光束应俯射施工作业面，照明灯光不得直射工地外其它建筑物。</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5  </w:t>
      </w:r>
      <w:r>
        <w:rPr>
          <w:rFonts w:hint="eastAsia"/>
          <w:szCs w:val="21"/>
        </w:rPr>
        <w:t>施工企业必须根据建筑物的高度选择拆除机械，严禁超越机械有效作业高度进行作业。</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6  </w:t>
      </w:r>
      <w:r>
        <w:rPr>
          <w:rFonts w:hint="eastAsia"/>
          <w:szCs w:val="21"/>
        </w:rPr>
        <w:t>机械设备在作业时，与架空线应保持安全距离；遇有地下管线时，应垫铺路基箱或钢板保护体。</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7  </w:t>
      </w:r>
      <w:r>
        <w:rPr>
          <w:rFonts w:hint="eastAsia"/>
          <w:szCs w:val="21"/>
        </w:rPr>
        <w:t>机械行走应严格执行机械行走的规定；操作机械时，作业人员不得站立驾驶，他人不得进人机械操作室；机械作业人员应持证上岗，不得将机械交给无证人员操作；实行多班作业时，应严格执行交接制度。</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8  </w:t>
      </w:r>
      <w:r>
        <w:rPr>
          <w:rFonts w:hint="eastAsia"/>
          <w:szCs w:val="21"/>
        </w:rPr>
        <w:t>机械作业人员应按照机械操作手册的要求和《建筑机械使用安全技术规程》(JGJ33)的规定进行操作；拆除机械作业平面的有效范围为机械正前方左、右40°。</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9  </w:t>
      </w:r>
      <w:r>
        <w:rPr>
          <w:rFonts w:hint="eastAsia"/>
          <w:szCs w:val="21"/>
        </w:rPr>
        <w:t>为提高拆除机械的作业高度，可用渣土铺设坡道和作业平台，坡道和作业平台应符合下列要求：</w:t>
      </w:r>
    </w:p>
    <w:p>
      <w:pPr>
        <w:spacing w:line="240" w:lineRule="auto"/>
        <w:ind w:firstLine="440"/>
        <w:rPr>
          <w:szCs w:val="21"/>
        </w:rPr>
      </w:pPr>
      <w:r>
        <w:rPr>
          <w:b/>
          <w:bCs/>
          <w:szCs w:val="21"/>
        </w:rPr>
        <w:t>1</w:t>
      </w:r>
      <w:r>
        <w:rPr>
          <w:szCs w:val="21"/>
        </w:rPr>
        <w:t xml:space="preserve">  </w:t>
      </w:r>
      <w:r>
        <w:rPr>
          <w:rFonts w:hint="eastAsia"/>
          <w:szCs w:val="21"/>
        </w:rPr>
        <w:t>坡道前后的坡度应在机械操作手册规定的范围以内；</w:t>
      </w:r>
    </w:p>
    <w:p>
      <w:pPr>
        <w:spacing w:line="240" w:lineRule="auto"/>
        <w:ind w:firstLine="440"/>
        <w:rPr>
          <w:szCs w:val="21"/>
        </w:rPr>
      </w:pPr>
      <w:r>
        <w:rPr>
          <w:rFonts w:hint="eastAsia"/>
          <w:b/>
          <w:bCs/>
          <w:szCs w:val="21"/>
        </w:rPr>
        <w:t>2</w:t>
      </w:r>
      <w:r>
        <w:rPr>
          <w:szCs w:val="21"/>
        </w:rPr>
        <w:t xml:space="preserve">  </w:t>
      </w:r>
      <w:r>
        <w:rPr>
          <w:rFonts w:hint="eastAsia"/>
          <w:szCs w:val="21"/>
        </w:rPr>
        <w:t>坡道的最高点不得高于3m；</w:t>
      </w:r>
    </w:p>
    <w:p>
      <w:pPr>
        <w:spacing w:line="240" w:lineRule="auto"/>
        <w:ind w:firstLine="440"/>
        <w:rPr>
          <w:szCs w:val="21"/>
        </w:rPr>
      </w:pPr>
      <w:r>
        <w:rPr>
          <w:rFonts w:hint="eastAsia"/>
          <w:b/>
          <w:bCs/>
          <w:szCs w:val="21"/>
        </w:rPr>
        <w:t>3</w:t>
      </w:r>
      <w:r>
        <w:rPr>
          <w:szCs w:val="21"/>
        </w:rPr>
        <w:t xml:space="preserve">  </w:t>
      </w:r>
      <w:r>
        <w:rPr>
          <w:rFonts w:hint="eastAsia"/>
          <w:szCs w:val="21"/>
        </w:rPr>
        <w:t>坡道坡面的宽度不得小于拆除机械机身两履带间宽度的1.5倍；</w:t>
      </w:r>
    </w:p>
    <w:p>
      <w:pPr>
        <w:spacing w:line="240" w:lineRule="auto"/>
        <w:ind w:firstLine="440"/>
        <w:rPr>
          <w:szCs w:val="21"/>
        </w:rPr>
      </w:pPr>
      <w:r>
        <w:rPr>
          <w:rFonts w:hint="eastAsia"/>
          <w:b/>
          <w:bCs/>
          <w:szCs w:val="21"/>
        </w:rPr>
        <w:t>4</w:t>
      </w:r>
      <w:r>
        <w:rPr>
          <w:szCs w:val="21"/>
        </w:rPr>
        <w:t xml:space="preserve">  </w:t>
      </w:r>
      <w:r>
        <w:rPr>
          <w:rFonts w:hint="eastAsia"/>
          <w:szCs w:val="21"/>
        </w:rPr>
        <w:t>坡道两侧的坡度不得大于45°；</w:t>
      </w:r>
    </w:p>
    <w:p>
      <w:pPr>
        <w:spacing w:line="240" w:lineRule="auto"/>
        <w:ind w:firstLine="440"/>
        <w:rPr>
          <w:szCs w:val="21"/>
        </w:rPr>
      </w:pPr>
      <w:r>
        <w:rPr>
          <w:rFonts w:hint="eastAsia"/>
          <w:b/>
          <w:bCs/>
          <w:szCs w:val="21"/>
        </w:rPr>
        <w:t>5</w:t>
      </w:r>
      <w:r>
        <w:rPr>
          <w:szCs w:val="21"/>
        </w:rPr>
        <w:t xml:space="preserve">  </w:t>
      </w:r>
      <w:r>
        <w:rPr>
          <w:rFonts w:hint="eastAsia"/>
          <w:szCs w:val="21"/>
        </w:rPr>
        <w:t>坡道、作业平台应用机械填平、压实，不得在未经填平压实的渣土堆上作业；</w:t>
      </w:r>
    </w:p>
    <w:p>
      <w:pPr>
        <w:spacing w:line="240" w:lineRule="auto"/>
        <w:ind w:firstLine="440"/>
        <w:rPr>
          <w:szCs w:val="21"/>
        </w:rPr>
      </w:pPr>
      <w:r>
        <w:rPr>
          <w:rFonts w:hint="eastAsia"/>
          <w:b/>
          <w:bCs/>
          <w:szCs w:val="21"/>
        </w:rPr>
        <w:t>6</w:t>
      </w:r>
      <w:r>
        <w:rPr>
          <w:szCs w:val="21"/>
        </w:rPr>
        <w:t xml:space="preserve">  </w:t>
      </w:r>
      <w:r>
        <w:rPr>
          <w:rFonts w:hint="eastAsia"/>
          <w:szCs w:val="21"/>
        </w:rPr>
        <w:t>作业平台的大小应满足拆除机械操作、调头、换位和危险时撤离的需要；</w:t>
      </w:r>
    </w:p>
    <w:p>
      <w:pPr>
        <w:spacing w:line="240" w:lineRule="auto"/>
        <w:ind w:firstLine="440"/>
        <w:rPr>
          <w:szCs w:val="21"/>
        </w:rPr>
      </w:pPr>
      <w:r>
        <w:rPr>
          <w:rFonts w:hint="eastAsia"/>
          <w:b/>
          <w:bCs/>
          <w:szCs w:val="21"/>
        </w:rPr>
        <w:t>7</w:t>
      </w:r>
      <w:r>
        <w:rPr>
          <w:szCs w:val="21"/>
        </w:rPr>
        <w:t xml:space="preserve">  </w:t>
      </w:r>
      <w:r>
        <w:rPr>
          <w:rFonts w:hint="eastAsia"/>
          <w:szCs w:val="21"/>
        </w:rPr>
        <w:t>拆除机械不得横穿斜坡或在斜坡上转换方向。</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10  </w:t>
      </w:r>
      <w:r>
        <w:rPr>
          <w:rFonts w:hint="eastAsia"/>
          <w:szCs w:val="21"/>
        </w:rPr>
        <w:t>拆除机械严禁在无保护措施的地下管线的地面上作业，施工企业严禁在距地下管线两侧lm范围内使用机械开挖。</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11  </w:t>
      </w:r>
      <w:r>
        <w:rPr>
          <w:rFonts w:hint="eastAsia"/>
          <w:szCs w:val="21"/>
        </w:rPr>
        <w:t>拆除机械不得在架空预制楼板上作业；在现浇楼板上作业时，应由专业技术人员计算楼板的承载能力，当承载能力不足时，应采取适当的加固措施保证拆除机械作业安全。</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12  </w:t>
      </w:r>
      <w:r>
        <w:rPr>
          <w:rFonts w:hint="eastAsia"/>
          <w:szCs w:val="21"/>
        </w:rPr>
        <w:t>机械翻渣时，铲斗与保留的建筑物墙体的距离不得小于2m，作业时机身的中心位置距离保留建筑物墙体不得小于4m。</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13  </w:t>
      </w:r>
      <w:r>
        <w:rPr>
          <w:rFonts w:hint="eastAsia"/>
          <w:szCs w:val="21"/>
        </w:rPr>
        <w:t>机械拆除作业时现场应有专人指挥；拆除建筑物时，应确保未拆除部分结构的完整和稳定；机械操作人员以外的其他人员不得进人机械作业范围。</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14  </w:t>
      </w:r>
      <w:r>
        <w:rPr>
          <w:rFonts w:hint="eastAsia"/>
          <w:szCs w:val="21"/>
        </w:rPr>
        <w:t>多台拆除机械作业时，不得上下、立体交叉作业；拆除机械作业与停放时应置于被拆除物有倒塌可能的范围以外；两台拆除机械平行作业时，两机的间距不得小于拆除机械有效操作半径的2倍。</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15  </w:t>
      </w:r>
      <w:r>
        <w:rPr>
          <w:rFonts w:hint="eastAsia"/>
          <w:szCs w:val="21"/>
        </w:rPr>
        <w:t>在机械拆除工程施工过程中需要人工拆除配合时，严禁人、机上下交叉作业，并符合人工拆除工程施工的规定。</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16  </w:t>
      </w:r>
      <w:r>
        <w:rPr>
          <w:rFonts w:hint="eastAsia"/>
          <w:szCs w:val="21"/>
        </w:rPr>
        <w:t>机械拆除应自上而下、逐段、逐跨、逐层进行，不得数层整体拆除；拆至边跨时应采用有效防护措施防止结构失稳。</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17  </w:t>
      </w:r>
      <w:r>
        <w:rPr>
          <w:rFonts w:hint="eastAsia"/>
          <w:szCs w:val="21"/>
        </w:rPr>
        <w:t>机械拆除应按照以下步骤顺序进行：</w:t>
      </w:r>
    </w:p>
    <w:p>
      <w:pPr>
        <w:spacing w:line="240" w:lineRule="auto"/>
        <w:ind w:firstLine="440"/>
        <w:rPr>
          <w:szCs w:val="21"/>
        </w:rPr>
      </w:pPr>
      <w:r>
        <w:rPr>
          <w:b/>
          <w:bCs/>
          <w:szCs w:val="21"/>
        </w:rPr>
        <w:t>1</w:t>
      </w:r>
      <w:r>
        <w:rPr>
          <w:szCs w:val="21"/>
        </w:rPr>
        <w:t xml:space="preserve">  </w:t>
      </w:r>
      <w:r>
        <w:rPr>
          <w:rFonts w:hint="eastAsia"/>
          <w:szCs w:val="21"/>
        </w:rPr>
        <w:t>建筑物的铸铁落水管、外墙上的附属物、外挑结构、水箱等；</w:t>
      </w:r>
    </w:p>
    <w:p>
      <w:pPr>
        <w:spacing w:line="240" w:lineRule="auto"/>
        <w:ind w:firstLine="440"/>
        <w:rPr>
          <w:szCs w:val="21"/>
        </w:rPr>
      </w:pPr>
      <w:r>
        <w:rPr>
          <w:b/>
          <w:bCs/>
          <w:szCs w:val="21"/>
        </w:rPr>
        <w:t>2</w:t>
      </w:r>
      <w:r>
        <w:rPr>
          <w:szCs w:val="21"/>
        </w:rPr>
        <w:t xml:space="preserve">  </w:t>
      </w:r>
      <w:r>
        <w:rPr>
          <w:rFonts w:hint="eastAsia"/>
          <w:szCs w:val="21"/>
        </w:rPr>
        <w:t>楼板(屋面板)；</w:t>
      </w:r>
    </w:p>
    <w:p>
      <w:pPr>
        <w:spacing w:line="240" w:lineRule="auto"/>
        <w:ind w:firstLine="440"/>
        <w:rPr>
          <w:szCs w:val="21"/>
        </w:rPr>
      </w:pPr>
      <w:r>
        <w:rPr>
          <w:rFonts w:hint="eastAsia"/>
          <w:b/>
          <w:bCs/>
          <w:szCs w:val="21"/>
        </w:rPr>
        <w:t>3</w:t>
      </w:r>
      <w:r>
        <w:rPr>
          <w:szCs w:val="21"/>
        </w:rPr>
        <w:t xml:space="preserve">  </w:t>
      </w:r>
      <w:r>
        <w:rPr>
          <w:rFonts w:hint="eastAsia"/>
          <w:szCs w:val="21"/>
        </w:rPr>
        <w:t>墙体；</w:t>
      </w:r>
    </w:p>
    <w:p>
      <w:pPr>
        <w:spacing w:line="240" w:lineRule="auto"/>
        <w:ind w:firstLine="440"/>
        <w:rPr>
          <w:szCs w:val="21"/>
        </w:rPr>
      </w:pPr>
      <w:r>
        <w:rPr>
          <w:rFonts w:hint="eastAsia"/>
          <w:b/>
          <w:bCs/>
          <w:szCs w:val="21"/>
        </w:rPr>
        <w:t>4</w:t>
      </w:r>
      <w:r>
        <w:rPr>
          <w:szCs w:val="21"/>
        </w:rPr>
        <w:t xml:space="preserve">  </w:t>
      </w:r>
      <w:r>
        <w:rPr>
          <w:rFonts w:hint="eastAsia"/>
          <w:szCs w:val="21"/>
        </w:rPr>
        <w:t>次梁、主梁、立柱；</w:t>
      </w:r>
    </w:p>
    <w:p>
      <w:pPr>
        <w:spacing w:line="240" w:lineRule="auto"/>
        <w:ind w:firstLine="440"/>
        <w:rPr>
          <w:szCs w:val="21"/>
        </w:rPr>
      </w:pPr>
      <w:r>
        <w:rPr>
          <w:rFonts w:hint="eastAsia"/>
          <w:b/>
          <w:bCs/>
          <w:szCs w:val="21"/>
        </w:rPr>
        <w:t>5</w:t>
      </w:r>
      <w:r>
        <w:rPr>
          <w:szCs w:val="21"/>
        </w:rPr>
        <w:t xml:space="preserve">  </w:t>
      </w:r>
      <w:r>
        <w:rPr>
          <w:rFonts w:hint="eastAsia"/>
          <w:szCs w:val="21"/>
        </w:rPr>
        <w:t>清理下层楼面，并重复2~4的步骤顺序。</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18  </w:t>
      </w:r>
      <w:r>
        <w:rPr>
          <w:rFonts w:hint="eastAsia"/>
          <w:szCs w:val="21"/>
        </w:rPr>
        <w:t>机械拆除砖木结构顺序应符合下列要求：</w:t>
      </w:r>
    </w:p>
    <w:p>
      <w:pPr>
        <w:spacing w:line="240" w:lineRule="auto"/>
        <w:ind w:firstLine="440"/>
        <w:rPr>
          <w:szCs w:val="21"/>
        </w:rPr>
      </w:pPr>
      <w:r>
        <w:rPr>
          <w:b/>
          <w:bCs/>
          <w:szCs w:val="21"/>
        </w:rPr>
        <w:t>1</w:t>
      </w:r>
      <w:r>
        <w:rPr>
          <w:szCs w:val="21"/>
        </w:rPr>
        <w:t xml:space="preserve">  </w:t>
      </w:r>
      <w:r>
        <w:rPr>
          <w:rFonts w:hint="eastAsia"/>
          <w:szCs w:val="21"/>
        </w:rPr>
        <w:t>拆除铸铁落水管道和外挑构件；</w:t>
      </w:r>
    </w:p>
    <w:p>
      <w:pPr>
        <w:spacing w:line="240" w:lineRule="auto"/>
        <w:ind w:firstLine="440"/>
        <w:rPr>
          <w:szCs w:val="21"/>
        </w:rPr>
      </w:pPr>
      <w:r>
        <w:rPr>
          <w:b/>
          <w:bCs/>
          <w:szCs w:val="21"/>
        </w:rPr>
        <w:t>2</w:t>
      </w:r>
      <w:r>
        <w:rPr>
          <w:szCs w:val="21"/>
        </w:rPr>
        <w:t xml:space="preserve">  </w:t>
      </w:r>
      <w:r>
        <w:rPr>
          <w:rFonts w:hint="eastAsia"/>
          <w:szCs w:val="21"/>
        </w:rPr>
        <w:t>采用拆除机械逐间逐跨自上而下拆除。</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19  </w:t>
      </w:r>
      <w:r>
        <w:rPr>
          <w:rFonts w:hint="eastAsia"/>
          <w:szCs w:val="21"/>
        </w:rPr>
        <w:t>机械拆除砖混结构顺序应符合下列要求：</w:t>
      </w:r>
    </w:p>
    <w:p>
      <w:pPr>
        <w:spacing w:line="240" w:lineRule="auto"/>
        <w:ind w:firstLine="440"/>
        <w:rPr>
          <w:szCs w:val="21"/>
        </w:rPr>
      </w:pPr>
      <w:r>
        <w:rPr>
          <w:b/>
          <w:bCs/>
          <w:szCs w:val="21"/>
        </w:rPr>
        <w:t>1</w:t>
      </w:r>
      <w:r>
        <w:rPr>
          <w:szCs w:val="21"/>
        </w:rPr>
        <w:t xml:space="preserve">  </w:t>
      </w:r>
      <w:r>
        <w:rPr>
          <w:rFonts w:hint="eastAsia"/>
          <w:szCs w:val="21"/>
        </w:rPr>
        <w:t>拆除屋顶水箱、电梯机房、铸铁落水管道、门窗和外挑构件；</w:t>
      </w:r>
    </w:p>
    <w:p>
      <w:pPr>
        <w:spacing w:line="240" w:lineRule="auto"/>
        <w:ind w:firstLine="440"/>
        <w:rPr>
          <w:szCs w:val="21"/>
        </w:rPr>
      </w:pPr>
      <w:r>
        <w:rPr>
          <w:b/>
          <w:bCs/>
          <w:szCs w:val="21"/>
        </w:rPr>
        <w:t>2</w:t>
      </w:r>
      <w:r>
        <w:rPr>
          <w:szCs w:val="21"/>
        </w:rPr>
        <w:t xml:space="preserve">  </w:t>
      </w:r>
      <w:r>
        <w:rPr>
          <w:rFonts w:hint="eastAsia"/>
          <w:szCs w:val="21"/>
        </w:rPr>
        <w:t>自上而下、逐间逐跨拆除屋面板和墙体、构造柱；</w:t>
      </w:r>
    </w:p>
    <w:p>
      <w:pPr>
        <w:spacing w:line="240" w:lineRule="auto"/>
        <w:ind w:firstLine="440"/>
        <w:rPr>
          <w:szCs w:val="21"/>
        </w:rPr>
      </w:pPr>
      <w:r>
        <w:rPr>
          <w:rFonts w:hint="eastAsia"/>
          <w:b/>
          <w:bCs/>
          <w:szCs w:val="21"/>
        </w:rPr>
        <w:t>3</w:t>
      </w:r>
      <w:r>
        <w:rPr>
          <w:szCs w:val="21"/>
        </w:rPr>
        <w:t xml:space="preserve">  </w:t>
      </w:r>
      <w:r>
        <w:rPr>
          <w:rFonts w:hint="eastAsia"/>
          <w:szCs w:val="21"/>
        </w:rPr>
        <w:t>使用相匹配高度的拆除机械进行阶梯式拆除；</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20  </w:t>
      </w:r>
      <w:r>
        <w:rPr>
          <w:rFonts w:hint="eastAsia"/>
          <w:szCs w:val="21"/>
        </w:rPr>
        <w:t>机械拆除框架结构顺序应符合下列要求：</w:t>
      </w:r>
    </w:p>
    <w:p>
      <w:pPr>
        <w:spacing w:line="240" w:lineRule="auto"/>
        <w:ind w:firstLine="440"/>
        <w:rPr>
          <w:szCs w:val="21"/>
        </w:rPr>
      </w:pPr>
      <w:r>
        <w:rPr>
          <w:b/>
          <w:bCs/>
          <w:szCs w:val="21"/>
        </w:rPr>
        <w:t>1</w:t>
      </w:r>
      <w:r>
        <w:rPr>
          <w:szCs w:val="21"/>
        </w:rPr>
        <w:t xml:space="preserve">  </w:t>
      </w:r>
      <w:r>
        <w:rPr>
          <w:rFonts w:hint="eastAsia"/>
          <w:szCs w:val="21"/>
        </w:rPr>
        <w:t>拆除屋顶水箱、电梯机房、铸铁落水管道、门窗和外挑构件等；</w:t>
      </w:r>
    </w:p>
    <w:p>
      <w:pPr>
        <w:spacing w:line="240" w:lineRule="auto"/>
        <w:ind w:firstLine="440"/>
        <w:rPr>
          <w:szCs w:val="21"/>
        </w:rPr>
      </w:pPr>
      <w:r>
        <w:rPr>
          <w:b/>
          <w:bCs/>
          <w:szCs w:val="21"/>
        </w:rPr>
        <w:t>2</w:t>
      </w:r>
      <w:r>
        <w:rPr>
          <w:szCs w:val="21"/>
        </w:rPr>
        <w:t xml:space="preserve">  </w:t>
      </w:r>
      <w:r>
        <w:rPr>
          <w:rFonts w:hint="eastAsia"/>
          <w:szCs w:val="21"/>
        </w:rPr>
        <w:t>使用高度相匹配的拆除机械自上而下拆除外墙；</w:t>
      </w:r>
    </w:p>
    <w:p>
      <w:pPr>
        <w:spacing w:line="240" w:lineRule="auto"/>
        <w:ind w:firstLine="440"/>
        <w:rPr>
          <w:szCs w:val="21"/>
        </w:rPr>
      </w:pPr>
      <w:r>
        <w:rPr>
          <w:rFonts w:hint="eastAsia"/>
          <w:b/>
          <w:bCs/>
          <w:szCs w:val="21"/>
        </w:rPr>
        <w:t>3</w:t>
      </w:r>
      <w:r>
        <w:rPr>
          <w:szCs w:val="21"/>
        </w:rPr>
        <w:t xml:space="preserve">  </w:t>
      </w:r>
      <w:r>
        <w:rPr>
          <w:rFonts w:hint="eastAsia"/>
          <w:szCs w:val="21"/>
        </w:rPr>
        <w:t>自上而下、逐层、逐跨拆除楼板、次梁、主梁和立柱；</w:t>
      </w:r>
    </w:p>
    <w:p>
      <w:pPr>
        <w:spacing w:line="240" w:lineRule="auto"/>
        <w:ind w:firstLine="440"/>
        <w:rPr>
          <w:szCs w:val="21"/>
        </w:rPr>
      </w:pPr>
      <w:r>
        <w:rPr>
          <w:rFonts w:hint="eastAsia"/>
          <w:b/>
          <w:bCs/>
          <w:szCs w:val="21"/>
        </w:rPr>
        <w:t>4</w:t>
      </w:r>
      <w:r>
        <w:rPr>
          <w:szCs w:val="21"/>
        </w:rPr>
        <w:t xml:space="preserve">  </w:t>
      </w:r>
      <w:r>
        <w:rPr>
          <w:rFonts w:hint="eastAsia"/>
          <w:szCs w:val="21"/>
        </w:rPr>
        <w:t>采用长臂液压剪，可自下而上逐层、逐跨拆除非承重的墙体、楼板和次梁，但立柱和承重梁应自上而下逐层拆除；</w:t>
      </w:r>
    </w:p>
    <w:p>
      <w:pPr>
        <w:spacing w:line="240" w:lineRule="auto"/>
        <w:ind w:firstLine="440"/>
        <w:rPr>
          <w:szCs w:val="21"/>
        </w:rPr>
      </w:pPr>
      <w:r>
        <w:rPr>
          <w:rFonts w:hint="eastAsia"/>
          <w:b/>
          <w:szCs w:val="21"/>
        </w:rPr>
        <w:t>5</w:t>
      </w:r>
      <w:r>
        <w:rPr>
          <w:szCs w:val="21"/>
        </w:rPr>
        <w:t xml:space="preserve">  楼板</w:t>
      </w:r>
      <w:r>
        <w:rPr>
          <w:rFonts w:hint="eastAsia"/>
          <w:szCs w:val="21"/>
        </w:rPr>
        <w:t>、</w:t>
      </w:r>
      <w:r>
        <w:rPr>
          <w:szCs w:val="21"/>
        </w:rPr>
        <w:t>梁</w:t>
      </w:r>
      <w:r>
        <w:rPr>
          <w:rFonts w:hint="eastAsia"/>
          <w:szCs w:val="21"/>
        </w:rPr>
        <w:t>、</w:t>
      </w:r>
      <w:r>
        <w:rPr>
          <w:szCs w:val="21"/>
        </w:rPr>
        <w:t>柱等</w:t>
      </w:r>
      <w:r>
        <w:rPr>
          <w:rFonts w:hint="eastAsia"/>
          <w:szCs w:val="21"/>
        </w:rPr>
        <w:t>先尺寸缩减加工直接利用材料，不能直接利用的进行破碎；</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21  </w:t>
      </w:r>
      <w:r>
        <w:rPr>
          <w:rFonts w:hint="eastAsia"/>
          <w:szCs w:val="21"/>
        </w:rPr>
        <w:t>机械拆除钢结构顺序应符合下列要求：</w:t>
      </w:r>
    </w:p>
    <w:p>
      <w:pPr>
        <w:spacing w:line="240" w:lineRule="auto"/>
        <w:ind w:firstLine="440"/>
        <w:rPr>
          <w:szCs w:val="21"/>
        </w:rPr>
      </w:pPr>
      <w:r>
        <w:rPr>
          <w:b/>
          <w:bCs/>
          <w:szCs w:val="21"/>
        </w:rPr>
        <w:t>1</w:t>
      </w:r>
      <w:r>
        <w:rPr>
          <w:szCs w:val="21"/>
        </w:rPr>
        <w:t xml:space="preserve">  </w:t>
      </w:r>
      <w:r>
        <w:rPr>
          <w:rFonts w:hint="eastAsia"/>
          <w:szCs w:val="21"/>
        </w:rPr>
        <w:t>拆除屋顶上附属设施、水箱、铸铁落水管道、门窗和外挑构件等；</w:t>
      </w:r>
    </w:p>
    <w:p>
      <w:pPr>
        <w:spacing w:line="240" w:lineRule="auto"/>
        <w:ind w:firstLine="440"/>
        <w:rPr>
          <w:szCs w:val="21"/>
        </w:rPr>
      </w:pPr>
      <w:r>
        <w:rPr>
          <w:b/>
          <w:bCs/>
          <w:szCs w:val="21"/>
        </w:rPr>
        <w:t>2</w:t>
      </w:r>
      <w:r>
        <w:rPr>
          <w:szCs w:val="21"/>
        </w:rPr>
        <w:t xml:space="preserve">  </w:t>
      </w:r>
      <w:r>
        <w:rPr>
          <w:rFonts w:hint="eastAsia"/>
          <w:szCs w:val="21"/>
        </w:rPr>
        <w:t>液压剪自上而下拆除钢结构屋面构件和外墙；</w:t>
      </w:r>
    </w:p>
    <w:p>
      <w:pPr>
        <w:spacing w:line="240" w:lineRule="auto"/>
        <w:ind w:firstLine="440"/>
        <w:rPr>
          <w:szCs w:val="21"/>
        </w:rPr>
      </w:pPr>
      <w:r>
        <w:rPr>
          <w:rFonts w:hint="eastAsia"/>
          <w:b/>
          <w:bCs/>
          <w:szCs w:val="21"/>
        </w:rPr>
        <w:t>3</w:t>
      </w:r>
      <w:r>
        <w:rPr>
          <w:szCs w:val="21"/>
        </w:rPr>
        <w:t xml:space="preserve">  </w:t>
      </w:r>
      <w:r>
        <w:rPr>
          <w:rFonts w:hint="eastAsia"/>
          <w:szCs w:val="21"/>
        </w:rPr>
        <w:t>液压剪自上而下、逐层、逐跨拆除压型钢楼板、钢次梁、钢主梁和钢立柱。</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22  </w:t>
      </w:r>
      <w:r>
        <w:rPr>
          <w:rFonts w:hint="eastAsia"/>
          <w:szCs w:val="21"/>
        </w:rPr>
        <w:t>机械拆除高层框架或框剪结构建筑物，可将拆除机械吊至屋面，自上而下、逐层进行拆除；施工前，应对屋面板(楼板)结构的承载能力及其加固措施、选用的拆除机械、机械的起吊方法、用电设备、脚手架、旧材料和建筑废弃物的水平和垂直运输、拆除工程施工顺序、安全文明技术措施等内容编制施工组织设计；其中，拆除顺序应符合下列要求：</w:t>
      </w:r>
    </w:p>
    <w:p>
      <w:pPr>
        <w:spacing w:line="240" w:lineRule="auto"/>
        <w:ind w:firstLine="440"/>
        <w:rPr>
          <w:szCs w:val="21"/>
        </w:rPr>
      </w:pPr>
      <w:r>
        <w:rPr>
          <w:b/>
          <w:bCs/>
          <w:szCs w:val="21"/>
        </w:rPr>
        <w:t>1</w:t>
      </w:r>
      <w:r>
        <w:rPr>
          <w:szCs w:val="21"/>
        </w:rPr>
        <w:t xml:space="preserve">  </w:t>
      </w:r>
      <w:r>
        <w:rPr>
          <w:rFonts w:hint="eastAsia"/>
          <w:szCs w:val="21"/>
        </w:rPr>
        <w:t>搭设全封闭钢管脚手架，脚手架应超过屋面1.5m；搭设脚手架应符合《建筑施工扣件式钢管脚手架安全技术规范》(JGJ130)的规定和深圳市相应的技术规范；</w:t>
      </w:r>
    </w:p>
    <w:p>
      <w:pPr>
        <w:spacing w:line="240" w:lineRule="auto"/>
        <w:ind w:firstLine="440"/>
        <w:rPr>
          <w:szCs w:val="21"/>
        </w:rPr>
      </w:pPr>
      <w:r>
        <w:rPr>
          <w:b/>
          <w:bCs/>
          <w:szCs w:val="21"/>
        </w:rPr>
        <w:t>2</w:t>
      </w:r>
      <w:r>
        <w:rPr>
          <w:szCs w:val="21"/>
        </w:rPr>
        <w:t xml:space="preserve">  </w:t>
      </w:r>
      <w:r>
        <w:rPr>
          <w:rFonts w:hint="eastAsia"/>
          <w:szCs w:val="21"/>
        </w:rPr>
        <w:t>人工配合拆除门窗、装饰物、广告牌等；</w:t>
      </w:r>
    </w:p>
    <w:p>
      <w:pPr>
        <w:spacing w:line="240" w:lineRule="auto"/>
        <w:ind w:firstLine="440"/>
        <w:rPr>
          <w:szCs w:val="21"/>
        </w:rPr>
      </w:pPr>
      <w:r>
        <w:rPr>
          <w:rFonts w:hint="eastAsia"/>
          <w:b/>
          <w:bCs/>
          <w:szCs w:val="21"/>
        </w:rPr>
        <w:t>3</w:t>
      </w:r>
      <w:r>
        <w:rPr>
          <w:szCs w:val="21"/>
        </w:rPr>
        <w:t xml:space="preserve">  </w:t>
      </w:r>
      <w:r>
        <w:rPr>
          <w:rFonts w:hint="eastAsia"/>
          <w:szCs w:val="21"/>
        </w:rPr>
        <w:t>根据屋面板(楼板)承载能力的计算结果，当屋面板(楼板)承载能力不足时应对屋面板(楼板)进行支撑加固；</w:t>
      </w:r>
    </w:p>
    <w:p>
      <w:pPr>
        <w:spacing w:line="240" w:lineRule="auto"/>
        <w:ind w:firstLine="440"/>
        <w:rPr>
          <w:szCs w:val="21"/>
        </w:rPr>
      </w:pPr>
      <w:r>
        <w:rPr>
          <w:rFonts w:hint="eastAsia"/>
          <w:b/>
          <w:bCs/>
          <w:szCs w:val="21"/>
        </w:rPr>
        <w:t>4</w:t>
      </w:r>
      <w:r>
        <w:rPr>
          <w:szCs w:val="21"/>
        </w:rPr>
        <w:t xml:space="preserve">  </w:t>
      </w:r>
      <w:r>
        <w:rPr>
          <w:rFonts w:hint="eastAsia"/>
          <w:szCs w:val="21"/>
        </w:rPr>
        <w:t>根据起吊方案，用起重机械、机具将拆除机械吊至屋面；</w:t>
      </w:r>
    </w:p>
    <w:p>
      <w:pPr>
        <w:spacing w:line="240" w:lineRule="auto"/>
        <w:ind w:firstLine="440"/>
        <w:rPr>
          <w:szCs w:val="21"/>
        </w:rPr>
      </w:pPr>
      <w:r>
        <w:rPr>
          <w:rFonts w:hint="eastAsia"/>
          <w:b/>
          <w:bCs/>
          <w:szCs w:val="21"/>
        </w:rPr>
        <w:t>5</w:t>
      </w:r>
      <w:r>
        <w:rPr>
          <w:szCs w:val="21"/>
        </w:rPr>
        <w:t xml:space="preserve">  </w:t>
      </w:r>
      <w:r>
        <w:rPr>
          <w:rFonts w:hint="eastAsia"/>
          <w:szCs w:val="21"/>
        </w:rPr>
        <w:t>使用拆除机械逐间、逐跨破碎拆除数跨屋面板(楼板)，待有足够的渣土堆在下一层楼面后，拆除机械沿坡道行驶到下一层，然后逐间、逐跨拆除内隔墙、内剪力墙、上一层楼面板、梁、柱，并采取缓冲减震措施，防止材料散落；拆除外墙和电梯井道时宜保留1.2m以上高度的墙体作为围栏，待拆除机械转人下一层楼面后一并拆除。</w:t>
      </w:r>
    </w:p>
    <w:p>
      <w:pPr>
        <w:spacing w:line="240" w:lineRule="auto"/>
        <w:ind w:firstLine="440"/>
        <w:rPr>
          <w:szCs w:val="21"/>
        </w:rPr>
      </w:pPr>
      <w:r>
        <w:rPr>
          <w:rFonts w:hint="eastAsia"/>
          <w:b/>
          <w:bCs/>
          <w:szCs w:val="21"/>
        </w:rPr>
        <w:t>6</w:t>
      </w:r>
      <w:r>
        <w:rPr>
          <w:szCs w:val="21"/>
        </w:rPr>
        <w:t xml:space="preserve">  </w:t>
      </w:r>
      <w:r>
        <w:rPr>
          <w:rFonts w:hint="eastAsia"/>
          <w:szCs w:val="21"/>
        </w:rPr>
        <w:t>做好废弃物从电梯井道高处下落到底层废弃物出口的防飞溅措施，并及时清理散落到楼面及脚手架上的建筑废弃物，按照运输方案运送至底层。</w:t>
      </w:r>
    </w:p>
    <w:p>
      <w:pPr>
        <w:spacing w:line="240" w:lineRule="auto"/>
        <w:ind w:firstLine="440"/>
        <w:rPr>
          <w:szCs w:val="21"/>
        </w:rPr>
      </w:pPr>
      <w:r>
        <w:rPr>
          <w:rFonts w:hint="eastAsia"/>
          <w:b/>
          <w:bCs/>
          <w:szCs w:val="21"/>
        </w:rPr>
        <w:t>7</w:t>
      </w:r>
      <w:r>
        <w:rPr>
          <w:szCs w:val="21"/>
        </w:rPr>
        <w:t xml:space="preserve">  </w:t>
      </w:r>
      <w:r>
        <w:rPr>
          <w:rFonts w:hint="eastAsia"/>
          <w:szCs w:val="21"/>
        </w:rPr>
        <w:t>脚手架应与建筑物同步拆除；脚手架的保留部分应高出未拆除建筑物1.5m。</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23  </w:t>
      </w:r>
      <w:r>
        <w:rPr>
          <w:rFonts w:hint="eastAsia"/>
          <w:szCs w:val="21"/>
        </w:rPr>
        <w:t>起重机起吊建筑物构件顺序应符合下列要求：</w:t>
      </w:r>
    </w:p>
    <w:p>
      <w:pPr>
        <w:spacing w:line="240" w:lineRule="auto"/>
        <w:ind w:firstLine="440"/>
        <w:rPr>
          <w:szCs w:val="21"/>
        </w:rPr>
      </w:pPr>
      <w:r>
        <w:rPr>
          <w:b/>
          <w:bCs/>
          <w:szCs w:val="21"/>
        </w:rPr>
        <w:t>1</w:t>
      </w:r>
      <w:r>
        <w:rPr>
          <w:szCs w:val="21"/>
        </w:rPr>
        <w:t xml:space="preserve">  </w:t>
      </w:r>
      <w:r>
        <w:rPr>
          <w:rFonts w:hint="eastAsia"/>
          <w:szCs w:val="21"/>
        </w:rPr>
        <w:t>作业前，对拆除环境、行驶道路、架空电线、地下管线、拆除建筑物的结构和构件重量等情况进行查勘，并就起吊拆除构件的顺序，拆除构件的堆放和清运，安全技术措施等内容编制施工组织设计；</w:t>
      </w:r>
    </w:p>
    <w:p>
      <w:pPr>
        <w:spacing w:line="240" w:lineRule="auto"/>
        <w:ind w:firstLine="440"/>
        <w:rPr>
          <w:szCs w:val="21"/>
        </w:rPr>
      </w:pPr>
      <w:r>
        <w:rPr>
          <w:b/>
          <w:bCs/>
          <w:szCs w:val="21"/>
        </w:rPr>
        <w:t>2</w:t>
      </w:r>
      <w:r>
        <w:rPr>
          <w:szCs w:val="21"/>
        </w:rPr>
        <w:t xml:space="preserve">  </w:t>
      </w:r>
      <w:r>
        <w:rPr>
          <w:rFonts w:hint="eastAsia"/>
          <w:szCs w:val="21"/>
        </w:rPr>
        <w:t>按照起重机的性能表，选配起重机；</w:t>
      </w:r>
    </w:p>
    <w:p>
      <w:pPr>
        <w:spacing w:line="240" w:lineRule="auto"/>
        <w:ind w:firstLine="440"/>
        <w:rPr>
          <w:szCs w:val="21"/>
        </w:rPr>
      </w:pPr>
      <w:r>
        <w:rPr>
          <w:rFonts w:hint="eastAsia"/>
          <w:b/>
          <w:bCs/>
          <w:szCs w:val="21"/>
        </w:rPr>
        <w:t>3</w:t>
      </w:r>
      <w:r>
        <w:rPr>
          <w:szCs w:val="21"/>
        </w:rPr>
        <w:t xml:space="preserve">  </w:t>
      </w:r>
      <w:r>
        <w:rPr>
          <w:rFonts w:hint="eastAsia"/>
          <w:szCs w:val="21"/>
        </w:rPr>
        <w:t>选用的钢丝绳、卸扣以及起吊绳索与拆除构件水平面的夹角，应按相关规定先进行计算；</w:t>
      </w:r>
    </w:p>
    <w:p>
      <w:pPr>
        <w:spacing w:line="240" w:lineRule="auto"/>
        <w:ind w:firstLine="440"/>
        <w:rPr>
          <w:szCs w:val="21"/>
        </w:rPr>
      </w:pPr>
      <w:r>
        <w:rPr>
          <w:rFonts w:hint="eastAsia"/>
          <w:b/>
          <w:bCs/>
          <w:szCs w:val="21"/>
        </w:rPr>
        <w:t>4</w:t>
      </w:r>
      <w:r>
        <w:rPr>
          <w:szCs w:val="21"/>
        </w:rPr>
        <w:t xml:space="preserve">  </w:t>
      </w:r>
      <w:r>
        <w:rPr>
          <w:rFonts w:hint="eastAsia"/>
          <w:szCs w:val="21"/>
        </w:rPr>
        <w:t>起重机起吊拆除构件时，应先用绳索绑扎被拆除构件，待起重机吊稳后，方可进行气割、切割作业；吊运过程中，应采用辅助绳索控制被吊构件处于正常状态；</w:t>
      </w:r>
    </w:p>
    <w:p>
      <w:pPr>
        <w:spacing w:line="240" w:lineRule="auto"/>
        <w:ind w:firstLine="440"/>
        <w:rPr>
          <w:szCs w:val="21"/>
        </w:rPr>
      </w:pPr>
      <w:r>
        <w:rPr>
          <w:rFonts w:hint="eastAsia"/>
          <w:b/>
          <w:bCs/>
          <w:szCs w:val="21"/>
        </w:rPr>
        <w:t>5</w:t>
      </w:r>
      <w:r>
        <w:rPr>
          <w:szCs w:val="21"/>
        </w:rPr>
        <w:t xml:space="preserve">  </w:t>
      </w:r>
      <w:r>
        <w:rPr>
          <w:rFonts w:hint="eastAsia"/>
          <w:szCs w:val="21"/>
        </w:rPr>
        <w:t>使用起重机双机抬吊拆除构件时，双机应选用起重性能相似的起重机；双机抬吊拆除构件应有专职起吊指挥人员统一指挥，保持两台起重机的起吊速度同步，每台起重机起吊载荷不得超过80%的允许载荷。</w:t>
      </w:r>
    </w:p>
    <w:p>
      <w:pPr>
        <w:spacing w:line="240" w:lineRule="auto"/>
        <w:rPr>
          <w:szCs w:val="21"/>
        </w:rPr>
      </w:pPr>
      <w:r>
        <w:rPr>
          <w:b/>
          <w:bCs/>
          <w:szCs w:val="21"/>
        </w:rPr>
        <w:t>6</w:t>
      </w:r>
      <w:r>
        <w:rPr>
          <w:rFonts w:ascii="宋体" w:hAnsi="宋体"/>
          <w:b/>
          <w:bCs/>
          <w:szCs w:val="21"/>
        </w:rPr>
        <w:t>.</w:t>
      </w:r>
      <w:r>
        <w:rPr>
          <w:b/>
          <w:bCs/>
          <w:szCs w:val="21"/>
        </w:rPr>
        <w:t>3</w:t>
      </w:r>
      <w:r>
        <w:rPr>
          <w:rFonts w:ascii="宋体" w:hAnsi="宋体"/>
          <w:b/>
          <w:bCs/>
          <w:szCs w:val="21"/>
        </w:rPr>
        <w:t>.</w:t>
      </w:r>
      <w:r>
        <w:rPr>
          <w:b/>
          <w:bCs/>
          <w:szCs w:val="21"/>
        </w:rPr>
        <w:t xml:space="preserve">24  </w:t>
      </w:r>
      <w:r>
        <w:rPr>
          <w:rFonts w:hint="eastAsia"/>
          <w:szCs w:val="21"/>
        </w:rPr>
        <w:t>拆除地下工程、深基础时，应采取放坡或其它稳定土层的措施；对施工周边的建筑及管线进行监测；排出地下水应采取集水井等措施；建筑废弃物应及时清理；地下空间应及时回填。</w:t>
      </w:r>
    </w:p>
    <w:p>
      <w:pPr>
        <w:pStyle w:val="4"/>
        <w:spacing w:before="240" w:after="240" w:line="240" w:lineRule="auto"/>
        <w:jc w:val="center"/>
        <w:rPr>
          <w:rFonts w:ascii="黑体" w:hAnsi="黑体" w:cs="宋体"/>
          <w:b w:val="0"/>
          <w:bCs w:val="0"/>
          <w:sz w:val="21"/>
          <w:szCs w:val="21"/>
        </w:rPr>
      </w:pPr>
      <w:bookmarkStart w:id="24" w:name="_Toc149641215"/>
      <w:r>
        <w:rPr>
          <w:rFonts w:ascii="Times New Roman" w:hAnsi="Times New Roman"/>
          <w:sz w:val="21"/>
          <w:szCs w:val="21"/>
        </w:rPr>
        <w:t>6</w:t>
      </w:r>
      <w:r>
        <w:rPr>
          <w:rFonts w:hint="eastAsia" w:ascii="宋体" w:hAnsi="宋体" w:eastAsia="宋体"/>
          <w:sz w:val="21"/>
          <w:szCs w:val="21"/>
        </w:rPr>
        <w:t>.</w:t>
      </w:r>
      <w:r>
        <w:rPr>
          <w:rFonts w:ascii="Times New Roman" w:hAnsi="Times New Roman"/>
          <w:sz w:val="21"/>
          <w:szCs w:val="21"/>
        </w:rPr>
        <w:t>4</w:t>
      </w:r>
      <w:r>
        <w:rPr>
          <w:rFonts w:hint="eastAsia" w:ascii="黑体" w:hAnsi="黑体"/>
          <w:b w:val="0"/>
          <w:sz w:val="21"/>
          <w:szCs w:val="21"/>
        </w:rPr>
        <w:t xml:space="preserve">  </w:t>
      </w:r>
      <w:r>
        <w:rPr>
          <w:rFonts w:hint="eastAsia" w:ascii="黑体" w:hAnsi="黑体" w:eastAsia="黑体"/>
          <w:b w:val="0"/>
          <w:sz w:val="21"/>
          <w:szCs w:val="21"/>
        </w:rPr>
        <w:t>静态破碎拆解</w:t>
      </w:r>
      <w:bookmarkEnd w:id="24"/>
    </w:p>
    <w:p>
      <w:pPr>
        <w:spacing w:line="240" w:lineRule="auto"/>
        <w:rPr>
          <w:szCs w:val="21"/>
        </w:rPr>
      </w:pPr>
      <w:r>
        <w:rPr>
          <w:b/>
          <w:bCs/>
          <w:szCs w:val="21"/>
        </w:rPr>
        <w:t>6</w:t>
      </w:r>
      <w:r>
        <w:rPr>
          <w:rFonts w:ascii="宋体" w:hAnsi="宋体"/>
          <w:b/>
          <w:bCs/>
          <w:szCs w:val="21"/>
        </w:rPr>
        <w:t>.</w:t>
      </w:r>
      <w:r>
        <w:rPr>
          <w:b/>
          <w:bCs/>
          <w:szCs w:val="21"/>
        </w:rPr>
        <w:t>4</w:t>
      </w:r>
      <w:r>
        <w:rPr>
          <w:rFonts w:ascii="宋体" w:hAnsi="宋体"/>
          <w:b/>
          <w:bCs/>
          <w:szCs w:val="21"/>
        </w:rPr>
        <w:t>.</w:t>
      </w:r>
      <w:r>
        <w:rPr>
          <w:b/>
          <w:bCs/>
          <w:szCs w:val="21"/>
        </w:rPr>
        <w:t xml:space="preserve">1  </w:t>
      </w:r>
      <w:r>
        <w:rPr>
          <w:rFonts w:hint="eastAsia"/>
          <w:szCs w:val="21"/>
        </w:rPr>
        <w:t>绿色拆除中拆解的大体积混凝土构件应先尺寸缩减加工直接利用材料，不能直接利用的进行宜采用静态爆破的方法将其尺寸缩小后进行装卸及运输；</w:t>
      </w:r>
    </w:p>
    <w:p>
      <w:pPr>
        <w:spacing w:line="240" w:lineRule="auto"/>
        <w:rPr>
          <w:szCs w:val="21"/>
        </w:rPr>
      </w:pPr>
      <w:r>
        <w:rPr>
          <w:b/>
          <w:bCs/>
          <w:szCs w:val="21"/>
        </w:rPr>
        <w:t>6</w:t>
      </w:r>
      <w:r>
        <w:rPr>
          <w:rFonts w:ascii="宋体" w:hAnsi="宋体"/>
          <w:b/>
          <w:bCs/>
          <w:szCs w:val="21"/>
        </w:rPr>
        <w:t>.</w:t>
      </w:r>
      <w:r>
        <w:rPr>
          <w:b/>
          <w:bCs/>
          <w:szCs w:val="21"/>
        </w:rPr>
        <w:t>4</w:t>
      </w:r>
      <w:r>
        <w:rPr>
          <w:rFonts w:ascii="宋体" w:hAnsi="宋体"/>
          <w:b/>
          <w:bCs/>
          <w:szCs w:val="21"/>
        </w:rPr>
        <w:t>.</w:t>
      </w:r>
      <w:r>
        <w:rPr>
          <w:b/>
          <w:bCs/>
          <w:szCs w:val="21"/>
        </w:rPr>
        <w:t xml:space="preserve">2 </w:t>
      </w:r>
      <w:r>
        <w:rPr>
          <w:szCs w:val="21"/>
        </w:rPr>
        <w:t xml:space="preserve"> </w:t>
      </w:r>
      <w:r>
        <w:rPr>
          <w:rFonts w:hint="eastAsia"/>
          <w:szCs w:val="21"/>
        </w:rPr>
        <w:t>静态爆破拆解的工序应为：钻孔-装药-反应-清渣；</w:t>
      </w:r>
    </w:p>
    <w:p>
      <w:pPr>
        <w:spacing w:line="240" w:lineRule="auto"/>
        <w:rPr>
          <w:szCs w:val="21"/>
        </w:rPr>
      </w:pPr>
      <w:r>
        <w:rPr>
          <w:b/>
          <w:bCs/>
          <w:szCs w:val="21"/>
        </w:rPr>
        <w:t>6</w:t>
      </w:r>
      <w:r>
        <w:rPr>
          <w:rFonts w:ascii="宋体" w:hAnsi="宋体"/>
          <w:b/>
          <w:bCs/>
          <w:szCs w:val="21"/>
        </w:rPr>
        <w:t>.</w:t>
      </w:r>
      <w:r>
        <w:rPr>
          <w:b/>
          <w:bCs/>
          <w:szCs w:val="21"/>
        </w:rPr>
        <w:t>4</w:t>
      </w:r>
      <w:r>
        <w:rPr>
          <w:rFonts w:ascii="宋体" w:hAnsi="宋体"/>
          <w:b/>
          <w:bCs/>
          <w:szCs w:val="21"/>
        </w:rPr>
        <w:t>.</w:t>
      </w:r>
      <w:r>
        <w:rPr>
          <w:b/>
          <w:bCs/>
          <w:szCs w:val="21"/>
        </w:rPr>
        <w:t xml:space="preserve">3  </w:t>
      </w:r>
      <w:r>
        <w:rPr>
          <w:rFonts w:hint="eastAsia"/>
          <w:szCs w:val="21"/>
        </w:rPr>
        <w:t>静态爆破施工前应编制技术交底，技术交底的内容应包括：</w:t>
      </w:r>
    </w:p>
    <w:p>
      <w:pPr>
        <w:spacing w:line="240" w:lineRule="auto"/>
        <w:ind w:firstLine="440"/>
        <w:rPr>
          <w:szCs w:val="21"/>
        </w:rPr>
      </w:pPr>
      <w:r>
        <w:rPr>
          <w:b/>
          <w:bCs/>
          <w:szCs w:val="21"/>
        </w:rPr>
        <w:t>1</w:t>
      </w:r>
      <w:r>
        <w:rPr>
          <w:szCs w:val="21"/>
        </w:rPr>
        <w:t xml:space="preserve">  </w:t>
      </w:r>
      <w:r>
        <w:rPr>
          <w:rFonts w:hint="eastAsia"/>
          <w:szCs w:val="21"/>
        </w:rPr>
        <w:t>进入施工现场必须遵守安全操作规程和安全生产纪律；</w:t>
      </w:r>
    </w:p>
    <w:p>
      <w:pPr>
        <w:spacing w:line="240" w:lineRule="auto"/>
        <w:ind w:firstLine="440"/>
        <w:rPr>
          <w:szCs w:val="21"/>
        </w:rPr>
      </w:pPr>
      <w:r>
        <w:rPr>
          <w:b/>
          <w:bCs/>
          <w:szCs w:val="21"/>
        </w:rPr>
        <w:t>2</w:t>
      </w:r>
      <w:r>
        <w:rPr>
          <w:szCs w:val="21"/>
        </w:rPr>
        <w:t xml:space="preserve">  </w:t>
      </w:r>
      <w:r>
        <w:rPr>
          <w:rFonts w:hint="eastAsia"/>
          <w:szCs w:val="21"/>
        </w:rPr>
        <w:t>特种作业人员必须持证上岗，无关人员不得进入施工现场；</w:t>
      </w:r>
    </w:p>
    <w:p>
      <w:pPr>
        <w:spacing w:line="240" w:lineRule="auto"/>
        <w:ind w:firstLine="440"/>
        <w:rPr>
          <w:szCs w:val="21"/>
        </w:rPr>
      </w:pPr>
      <w:r>
        <w:rPr>
          <w:rFonts w:hint="eastAsia"/>
          <w:b/>
          <w:bCs/>
          <w:szCs w:val="21"/>
        </w:rPr>
        <w:t>3</w:t>
      </w:r>
      <w:r>
        <w:rPr>
          <w:szCs w:val="21"/>
        </w:rPr>
        <w:t xml:space="preserve">  </w:t>
      </w:r>
      <w:r>
        <w:rPr>
          <w:rFonts w:hint="eastAsia"/>
          <w:szCs w:val="21"/>
        </w:rPr>
        <w:t>进入现场必须戴好安全帽，扣好帽带，并正确使用防护眼镜、穿好劳保工作服等个人劳动防护用具；</w:t>
      </w:r>
    </w:p>
    <w:p>
      <w:pPr>
        <w:spacing w:line="240" w:lineRule="auto"/>
        <w:ind w:firstLine="440"/>
        <w:rPr>
          <w:szCs w:val="21"/>
        </w:rPr>
      </w:pPr>
      <w:r>
        <w:rPr>
          <w:rFonts w:hint="eastAsia"/>
          <w:b/>
          <w:bCs/>
          <w:szCs w:val="21"/>
        </w:rPr>
        <w:t>4</w:t>
      </w:r>
      <w:r>
        <w:rPr>
          <w:szCs w:val="21"/>
        </w:rPr>
        <w:t xml:space="preserve">  </w:t>
      </w:r>
      <w:r>
        <w:rPr>
          <w:rFonts w:hint="eastAsia"/>
          <w:szCs w:val="21"/>
        </w:rPr>
        <w:t>用手风钻打眼时，手不得离钻机风门，严禁采用骑马式作业；</w:t>
      </w:r>
    </w:p>
    <w:p>
      <w:pPr>
        <w:spacing w:line="240" w:lineRule="auto"/>
        <w:ind w:firstLine="440"/>
        <w:rPr>
          <w:szCs w:val="21"/>
        </w:rPr>
      </w:pPr>
      <w:r>
        <w:rPr>
          <w:rFonts w:hint="eastAsia"/>
          <w:b/>
          <w:bCs/>
          <w:szCs w:val="21"/>
        </w:rPr>
        <w:t>5</w:t>
      </w:r>
      <w:r>
        <w:rPr>
          <w:szCs w:val="21"/>
        </w:rPr>
        <w:t xml:space="preserve">  </w:t>
      </w:r>
      <w:r>
        <w:rPr>
          <w:rFonts w:hint="eastAsia"/>
          <w:szCs w:val="21"/>
        </w:rPr>
        <w:t>使用凿岩机，胶皮管不得缠绕和打结，不得用折弯气管的方法制止通气，凿岩时钎杆与孔必须保持在一条直线上，更换钻头时应先关风门；</w:t>
      </w:r>
    </w:p>
    <w:p>
      <w:pPr>
        <w:spacing w:line="240" w:lineRule="auto"/>
        <w:ind w:firstLine="440"/>
        <w:rPr>
          <w:szCs w:val="21"/>
        </w:rPr>
      </w:pPr>
      <w:r>
        <w:rPr>
          <w:b/>
          <w:bCs/>
          <w:szCs w:val="21"/>
        </w:rPr>
        <w:t xml:space="preserve">6  </w:t>
      </w:r>
      <w:r>
        <w:rPr>
          <w:rFonts w:hint="eastAsia"/>
          <w:szCs w:val="21"/>
        </w:rPr>
        <w:t>应按施工时实际环境温度选择静爆剂，严禁错用或互换使用，且装运静爆剂的容器不得使用有约束力的容器，以免雨水浸入，发生喷出，炸裂伤人；</w:t>
      </w:r>
    </w:p>
    <w:p>
      <w:pPr>
        <w:spacing w:line="240" w:lineRule="auto"/>
        <w:ind w:firstLine="440"/>
        <w:rPr>
          <w:szCs w:val="21"/>
        </w:rPr>
      </w:pPr>
      <w:r>
        <w:rPr>
          <w:rFonts w:hint="eastAsia"/>
          <w:b/>
          <w:bCs/>
          <w:szCs w:val="21"/>
        </w:rPr>
        <w:t>7</w:t>
      </w:r>
      <w:r>
        <w:rPr>
          <w:b/>
          <w:bCs/>
          <w:szCs w:val="21"/>
        </w:rPr>
        <w:t xml:space="preserve">  </w:t>
      </w:r>
      <w:r>
        <w:rPr>
          <w:rFonts w:hint="eastAsia"/>
          <w:szCs w:val="21"/>
        </w:rPr>
        <w:t>膨胀剂在运输和存放过程中应防潮、防爆晒，开封后应立即使用，如一次未使用完，应立即扎紧带口，需要时再开封，使用膨胀剂前应确认操作人员对说明书已仔细阅读并理解；</w:t>
      </w:r>
    </w:p>
    <w:p>
      <w:pPr>
        <w:spacing w:line="240" w:lineRule="auto"/>
        <w:ind w:firstLine="440"/>
        <w:rPr>
          <w:szCs w:val="21"/>
        </w:rPr>
      </w:pPr>
      <w:r>
        <w:rPr>
          <w:rFonts w:hint="eastAsia"/>
          <w:b/>
          <w:bCs/>
          <w:szCs w:val="21"/>
        </w:rPr>
        <w:t>8</w:t>
      </w:r>
      <w:r>
        <w:rPr>
          <w:b/>
          <w:bCs/>
          <w:szCs w:val="21"/>
        </w:rPr>
        <w:t xml:space="preserve">  </w:t>
      </w:r>
      <w:r>
        <w:rPr>
          <w:rFonts w:hint="eastAsia"/>
          <w:szCs w:val="21"/>
        </w:rPr>
        <w:t>静爆剂要随配随用，搅拌好的浆体应在10分钟内用完，流动度丧失，不得继续加水拌和使用，不得用热水拌和，人工搅拌时，必须戴橡胶手套；</w:t>
      </w:r>
    </w:p>
    <w:p>
      <w:pPr>
        <w:spacing w:line="240" w:lineRule="auto"/>
        <w:ind w:firstLine="440"/>
        <w:rPr>
          <w:szCs w:val="21"/>
        </w:rPr>
      </w:pPr>
      <w:r>
        <w:rPr>
          <w:b/>
          <w:bCs/>
          <w:szCs w:val="21"/>
        </w:rPr>
        <w:t xml:space="preserve">9  </w:t>
      </w:r>
      <w:r>
        <w:rPr>
          <w:rFonts w:hint="eastAsia"/>
          <w:szCs w:val="21"/>
        </w:rPr>
        <w:t>装填爆孔时，操作人员要戴防护眼镜，在灌浆到裂缝出现前，不得近距离直视孔口，以防发生喷出现象，伤害眼镜；</w:t>
      </w:r>
    </w:p>
    <w:p>
      <w:pPr>
        <w:spacing w:line="240" w:lineRule="auto"/>
        <w:ind w:firstLine="440"/>
        <w:rPr>
          <w:szCs w:val="21"/>
        </w:rPr>
      </w:pPr>
      <w:r>
        <w:rPr>
          <w:rFonts w:hint="eastAsia"/>
          <w:b/>
          <w:bCs/>
          <w:szCs w:val="21"/>
        </w:rPr>
        <w:t>1</w:t>
      </w:r>
      <w:r>
        <w:rPr>
          <w:b/>
          <w:bCs/>
          <w:szCs w:val="21"/>
        </w:rPr>
        <w:t>0</w:t>
      </w:r>
      <w:r>
        <w:rPr>
          <w:szCs w:val="21"/>
        </w:rPr>
        <w:t xml:space="preserve">  </w:t>
      </w:r>
      <w:r>
        <w:rPr>
          <w:rFonts w:hint="eastAsia"/>
          <w:szCs w:val="21"/>
        </w:rPr>
        <w:t>在药剂灌入钻孔到构件开裂前，不可直接面对已装药的钻孔，药剂灌装完成后，盖上麻袋或棕垫，远离装罐点，应小心谨慎观察裂缝发展情况，此外，施工现场应专门准备好清水和毛巾，冲孔时如药剂溅如眼内或皮肤上，应立即用清水冲洗，情况严重者立即送医院治疗；</w:t>
      </w:r>
    </w:p>
    <w:p>
      <w:pPr>
        <w:spacing w:line="240" w:lineRule="auto"/>
        <w:ind w:firstLine="440"/>
        <w:rPr>
          <w:szCs w:val="21"/>
        </w:rPr>
      </w:pPr>
      <w:r>
        <w:rPr>
          <w:rFonts w:hint="eastAsia"/>
          <w:b/>
          <w:bCs/>
          <w:szCs w:val="21"/>
        </w:rPr>
        <w:t>1</w:t>
      </w:r>
      <w:r>
        <w:rPr>
          <w:b/>
          <w:bCs/>
          <w:szCs w:val="21"/>
        </w:rPr>
        <w:t xml:space="preserve">1  </w:t>
      </w:r>
      <w:r>
        <w:rPr>
          <w:rFonts w:hint="eastAsia"/>
          <w:szCs w:val="21"/>
        </w:rPr>
        <w:t>静爆剂浆体具有轻微腐蚀性，作业完毕后应及时洗手洗脸，严防碱性刺激皮肤。</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25" w:name="_Toc149641216"/>
      <w:r>
        <w:rPr>
          <w:rStyle w:val="22"/>
          <w:rFonts w:ascii="Times New Roman" w:hAnsi="Times New Roman" w:cs="Times New Roman"/>
          <w:sz w:val="28"/>
          <w:szCs w:val="28"/>
        </w:rPr>
        <w:t>7</w:t>
      </w:r>
      <w:r>
        <w:rPr>
          <w:rStyle w:val="22"/>
          <w:rFonts w:hint="eastAsia" w:ascii="宋体" w:hAnsi="宋体"/>
          <w:sz w:val="28"/>
          <w:szCs w:val="28"/>
        </w:rPr>
        <w:t xml:space="preserve">  </w:t>
      </w:r>
      <w:r>
        <w:rPr>
          <w:rStyle w:val="22"/>
          <w:rFonts w:hint="eastAsia" w:ascii="宋体" w:hAnsi="宋体" w:eastAsia="宋体"/>
          <w:b w:val="0"/>
          <w:bCs w:val="0"/>
          <w:sz w:val="28"/>
          <w:szCs w:val="28"/>
        </w:rPr>
        <w:t>现场减量化方案</w:t>
      </w:r>
      <w:bookmarkEnd w:id="25"/>
    </w:p>
    <w:p>
      <w:pPr>
        <w:pStyle w:val="4"/>
        <w:spacing w:before="240" w:after="240" w:line="240" w:lineRule="auto"/>
        <w:jc w:val="center"/>
        <w:rPr>
          <w:rFonts w:ascii="黑体" w:hAnsi="黑体" w:cs="宋体"/>
          <w:b w:val="0"/>
          <w:bCs w:val="0"/>
          <w:sz w:val="21"/>
          <w:szCs w:val="21"/>
        </w:rPr>
      </w:pPr>
      <w:bookmarkStart w:id="26" w:name="_Toc149641217"/>
      <w:r>
        <w:rPr>
          <w:rFonts w:ascii="Times New Roman" w:hAnsi="Times New Roman"/>
          <w:sz w:val="21"/>
          <w:szCs w:val="21"/>
        </w:rPr>
        <w:t>7</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r>
        <w:rPr>
          <w:rFonts w:hint="eastAsia" w:ascii="黑体" w:hAnsi="黑体" w:eastAsia="黑体"/>
          <w:b w:val="0"/>
          <w:sz w:val="21"/>
          <w:szCs w:val="21"/>
        </w:rPr>
        <w:t xml:space="preserve">分 </w:t>
      </w:r>
      <w:r>
        <w:rPr>
          <w:rFonts w:ascii="黑体" w:hAnsi="黑体" w:eastAsia="黑体"/>
          <w:b w:val="0"/>
          <w:sz w:val="21"/>
          <w:szCs w:val="21"/>
        </w:rPr>
        <w:t xml:space="preserve">   </w:t>
      </w:r>
      <w:r>
        <w:rPr>
          <w:rFonts w:hint="eastAsia" w:ascii="黑体" w:hAnsi="黑体" w:eastAsia="黑体"/>
          <w:b w:val="0"/>
          <w:sz w:val="21"/>
          <w:szCs w:val="21"/>
        </w:rPr>
        <w:t>类</w:t>
      </w:r>
      <w:bookmarkEnd w:id="26"/>
    </w:p>
    <w:p>
      <w:pPr>
        <w:spacing w:line="240" w:lineRule="auto"/>
        <w:rPr>
          <w:szCs w:val="21"/>
        </w:rPr>
      </w:pPr>
      <w:r>
        <w:rPr>
          <w:b/>
          <w:bCs/>
          <w:szCs w:val="21"/>
        </w:rPr>
        <w:t>7</w:t>
      </w:r>
      <w:r>
        <w:rPr>
          <w:rFonts w:ascii="宋体" w:hAnsi="宋体"/>
          <w:b/>
          <w:bCs/>
          <w:szCs w:val="21"/>
        </w:rPr>
        <w:t>.</w:t>
      </w:r>
      <w:r>
        <w:rPr>
          <w:b/>
          <w:bCs/>
          <w:szCs w:val="21"/>
        </w:rPr>
        <w:t>1</w:t>
      </w:r>
      <w:r>
        <w:rPr>
          <w:rFonts w:ascii="宋体" w:hAnsi="宋体"/>
          <w:b/>
          <w:bCs/>
          <w:szCs w:val="21"/>
        </w:rPr>
        <w:t>.</w:t>
      </w:r>
      <w:r>
        <w:rPr>
          <w:b/>
          <w:bCs/>
          <w:szCs w:val="21"/>
        </w:rPr>
        <w:t xml:space="preserve">1  </w:t>
      </w:r>
      <w:r>
        <w:rPr>
          <w:rFonts w:hint="eastAsia"/>
          <w:szCs w:val="21"/>
        </w:rPr>
        <w:t>拆除废弃物分为现场尺寸缩减制造的直接利用建筑材料和不可直接利用的建筑废弃物；</w:t>
      </w:r>
    </w:p>
    <w:p>
      <w:pPr>
        <w:spacing w:line="240" w:lineRule="auto"/>
        <w:rPr>
          <w:szCs w:val="21"/>
        </w:rPr>
      </w:pPr>
      <w:r>
        <w:rPr>
          <w:rFonts w:hint="eastAsia"/>
          <w:b/>
          <w:szCs w:val="21"/>
        </w:rPr>
        <w:t>7</w:t>
      </w:r>
      <w:r>
        <w:rPr>
          <w:b/>
          <w:szCs w:val="21"/>
        </w:rPr>
        <w:t xml:space="preserve">. 1. 2  </w:t>
      </w:r>
      <w:r>
        <w:rPr>
          <w:szCs w:val="21"/>
        </w:rPr>
        <w:t>不可直接利用的拆除废弃物</w:t>
      </w:r>
      <w:r>
        <w:rPr>
          <w:rFonts w:hint="eastAsia"/>
          <w:szCs w:val="21"/>
        </w:rPr>
        <w:t>其分类应按《深圳市拆除废弃物分类收集及处置技术指引》执行，如表7.1.1所示。</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sz w:val="18"/>
          <w:szCs w:val="18"/>
        </w:rPr>
        <w:t>7</w:t>
      </w:r>
      <w:r>
        <w:rPr>
          <w:rFonts w:hint="eastAsia" w:ascii="宋体" w:hAnsi="宋体"/>
          <w:b/>
          <w:bCs/>
          <w:szCs w:val="21"/>
        </w:rPr>
        <w:t>.</w:t>
      </w:r>
      <w:r>
        <w:rPr>
          <w:rFonts w:hint="eastAsia" w:eastAsia="黑体" w:cs="黑体"/>
          <w:b/>
          <w:sz w:val="18"/>
          <w:szCs w:val="18"/>
        </w:rPr>
        <w:t>1</w:t>
      </w:r>
      <w:r>
        <w:rPr>
          <w:rFonts w:hint="eastAsia" w:ascii="宋体" w:hAnsi="宋体"/>
          <w:b/>
          <w:bCs/>
          <w:szCs w:val="21"/>
        </w:rPr>
        <w:t>.</w:t>
      </w:r>
      <w:r>
        <w:rPr>
          <w:rFonts w:hint="eastAsia" w:eastAsia="黑体" w:cs="黑体"/>
          <w:b/>
          <w:sz w:val="18"/>
          <w:szCs w:val="18"/>
        </w:rPr>
        <w:t>1</w:t>
      </w:r>
      <w:r>
        <w:rPr>
          <w:rFonts w:ascii="宋体" w:hAnsi="宋体" w:cs="黑体"/>
          <w:bCs/>
          <w:sz w:val="18"/>
          <w:szCs w:val="18"/>
        </w:rPr>
        <w:t xml:space="preserve">  </w:t>
      </w:r>
      <w:r>
        <w:rPr>
          <w:rFonts w:hint="eastAsia" w:eastAsia="黑体" w:cs="黑体"/>
          <w:bCs/>
          <w:sz w:val="18"/>
          <w:szCs w:val="18"/>
        </w:rPr>
        <w:t>拆除废弃物分类</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1295"/>
        <w:gridCol w:w="1600"/>
        <w:gridCol w:w="1308"/>
        <w:gridCol w:w="52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1527" w:type="pct"/>
            <w:gridSpan w:val="2"/>
            <w:tcBorders>
              <w:top w:val="single" w:color="auto" w:sz="12" w:space="0"/>
              <w:left w:val="single" w:color="auto" w:sz="12"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一级分类</w:t>
            </w:r>
          </w:p>
        </w:tc>
        <w:tc>
          <w:tcPr>
            <w:tcW w:w="3473" w:type="pct"/>
            <w:gridSpan w:val="2"/>
            <w:tcBorders>
              <w:top w:val="single" w:color="auto" w:sz="12" w:space="0"/>
              <w:right w:val="single" w:color="auto" w:sz="12"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二级分类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代码</w:t>
            </w:r>
          </w:p>
        </w:tc>
        <w:tc>
          <w:tcPr>
            <w:tcW w:w="844" w:type="pc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名称</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代码</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restar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w:t>
            </w:r>
          </w:p>
        </w:tc>
        <w:tc>
          <w:tcPr>
            <w:tcW w:w="844" w:type="pct"/>
            <w:vMerge w:val="restar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惰性废弃物</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101</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混凝土及水泥制品（不含加气混凝土、陶粒混凝土）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102</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烧结砖、瓦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103</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陶瓷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104</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玻璃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105</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工程渣土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106</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107</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加气混凝土、陶粒混凝土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108</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109</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0101-0108及其他惰性废弃物，但不包含0110的混合物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110</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沥青混凝土、沥青防水卷材、沥青防水涂料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restar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w:t>
            </w:r>
          </w:p>
          <w:p>
            <w:pPr>
              <w:spacing w:line="240" w:lineRule="auto"/>
              <w:jc w:val="center"/>
              <w:rPr>
                <w:rFonts w:cs="宋体"/>
                <w:sz w:val="15"/>
                <w:szCs w:val="15"/>
              </w:rPr>
            </w:pPr>
          </w:p>
          <w:p>
            <w:pPr>
              <w:spacing w:line="240" w:lineRule="auto"/>
              <w:jc w:val="center"/>
              <w:rPr>
                <w:rFonts w:cs="宋体"/>
                <w:sz w:val="15"/>
                <w:szCs w:val="15"/>
              </w:rPr>
            </w:pPr>
          </w:p>
        </w:tc>
        <w:tc>
          <w:tcPr>
            <w:tcW w:w="844" w:type="pct"/>
            <w:vMerge w:val="restar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非惰性废弃物</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201</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金属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202</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塑料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203</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204</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木材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vMerge w:val="continue"/>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84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205</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3</w:t>
            </w:r>
          </w:p>
        </w:tc>
        <w:tc>
          <w:tcPr>
            <w:tcW w:w="844" w:type="pc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生活垃圾</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cs="宋体"/>
                <w:sz w:val="15"/>
                <w:szCs w:val="15"/>
              </w:rPr>
              <w:t>-</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不可回收利用的废弃物，不包含04危险废物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683" w:type="pct"/>
            <w:tcBorders>
              <w:left w:val="single" w:color="auto" w:sz="12" w:space="0"/>
              <w:bottom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4</w:t>
            </w:r>
          </w:p>
        </w:tc>
        <w:tc>
          <w:tcPr>
            <w:tcW w:w="844" w:type="pct"/>
            <w:tcBorders>
              <w:left w:val="single" w:color="auto" w:sz="4" w:space="0"/>
              <w:bottom w:val="single" w:color="auto" w:sz="12" w:space="0"/>
            </w:tcBorders>
            <w:shd w:val="clear" w:color="auto" w:fill="auto"/>
            <w:vAlign w:val="center"/>
          </w:tcPr>
          <w:p>
            <w:pPr>
              <w:spacing w:line="240" w:lineRule="auto"/>
              <w:jc w:val="center"/>
              <w:rPr>
                <w:rFonts w:cs="宋体"/>
                <w:sz w:val="15"/>
                <w:szCs w:val="15"/>
              </w:rPr>
            </w:pPr>
            <w:r>
              <w:rPr>
                <w:rFonts w:hint="eastAsia" w:cs="宋体"/>
                <w:sz w:val="15"/>
                <w:szCs w:val="15"/>
              </w:rPr>
              <w:t>危险废物</w:t>
            </w:r>
          </w:p>
        </w:tc>
        <w:tc>
          <w:tcPr>
            <w:tcW w:w="690" w:type="pct"/>
            <w:tcBorders>
              <w:bottom w:val="single" w:color="auto" w:sz="12"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cs="宋体"/>
                <w:sz w:val="15"/>
                <w:szCs w:val="15"/>
              </w:rPr>
              <w:t>-</w:t>
            </w:r>
          </w:p>
        </w:tc>
        <w:tc>
          <w:tcPr>
            <w:tcW w:w="2783" w:type="pct"/>
            <w:tcBorders>
              <w:left w:val="single" w:color="auto" w:sz="4" w:space="0"/>
              <w:bottom w:val="single" w:color="auto" w:sz="12"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国家危险废物名录内废弃物，如石棉、放射性污染物、医疗垃圾等</w:t>
            </w:r>
          </w:p>
        </w:tc>
      </w:tr>
    </w:tbl>
    <w:p>
      <w:pPr>
        <w:spacing w:line="240" w:lineRule="auto"/>
        <w:rPr>
          <w:b/>
          <w:bCs/>
          <w:szCs w:val="21"/>
        </w:rPr>
      </w:pPr>
    </w:p>
    <w:p>
      <w:pPr>
        <w:spacing w:line="240" w:lineRule="auto"/>
        <w:rPr>
          <w:szCs w:val="21"/>
        </w:rPr>
      </w:pPr>
      <w:r>
        <w:rPr>
          <w:b/>
          <w:bCs/>
          <w:szCs w:val="21"/>
        </w:rPr>
        <w:t>7</w:t>
      </w:r>
      <w:r>
        <w:rPr>
          <w:rFonts w:ascii="宋体" w:hAnsi="宋体"/>
          <w:b/>
          <w:bCs/>
          <w:szCs w:val="21"/>
        </w:rPr>
        <w:t>.</w:t>
      </w:r>
      <w:r>
        <w:rPr>
          <w:b/>
          <w:bCs/>
          <w:szCs w:val="21"/>
        </w:rPr>
        <w:t>1</w:t>
      </w:r>
      <w:r>
        <w:rPr>
          <w:rFonts w:ascii="宋体" w:hAnsi="宋体"/>
          <w:b/>
          <w:bCs/>
          <w:szCs w:val="21"/>
        </w:rPr>
        <w:t>.</w:t>
      </w:r>
      <w:r>
        <w:rPr>
          <w:b/>
          <w:bCs/>
          <w:szCs w:val="21"/>
        </w:rPr>
        <w:t xml:space="preserve">3  </w:t>
      </w:r>
      <w:r>
        <w:rPr>
          <w:rFonts w:hint="eastAsia"/>
          <w:szCs w:val="21"/>
        </w:rPr>
        <w:t>常见结构（部位）与拆除废弃物分类对应关系按《深圳市拆除废弃物分类收集及处置技术指引》执行，如表7.1.2所示。</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sz w:val="18"/>
          <w:szCs w:val="18"/>
        </w:rPr>
        <w:t>7</w:t>
      </w:r>
      <w:r>
        <w:rPr>
          <w:rFonts w:hint="eastAsia" w:ascii="宋体" w:hAnsi="宋体"/>
          <w:b/>
          <w:bCs/>
          <w:szCs w:val="21"/>
        </w:rPr>
        <w:t>.</w:t>
      </w:r>
      <w:r>
        <w:rPr>
          <w:rFonts w:hint="eastAsia" w:eastAsia="黑体" w:cs="黑体"/>
          <w:b/>
          <w:sz w:val="18"/>
          <w:szCs w:val="18"/>
        </w:rPr>
        <w:t>1</w:t>
      </w:r>
      <w:r>
        <w:rPr>
          <w:rFonts w:hint="eastAsia" w:ascii="宋体" w:hAnsi="宋体"/>
          <w:b/>
          <w:bCs/>
          <w:szCs w:val="21"/>
        </w:rPr>
        <w:t>.</w:t>
      </w:r>
      <w:r>
        <w:rPr>
          <w:rFonts w:eastAsia="黑体" w:cs="黑体"/>
          <w:b/>
          <w:sz w:val="18"/>
          <w:szCs w:val="18"/>
        </w:rPr>
        <w:t>2</w:t>
      </w:r>
      <w:r>
        <w:rPr>
          <w:rFonts w:ascii="宋体" w:hAnsi="宋体" w:cs="黑体"/>
          <w:bCs/>
          <w:sz w:val="18"/>
          <w:szCs w:val="18"/>
        </w:rPr>
        <w:t xml:space="preserve">  </w:t>
      </w:r>
      <w:r>
        <w:rPr>
          <w:rFonts w:hint="eastAsia" w:eastAsia="黑体" w:cs="黑体"/>
          <w:bCs/>
          <w:sz w:val="18"/>
          <w:szCs w:val="18"/>
        </w:rPr>
        <w:t>常见结构（部位）与分类对应关系</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850"/>
        <w:gridCol w:w="2016"/>
        <w:gridCol w:w="1295"/>
        <w:gridCol w:w="52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453" w:type="pct"/>
            <w:tcBorders>
              <w:top w:val="single" w:color="auto" w:sz="12" w:space="0"/>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序号</w:t>
            </w:r>
          </w:p>
        </w:tc>
        <w:tc>
          <w:tcPr>
            <w:tcW w:w="1074" w:type="pct"/>
            <w:tcBorders>
              <w:top w:val="single" w:color="auto" w:sz="12" w:space="0"/>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结构（部位）</w:t>
            </w:r>
          </w:p>
        </w:tc>
        <w:tc>
          <w:tcPr>
            <w:tcW w:w="690" w:type="pct"/>
            <w:tcBorders>
              <w:top w:val="single" w:color="auto" w:sz="12"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具体部位</w:t>
            </w:r>
          </w:p>
        </w:tc>
        <w:tc>
          <w:tcPr>
            <w:tcW w:w="2783" w:type="pct"/>
            <w:tcBorders>
              <w:top w:val="single" w:color="auto" w:sz="12" w:space="0"/>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常见成分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w:t>
            </w:r>
          </w:p>
        </w:tc>
        <w:tc>
          <w:tcPr>
            <w:tcW w:w="1074" w:type="pct"/>
            <w:vMerge w:val="restar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主体结构（梁、板、柱、承重墙等）</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梁、柱</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混凝土和水泥制品、金属、木材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楼板</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混凝土和水泥制品、陶瓷、金属</w:t>
            </w:r>
          </w:p>
        </w:tc>
      </w:tr>
    </w:tbl>
    <w:p>
      <w:r>
        <w:rPr>
          <w:rFonts w:hint="eastAsia" w:eastAsia="黑体" w:cs="黑体"/>
          <w:bCs/>
          <w:sz w:val="18"/>
          <w:szCs w:val="18"/>
        </w:rPr>
        <w:t>续表</w:t>
      </w:r>
      <w:r>
        <w:rPr>
          <w:rFonts w:eastAsia="黑体" w:cs="黑体"/>
          <w:b/>
          <w:sz w:val="18"/>
          <w:szCs w:val="18"/>
        </w:rPr>
        <w:t>7</w:t>
      </w:r>
      <w:r>
        <w:rPr>
          <w:rFonts w:hint="eastAsia" w:ascii="宋体" w:hAnsi="宋体"/>
          <w:b/>
          <w:bCs/>
          <w:szCs w:val="21"/>
        </w:rPr>
        <w:t>.</w:t>
      </w:r>
      <w:r>
        <w:rPr>
          <w:rFonts w:hint="eastAsia" w:eastAsia="黑体" w:cs="黑体"/>
          <w:b/>
          <w:sz w:val="18"/>
          <w:szCs w:val="18"/>
        </w:rPr>
        <w:t>1</w:t>
      </w:r>
      <w:r>
        <w:rPr>
          <w:rFonts w:hint="eastAsia" w:ascii="宋体" w:hAnsi="宋体"/>
          <w:b/>
          <w:bCs/>
          <w:szCs w:val="21"/>
        </w:rPr>
        <w:t>.</w:t>
      </w:r>
      <w:r>
        <w:rPr>
          <w:rFonts w:eastAsia="黑体" w:cs="黑体"/>
          <w:b/>
          <w:sz w:val="18"/>
          <w:szCs w:val="18"/>
        </w:rPr>
        <w:t>2</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850"/>
        <w:gridCol w:w="2016"/>
        <w:gridCol w:w="1295"/>
        <w:gridCol w:w="52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3</w:t>
            </w:r>
          </w:p>
        </w:tc>
        <w:tc>
          <w:tcPr>
            <w:tcW w:w="1074" w:type="pct"/>
            <w:tcBorders>
              <w:left w:val="single" w:color="auto" w:sz="4" w:space="0"/>
            </w:tcBorders>
            <w:shd w:val="clear" w:color="auto" w:fill="auto"/>
            <w:vAlign w:val="center"/>
          </w:tcPr>
          <w:p>
            <w:pPr>
              <w:spacing w:line="240" w:lineRule="auto"/>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承重墙</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4</w:t>
            </w:r>
          </w:p>
        </w:tc>
        <w:tc>
          <w:tcPr>
            <w:tcW w:w="1074" w:type="pct"/>
            <w:vMerge w:val="restar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非承重墙</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粘土砖</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烧结砖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5</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岩棉板</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6</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围墙</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7</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预制墙板</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8</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隔墙</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混凝土和水泥制品、加气混凝土、木材、石膏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9</w:t>
            </w:r>
          </w:p>
        </w:tc>
        <w:tc>
          <w:tcPr>
            <w:tcW w:w="1074" w:type="pct"/>
            <w:vMerge w:val="restart"/>
            <w:tcBorders>
              <w:left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附着物</w:t>
            </w: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门窗</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金属、木材、塑料、玻璃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0</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天花</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1</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吊顶</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石膏、木材、塑料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2</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隔断</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金属、混凝土及水泥制品、木材、加气混凝土、玻璃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3</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管线</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塑料、金属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4</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招牌</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金属、玻璃、塑料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5</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防盗网</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金属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6</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家具</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木材、陶瓷、玻璃、金属、石材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7</w:t>
            </w:r>
          </w:p>
        </w:tc>
        <w:tc>
          <w:tcPr>
            <w:tcW w:w="1074" w:type="pct"/>
            <w:vMerge w:val="continue"/>
            <w:tcBorders>
              <w:left w:val="single" w:color="auto" w:sz="4" w:space="0"/>
            </w:tcBorders>
            <w:shd w:val="clear" w:color="auto" w:fill="auto"/>
            <w:vAlign w:val="center"/>
          </w:tcPr>
          <w:p>
            <w:pPr>
              <w:spacing w:line="240" w:lineRule="auto"/>
              <w:jc w:val="center"/>
              <w:rPr>
                <w:rFonts w:cs="宋体"/>
                <w:sz w:val="15"/>
                <w:szCs w:val="15"/>
              </w:rPr>
            </w:pPr>
          </w:p>
        </w:tc>
        <w:tc>
          <w:tcPr>
            <w:tcW w:w="690" w:type="pct"/>
            <w:tcBorders>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PVC管材</w:t>
            </w:r>
          </w:p>
        </w:tc>
        <w:tc>
          <w:tcPr>
            <w:tcW w:w="2783" w:type="pct"/>
            <w:tcBorders>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塑料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453" w:type="pct"/>
            <w:tcBorders>
              <w:left w:val="single" w:color="auto" w:sz="12" w:space="0"/>
              <w:bottom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1</w:t>
            </w:r>
            <w:r>
              <w:rPr>
                <w:rFonts w:cs="宋体"/>
                <w:sz w:val="15"/>
                <w:szCs w:val="15"/>
              </w:rPr>
              <w:t>8</w:t>
            </w:r>
          </w:p>
        </w:tc>
        <w:tc>
          <w:tcPr>
            <w:tcW w:w="1074" w:type="pct"/>
            <w:vMerge w:val="continue"/>
            <w:tcBorders>
              <w:left w:val="single" w:color="auto" w:sz="4" w:space="0"/>
              <w:bottom w:val="single" w:color="auto" w:sz="12" w:space="0"/>
            </w:tcBorders>
            <w:shd w:val="clear" w:color="auto" w:fill="auto"/>
            <w:vAlign w:val="center"/>
          </w:tcPr>
          <w:p>
            <w:pPr>
              <w:spacing w:line="240" w:lineRule="auto"/>
              <w:jc w:val="center"/>
              <w:rPr>
                <w:rFonts w:cs="宋体"/>
                <w:sz w:val="15"/>
                <w:szCs w:val="15"/>
              </w:rPr>
            </w:pPr>
          </w:p>
        </w:tc>
        <w:tc>
          <w:tcPr>
            <w:tcW w:w="690" w:type="pct"/>
            <w:tcBorders>
              <w:bottom w:val="single" w:color="auto" w:sz="12"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（墙）地面</w:t>
            </w:r>
          </w:p>
        </w:tc>
        <w:tc>
          <w:tcPr>
            <w:tcW w:w="2783" w:type="pct"/>
            <w:tcBorders>
              <w:left w:val="single" w:color="auto" w:sz="4" w:space="0"/>
              <w:bottom w:val="single" w:color="auto" w:sz="12"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石材、陶瓷、木材、沥青防水卷材、沥青防水涂料</w:t>
            </w:r>
          </w:p>
        </w:tc>
      </w:tr>
    </w:tbl>
    <w:p>
      <w:pPr>
        <w:pStyle w:val="4"/>
        <w:spacing w:before="240" w:after="240" w:line="240" w:lineRule="auto"/>
        <w:jc w:val="center"/>
        <w:rPr>
          <w:rFonts w:ascii="黑体" w:hAnsi="黑体" w:cs="宋体"/>
          <w:b w:val="0"/>
          <w:bCs w:val="0"/>
          <w:sz w:val="21"/>
          <w:szCs w:val="21"/>
        </w:rPr>
      </w:pPr>
      <w:bookmarkStart w:id="27" w:name="_Toc149641218"/>
      <w:r>
        <w:rPr>
          <w:rFonts w:ascii="Times New Roman" w:hAnsi="Times New Roman"/>
          <w:sz w:val="21"/>
          <w:szCs w:val="21"/>
        </w:rPr>
        <w:t>7</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 xml:space="preserve">收 </w:t>
      </w:r>
      <w:r>
        <w:rPr>
          <w:rFonts w:ascii="黑体" w:hAnsi="黑体" w:eastAsia="黑体"/>
          <w:b w:val="0"/>
          <w:sz w:val="21"/>
          <w:szCs w:val="21"/>
        </w:rPr>
        <w:t xml:space="preserve">   </w:t>
      </w:r>
      <w:r>
        <w:rPr>
          <w:rFonts w:hint="eastAsia" w:ascii="黑体" w:hAnsi="黑体" w:eastAsia="黑体"/>
          <w:b w:val="0"/>
          <w:sz w:val="21"/>
          <w:szCs w:val="21"/>
        </w:rPr>
        <w:t>集</w:t>
      </w:r>
      <w:bookmarkEnd w:id="27"/>
    </w:p>
    <w:p>
      <w:pPr>
        <w:spacing w:line="240" w:lineRule="auto"/>
        <w:rPr>
          <w:szCs w:val="21"/>
        </w:rPr>
      </w:pPr>
      <w:r>
        <w:rPr>
          <w:b/>
          <w:bCs/>
          <w:szCs w:val="21"/>
        </w:rPr>
        <w:t>7</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拆除工程施工单位应按照表7.1.1规定，对拆除废弃物一级分类收集；在拆除施工作业场地及施工周期满足条件时，宜二级分类收集。</w:t>
      </w:r>
    </w:p>
    <w:p>
      <w:pPr>
        <w:spacing w:line="240" w:lineRule="auto"/>
        <w:rPr>
          <w:szCs w:val="21"/>
        </w:rPr>
      </w:pPr>
      <w:r>
        <w:rPr>
          <w:b/>
          <w:bCs/>
          <w:szCs w:val="21"/>
        </w:rPr>
        <w:t>7</w:t>
      </w:r>
      <w:r>
        <w:rPr>
          <w:rFonts w:ascii="宋体" w:hAnsi="宋体"/>
          <w:b/>
          <w:bCs/>
          <w:szCs w:val="21"/>
        </w:rPr>
        <w:t>.</w:t>
      </w:r>
      <w:r>
        <w:rPr>
          <w:b/>
          <w:bCs/>
          <w:szCs w:val="21"/>
        </w:rPr>
        <w:t>2</w:t>
      </w:r>
      <w:r>
        <w:rPr>
          <w:rFonts w:ascii="宋体" w:hAnsi="宋体"/>
          <w:b/>
          <w:bCs/>
          <w:szCs w:val="21"/>
        </w:rPr>
        <w:t>.</w:t>
      </w:r>
      <w:r>
        <w:rPr>
          <w:b/>
          <w:bCs/>
          <w:szCs w:val="21"/>
        </w:rPr>
        <w:t xml:space="preserve">2  </w:t>
      </w:r>
      <w:r>
        <w:rPr>
          <w:rFonts w:hint="eastAsia"/>
          <w:szCs w:val="21"/>
        </w:rPr>
        <w:t>施工现场拆除废弃物应至少规划混凝土块、非惰性废弃物和混合惰性废弃物（不包括混凝块）三类的堆放场地，并设置分类标识；各类堆放场地应保证3天以上拆除废弃物临时贮存能力。</w:t>
      </w:r>
    </w:p>
    <w:p>
      <w:pPr>
        <w:spacing w:line="240" w:lineRule="auto"/>
        <w:rPr>
          <w:szCs w:val="21"/>
        </w:rPr>
      </w:pPr>
      <w:r>
        <w:rPr>
          <w:b/>
          <w:bCs/>
          <w:szCs w:val="21"/>
        </w:rPr>
        <w:t>7</w:t>
      </w:r>
      <w:r>
        <w:rPr>
          <w:rFonts w:ascii="宋体" w:hAnsi="宋体"/>
          <w:b/>
          <w:bCs/>
          <w:szCs w:val="21"/>
        </w:rPr>
        <w:t>.</w:t>
      </w:r>
      <w:r>
        <w:rPr>
          <w:b/>
          <w:bCs/>
          <w:szCs w:val="21"/>
        </w:rPr>
        <w:t>2</w:t>
      </w:r>
      <w:r>
        <w:rPr>
          <w:rFonts w:ascii="宋体" w:hAnsi="宋体"/>
          <w:b/>
          <w:bCs/>
          <w:szCs w:val="21"/>
        </w:rPr>
        <w:t>.</w:t>
      </w:r>
      <w:r>
        <w:rPr>
          <w:b/>
          <w:bCs/>
          <w:szCs w:val="21"/>
        </w:rPr>
        <w:t xml:space="preserve">3  </w:t>
      </w:r>
      <w:r>
        <w:rPr>
          <w:rFonts w:hint="eastAsia"/>
          <w:szCs w:val="21"/>
        </w:rPr>
        <w:t>拆除废弃物，现场加工的再生骨料等露天堆放时应及时遮盖，避免扬尘污染；堆放区地坪标高应高于周围场地0.15m，四周应设置排水沟，满足场地雨水导排要求；在装卸、堆放过程中，应防止混入杂质。</w:t>
      </w:r>
    </w:p>
    <w:p>
      <w:pPr>
        <w:spacing w:line="240" w:lineRule="auto"/>
        <w:rPr>
          <w:szCs w:val="21"/>
        </w:rPr>
      </w:pPr>
      <w:r>
        <w:rPr>
          <w:b/>
          <w:bCs/>
          <w:szCs w:val="21"/>
        </w:rPr>
        <w:t>7</w:t>
      </w:r>
      <w:r>
        <w:rPr>
          <w:rFonts w:ascii="宋体" w:hAnsi="宋体"/>
          <w:b/>
          <w:bCs/>
          <w:szCs w:val="21"/>
        </w:rPr>
        <w:t>.</w:t>
      </w:r>
      <w:r>
        <w:rPr>
          <w:b/>
          <w:bCs/>
          <w:szCs w:val="21"/>
        </w:rPr>
        <w:t>2</w:t>
      </w:r>
      <w:r>
        <w:rPr>
          <w:rFonts w:ascii="宋体" w:hAnsi="宋体"/>
          <w:b/>
          <w:bCs/>
          <w:szCs w:val="21"/>
        </w:rPr>
        <w:t>.</w:t>
      </w:r>
      <w:r>
        <w:rPr>
          <w:b/>
          <w:bCs/>
          <w:szCs w:val="21"/>
        </w:rPr>
        <w:t xml:space="preserve">4  </w:t>
      </w:r>
      <w:r>
        <w:rPr>
          <w:rFonts w:hint="eastAsia"/>
          <w:szCs w:val="21"/>
        </w:rPr>
        <w:t>拆除废弃物中的混凝土块应拆解破碎至粒径不大于0.5m堆放。</w:t>
      </w:r>
    </w:p>
    <w:p>
      <w:pPr>
        <w:spacing w:line="240" w:lineRule="auto"/>
        <w:rPr>
          <w:szCs w:val="21"/>
        </w:rPr>
      </w:pPr>
      <w:r>
        <w:rPr>
          <w:b/>
          <w:bCs/>
          <w:szCs w:val="21"/>
        </w:rPr>
        <w:t>7</w:t>
      </w:r>
      <w:r>
        <w:rPr>
          <w:rFonts w:ascii="宋体" w:hAnsi="宋体"/>
          <w:b/>
          <w:bCs/>
          <w:szCs w:val="21"/>
        </w:rPr>
        <w:t>.</w:t>
      </w:r>
      <w:r>
        <w:rPr>
          <w:b/>
          <w:bCs/>
          <w:szCs w:val="21"/>
        </w:rPr>
        <w:t>2</w:t>
      </w:r>
      <w:r>
        <w:rPr>
          <w:rFonts w:ascii="宋体" w:hAnsi="宋体"/>
          <w:b/>
          <w:bCs/>
          <w:szCs w:val="21"/>
        </w:rPr>
        <w:t>.</w:t>
      </w:r>
      <w:r>
        <w:rPr>
          <w:b/>
          <w:bCs/>
          <w:szCs w:val="21"/>
        </w:rPr>
        <w:t xml:space="preserve">5  </w:t>
      </w:r>
      <w:r>
        <w:rPr>
          <w:rFonts w:hint="eastAsia"/>
          <w:szCs w:val="21"/>
        </w:rPr>
        <w:t>拆除废弃物堆放高度不宜高于周围地坪3m；当超过3m时，应进行堆体和地基稳定性验算，保证堆体和地基的稳定安全；当堆放场地附近有挖方工程时，应进行堆体和挖方边坡稳定性验算，保证挖方工程的安全。</w:t>
      </w:r>
    </w:p>
    <w:p>
      <w:pPr>
        <w:pStyle w:val="4"/>
        <w:spacing w:before="240" w:after="240" w:line="240" w:lineRule="auto"/>
        <w:jc w:val="center"/>
        <w:rPr>
          <w:rFonts w:ascii="黑体" w:hAnsi="黑体" w:cs="宋体"/>
          <w:b w:val="0"/>
          <w:bCs w:val="0"/>
          <w:sz w:val="21"/>
          <w:szCs w:val="21"/>
        </w:rPr>
      </w:pPr>
      <w:bookmarkStart w:id="28" w:name="_Toc149641219"/>
      <w:r>
        <w:rPr>
          <w:rFonts w:ascii="Times New Roman" w:hAnsi="Times New Roman"/>
          <w:sz w:val="21"/>
          <w:szCs w:val="21"/>
        </w:rPr>
        <w:t>7</w:t>
      </w:r>
      <w:r>
        <w:rPr>
          <w:rFonts w:hint="eastAsia" w:ascii="宋体" w:hAnsi="宋体" w:eastAsia="宋体"/>
          <w:sz w:val="21"/>
          <w:szCs w:val="21"/>
        </w:rPr>
        <w:t>.</w:t>
      </w:r>
      <w:r>
        <w:rPr>
          <w:rFonts w:ascii="Times New Roman" w:hAnsi="Times New Roman"/>
          <w:sz w:val="21"/>
          <w:szCs w:val="21"/>
        </w:rPr>
        <w:t>3</w:t>
      </w:r>
      <w:r>
        <w:rPr>
          <w:rFonts w:hint="eastAsia" w:ascii="黑体" w:hAnsi="黑体"/>
          <w:b w:val="0"/>
          <w:sz w:val="21"/>
          <w:szCs w:val="21"/>
        </w:rPr>
        <w:t xml:space="preserve">  </w:t>
      </w:r>
      <w:r>
        <w:rPr>
          <w:rFonts w:hint="eastAsia" w:ascii="黑体" w:hAnsi="黑体" w:eastAsia="黑体"/>
          <w:b w:val="0"/>
          <w:sz w:val="21"/>
          <w:szCs w:val="21"/>
        </w:rPr>
        <w:t xml:space="preserve">运 </w:t>
      </w:r>
      <w:r>
        <w:rPr>
          <w:rFonts w:ascii="黑体" w:hAnsi="黑体" w:eastAsia="黑体"/>
          <w:b w:val="0"/>
          <w:sz w:val="21"/>
          <w:szCs w:val="21"/>
        </w:rPr>
        <w:t xml:space="preserve">   </w:t>
      </w:r>
      <w:r>
        <w:rPr>
          <w:rFonts w:hint="eastAsia" w:ascii="黑体" w:hAnsi="黑体" w:eastAsia="黑体"/>
          <w:b w:val="0"/>
          <w:sz w:val="21"/>
          <w:szCs w:val="21"/>
        </w:rPr>
        <w:t>输</w:t>
      </w:r>
      <w:bookmarkEnd w:id="28"/>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1  </w:t>
      </w:r>
      <w:r>
        <w:rPr>
          <w:rFonts w:hint="eastAsia"/>
          <w:szCs w:val="21"/>
        </w:rPr>
        <w:t>拆除废弃物运输单位应根据拆除废弃物分类堆放情况进行分类运输，严禁混装。</w:t>
      </w:r>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2  </w:t>
      </w:r>
      <w:r>
        <w:rPr>
          <w:rFonts w:hint="eastAsia"/>
          <w:szCs w:val="21"/>
        </w:rPr>
        <w:t>拆除废弃物的运输资质、运输方式、运输车辆、交通路线等应符合国家、省市相关部门的规定。</w:t>
      </w:r>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3  </w:t>
      </w:r>
      <w:r>
        <w:rPr>
          <w:rFonts w:hint="eastAsia"/>
          <w:szCs w:val="21"/>
        </w:rPr>
        <w:t>拆除废弃物中非惰性废弃物中可回收利用的组分，可采取上门回收、流动回收、固定地点回收等方式进行再生利用，回收利用过程应按《再生资源回收管理办法》执行。</w:t>
      </w:r>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4  </w:t>
      </w:r>
      <w:r>
        <w:rPr>
          <w:rFonts w:hint="eastAsia"/>
          <w:szCs w:val="21"/>
        </w:rPr>
        <w:t>危险废物运输处置应符合《危险废物经营许可证管理办法》的规定。</w:t>
      </w:r>
    </w:p>
    <w:p>
      <w:pPr>
        <w:spacing w:line="240" w:lineRule="auto"/>
        <w:rPr>
          <w:szCs w:val="21"/>
        </w:rPr>
      </w:pPr>
      <w:bookmarkStart w:id="29" w:name="_Hlk149592407"/>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5  </w:t>
      </w:r>
      <w:r>
        <w:rPr>
          <w:rFonts w:hint="eastAsia"/>
          <w:szCs w:val="21"/>
        </w:rPr>
        <w:t>生活垃圾运输处置应按《城市生活垃圾管理办法》执行。</w:t>
      </w:r>
    </w:p>
    <w:bookmarkEnd w:id="29"/>
    <w:p>
      <w:pPr>
        <w:spacing w:line="240" w:lineRule="auto"/>
        <w:rPr>
          <w:szCs w:val="21"/>
        </w:rPr>
      </w:pPr>
      <w:r>
        <w:rPr>
          <w:rFonts w:hint="eastAsia"/>
          <w:szCs w:val="21"/>
        </w:rPr>
        <w:t>拆除废弃物应按照表7.1.1分类运输和处置，运输方式和处置方式应符合《深圳市拆除废弃物分类收集及处置技术指引》规定，如表7.3.1所示。</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sz w:val="18"/>
          <w:szCs w:val="18"/>
        </w:rPr>
        <w:t>7</w:t>
      </w:r>
      <w:r>
        <w:rPr>
          <w:rFonts w:hint="eastAsia" w:ascii="宋体" w:hAnsi="宋体"/>
          <w:b/>
          <w:bCs/>
          <w:szCs w:val="21"/>
        </w:rPr>
        <w:t>.</w:t>
      </w:r>
      <w:r>
        <w:rPr>
          <w:rFonts w:eastAsia="黑体" w:cs="黑体"/>
          <w:b/>
          <w:sz w:val="18"/>
          <w:szCs w:val="18"/>
        </w:rPr>
        <w:t>3</w:t>
      </w:r>
      <w:r>
        <w:rPr>
          <w:rFonts w:hint="eastAsia" w:ascii="宋体" w:hAnsi="宋体"/>
          <w:b/>
          <w:bCs/>
          <w:szCs w:val="21"/>
        </w:rPr>
        <w:t>.</w:t>
      </w:r>
      <w:r>
        <w:rPr>
          <w:rFonts w:eastAsia="黑体" w:cs="黑体"/>
          <w:b/>
          <w:sz w:val="18"/>
          <w:szCs w:val="18"/>
        </w:rPr>
        <w:t>1</w:t>
      </w:r>
      <w:r>
        <w:rPr>
          <w:rFonts w:ascii="宋体" w:hAnsi="宋体" w:cs="黑体"/>
          <w:bCs/>
          <w:sz w:val="18"/>
          <w:szCs w:val="18"/>
        </w:rPr>
        <w:t xml:space="preserve">  </w:t>
      </w:r>
      <w:r>
        <w:rPr>
          <w:rFonts w:hint="eastAsia" w:eastAsia="黑体" w:cs="黑体"/>
          <w:bCs/>
          <w:sz w:val="18"/>
          <w:szCs w:val="18"/>
        </w:rPr>
        <w:t>拆除废弃物分类运输和处置</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706"/>
        <w:gridCol w:w="721"/>
        <w:gridCol w:w="721"/>
        <w:gridCol w:w="4322"/>
        <w:gridCol w:w="865"/>
        <w:gridCol w:w="20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760" w:type="pct"/>
            <w:gridSpan w:val="2"/>
            <w:tcBorders>
              <w:top w:val="single" w:color="auto" w:sz="12" w:space="0"/>
              <w:left w:val="single" w:color="auto" w:sz="12" w:space="0"/>
              <w:bottom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一级分类</w:t>
            </w:r>
          </w:p>
        </w:tc>
        <w:tc>
          <w:tcPr>
            <w:tcW w:w="2686" w:type="pct"/>
            <w:gridSpan w:val="2"/>
            <w:tcBorders>
              <w:top w:val="single" w:color="auto" w:sz="12"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二级分类</w:t>
            </w:r>
          </w:p>
        </w:tc>
        <w:tc>
          <w:tcPr>
            <w:tcW w:w="461" w:type="pct"/>
            <w:vMerge w:val="restart"/>
            <w:tcBorders>
              <w:top w:val="single" w:color="auto" w:sz="12" w:space="0"/>
              <w:left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运输方式</w:t>
            </w:r>
          </w:p>
        </w:tc>
        <w:tc>
          <w:tcPr>
            <w:tcW w:w="1093" w:type="pct"/>
            <w:vMerge w:val="restart"/>
            <w:tcBorders>
              <w:top w:val="single" w:color="auto" w:sz="12" w:space="0"/>
              <w:left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处置方式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代码</w:t>
            </w: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名称</w:t>
            </w: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代码</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名称</w:t>
            </w:r>
          </w:p>
        </w:tc>
        <w:tc>
          <w:tcPr>
            <w:tcW w:w="461" w:type="pct"/>
            <w:vMerge w:val="continue"/>
            <w:tcBorders>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vMerge w:val="continue"/>
            <w:tcBorders>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w:t>
            </w: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惰性废弃物</w:t>
            </w: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101</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混凝土及水泥制品（不含加气混凝土、陶粒混凝土）</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建筑废弃物运输车辆</w:t>
            </w: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现场综合利用或运往固定式综合利用企业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102</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烧结砖、瓦</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103</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陶瓷</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104</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玻璃</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105</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工程渣土</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106</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石材</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107</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加气混凝土、陶粒混凝土</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108</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石膏</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109</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0101-0108及其他惰性废弃物，但不包含0110的混合物</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综合利用或卫生填埋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110</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沥青混凝土、沥青防水卷材、沥青防水涂料</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综合利用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w:t>
            </w: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非惰性废弃物</w:t>
            </w: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201</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金属</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w:t>
            </w: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资源回收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202</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塑料</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203</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纸</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204</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木材</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4"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205</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布</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873" w:hRule="exact"/>
          <w:jc w:val="center"/>
        </w:trPr>
        <w:tc>
          <w:tcPr>
            <w:tcW w:w="376" w:type="pct"/>
            <w:tcBorders>
              <w:top w:val="single" w:color="auto" w:sz="4" w:space="0"/>
              <w:left w:val="single" w:color="auto" w:sz="12" w:space="0"/>
              <w:bottom w:val="single" w:color="auto" w:sz="4"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3</w:t>
            </w:r>
          </w:p>
        </w:tc>
        <w:tc>
          <w:tcPr>
            <w:tcW w:w="384" w:type="pct"/>
            <w:tcBorders>
              <w:top w:val="single" w:color="auto" w:sz="4" w:space="0"/>
              <w:left w:val="single" w:color="auto" w:sz="4" w:space="0"/>
              <w:bottom w:val="single" w:color="auto" w:sz="4" w:space="0"/>
            </w:tcBorders>
            <w:shd w:val="clear" w:color="auto" w:fill="auto"/>
            <w:vAlign w:val="center"/>
          </w:tcPr>
          <w:p>
            <w:pPr>
              <w:spacing w:line="240" w:lineRule="auto"/>
              <w:jc w:val="center"/>
              <w:rPr>
                <w:rFonts w:cs="宋体"/>
                <w:sz w:val="15"/>
                <w:szCs w:val="15"/>
              </w:rPr>
            </w:pPr>
            <w:r>
              <w:rPr>
                <w:rFonts w:hint="eastAsia" w:cs="宋体"/>
                <w:sz w:val="15"/>
                <w:szCs w:val="15"/>
              </w:rPr>
              <w:t>生活垃圾</w:t>
            </w:r>
          </w:p>
        </w:tc>
        <w:tc>
          <w:tcPr>
            <w:tcW w:w="384" w:type="pct"/>
            <w:tcBorders>
              <w:top w:val="single" w:color="auto" w:sz="4" w:space="0"/>
              <w:bottom w:val="single" w:color="auto" w:sz="4"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w:t>
            </w:r>
          </w:p>
        </w:tc>
        <w:tc>
          <w:tcPr>
            <w:tcW w:w="2302" w:type="pct"/>
            <w:tcBorders>
              <w:top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不可回收利用的废弃物，不包含04危险废物</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市政垃圾</w:t>
            </w:r>
          </w:p>
          <w:p>
            <w:pPr>
              <w:spacing w:line="240" w:lineRule="auto"/>
              <w:jc w:val="center"/>
              <w:rPr>
                <w:rFonts w:cs="宋体"/>
                <w:sz w:val="15"/>
                <w:szCs w:val="15"/>
              </w:rPr>
            </w:pPr>
            <w:r>
              <w:rPr>
                <w:rFonts w:hint="eastAsia" w:cs="宋体"/>
                <w:sz w:val="15"/>
                <w:szCs w:val="15"/>
              </w:rPr>
              <w:t>车辆</w:t>
            </w:r>
          </w:p>
        </w:tc>
        <w:tc>
          <w:tcPr>
            <w:tcW w:w="1093" w:type="pct"/>
            <w:tcBorders>
              <w:top w:val="single" w:color="auto" w:sz="4" w:space="0"/>
              <w:left w:val="single" w:color="auto" w:sz="4" w:space="0"/>
              <w:bottom w:val="single" w:color="auto" w:sz="4"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运往生活垃圾处置场所焚烧发电或卫生填埋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856" w:hRule="exact"/>
          <w:jc w:val="center"/>
        </w:trPr>
        <w:tc>
          <w:tcPr>
            <w:tcW w:w="376" w:type="pct"/>
            <w:tcBorders>
              <w:top w:val="single" w:color="auto" w:sz="4" w:space="0"/>
              <w:left w:val="single" w:color="auto" w:sz="12" w:space="0"/>
              <w:bottom w:val="single" w:color="auto" w:sz="12" w:space="0"/>
              <w:right w:val="single" w:color="auto" w:sz="4" w:space="0"/>
            </w:tcBorders>
            <w:shd w:val="clear" w:color="auto" w:fill="auto"/>
            <w:tcMar>
              <w:left w:w="108" w:type="dxa"/>
              <w:right w:w="108" w:type="dxa"/>
            </w:tcMar>
            <w:vAlign w:val="center"/>
          </w:tcPr>
          <w:p>
            <w:pPr>
              <w:spacing w:line="240" w:lineRule="auto"/>
              <w:jc w:val="center"/>
              <w:rPr>
                <w:rFonts w:cs="宋体"/>
                <w:sz w:val="15"/>
                <w:szCs w:val="15"/>
              </w:rPr>
            </w:pPr>
            <w:r>
              <w:rPr>
                <w:rFonts w:hint="eastAsia" w:cs="宋体"/>
                <w:sz w:val="15"/>
                <w:szCs w:val="15"/>
              </w:rPr>
              <w:t>0</w:t>
            </w:r>
            <w:r>
              <w:rPr>
                <w:rFonts w:cs="宋体"/>
                <w:sz w:val="15"/>
                <w:szCs w:val="15"/>
              </w:rPr>
              <w:t>4</w:t>
            </w:r>
          </w:p>
        </w:tc>
        <w:tc>
          <w:tcPr>
            <w:tcW w:w="384" w:type="pct"/>
            <w:tcBorders>
              <w:top w:val="single" w:color="auto" w:sz="4" w:space="0"/>
              <w:left w:val="single" w:color="auto" w:sz="4" w:space="0"/>
              <w:bottom w:val="single" w:color="auto" w:sz="12" w:space="0"/>
            </w:tcBorders>
            <w:shd w:val="clear" w:color="auto" w:fill="auto"/>
            <w:vAlign w:val="center"/>
          </w:tcPr>
          <w:p>
            <w:pPr>
              <w:spacing w:line="240" w:lineRule="auto"/>
              <w:jc w:val="center"/>
              <w:rPr>
                <w:rFonts w:cs="宋体"/>
                <w:sz w:val="15"/>
                <w:szCs w:val="15"/>
              </w:rPr>
            </w:pPr>
            <w:r>
              <w:rPr>
                <w:rFonts w:hint="eastAsia" w:cs="宋体"/>
                <w:sz w:val="15"/>
                <w:szCs w:val="15"/>
              </w:rPr>
              <w:t>危险废物</w:t>
            </w:r>
          </w:p>
        </w:tc>
        <w:tc>
          <w:tcPr>
            <w:tcW w:w="384" w:type="pct"/>
            <w:tcBorders>
              <w:top w:val="single" w:color="auto" w:sz="4" w:space="0"/>
              <w:bottom w:val="single" w:color="auto" w:sz="12" w:space="0"/>
              <w:right w:val="single" w:color="auto" w:sz="4" w:space="0"/>
            </w:tcBorders>
            <w:shd w:val="clear" w:color="000000" w:fill="FFFFFF"/>
            <w:tcMar>
              <w:left w:w="108" w:type="dxa"/>
              <w:right w:w="108" w:type="dxa"/>
            </w:tcMar>
            <w:vAlign w:val="center"/>
          </w:tcPr>
          <w:p>
            <w:pPr>
              <w:spacing w:line="240" w:lineRule="auto"/>
              <w:jc w:val="center"/>
              <w:rPr>
                <w:rFonts w:cs="宋体"/>
                <w:sz w:val="15"/>
                <w:szCs w:val="15"/>
              </w:rPr>
            </w:pPr>
            <w:r>
              <w:rPr>
                <w:rFonts w:hint="eastAsia" w:cs="宋体"/>
                <w:sz w:val="15"/>
                <w:szCs w:val="15"/>
              </w:rPr>
              <w:t>-</w:t>
            </w:r>
          </w:p>
        </w:tc>
        <w:tc>
          <w:tcPr>
            <w:tcW w:w="2302" w:type="pct"/>
            <w:tcBorders>
              <w:top w:val="single" w:color="auto" w:sz="4" w:space="0"/>
              <w:bottom w:val="single" w:color="auto" w:sz="12"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国家危险废物名录内废弃物，如石棉、放射性污染物、医疗垃圾等</w:t>
            </w:r>
          </w:p>
        </w:tc>
        <w:tc>
          <w:tcPr>
            <w:tcW w:w="461" w:type="pct"/>
            <w:tcBorders>
              <w:top w:val="single" w:color="auto" w:sz="4" w:space="0"/>
              <w:left w:val="single" w:color="auto" w:sz="4" w:space="0"/>
              <w:bottom w:val="single" w:color="auto" w:sz="12" w:space="0"/>
              <w:right w:val="single" w:color="auto" w:sz="4" w:space="0"/>
            </w:tcBorders>
            <w:shd w:val="clear" w:color="000000" w:fill="FFFFFF"/>
            <w:vAlign w:val="center"/>
          </w:tcPr>
          <w:p>
            <w:pPr>
              <w:spacing w:line="240" w:lineRule="auto"/>
              <w:jc w:val="center"/>
              <w:rPr>
                <w:rFonts w:cs="宋体"/>
                <w:sz w:val="15"/>
                <w:szCs w:val="15"/>
              </w:rPr>
            </w:pPr>
            <w:r>
              <w:rPr>
                <w:rFonts w:hint="eastAsia" w:cs="宋体"/>
                <w:sz w:val="15"/>
                <w:szCs w:val="15"/>
              </w:rPr>
              <w:t>-</w:t>
            </w:r>
          </w:p>
        </w:tc>
        <w:tc>
          <w:tcPr>
            <w:tcW w:w="1093" w:type="pct"/>
            <w:tcBorders>
              <w:top w:val="single" w:color="auto" w:sz="4" w:space="0"/>
              <w:left w:val="single" w:color="auto" w:sz="4" w:space="0"/>
              <w:bottom w:val="single" w:color="auto" w:sz="12" w:space="0"/>
              <w:right w:val="single" w:color="auto" w:sz="12" w:space="0"/>
            </w:tcBorders>
            <w:shd w:val="clear" w:color="000000" w:fill="FFFFFF"/>
            <w:vAlign w:val="center"/>
          </w:tcPr>
          <w:p>
            <w:pPr>
              <w:spacing w:line="240" w:lineRule="auto"/>
              <w:jc w:val="center"/>
              <w:rPr>
                <w:rFonts w:cs="宋体"/>
                <w:sz w:val="15"/>
                <w:szCs w:val="15"/>
              </w:rPr>
            </w:pPr>
            <w:r>
              <w:rPr>
                <w:rFonts w:hint="eastAsia" w:cs="宋体"/>
                <w:sz w:val="15"/>
                <w:szCs w:val="15"/>
              </w:rPr>
              <w:t>运往危险废物处置企业无害化处置</w:t>
            </w:r>
          </w:p>
        </w:tc>
      </w:tr>
    </w:tbl>
    <w:p>
      <w:pPr>
        <w:spacing w:line="240" w:lineRule="auto"/>
        <w:rPr>
          <w:b/>
          <w:bCs/>
          <w:szCs w:val="21"/>
        </w:rPr>
      </w:pPr>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7  </w:t>
      </w:r>
      <w:r>
        <w:rPr>
          <w:rFonts w:hint="eastAsia"/>
          <w:szCs w:val="21"/>
        </w:rPr>
        <w:t>拆除废弃物中惰性废弃物优先现场综合利用；现场无法综合利用的废弃物，应运至建筑废弃物综合利用企业进行集中处理利用；混凝土块宜运输至建筑废弃物综合利用企业，生产再生混凝土和再生砂浆等高附加值产品。</w:t>
      </w:r>
    </w:p>
    <w:p>
      <w:pPr>
        <w:spacing w:line="240" w:lineRule="auto"/>
        <w:rPr>
          <w:szCs w:val="21"/>
        </w:rPr>
      </w:pPr>
      <w:r>
        <w:rPr>
          <w:b/>
          <w:bCs/>
          <w:szCs w:val="21"/>
        </w:rPr>
        <w:t>7</w:t>
      </w:r>
      <w:r>
        <w:rPr>
          <w:rFonts w:ascii="宋体" w:hAnsi="宋体"/>
          <w:b/>
          <w:bCs/>
          <w:szCs w:val="21"/>
        </w:rPr>
        <w:t>.</w:t>
      </w:r>
      <w:r>
        <w:rPr>
          <w:b/>
          <w:bCs/>
          <w:szCs w:val="21"/>
        </w:rPr>
        <w:t>3</w:t>
      </w:r>
      <w:r>
        <w:rPr>
          <w:rFonts w:ascii="宋体" w:hAnsi="宋体"/>
          <w:b/>
          <w:bCs/>
          <w:szCs w:val="21"/>
        </w:rPr>
        <w:t>.</w:t>
      </w:r>
      <w:r>
        <w:rPr>
          <w:b/>
          <w:bCs/>
          <w:szCs w:val="21"/>
        </w:rPr>
        <w:t xml:space="preserve">8  </w:t>
      </w:r>
      <w:r>
        <w:rPr>
          <w:rFonts w:hint="eastAsia"/>
          <w:szCs w:val="21"/>
        </w:rPr>
        <w:t>可回收利用的惰性废弃物综合利用过程应符合以下要求：</w:t>
      </w:r>
    </w:p>
    <w:p>
      <w:pPr>
        <w:spacing w:line="240" w:lineRule="auto"/>
        <w:ind w:firstLine="440"/>
        <w:rPr>
          <w:szCs w:val="21"/>
        </w:rPr>
      </w:pPr>
      <w:r>
        <w:rPr>
          <w:b/>
          <w:bCs/>
          <w:szCs w:val="21"/>
        </w:rPr>
        <w:t>1</w:t>
      </w:r>
      <w:r>
        <w:rPr>
          <w:szCs w:val="21"/>
        </w:rPr>
        <w:t xml:space="preserve">  </w:t>
      </w:r>
      <w:r>
        <w:rPr>
          <w:rFonts w:hint="eastAsia"/>
          <w:szCs w:val="21"/>
        </w:rPr>
        <w:t>在利用建筑废弃物生产再生骨料之前，应进行预处理，去除金属、木材、塑料、纸、玻璃等杂质；</w:t>
      </w:r>
    </w:p>
    <w:p>
      <w:pPr>
        <w:spacing w:line="240" w:lineRule="auto"/>
        <w:ind w:firstLine="440"/>
        <w:rPr>
          <w:szCs w:val="21"/>
        </w:rPr>
      </w:pPr>
      <w:r>
        <w:rPr>
          <w:b/>
          <w:bCs/>
          <w:szCs w:val="21"/>
        </w:rPr>
        <w:t>2</w:t>
      </w:r>
      <w:r>
        <w:rPr>
          <w:szCs w:val="21"/>
        </w:rPr>
        <w:t xml:space="preserve">  </w:t>
      </w:r>
      <w:r>
        <w:rPr>
          <w:rFonts w:hint="eastAsia"/>
          <w:szCs w:val="21"/>
        </w:rPr>
        <w:t>混凝土及水泥制品、石材等宜用于生产再生骨料，以及进一步生产再生骨料混凝土、再生水泥制品；</w:t>
      </w:r>
    </w:p>
    <w:p>
      <w:pPr>
        <w:spacing w:line="240" w:lineRule="auto"/>
        <w:ind w:firstLine="440"/>
        <w:rPr>
          <w:szCs w:val="21"/>
        </w:rPr>
      </w:pPr>
      <w:r>
        <w:rPr>
          <w:rFonts w:hint="eastAsia"/>
          <w:b/>
          <w:bCs/>
          <w:szCs w:val="21"/>
        </w:rPr>
        <w:t>3</w:t>
      </w:r>
      <w:r>
        <w:rPr>
          <w:szCs w:val="21"/>
        </w:rPr>
        <w:t xml:space="preserve">  </w:t>
      </w:r>
      <w:r>
        <w:rPr>
          <w:rFonts w:hint="eastAsia"/>
          <w:szCs w:val="21"/>
        </w:rPr>
        <w:t>沥青混凝土宜用于生产再生沥青混凝土；</w:t>
      </w:r>
    </w:p>
    <w:p>
      <w:pPr>
        <w:spacing w:line="240" w:lineRule="auto"/>
        <w:ind w:firstLine="440"/>
        <w:rPr>
          <w:szCs w:val="21"/>
        </w:rPr>
      </w:pPr>
      <w:r>
        <w:rPr>
          <w:rFonts w:hint="eastAsia"/>
          <w:b/>
          <w:bCs/>
          <w:szCs w:val="21"/>
        </w:rPr>
        <w:t>4</w:t>
      </w:r>
      <w:r>
        <w:rPr>
          <w:szCs w:val="21"/>
        </w:rPr>
        <w:t xml:space="preserve">  </w:t>
      </w:r>
      <w:r>
        <w:rPr>
          <w:rFonts w:hint="eastAsia"/>
          <w:szCs w:val="21"/>
        </w:rPr>
        <w:t>砖瓦和砌块、石膏、砂浆、陶瓷、玻璃等宜用于加工生产再生砖、回填料、路基材料等；</w:t>
      </w:r>
    </w:p>
    <w:p>
      <w:pPr>
        <w:spacing w:line="240" w:lineRule="auto"/>
        <w:ind w:firstLine="440"/>
        <w:rPr>
          <w:szCs w:val="21"/>
        </w:rPr>
      </w:pPr>
      <w:r>
        <w:rPr>
          <w:rFonts w:hint="eastAsia"/>
          <w:b/>
          <w:bCs/>
          <w:szCs w:val="21"/>
        </w:rPr>
        <w:t>5</w:t>
      </w:r>
      <w:r>
        <w:rPr>
          <w:szCs w:val="21"/>
        </w:rPr>
        <w:t xml:space="preserve">  </w:t>
      </w:r>
      <w:r>
        <w:rPr>
          <w:rFonts w:hint="eastAsia"/>
          <w:szCs w:val="21"/>
        </w:rPr>
        <w:t>工程渣土宜用于再生砖生产、筑路施工、桩基填料、回填料、泥沙分离、填海造地、堆填造景等；</w:t>
      </w:r>
    </w:p>
    <w:p>
      <w:pPr>
        <w:spacing w:line="240" w:lineRule="auto"/>
        <w:ind w:firstLine="440"/>
        <w:rPr>
          <w:szCs w:val="21"/>
        </w:rPr>
      </w:pPr>
      <w:r>
        <w:rPr>
          <w:rFonts w:hint="eastAsia"/>
          <w:b/>
          <w:bCs/>
          <w:szCs w:val="21"/>
        </w:rPr>
        <w:t>6</w:t>
      </w:r>
      <w:r>
        <w:rPr>
          <w:szCs w:val="21"/>
        </w:rPr>
        <w:t xml:space="preserve">  </w:t>
      </w:r>
      <w:r>
        <w:rPr>
          <w:rFonts w:hint="eastAsia"/>
          <w:szCs w:val="21"/>
        </w:rPr>
        <w:t>加气块（包括泡沫砖、陶粒轻质板等）宜分类后通过合适的途径进行处置，可生产轻质再生骨料。</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30" w:name="_Toc149641220"/>
      <w:r>
        <w:rPr>
          <w:rStyle w:val="22"/>
          <w:rFonts w:ascii="Times New Roman" w:hAnsi="Times New Roman" w:cs="Times New Roman"/>
          <w:sz w:val="28"/>
          <w:szCs w:val="28"/>
        </w:rPr>
        <w:t>8</w:t>
      </w:r>
      <w:r>
        <w:rPr>
          <w:rStyle w:val="22"/>
          <w:rFonts w:hint="eastAsia" w:ascii="宋体" w:hAnsi="宋体"/>
          <w:sz w:val="28"/>
          <w:szCs w:val="28"/>
        </w:rPr>
        <w:t xml:space="preserve">  </w:t>
      </w:r>
      <w:r>
        <w:rPr>
          <w:rStyle w:val="22"/>
          <w:rFonts w:hint="eastAsia" w:ascii="宋体" w:hAnsi="宋体" w:eastAsia="宋体"/>
          <w:b w:val="0"/>
          <w:bCs w:val="0"/>
          <w:sz w:val="28"/>
          <w:szCs w:val="28"/>
        </w:rPr>
        <w:t>建筑废弃物现场综合利用</w:t>
      </w:r>
      <w:bookmarkEnd w:id="30"/>
    </w:p>
    <w:p>
      <w:pPr>
        <w:pStyle w:val="4"/>
        <w:spacing w:before="240" w:after="240" w:line="240" w:lineRule="auto"/>
        <w:jc w:val="center"/>
        <w:rPr>
          <w:rFonts w:ascii="黑体" w:hAnsi="黑体" w:eastAsia="黑体"/>
          <w:b w:val="0"/>
          <w:sz w:val="21"/>
          <w:szCs w:val="21"/>
        </w:rPr>
      </w:pPr>
      <w:bookmarkStart w:id="31" w:name="_Toc149641221"/>
      <w:r>
        <w:rPr>
          <w:rFonts w:ascii="Times New Roman" w:hAnsi="Times New Roman"/>
          <w:sz w:val="21"/>
          <w:szCs w:val="21"/>
        </w:rPr>
        <w:t>8</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r>
        <w:rPr>
          <w:rFonts w:hint="eastAsia" w:ascii="黑体" w:hAnsi="黑体" w:eastAsia="黑体"/>
          <w:b w:val="0"/>
          <w:sz w:val="21"/>
          <w:szCs w:val="21"/>
        </w:rPr>
        <w:t>一 般 规 定</w:t>
      </w:r>
      <w:bookmarkEnd w:id="31"/>
    </w:p>
    <w:p>
      <w:pPr>
        <w:spacing w:line="240" w:lineRule="auto"/>
        <w:rPr>
          <w:szCs w:val="21"/>
        </w:rPr>
      </w:pPr>
      <w:r>
        <w:rPr>
          <w:b/>
          <w:bCs/>
          <w:szCs w:val="21"/>
        </w:rPr>
        <w:t>8</w:t>
      </w:r>
      <w:r>
        <w:rPr>
          <w:rFonts w:ascii="宋体" w:hAnsi="宋体"/>
          <w:b/>
          <w:bCs/>
          <w:szCs w:val="21"/>
        </w:rPr>
        <w:t>.</w:t>
      </w:r>
      <w:r>
        <w:rPr>
          <w:b/>
          <w:bCs/>
          <w:szCs w:val="21"/>
        </w:rPr>
        <w:t>1</w:t>
      </w:r>
      <w:r>
        <w:rPr>
          <w:rFonts w:ascii="宋体" w:hAnsi="宋体"/>
          <w:b/>
          <w:bCs/>
          <w:szCs w:val="21"/>
        </w:rPr>
        <w:t>.</w:t>
      </w:r>
      <w:r>
        <w:rPr>
          <w:b/>
          <w:bCs/>
          <w:szCs w:val="21"/>
        </w:rPr>
        <w:t xml:space="preserve">1  </w:t>
      </w:r>
      <w:r>
        <w:rPr>
          <w:rFonts w:hint="eastAsia"/>
          <w:szCs w:val="21"/>
        </w:rPr>
        <w:t>施工现场建筑固体废弃物的处置应遵循减量化原则,并应符合下列规定:</w:t>
      </w:r>
    </w:p>
    <w:p>
      <w:pPr>
        <w:spacing w:line="240" w:lineRule="auto"/>
        <w:ind w:firstLine="440"/>
        <w:rPr>
          <w:szCs w:val="21"/>
        </w:rPr>
      </w:pPr>
      <w:r>
        <w:rPr>
          <w:b/>
          <w:bCs/>
          <w:szCs w:val="21"/>
        </w:rPr>
        <w:t>1</w:t>
      </w:r>
      <w:r>
        <w:rPr>
          <w:szCs w:val="21"/>
        </w:rPr>
        <w:t xml:space="preserve">  </w:t>
      </w:r>
      <w:r>
        <w:rPr>
          <w:rFonts w:hint="eastAsia"/>
          <w:szCs w:val="21"/>
        </w:rPr>
        <w:t>在建筑拆除施工现场完成拆除后构件的性能评估，应依据评估结果分为直接利用和再生利用两条处置路径；</w:t>
      </w:r>
    </w:p>
    <w:p>
      <w:pPr>
        <w:spacing w:line="240" w:lineRule="auto"/>
        <w:ind w:firstLine="440"/>
        <w:rPr>
          <w:szCs w:val="21"/>
        </w:rPr>
      </w:pPr>
      <w:r>
        <w:rPr>
          <w:rFonts w:hint="eastAsia"/>
          <w:b/>
          <w:szCs w:val="21"/>
        </w:rPr>
        <w:t>2</w:t>
      </w:r>
      <w:r>
        <w:rPr>
          <w:b/>
          <w:szCs w:val="21"/>
        </w:rPr>
        <w:t xml:space="preserve">  </w:t>
      </w:r>
      <w:r>
        <w:rPr>
          <w:szCs w:val="21"/>
        </w:rPr>
        <w:t>拆除建筑物的混凝土梁</w:t>
      </w:r>
      <w:r>
        <w:rPr>
          <w:rFonts w:hint="eastAsia"/>
          <w:szCs w:val="21"/>
        </w:rPr>
        <w:t>、</w:t>
      </w:r>
      <w:r>
        <w:rPr>
          <w:szCs w:val="21"/>
        </w:rPr>
        <w:t>板</w:t>
      </w:r>
      <w:r>
        <w:rPr>
          <w:rFonts w:hint="eastAsia"/>
          <w:szCs w:val="21"/>
        </w:rPr>
        <w:t>、</w:t>
      </w:r>
      <w:r>
        <w:rPr>
          <w:szCs w:val="21"/>
        </w:rPr>
        <w:t>柱宜首先尺寸缩减加工为可直接利用的建筑材料</w:t>
      </w:r>
      <w:r>
        <w:rPr>
          <w:rFonts w:hint="eastAsia"/>
          <w:szCs w:val="21"/>
        </w:rPr>
        <w:t>；</w:t>
      </w:r>
    </w:p>
    <w:p>
      <w:pPr>
        <w:spacing w:line="240" w:lineRule="auto"/>
        <w:ind w:firstLine="440"/>
        <w:rPr>
          <w:szCs w:val="21"/>
        </w:rPr>
      </w:pPr>
      <w:r>
        <w:rPr>
          <w:b/>
          <w:bCs/>
          <w:szCs w:val="21"/>
        </w:rPr>
        <w:t>3</w:t>
      </w:r>
      <w:r>
        <w:rPr>
          <w:szCs w:val="21"/>
        </w:rPr>
        <w:t xml:space="preserve">  </w:t>
      </w:r>
      <w:r>
        <w:rPr>
          <w:rFonts w:hint="eastAsia"/>
          <w:szCs w:val="21"/>
        </w:rPr>
        <w:t>施工现场应设置建筑废弃物临时堆场，合理规划施工流水线，拆除作业与拆除后构配件的性能检测同时进行，保证充足的现场废弃物储存空间；</w:t>
      </w:r>
    </w:p>
    <w:p>
      <w:pPr>
        <w:spacing w:line="240" w:lineRule="auto"/>
        <w:ind w:firstLine="440"/>
        <w:rPr>
          <w:szCs w:val="21"/>
        </w:rPr>
      </w:pPr>
      <w:r>
        <w:rPr>
          <w:b/>
          <w:bCs/>
          <w:szCs w:val="21"/>
        </w:rPr>
        <w:t xml:space="preserve">4  </w:t>
      </w:r>
      <w:r>
        <w:rPr>
          <w:rFonts w:hint="eastAsia"/>
          <w:szCs w:val="21"/>
        </w:rPr>
        <w:t>整体再利用构件的堆放存储、性能修复与节点改造等工作,以及整体拆除构件的破碎解体与原料化处理均宜在工厂进行。</w:t>
      </w:r>
    </w:p>
    <w:p>
      <w:pPr>
        <w:pStyle w:val="4"/>
        <w:spacing w:before="240" w:after="240" w:line="240" w:lineRule="auto"/>
        <w:jc w:val="center"/>
        <w:rPr>
          <w:rFonts w:ascii="黑体" w:hAnsi="黑体" w:eastAsia="黑体"/>
          <w:b w:val="0"/>
          <w:sz w:val="21"/>
          <w:szCs w:val="21"/>
        </w:rPr>
      </w:pPr>
      <w:bookmarkStart w:id="32" w:name="_Toc149641222"/>
      <w:r>
        <w:rPr>
          <w:rFonts w:ascii="Times New Roman" w:hAnsi="Times New Roman"/>
          <w:sz w:val="21"/>
          <w:szCs w:val="21"/>
        </w:rPr>
        <w:t>8</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金属类材料</w:t>
      </w:r>
      <w:bookmarkEnd w:id="32"/>
    </w:p>
    <w:p>
      <w:pPr>
        <w:spacing w:line="240" w:lineRule="auto"/>
        <w:rPr>
          <w:szCs w:val="21"/>
        </w:rPr>
      </w:pPr>
      <w:r>
        <w:rPr>
          <w:b/>
          <w:bCs/>
          <w:szCs w:val="21"/>
        </w:rPr>
        <w:t>8</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可再利用的金属类拆除建筑废弃物，宜通过简单处理或加工，作为施工材料或工具，直接用于新工程建设。</w:t>
      </w:r>
    </w:p>
    <w:p>
      <w:pPr>
        <w:spacing w:line="240" w:lineRule="auto"/>
        <w:rPr>
          <w:szCs w:val="21"/>
        </w:rPr>
      </w:pPr>
      <w:r>
        <w:rPr>
          <w:b/>
          <w:bCs/>
          <w:szCs w:val="21"/>
        </w:rPr>
        <w:t>8</w:t>
      </w:r>
      <w:r>
        <w:rPr>
          <w:rFonts w:ascii="宋体" w:hAnsi="宋体"/>
          <w:b/>
          <w:bCs/>
          <w:szCs w:val="21"/>
        </w:rPr>
        <w:t>.</w:t>
      </w:r>
      <w:r>
        <w:rPr>
          <w:b/>
          <w:bCs/>
          <w:szCs w:val="21"/>
        </w:rPr>
        <w:t>2</w:t>
      </w:r>
      <w:r>
        <w:rPr>
          <w:rFonts w:ascii="宋体" w:hAnsi="宋体"/>
          <w:b/>
          <w:bCs/>
          <w:szCs w:val="21"/>
        </w:rPr>
        <w:t>.</w:t>
      </w:r>
      <w:r>
        <w:rPr>
          <w:b/>
          <w:bCs/>
          <w:szCs w:val="21"/>
        </w:rPr>
        <w:t xml:space="preserve">2  </w:t>
      </w:r>
      <w:r>
        <w:rPr>
          <w:rFonts w:hint="eastAsia"/>
          <w:szCs w:val="21"/>
        </w:rPr>
        <w:t>拆除现场有色金属类建筑废弃物不宜与黑色金属类建筑废弃物混合处置，对前者应集中收放，回收。</w:t>
      </w:r>
    </w:p>
    <w:p>
      <w:pPr>
        <w:spacing w:line="240" w:lineRule="auto"/>
        <w:rPr>
          <w:szCs w:val="21"/>
        </w:rPr>
      </w:pPr>
      <w:r>
        <w:rPr>
          <w:b/>
          <w:bCs/>
          <w:szCs w:val="21"/>
        </w:rPr>
        <w:t>8</w:t>
      </w:r>
      <w:r>
        <w:rPr>
          <w:rFonts w:ascii="宋体" w:hAnsi="宋体"/>
          <w:b/>
          <w:bCs/>
          <w:szCs w:val="21"/>
        </w:rPr>
        <w:t>.</w:t>
      </w:r>
      <w:r>
        <w:rPr>
          <w:b/>
          <w:bCs/>
          <w:szCs w:val="21"/>
        </w:rPr>
        <w:t>2</w:t>
      </w:r>
      <w:r>
        <w:rPr>
          <w:rFonts w:ascii="宋体" w:hAnsi="宋体"/>
          <w:b/>
          <w:bCs/>
          <w:szCs w:val="21"/>
        </w:rPr>
        <w:t>.</w:t>
      </w:r>
      <w:r>
        <w:rPr>
          <w:b/>
          <w:bCs/>
          <w:szCs w:val="21"/>
        </w:rPr>
        <w:t xml:space="preserve">3  </w:t>
      </w:r>
      <w:r>
        <w:rPr>
          <w:rFonts w:hint="eastAsia"/>
          <w:szCs w:val="21"/>
        </w:rPr>
        <w:t>可再利用的块状、管状、条形等形状的黑色金属拆除施工现场废弃物，宜通过切割、焊接等手段加以利用，作为施工材料直接用于新建筑工程：</w:t>
      </w:r>
    </w:p>
    <w:p>
      <w:pPr>
        <w:spacing w:line="240" w:lineRule="auto"/>
        <w:ind w:firstLine="440"/>
        <w:rPr>
          <w:szCs w:val="21"/>
        </w:rPr>
      </w:pPr>
      <w:r>
        <w:rPr>
          <w:b/>
          <w:bCs/>
          <w:szCs w:val="21"/>
        </w:rPr>
        <w:t>1</w:t>
      </w:r>
      <w:r>
        <w:rPr>
          <w:szCs w:val="21"/>
        </w:rPr>
        <w:t xml:space="preserve">  </w:t>
      </w:r>
      <w:r>
        <w:rPr>
          <w:rFonts w:hint="eastAsia"/>
          <w:szCs w:val="21"/>
        </w:rPr>
        <w:t>钢筋可通过切割、焊接，加工成马凳筋、定位筋、小型构件配筋、预制地坪配筋等在场内利用，或通过接长来加工成钢筋网片，用于场地工具式设施，如洗车槽、防护门、排水沟等；</w:t>
      </w:r>
    </w:p>
    <w:p>
      <w:pPr>
        <w:spacing w:line="240" w:lineRule="auto"/>
        <w:ind w:firstLine="440"/>
        <w:rPr>
          <w:szCs w:val="21"/>
        </w:rPr>
      </w:pPr>
      <w:r>
        <w:rPr>
          <w:b/>
          <w:bCs/>
          <w:szCs w:val="21"/>
        </w:rPr>
        <w:t>2</w:t>
      </w:r>
      <w:r>
        <w:rPr>
          <w:szCs w:val="21"/>
        </w:rPr>
        <w:t xml:space="preserve">  </w:t>
      </w:r>
      <w:r>
        <w:rPr>
          <w:rFonts w:hint="eastAsia"/>
          <w:szCs w:val="21"/>
        </w:rPr>
        <w:t>型钢、钢管可通过切割、焊接，加工成吊料箱、工具箱等小型实用器具，钢管可用于焊接盲板短管及管道套管。</w:t>
      </w:r>
    </w:p>
    <w:p>
      <w:pPr>
        <w:pStyle w:val="4"/>
        <w:spacing w:before="240" w:after="240" w:line="240" w:lineRule="auto"/>
        <w:jc w:val="center"/>
        <w:rPr>
          <w:rFonts w:ascii="黑体" w:hAnsi="黑体" w:eastAsia="黑体"/>
          <w:b w:val="0"/>
          <w:sz w:val="21"/>
          <w:szCs w:val="21"/>
        </w:rPr>
      </w:pPr>
      <w:bookmarkStart w:id="33" w:name="_Toc149641223"/>
      <w:r>
        <w:rPr>
          <w:rFonts w:ascii="Times New Roman" w:hAnsi="Times New Roman"/>
          <w:sz w:val="21"/>
          <w:szCs w:val="21"/>
        </w:rPr>
        <w:t>8</w:t>
      </w:r>
      <w:r>
        <w:rPr>
          <w:rFonts w:hint="eastAsia" w:ascii="宋体" w:hAnsi="宋体" w:eastAsia="宋体"/>
          <w:sz w:val="21"/>
          <w:szCs w:val="21"/>
        </w:rPr>
        <w:t>.</w:t>
      </w:r>
      <w:r>
        <w:rPr>
          <w:rFonts w:ascii="Times New Roman" w:hAnsi="Times New Roman"/>
          <w:sz w:val="21"/>
          <w:szCs w:val="21"/>
        </w:rPr>
        <w:t>3</w:t>
      </w:r>
      <w:r>
        <w:rPr>
          <w:rFonts w:hint="eastAsia" w:ascii="黑体" w:hAnsi="黑体"/>
          <w:b w:val="0"/>
          <w:sz w:val="21"/>
          <w:szCs w:val="21"/>
        </w:rPr>
        <w:t xml:space="preserve">  </w:t>
      </w:r>
      <w:r>
        <w:rPr>
          <w:rFonts w:hint="eastAsia" w:ascii="黑体" w:hAnsi="黑体" w:eastAsia="黑体"/>
          <w:b w:val="0"/>
          <w:sz w:val="21"/>
          <w:szCs w:val="21"/>
        </w:rPr>
        <w:t>非金属类材料</w:t>
      </w:r>
      <w:bookmarkEnd w:id="33"/>
    </w:p>
    <w:p>
      <w:pPr>
        <w:spacing w:line="240" w:lineRule="auto"/>
        <w:rPr>
          <w:szCs w:val="21"/>
        </w:rPr>
      </w:pPr>
      <w:r>
        <w:rPr>
          <w:b/>
          <w:bCs/>
          <w:szCs w:val="21"/>
        </w:rPr>
        <w:t>8</w:t>
      </w:r>
      <w:r>
        <w:rPr>
          <w:rFonts w:ascii="宋体" w:hAnsi="宋体"/>
          <w:b/>
          <w:bCs/>
          <w:szCs w:val="21"/>
        </w:rPr>
        <w:t>.</w:t>
      </w:r>
      <w:r>
        <w:rPr>
          <w:b/>
          <w:bCs/>
          <w:szCs w:val="21"/>
        </w:rPr>
        <w:t>3</w:t>
      </w:r>
      <w:r>
        <w:rPr>
          <w:rFonts w:ascii="宋体" w:hAnsi="宋体"/>
          <w:b/>
          <w:bCs/>
          <w:szCs w:val="21"/>
        </w:rPr>
        <w:t>.</w:t>
      </w:r>
      <w:r>
        <w:rPr>
          <w:b/>
          <w:bCs/>
          <w:szCs w:val="21"/>
        </w:rPr>
        <w:t xml:space="preserve">1  </w:t>
      </w:r>
      <w:r>
        <w:rPr>
          <w:rFonts w:hint="eastAsia"/>
          <w:szCs w:val="21"/>
        </w:rPr>
        <w:t>可直接利用的无机非金属类拆除废弃物，宜通过切割、捆扎等加工手段，用于工程建设。</w:t>
      </w:r>
    </w:p>
    <w:p>
      <w:pPr>
        <w:spacing w:line="240" w:lineRule="auto"/>
        <w:rPr>
          <w:szCs w:val="21"/>
        </w:rPr>
      </w:pPr>
      <w:bookmarkStart w:id="34" w:name="_Hlk149594464"/>
      <w:r>
        <w:rPr>
          <w:b/>
          <w:bCs/>
          <w:szCs w:val="21"/>
        </w:rPr>
        <w:t>8</w:t>
      </w:r>
      <w:r>
        <w:rPr>
          <w:rFonts w:ascii="宋体" w:hAnsi="宋体"/>
          <w:b/>
          <w:bCs/>
          <w:szCs w:val="21"/>
        </w:rPr>
        <w:t>.</w:t>
      </w:r>
      <w:r>
        <w:rPr>
          <w:b/>
          <w:bCs/>
          <w:szCs w:val="21"/>
        </w:rPr>
        <w:t>3</w:t>
      </w:r>
      <w:r>
        <w:rPr>
          <w:rFonts w:ascii="宋体" w:hAnsi="宋体"/>
          <w:b/>
          <w:bCs/>
          <w:szCs w:val="21"/>
        </w:rPr>
        <w:t>.</w:t>
      </w:r>
      <w:r>
        <w:rPr>
          <w:b/>
          <w:bCs/>
          <w:szCs w:val="21"/>
        </w:rPr>
        <w:t>2</w:t>
      </w:r>
      <w:bookmarkEnd w:id="34"/>
      <w:r>
        <w:rPr>
          <w:b/>
          <w:bCs/>
          <w:szCs w:val="21"/>
        </w:rPr>
        <w:t xml:space="preserve">  </w:t>
      </w:r>
      <w:r>
        <w:rPr>
          <w:rFonts w:hint="eastAsia"/>
          <w:szCs w:val="21"/>
        </w:rPr>
        <w:t>可再生利用的无机非金属类拆除废弃物，宜根据场地条件，设置加工设备，进行再生利用：</w:t>
      </w:r>
    </w:p>
    <w:p>
      <w:pPr>
        <w:spacing w:line="240" w:lineRule="auto"/>
        <w:ind w:firstLine="440"/>
        <w:rPr>
          <w:szCs w:val="21"/>
        </w:rPr>
      </w:pPr>
      <w:r>
        <w:rPr>
          <w:b/>
          <w:bCs/>
          <w:szCs w:val="21"/>
        </w:rPr>
        <w:t>1</w:t>
      </w:r>
      <w:r>
        <w:rPr>
          <w:szCs w:val="21"/>
        </w:rPr>
        <w:t xml:space="preserve">  </w:t>
      </w:r>
      <w:r>
        <w:rPr>
          <w:rFonts w:hint="eastAsia"/>
          <w:szCs w:val="21"/>
        </w:rPr>
        <w:t>废弃混凝土加工成的再生混凝土骨料，可用于制作再生骨料混凝土及中小型混凝土构件制品，如异性砌块、路沿石、花格等；</w:t>
      </w:r>
    </w:p>
    <w:p>
      <w:pPr>
        <w:spacing w:line="240" w:lineRule="auto"/>
        <w:ind w:firstLine="440"/>
        <w:rPr>
          <w:szCs w:val="21"/>
        </w:rPr>
      </w:pPr>
      <w:r>
        <w:rPr>
          <w:b/>
          <w:bCs/>
          <w:szCs w:val="21"/>
        </w:rPr>
        <w:t>2</w:t>
      </w:r>
      <w:r>
        <w:rPr>
          <w:szCs w:val="21"/>
        </w:rPr>
        <w:t xml:space="preserve">  </w:t>
      </w:r>
      <w:r>
        <w:rPr>
          <w:rFonts w:hint="eastAsia"/>
          <w:szCs w:val="21"/>
        </w:rPr>
        <w:t>拆除施工产生的砖渣碎料，经加工可用于铺设临时道路路基。</w:t>
      </w:r>
    </w:p>
    <w:p>
      <w:pPr>
        <w:spacing w:line="240" w:lineRule="auto"/>
        <w:rPr>
          <w:szCs w:val="21"/>
        </w:rPr>
      </w:pPr>
      <w:r>
        <w:rPr>
          <w:b/>
          <w:bCs/>
          <w:szCs w:val="21"/>
        </w:rPr>
        <w:t>8</w:t>
      </w:r>
      <w:r>
        <w:rPr>
          <w:rFonts w:ascii="宋体" w:hAnsi="宋体"/>
          <w:b/>
          <w:bCs/>
          <w:szCs w:val="21"/>
        </w:rPr>
        <w:t>.</w:t>
      </w:r>
      <w:r>
        <w:rPr>
          <w:b/>
          <w:bCs/>
          <w:szCs w:val="21"/>
        </w:rPr>
        <w:t>3</w:t>
      </w:r>
      <w:r>
        <w:rPr>
          <w:rFonts w:ascii="宋体" w:hAnsi="宋体"/>
          <w:b/>
          <w:bCs/>
          <w:szCs w:val="21"/>
        </w:rPr>
        <w:t>.</w:t>
      </w:r>
      <w:r>
        <w:rPr>
          <w:b/>
          <w:bCs/>
          <w:szCs w:val="21"/>
        </w:rPr>
        <w:t xml:space="preserve">3  </w:t>
      </w:r>
      <w:r>
        <w:rPr>
          <w:rFonts w:hint="eastAsia"/>
          <w:szCs w:val="21"/>
        </w:rPr>
        <w:t>拆除施工的短木方宜根据工程实际接长使用，用于小开间模板支设、洞口防护等。</w:t>
      </w:r>
    </w:p>
    <w:p>
      <w:pPr>
        <w:spacing w:line="240" w:lineRule="auto"/>
        <w:rPr>
          <w:szCs w:val="21"/>
        </w:rPr>
      </w:pPr>
      <w:r>
        <w:rPr>
          <w:b/>
          <w:bCs/>
          <w:szCs w:val="21"/>
        </w:rPr>
        <w:t>8</w:t>
      </w:r>
      <w:r>
        <w:rPr>
          <w:rFonts w:ascii="宋体" w:hAnsi="宋体"/>
          <w:b/>
          <w:bCs/>
          <w:szCs w:val="21"/>
        </w:rPr>
        <w:t>.</w:t>
      </w:r>
      <w:r>
        <w:rPr>
          <w:b/>
          <w:bCs/>
          <w:szCs w:val="21"/>
        </w:rPr>
        <w:t>3</w:t>
      </w:r>
      <w:r>
        <w:rPr>
          <w:rFonts w:ascii="宋体" w:hAnsi="宋体"/>
          <w:b/>
          <w:bCs/>
          <w:szCs w:val="21"/>
        </w:rPr>
        <w:t>.</w:t>
      </w:r>
      <w:r>
        <w:rPr>
          <w:b/>
          <w:bCs/>
          <w:szCs w:val="21"/>
        </w:rPr>
        <w:t xml:space="preserve">4  </w:t>
      </w:r>
      <w:r>
        <w:rPr>
          <w:rFonts w:hint="eastAsia"/>
          <w:szCs w:val="21"/>
        </w:rPr>
        <w:t>废旧模板可用于制作复膜、消防柜、楼梯踏步板、花坛、雨水篦子等。</w:t>
      </w:r>
    </w:p>
    <w:p>
      <w:pPr>
        <w:spacing w:line="240" w:lineRule="auto"/>
        <w:rPr>
          <w:szCs w:val="21"/>
        </w:rPr>
      </w:pPr>
      <w:r>
        <w:rPr>
          <w:b/>
          <w:bCs/>
          <w:szCs w:val="21"/>
        </w:rPr>
        <w:t>8</w:t>
      </w:r>
      <w:r>
        <w:rPr>
          <w:rFonts w:ascii="宋体" w:hAnsi="宋体"/>
          <w:b/>
          <w:bCs/>
          <w:szCs w:val="21"/>
        </w:rPr>
        <w:t>.</w:t>
      </w:r>
      <w:r>
        <w:rPr>
          <w:b/>
          <w:bCs/>
          <w:szCs w:val="21"/>
        </w:rPr>
        <w:t>3</w:t>
      </w:r>
      <w:r>
        <w:rPr>
          <w:rFonts w:ascii="宋体" w:hAnsi="宋体"/>
          <w:b/>
          <w:bCs/>
          <w:szCs w:val="21"/>
        </w:rPr>
        <w:t>.</w:t>
      </w:r>
      <w:r>
        <w:rPr>
          <w:b/>
          <w:bCs/>
          <w:szCs w:val="21"/>
        </w:rPr>
        <w:t xml:space="preserve">5  </w:t>
      </w:r>
      <w:r>
        <w:rPr>
          <w:rFonts w:hint="eastAsia"/>
          <w:szCs w:val="21"/>
        </w:rPr>
        <w:t>拆除的PVC管, 可加工成花盆或花槽, 安置在施工现场绿化区。</w:t>
      </w:r>
    </w:p>
    <w:p>
      <w:pPr>
        <w:pStyle w:val="4"/>
        <w:spacing w:before="240" w:after="240" w:line="240" w:lineRule="auto"/>
        <w:jc w:val="center"/>
        <w:rPr>
          <w:rFonts w:ascii="黑体" w:hAnsi="黑体" w:eastAsia="黑体"/>
          <w:b w:val="0"/>
          <w:sz w:val="21"/>
          <w:szCs w:val="21"/>
        </w:rPr>
      </w:pPr>
      <w:bookmarkStart w:id="35" w:name="_Toc149641224"/>
      <w:r>
        <w:rPr>
          <w:rFonts w:ascii="Times New Roman" w:hAnsi="Times New Roman"/>
          <w:sz w:val="21"/>
          <w:szCs w:val="21"/>
        </w:rPr>
        <w:t>8</w:t>
      </w:r>
      <w:r>
        <w:rPr>
          <w:rFonts w:hint="eastAsia" w:ascii="宋体" w:hAnsi="宋体" w:eastAsia="宋体"/>
          <w:sz w:val="21"/>
          <w:szCs w:val="21"/>
        </w:rPr>
        <w:t>.</w:t>
      </w:r>
      <w:r>
        <w:rPr>
          <w:rFonts w:ascii="Times New Roman" w:hAnsi="Times New Roman"/>
          <w:sz w:val="21"/>
          <w:szCs w:val="21"/>
        </w:rPr>
        <w:t>4</w:t>
      </w:r>
      <w:r>
        <w:rPr>
          <w:rFonts w:hint="eastAsia" w:ascii="黑体" w:hAnsi="黑体"/>
          <w:b w:val="0"/>
          <w:sz w:val="21"/>
          <w:szCs w:val="21"/>
        </w:rPr>
        <w:t xml:space="preserve">  </w:t>
      </w:r>
      <w:r>
        <w:rPr>
          <w:rFonts w:hint="eastAsia" w:ascii="黑体" w:hAnsi="黑体" w:eastAsia="黑体"/>
          <w:b w:val="0"/>
          <w:sz w:val="21"/>
          <w:szCs w:val="21"/>
        </w:rPr>
        <w:t>建筑废弃物现场再生利用设备</w:t>
      </w:r>
      <w:bookmarkEnd w:id="35"/>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1  </w:t>
      </w:r>
      <w:r>
        <w:rPr>
          <w:rFonts w:hint="eastAsia"/>
          <w:szCs w:val="21"/>
        </w:rPr>
        <w:t>拆除现场设置再生利用设备时应符合以下处置工艺要求：</w:t>
      </w:r>
    </w:p>
    <w:p>
      <w:pPr>
        <w:spacing w:line="240" w:lineRule="auto"/>
        <w:ind w:firstLine="440"/>
        <w:rPr>
          <w:szCs w:val="21"/>
        </w:rPr>
      </w:pPr>
      <w:r>
        <w:rPr>
          <w:b/>
          <w:bCs/>
          <w:szCs w:val="21"/>
        </w:rPr>
        <w:t>1</w:t>
      </w:r>
      <w:r>
        <w:rPr>
          <w:szCs w:val="21"/>
        </w:rPr>
        <w:t xml:space="preserve">  </w:t>
      </w:r>
      <w:r>
        <w:rPr>
          <w:rFonts w:hint="eastAsia"/>
          <w:szCs w:val="21"/>
        </w:rPr>
        <w:t>建筑废弃物现场再利用及再生利用的处置工艺原则应遵循先筛后破、能筛不破、多筛少破的原则；</w:t>
      </w:r>
    </w:p>
    <w:p>
      <w:pPr>
        <w:spacing w:line="240" w:lineRule="auto"/>
        <w:ind w:firstLine="440"/>
        <w:rPr>
          <w:szCs w:val="21"/>
        </w:rPr>
      </w:pPr>
      <w:r>
        <w:rPr>
          <w:b/>
          <w:bCs/>
          <w:szCs w:val="21"/>
        </w:rPr>
        <w:t>2</w:t>
      </w:r>
      <w:r>
        <w:rPr>
          <w:szCs w:val="21"/>
        </w:rPr>
        <w:t xml:space="preserve">  </w:t>
      </w:r>
      <w:r>
        <w:rPr>
          <w:rFonts w:hint="eastAsia"/>
          <w:szCs w:val="21"/>
        </w:rPr>
        <w:t>设备的处置工艺应包括给料、输送、除土、破碎、除铁、筛分、除尘等工序，各工序配置宜根据原料与产品需求确定；</w:t>
      </w:r>
    </w:p>
    <w:p>
      <w:pPr>
        <w:spacing w:line="240" w:lineRule="auto"/>
        <w:ind w:firstLine="440"/>
        <w:rPr>
          <w:szCs w:val="21"/>
        </w:rPr>
      </w:pPr>
      <w:r>
        <w:rPr>
          <w:rFonts w:hint="eastAsia"/>
          <w:b/>
          <w:bCs/>
          <w:szCs w:val="21"/>
        </w:rPr>
        <w:t>3</w:t>
      </w:r>
      <w:r>
        <w:rPr>
          <w:szCs w:val="21"/>
        </w:rPr>
        <w:t xml:space="preserve">  </w:t>
      </w:r>
      <w:r>
        <w:rPr>
          <w:rFonts w:hint="eastAsia"/>
          <w:szCs w:val="21"/>
        </w:rPr>
        <w:t>设备的处理能力应满足处置工艺要求，具体的工艺路线应根据建筑垃圾的组成特点和再生产品性能要求确定；</w:t>
      </w:r>
    </w:p>
    <w:p>
      <w:pPr>
        <w:spacing w:line="240" w:lineRule="auto"/>
        <w:ind w:firstLine="440"/>
        <w:rPr>
          <w:szCs w:val="21"/>
        </w:rPr>
      </w:pPr>
      <w:r>
        <w:rPr>
          <w:rFonts w:hint="eastAsia"/>
          <w:b/>
          <w:bCs/>
          <w:szCs w:val="21"/>
        </w:rPr>
        <w:t>4</w:t>
      </w:r>
      <w:r>
        <w:rPr>
          <w:szCs w:val="21"/>
        </w:rPr>
        <w:t xml:space="preserve">  </w:t>
      </w:r>
      <w:r>
        <w:rPr>
          <w:rFonts w:hint="eastAsia"/>
          <w:szCs w:val="21"/>
        </w:rPr>
        <w:t>设备处理后的再利用的骨料应符合《混凝土用再生粗骨料》GB/T</w:t>
      </w:r>
      <w:r>
        <w:rPr>
          <w:szCs w:val="21"/>
        </w:rPr>
        <w:t xml:space="preserve"> </w:t>
      </w:r>
      <w:r>
        <w:rPr>
          <w:rFonts w:hint="eastAsia"/>
          <w:szCs w:val="21"/>
        </w:rPr>
        <w:t>25177和《混凝土和砂浆用再生细骨料》G</w:t>
      </w:r>
      <w:r>
        <w:rPr>
          <w:szCs w:val="21"/>
        </w:rPr>
        <w:t>B/T 25176</w:t>
      </w:r>
      <w:r>
        <w:rPr>
          <w:rFonts w:hint="eastAsia"/>
          <w:szCs w:val="21"/>
        </w:rPr>
        <w:t>的规定。</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2  </w:t>
      </w:r>
      <w:r>
        <w:rPr>
          <w:rFonts w:hint="eastAsia"/>
          <w:szCs w:val="21"/>
        </w:rPr>
        <w:t>设置再生利用设备应符合以下设备的结构、性能要求：</w:t>
      </w:r>
    </w:p>
    <w:p>
      <w:pPr>
        <w:spacing w:line="240" w:lineRule="auto"/>
        <w:ind w:firstLine="440"/>
        <w:rPr>
          <w:szCs w:val="21"/>
        </w:rPr>
      </w:pPr>
      <w:r>
        <w:rPr>
          <w:b/>
          <w:bCs/>
          <w:szCs w:val="21"/>
        </w:rPr>
        <w:t>1</w:t>
      </w:r>
      <w:r>
        <w:rPr>
          <w:szCs w:val="21"/>
        </w:rPr>
        <w:t xml:space="preserve">  </w:t>
      </w:r>
      <w:r>
        <w:rPr>
          <w:rFonts w:hint="eastAsia"/>
          <w:szCs w:val="21"/>
        </w:rPr>
        <w:t>建筑垃圾场内再利用及再生利用的处置设备应有给料、破碎单元、整形单元、筛分单元、控制单元组成；</w:t>
      </w:r>
    </w:p>
    <w:p>
      <w:pPr>
        <w:spacing w:line="240" w:lineRule="auto"/>
        <w:ind w:firstLine="440"/>
        <w:rPr>
          <w:szCs w:val="21"/>
        </w:rPr>
      </w:pPr>
      <w:r>
        <w:rPr>
          <w:b/>
          <w:bCs/>
          <w:szCs w:val="21"/>
        </w:rPr>
        <w:t>2</w:t>
      </w:r>
      <w:r>
        <w:rPr>
          <w:szCs w:val="21"/>
        </w:rPr>
        <w:t xml:space="preserve">  </w:t>
      </w:r>
      <w:r>
        <w:rPr>
          <w:rFonts w:hint="eastAsia"/>
          <w:szCs w:val="21"/>
        </w:rPr>
        <w:t>设备每个单元根据场内现场的处置需求可单独作业或各单元组成一体化系统作业；</w:t>
      </w:r>
    </w:p>
    <w:p>
      <w:pPr>
        <w:spacing w:line="240" w:lineRule="auto"/>
        <w:ind w:firstLine="440"/>
        <w:rPr>
          <w:szCs w:val="21"/>
        </w:rPr>
      </w:pPr>
      <w:r>
        <w:rPr>
          <w:rFonts w:hint="eastAsia"/>
          <w:b/>
          <w:bCs/>
          <w:szCs w:val="21"/>
        </w:rPr>
        <w:t>3</w:t>
      </w:r>
      <w:r>
        <w:rPr>
          <w:szCs w:val="21"/>
        </w:rPr>
        <w:t xml:space="preserve">  </w:t>
      </w:r>
      <w:r>
        <w:rPr>
          <w:rFonts w:hint="eastAsia"/>
          <w:szCs w:val="21"/>
        </w:rPr>
        <w:t>给料系统应具有调节给料尺寸和给料速度的功能，以保证后续生产的稳定；</w:t>
      </w:r>
    </w:p>
    <w:p>
      <w:pPr>
        <w:spacing w:line="240" w:lineRule="auto"/>
        <w:ind w:firstLine="440"/>
        <w:rPr>
          <w:szCs w:val="21"/>
        </w:rPr>
      </w:pPr>
      <w:r>
        <w:rPr>
          <w:rFonts w:hint="eastAsia"/>
          <w:b/>
          <w:bCs/>
          <w:szCs w:val="21"/>
        </w:rPr>
        <w:t>4</w:t>
      </w:r>
      <w:r>
        <w:rPr>
          <w:szCs w:val="21"/>
        </w:rPr>
        <w:t xml:space="preserve">  </w:t>
      </w:r>
      <w:r>
        <w:rPr>
          <w:rFonts w:hint="eastAsia"/>
          <w:szCs w:val="21"/>
        </w:rPr>
        <w:t>筛分单元筛网孔径的选择应根据物料需要，并与产品规格设计相匹配；</w:t>
      </w:r>
    </w:p>
    <w:p>
      <w:pPr>
        <w:spacing w:line="240" w:lineRule="auto"/>
        <w:ind w:firstLine="440"/>
        <w:rPr>
          <w:szCs w:val="21"/>
        </w:rPr>
      </w:pPr>
      <w:r>
        <w:rPr>
          <w:rFonts w:hint="eastAsia"/>
          <w:b/>
          <w:bCs/>
          <w:szCs w:val="21"/>
        </w:rPr>
        <w:t>5</w:t>
      </w:r>
      <w:r>
        <w:rPr>
          <w:szCs w:val="21"/>
        </w:rPr>
        <w:t xml:space="preserve">  </w:t>
      </w:r>
      <w:r>
        <w:rPr>
          <w:rFonts w:hint="eastAsia"/>
          <w:szCs w:val="21"/>
        </w:rPr>
        <w:t>设备每个单元搭配衔接组合位置均应有明显的装配标识，以方便现场快速装配；</w:t>
      </w:r>
    </w:p>
    <w:p>
      <w:pPr>
        <w:spacing w:line="240" w:lineRule="auto"/>
        <w:ind w:firstLine="440"/>
        <w:rPr>
          <w:szCs w:val="21"/>
        </w:rPr>
      </w:pPr>
      <w:r>
        <w:rPr>
          <w:rFonts w:hint="eastAsia"/>
          <w:b/>
          <w:bCs/>
          <w:szCs w:val="21"/>
        </w:rPr>
        <w:t>6</w:t>
      </w:r>
      <w:r>
        <w:rPr>
          <w:szCs w:val="21"/>
        </w:rPr>
        <w:t xml:space="preserve">  </w:t>
      </w:r>
      <w:r>
        <w:rPr>
          <w:rFonts w:hint="eastAsia"/>
          <w:szCs w:val="21"/>
        </w:rPr>
        <w:t>设备配备的同型号同结构的部件应具有通用性、易维护性；</w:t>
      </w:r>
    </w:p>
    <w:p>
      <w:pPr>
        <w:spacing w:line="240" w:lineRule="auto"/>
        <w:ind w:firstLine="440"/>
        <w:rPr>
          <w:szCs w:val="21"/>
        </w:rPr>
      </w:pPr>
      <w:r>
        <w:rPr>
          <w:rFonts w:hint="eastAsia"/>
          <w:b/>
          <w:bCs/>
          <w:szCs w:val="21"/>
        </w:rPr>
        <w:t>7</w:t>
      </w:r>
      <w:r>
        <w:rPr>
          <w:szCs w:val="21"/>
        </w:rPr>
        <w:t xml:space="preserve">  </w:t>
      </w:r>
      <w:r>
        <w:rPr>
          <w:rFonts w:hint="eastAsia"/>
          <w:szCs w:val="21"/>
        </w:rPr>
        <w:t>设备每个单元应具备可移动性；</w:t>
      </w:r>
    </w:p>
    <w:p>
      <w:pPr>
        <w:spacing w:line="240" w:lineRule="auto"/>
        <w:ind w:firstLine="440"/>
        <w:rPr>
          <w:szCs w:val="21"/>
        </w:rPr>
      </w:pPr>
      <w:r>
        <w:rPr>
          <w:rFonts w:hint="eastAsia"/>
          <w:b/>
          <w:bCs/>
          <w:szCs w:val="21"/>
        </w:rPr>
        <w:t>8</w:t>
      </w:r>
      <w:r>
        <w:rPr>
          <w:szCs w:val="21"/>
        </w:rPr>
        <w:t xml:space="preserve">  </w:t>
      </w:r>
      <w:r>
        <w:rPr>
          <w:rFonts w:hint="eastAsia"/>
          <w:szCs w:val="21"/>
        </w:rPr>
        <w:t>设备每个单元应具备可调节出料尺寸的功能。</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3  </w:t>
      </w:r>
      <w:r>
        <w:rPr>
          <w:rFonts w:hint="eastAsia"/>
          <w:szCs w:val="21"/>
        </w:rPr>
        <w:t>设置再生利用设备时应符合以下节能性要求：</w:t>
      </w:r>
    </w:p>
    <w:p>
      <w:pPr>
        <w:spacing w:line="240" w:lineRule="auto"/>
        <w:ind w:firstLine="440"/>
        <w:rPr>
          <w:szCs w:val="21"/>
        </w:rPr>
      </w:pPr>
      <w:r>
        <w:rPr>
          <w:b/>
          <w:bCs/>
          <w:szCs w:val="21"/>
        </w:rPr>
        <w:t>1</w:t>
      </w:r>
      <w:r>
        <w:rPr>
          <w:szCs w:val="21"/>
        </w:rPr>
        <w:t xml:space="preserve">  </w:t>
      </w:r>
      <w:r>
        <w:rPr>
          <w:rFonts w:hint="eastAsia"/>
          <w:szCs w:val="21"/>
        </w:rPr>
        <w:t>设备每个单元占地面积应符合《建筑工程绿色施工评价标准》GB/T50640的规定；</w:t>
      </w:r>
    </w:p>
    <w:p>
      <w:pPr>
        <w:spacing w:line="240" w:lineRule="auto"/>
        <w:ind w:firstLine="440"/>
        <w:rPr>
          <w:szCs w:val="21"/>
        </w:rPr>
      </w:pPr>
      <w:r>
        <w:rPr>
          <w:b/>
          <w:bCs/>
          <w:szCs w:val="21"/>
        </w:rPr>
        <w:t>2</w:t>
      </w:r>
      <w:r>
        <w:rPr>
          <w:szCs w:val="21"/>
        </w:rPr>
        <w:t xml:space="preserve">  </w:t>
      </w:r>
      <w:r>
        <w:rPr>
          <w:rFonts w:hint="eastAsia"/>
          <w:szCs w:val="21"/>
        </w:rPr>
        <w:t>设备的每个单元可根据现场场地情况采用一字式、平行式、折线式组合；</w:t>
      </w:r>
    </w:p>
    <w:p>
      <w:pPr>
        <w:spacing w:line="240" w:lineRule="auto"/>
        <w:ind w:firstLine="440"/>
        <w:rPr>
          <w:szCs w:val="21"/>
        </w:rPr>
      </w:pPr>
      <w:r>
        <w:rPr>
          <w:rFonts w:hint="eastAsia"/>
          <w:b/>
          <w:bCs/>
          <w:szCs w:val="21"/>
        </w:rPr>
        <w:t>3</w:t>
      </w:r>
      <w:r>
        <w:rPr>
          <w:szCs w:val="21"/>
        </w:rPr>
        <w:t xml:space="preserve">  </w:t>
      </w:r>
      <w:r>
        <w:rPr>
          <w:rFonts w:hint="eastAsia"/>
          <w:szCs w:val="21"/>
        </w:rPr>
        <w:t>设备的每个单元施加于基础的最大均布载荷应不超过4.0kN/m²；</w:t>
      </w:r>
    </w:p>
    <w:p>
      <w:pPr>
        <w:spacing w:line="240" w:lineRule="auto"/>
        <w:ind w:firstLine="440"/>
        <w:rPr>
          <w:szCs w:val="21"/>
        </w:rPr>
      </w:pPr>
      <w:r>
        <w:rPr>
          <w:rFonts w:hint="eastAsia"/>
          <w:b/>
          <w:bCs/>
          <w:szCs w:val="21"/>
        </w:rPr>
        <w:t>4</w:t>
      </w:r>
      <w:r>
        <w:rPr>
          <w:szCs w:val="21"/>
        </w:rPr>
        <w:t xml:space="preserve">  </w:t>
      </w:r>
      <w:r>
        <w:rPr>
          <w:rFonts w:hint="eastAsia"/>
          <w:szCs w:val="21"/>
        </w:rPr>
        <w:t>设备场内现场工作场所应不受限于地下室或室外露天场地；</w:t>
      </w:r>
    </w:p>
    <w:p>
      <w:pPr>
        <w:spacing w:line="240" w:lineRule="auto"/>
        <w:ind w:firstLine="440"/>
        <w:rPr>
          <w:szCs w:val="21"/>
        </w:rPr>
      </w:pPr>
      <w:r>
        <w:rPr>
          <w:b/>
          <w:bCs/>
          <w:szCs w:val="21"/>
        </w:rPr>
        <w:t xml:space="preserve">5 </w:t>
      </w:r>
      <w:r>
        <w:rPr>
          <w:szCs w:val="21"/>
        </w:rPr>
        <w:t xml:space="preserve"> </w:t>
      </w:r>
      <w:r>
        <w:rPr>
          <w:rFonts w:hint="eastAsia"/>
          <w:szCs w:val="21"/>
        </w:rPr>
        <w:t>设备的每个单元均应有相应的吸噪措施和分布式的除尘措施。</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4  </w:t>
      </w:r>
      <w:r>
        <w:rPr>
          <w:rFonts w:hint="eastAsia"/>
          <w:szCs w:val="21"/>
        </w:rPr>
        <w:t>设备的粉尘排放应满足以下要求：</w:t>
      </w:r>
    </w:p>
    <w:p>
      <w:pPr>
        <w:spacing w:line="240" w:lineRule="auto"/>
        <w:ind w:firstLine="440"/>
        <w:rPr>
          <w:szCs w:val="21"/>
        </w:rPr>
      </w:pPr>
      <w:r>
        <w:rPr>
          <w:b/>
          <w:bCs/>
          <w:szCs w:val="21"/>
        </w:rPr>
        <w:t>1</w:t>
      </w:r>
      <w:r>
        <w:rPr>
          <w:szCs w:val="21"/>
        </w:rPr>
        <w:t xml:space="preserve">  </w:t>
      </w:r>
      <w:r>
        <w:rPr>
          <w:rFonts w:hint="eastAsia"/>
          <w:szCs w:val="21"/>
        </w:rPr>
        <w:t>设备的每个单元在物料输送、破碎、整形、分选的全过程均应有密封、抑尘措施，不允许有漏料、逸尘现象；</w:t>
      </w:r>
    </w:p>
    <w:p>
      <w:pPr>
        <w:spacing w:line="240" w:lineRule="auto"/>
        <w:ind w:firstLine="440"/>
        <w:rPr>
          <w:szCs w:val="21"/>
        </w:rPr>
      </w:pPr>
      <w:r>
        <w:rPr>
          <w:b/>
          <w:bCs/>
          <w:szCs w:val="21"/>
        </w:rPr>
        <w:t>2</w:t>
      </w:r>
      <w:r>
        <w:rPr>
          <w:szCs w:val="21"/>
        </w:rPr>
        <w:t xml:space="preserve">  </w:t>
      </w:r>
      <w:r>
        <w:rPr>
          <w:rFonts w:hint="eastAsia"/>
          <w:szCs w:val="21"/>
        </w:rPr>
        <w:t>设备成品落料溜槽处应有喷雾抑尘措施；</w:t>
      </w:r>
    </w:p>
    <w:p>
      <w:pPr>
        <w:spacing w:line="240" w:lineRule="auto"/>
        <w:ind w:firstLine="440"/>
        <w:rPr>
          <w:szCs w:val="21"/>
        </w:rPr>
      </w:pPr>
      <w:r>
        <w:rPr>
          <w:b/>
          <w:bCs/>
          <w:szCs w:val="21"/>
        </w:rPr>
        <w:t>3</w:t>
      </w:r>
      <w:r>
        <w:rPr>
          <w:szCs w:val="21"/>
        </w:rPr>
        <w:t xml:space="preserve">  </w:t>
      </w:r>
      <w:r>
        <w:rPr>
          <w:rFonts w:hint="eastAsia"/>
          <w:szCs w:val="21"/>
        </w:rPr>
        <w:t>设备的除尘风口粉尘浓度应小于20mg/m³；</w:t>
      </w:r>
    </w:p>
    <w:p>
      <w:pPr>
        <w:spacing w:line="240" w:lineRule="auto"/>
        <w:ind w:firstLine="440"/>
        <w:rPr>
          <w:szCs w:val="21"/>
        </w:rPr>
      </w:pPr>
      <w:r>
        <w:rPr>
          <w:rFonts w:hint="eastAsia"/>
          <w:b/>
          <w:bCs/>
          <w:szCs w:val="21"/>
        </w:rPr>
        <w:t>4</w:t>
      </w:r>
      <w:r>
        <w:rPr>
          <w:szCs w:val="21"/>
        </w:rPr>
        <w:t xml:space="preserve">  </w:t>
      </w:r>
      <w:r>
        <w:rPr>
          <w:rFonts w:hint="eastAsia"/>
          <w:szCs w:val="21"/>
        </w:rPr>
        <w:t>设备正常工作1h后，建筑施工场界的pm2.5和pm10浓度不得高于当日当地气象部门公布的数值。</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5  </w:t>
      </w:r>
      <w:r>
        <w:rPr>
          <w:rFonts w:hint="eastAsia"/>
          <w:szCs w:val="21"/>
        </w:rPr>
        <w:t>再生利用设备运行时应符合以下噪声要求：</w:t>
      </w:r>
    </w:p>
    <w:p>
      <w:pPr>
        <w:spacing w:line="240" w:lineRule="auto"/>
        <w:ind w:firstLine="440"/>
        <w:rPr>
          <w:szCs w:val="21"/>
        </w:rPr>
      </w:pPr>
      <w:r>
        <w:rPr>
          <w:szCs w:val="21"/>
        </w:rPr>
        <w:t xml:space="preserve">1  </w:t>
      </w:r>
      <w:r>
        <w:rPr>
          <w:rFonts w:hint="eastAsia"/>
          <w:szCs w:val="21"/>
        </w:rPr>
        <w:t>设备的单机噪声声压级值不大于85dB（A），单机噪声测点位置和测试方法应按《建筑机械与设备 噪声限值和噪声测量方法》J</w:t>
      </w:r>
      <w:r>
        <w:rPr>
          <w:szCs w:val="21"/>
        </w:rPr>
        <w:t>G</w:t>
      </w:r>
      <w:r>
        <w:rPr>
          <w:rFonts w:hint="eastAsia"/>
          <w:szCs w:val="21"/>
        </w:rPr>
        <w:t>/T</w:t>
      </w:r>
      <w:r>
        <w:rPr>
          <w:szCs w:val="21"/>
        </w:rPr>
        <w:t xml:space="preserve"> 5079.2-1996</w:t>
      </w:r>
      <w:r>
        <w:rPr>
          <w:rFonts w:hint="eastAsia"/>
          <w:szCs w:val="21"/>
        </w:rPr>
        <w:t>执行；</w:t>
      </w:r>
    </w:p>
    <w:p>
      <w:pPr>
        <w:spacing w:line="240" w:lineRule="auto"/>
        <w:ind w:firstLine="440"/>
        <w:rPr>
          <w:szCs w:val="21"/>
        </w:rPr>
      </w:pPr>
      <w:r>
        <w:rPr>
          <w:szCs w:val="21"/>
        </w:rPr>
        <w:t xml:space="preserve">2  </w:t>
      </w:r>
      <w:r>
        <w:rPr>
          <w:rFonts w:hint="eastAsia"/>
          <w:szCs w:val="21"/>
        </w:rPr>
        <w:t>设备噪声排放应符合《建筑施工场界环境噪声排放标准》GB/T12523的规定，测量方法应符合GB/T12523中的条款5的规定。</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6  </w:t>
      </w:r>
      <w:r>
        <w:rPr>
          <w:rFonts w:hint="eastAsia"/>
          <w:szCs w:val="21"/>
        </w:rPr>
        <w:t>再生利用设备应符合以下智能控制及安全要求：</w:t>
      </w:r>
    </w:p>
    <w:p>
      <w:pPr>
        <w:spacing w:line="240" w:lineRule="auto"/>
        <w:ind w:firstLine="440"/>
        <w:rPr>
          <w:szCs w:val="21"/>
        </w:rPr>
      </w:pPr>
      <w:r>
        <w:rPr>
          <w:b/>
          <w:bCs/>
          <w:szCs w:val="21"/>
        </w:rPr>
        <w:t>1</w:t>
      </w:r>
      <w:r>
        <w:rPr>
          <w:szCs w:val="21"/>
        </w:rPr>
        <w:t xml:space="preserve">  </w:t>
      </w:r>
      <w:r>
        <w:rPr>
          <w:rFonts w:hint="eastAsia"/>
          <w:szCs w:val="21"/>
        </w:rPr>
        <w:t>设备应具有智能控制、智能监测和智能报警功能，能对设备运行过程实时动态监测并具有安全联锁功能；</w:t>
      </w:r>
    </w:p>
    <w:p>
      <w:pPr>
        <w:spacing w:line="240" w:lineRule="auto"/>
        <w:ind w:firstLine="440"/>
        <w:rPr>
          <w:szCs w:val="21"/>
        </w:rPr>
      </w:pPr>
      <w:r>
        <w:rPr>
          <w:b/>
          <w:bCs/>
          <w:szCs w:val="21"/>
        </w:rPr>
        <w:t>2</w:t>
      </w:r>
      <w:r>
        <w:rPr>
          <w:szCs w:val="21"/>
        </w:rPr>
        <w:t xml:space="preserve">  </w:t>
      </w:r>
      <w:r>
        <w:rPr>
          <w:rFonts w:hint="eastAsia"/>
          <w:szCs w:val="21"/>
        </w:rPr>
        <w:t>设备应配备对环境、噪音、粉尘的智能监测与报警功能；</w:t>
      </w:r>
    </w:p>
    <w:p>
      <w:pPr>
        <w:spacing w:line="240" w:lineRule="auto"/>
        <w:ind w:firstLine="440"/>
        <w:rPr>
          <w:szCs w:val="21"/>
        </w:rPr>
      </w:pPr>
      <w:r>
        <w:rPr>
          <w:rFonts w:hint="eastAsia"/>
          <w:b/>
          <w:bCs/>
          <w:szCs w:val="21"/>
        </w:rPr>
        <w:t>3</w:t>
      </w:r>
      <w:r>
        <w:rPr>
          <w:szCs w:val="21"/>
        </w:rPr>
        <w:t xml:space="preserve">  </w:t>
      </w:r>
      <w:r>
        <w:rPr>
          <w:rFonts w:hint="eastAsia"/>
          <w:szCs w:val="21"/>
        </w:rPr>
        <w:t>设备控制系统部件应符合</w:t>
      </w:r>
      <w:bookmarkStart w:id="36" w:name="_Hlk149640010"/>
      <w:r>
        <w:rPr>
          <w:rFonts w:hint="eastAsia"/>
          <w:szCs w:val="21"/>
        </w:rPr>
        <w:t>《硫化橡胶或热塑性橡胶 在常温和高温下压缩应力松弛的测定》GB/T1685</w:t>
      </w:r>
      <w:bookmarkEnd w:id="36"/>
      <w:r>
        <w:rPr>
          <w:rFonts w:hint="eastAsia"/>
          <w:szCs w:val="21"/>
        </w:rPr>
        <w:t>中5.1的规定；</w:t>
      </w:r>
    </w:p>
    <w:p>
      <w:pPr>
        <w:spacing w:line="240" w:lineRule="auto"/>
        <w:ind w:firstLine="440"/>
        <w:rPr>
          <w:szCs w:val="21"/>
        </w:rPr>
      </w:pPr>
      <w:r>
        <w:rPr>
          <w:rFonts w:hint="eastAsia"/>
          <w:b/>
          <w:bCs/>
          <w:szCs w:val="21"/>
        </w:rPr>
        <w:t>4</w:t>
      </w:r>
      <w:r>
        <w:rPr>
          <w:szCs w:val="21"/>
        </w:rPr>
        <w:t xml:space="preserve">  </w:t>
      </w:r>
      <w:r>
        <w:rPr>
          <w:rFonts w:hint="eastAsia"/>
          <w:szCs w:val="21"/>
        </w:rPr>
        <w:t>控制系统的操作元件、性能和讯号指示应满足工艺流程要求；</w:t>
      </w:r>
    </w:p>
    <w:p>
      <w:pPr>
        <w:spacing w:line="240" w:lineRule="auto"/>
        <w:ind w:firstLine="440"/>
        <w:rPr>
          <w:szCs w:val="21"/>
        </w:rPr>
      </w:pPr>
      <w:r>
        <w:rPr>
          <w:rFonts w:hint="eastAsia"/>
          <w:b/>
          <w:bCs/>
          <w:szCs w:val="21"/>
        </w:rPr>
        <w:t>5</w:t>
      </w:r>
      <w:r>
        <w:rPr>
          <w:szCs w:val="21"/>
        </w:rPr>
        <w:t xml:space="preserve">  </w:t>
      </w:r>
      <w:r>
        <w:rPr>
          <w:rFonts w:hint="eastAsia"/>
          <w:szCs w:val="21"/>
        </w:rPr>
        <w:t>低压电控系统及设备应符合《机械电气安全 机械电气设备》GB</w:t>
      </w:r>
      <w:r>
        <w:rPr>
          <w:szCs w:val="21"/>
        </w:rPr>
        <w:t xml:space="preserve">/T </w:t>
      </w:r>
      <w:r>
        <w:rPr>
          <w:rFonts w:hint="eastAsia"/>
          <w:szCs w:val="21"/>
        </w:rPr>
        <w:t>5226的规定；</w:t>
      </w:r>
    </w:p>
    <w:p>
      <w:pPr>
        <w:spacing w:line="240" w:lineRule="auto"/>
        <w:ind w:firstLine="440"/>
        <w:rPr>
          <w:szCs w:val="21"/>
        </w:rPr>
      </w:pPr>
      <w:r>
        <w:rPr>
          <w:rFonts w:hint="eastAsia"/>
          <w:b/>
          <w:bCs/>
          <w:szCs w:val="21"/>
        </w:rPr>
        <w:t>6</w:t>
      </w:r>
      <w:r>
        <w:rPr>
          <w:szCs w:val="21"/>
        </w:rPr>
        <w:t xml:space="preserve">  </w:t>
      </w:r>
      <w:r>
        <w:rPr>
          <w:rFonts w:hint="eastAsia"/>
          <w:szCs w:val="21"/>
        </w:rPr>
        <w:t>电控系统的接地绝缘耐压试验等技术要求应符合《机械电气安全 机械电气设备》GB</w:t>
      </w:r>
      <w:r>
        <w:rPr>
          <w:szCs w:val="21"/>
        </w:rPr>
        <w:t xml:space="preserve">/T </w:t>
      </w:r>
      <w:r>
        <w:rPr>
          <w:rFonts w:hint="eastAsia"/>
          <w:szCs w:val="21"/>
        </w:rPr>
        <w:t>5226的规定；</w:t>
      </w:r>
    </w:p>
    <w:p>
      <w:pPr>
        <w:spacing w:line="240" w:lineRule="auto"/>
        <w:ind w:firstLine="440"/>
        <w:rPr>
          <w:szCs w:val="21"/>
        </w:rPr>
      </w:pPr>
      <w:r>
        <w:rPr>
          <w:b/>
          <w:bCs/>
          <w:szCs w:val="21"/>
        </w:rPr>
        <w:t>7</w:t>
      </w:r>
      <w:r>
        <w:rPr>
          <w:szCs w:val="21"/>
        </w:rPr>
        <w:t xml:space="preserve">  </w:t>
      </w:r>
      <w:r>
        <w:rPr>
          <w:rFonts w:hint="eastAsia"/>
          <w:szCs w:val="21"/>
        </w:rPr>
        <w:t>设备旋转、传动部位均应有警示标志和防护装置；</w:t>
      </w:r>
    </w:p>
    <w:p>
      <w:pPr>
        <w:spacing w:line="240" w:lineRule="auto"/>
        <w:ind w:firstLine="440"/>
        <w:rPr>
          <w:szCs w:val="21"/>
        </w:rPr>
      </w:pPr>
      <w:r>
        <w:rPr>
          <w:rFonts w:hint="eastAsia"/>
          <w:b/>
          <w:bCs/>
          <w:szCs w:val="21"/>
        </w:rPr>
        <w:t>8</w:t>
      </w:r>
      <w:r>
        <w:rPr>
          <w:szCs w:val="21"/>
        </w:rPr>
        <w:t xml:space="preserve">  </w:t>
      </w:r>
      <w:r>
        <w:rPr>
          <w:rFonts w:hint="eastAsia"/>
          <w:szCs w:val="21"/>
        </w:rPr>
        <w:t>操作位置应有便捷的通道及可视标识提示，保证对人员不构成危险；</w:t>
      </w:r>
    </w:p>
    <w:p>
      <w:pPr>
        <w:spacing w:line="240" w:lineRule="auto"/>
        <w:ind w:firstLine="440"/>
        <w:rPr>
          <w:szCs w:val="21"/>
        </w:rPr>
      </w:pPr>
      <w:r>
        <w:rPr>
          <w:rFonts w:hint="eastAsia"/>
          <w:b/>
          <w:bCs/>
          <w:szCs w:val="21"/>
        </w:rPr>
        <w:t>9</w:t>
      </w:r>
      <w:r>
        <w:rPr>
          <w:szCs w:val="21"/>
        </w:rPr>
        <w:t xml:space="preserve">  </w:t>
      </w:r>
      <w:r>
        <w:rPr>
          <w:rFonts w:hint="eastAsia"/>
          <w:szCs w:val="21"/>
        </w:rPr>
        <w:t>设备应安装有示廓警示灯以方便转场移动的安全行进警示；</w:t>
      </w:r>
    </w:p>
    <w:p>
      <w:pPr>
        <w:spacing w:line="240" w:lineRule="auto"/>
        <w:ind w:firstLine="440"/>
        <w:rPr>
          <w:szCs w:val="21"/>
        </w:rPr>
      </w:pPr>
      <w:r>
        <w:rPr>
          <w:rFonts w:hint="eastAsia"/>
          <w:b/>
          <w:bCs/>
          <w:szCs w:val="21"/>
        </w:rPr>
        <w:t>1</w:t>
      </w:r>
      <w:r>
        <w:rPr>
          <w:b/>
          <w:bCs/>
          <w:szCs w:val="21"/>
        </w:rPr>
        <w:t>0</w:t>
      </w:r>
      <w:r>
        <w:rPr>
          <w:szCs w:val="21"/>
        </w:rPr>
        <w:t xml:space="preserve">  </w:t>
      </w:r>
      <w:r>
        <w:rPr>
          <w:rFonts w:hint="eastAsia"/>
          <w:szCs w:val="21"/>
        </w:rPr>
        <w:t>设备应建立维保档案，做好日常运行维护、保养记录。</w:t>
      </w:r>
    </w:p>
    <w:p>
      <w:pPr>
        <w:spacing w:line="240" w:lineRule="auto"/>
        <w:rPr>
          <w:szCs w:val="21"/>
        </w:rPr>
      </w:pPr>
      <w:r>
        <w:rPr>
          <w:b/>
          <w:bCs/>
          <w:szCs w:val="21"/>
        </w:rPr>
        <w:t>8</w:t>
      </w:r>
      <w:r>
        <w:rPr>
          <w:rFonts w:ascii="宋体" w:hAnsi="宋体"/>
          <w:b/>
          <w:bCs/>
          <w:szCs w:val="21"/>
        </w:rPr>
        <w:t>.</w:t>
      </w:r>
      <w:r>
        <w:rPr>
          <w:b/>
          <w:bCs/>
          <w:szCs w:val="21"/>
        </w:rPr>
        <w:t>4</w:t>
      </w:r>
      <w:r>
        <w:rPr>
          <w:rFonts w:ascii="宋体" w:hAnsi="宋体"/>
          <w:b/>
          <w:bCs/>
          <w:szCs w:val="21"/>
        </w:rPr>
        <w:t>.</w:t>
      </w:r>
      <w:r>
        <w:rPr>
          <w:b/>
          <w:bCs/>
          <w:szCs w:val="21"/>
        </w:rPr>
        <w:t xml:space="preserve">7  </w:t>
      </w:r>
      <w:r>
        <w:rPr>
          <w:rFonts w:hint="eastAsia"/>
          <w:szCs w:val="21"/>
        </w:rPr>
        <w:t>再生利用设备应符合以下外观要求：</w:t>
      </w:r>
    </w:p>
    <w:p>
      <w:pPr>
        <w:spacing w:line="240" w:lineRule="auto"/>
        <w:ind w:firstLine="440"/>
        <w:rPr>
          <w:szCs w:val="21"/>
        </w:rPr>
      </w:pPr>
      <w:r>
        <w:rPr>
          <w:b/>
          <w:bCs/>
          <w:szCs w:val="21"/>
        </w:rPr>
        <w:t>1</w:t>
      </w:r>
      <w:r>
        <w:rPr>
          <w:szCs w:val="21"/>
        </w:rPr>
        <w:t xml:space="preserve">  </w:t>
      </w:r>
      <w:r>
        <w:rPr>
          <w:rFonts w:hint="eastAsia"/>
          <w:szCs w:val="21"/>
        </w:rPr>
        <w:t>设备各单元应设置相应防腐措施，防腐涂料体系性能应能防护高大气腐蚀性级别；</w:t>
      </w:r>
    </w:p>
    <w:p>
      <w:pPr>
        <w:spacing w:line="240" w:lineRule="auto"/>
        <w:ind w:firstLine="440"/>
        <w:rPr>
          <w:szCs w:val="21"/>
        </w:rPr>
      </w:pPr>
      <w:r>
        <w:rPr>
          <w:b/>
          <w:bCs/>
          <w:szCs w:val="21"/>
        </w:rPr>
        <w:t>2</w:t>
      </w:r>
      <w:r>
        <w:rPr>
          <w:szCs w:val="21"/>
        </w:rPr>
        <w:t xml:space="preserve">  </w:t>
      </w:r>
      <w:r>
        <w:rPr>
          <w:rFonts w:hint="eastAsia"/>
          <w:szCs w:val="21"/>
        </w:rPr>
        <w:t>设备各单元的安全防护、走道围栏、爬梯扶手等颜色体系应符合《图形符号安全色和安全标志》GB2893的规定。</w:t>
      </w:r>
    </w:p>
    <w:p>
      <w:pPr>
        <w:widowControl/>
        <w:spacing w:line="240" w:lineRule="auto"/>
        <w:jc w:val="left"/>
        <w:rPr>
          <w:szCs w:val="21"/>
        </w:rPr>
      </w:pPr>
      <w:r>
        <w:rPr>
          <w:szCs w:val="21"/>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37" w:name="_Toc149641225"/>
      <w:r>
        <w:rPr>
          <w:rStyle w:val="22"/>
          <w:rFonts w:ascii="Times New Roman" w:hAnsi="Times New Roman" w:cs="Times New Roman"/>
          <w:sz w:val="28"/>
          <w:szCs w:val="28"/>
        </w:rPr>
        <w:t>9</w:t>
      </w:r>
      <w:r>
        <w:rPr>
          <w:rStyle w:val="22"/>
          <w:rFonts w:hint="eastAsia" w:ascii="宋体" w:hAnsi="宋体"/>
          <w:sz w:val="28"/>
          <w:szCs w:val="28"/>
        </w:rPr>
        <w:t xml:space="preserve">  </w:t>
      </w:r>
      <w:r>
        <w:rPr>
          <w:rStyle w:val="22"/>
          <w:rFonts w:hint="eastAsia" w:ascii="宋体" w:hAnsi="宋体" w:eastAsia="宋体"/>
          <w:b w:val="0"/>
          <w:bCs w:val="0"/>
          <w:sz w:val="28"/>
          <w:szCs w:val="28"/>
        </w:rPr>
        <w:t>拆除工程碳足迹评价</w:t>
      </w:r>
      <w:bookmarkEnd w:id="37"/>
    </w:p>
    <w:p>
      <w:pPr>
        <w:pStyle w:val="4"/>
        <w:spacing w:before="240" w:after="240" w:line="240" w:lineRule="auto"/>
        <w:jc w:val="center"/>
        <w:rPr>
          <w:rFonts w:ascii="黑体" w:hAnsi="黑体" w:eastAsia="黑体"/>
          <w:b w:val="0"/>
          <w:sz w:val="21"/>
          <w:szCs w:val="21"/>
        </w:rPr>
      </w:pPr>
      <w:bookmarkStart w:id="38" w:name="_Toc149641226"/>
      <w:r>
        <w:rPr>
          <w:rFonts w:ascii="Times New Roman" w:hAnsi="Times New Roman"/>
          <w:sz w:val="21"/>
          <w:szCs w:val="21"/>
        </w:rPr>
        <w:t>9</w:t>
      </w:r>
      <w:r>
        <w:rPr>
          <w:rFonts w:hint="eastAsia" w:ascii="宋体" w:hAnsi="宋体" w:eastAsia="宋体"/>
          <w:sz w:val="21"/>
          <w:szCs w:val="21"/>
        </w:rPr>
        <w:t>.</w:t>
      </w:r>
      <w:r>
        <w:rPr>
          <w:rFonts w:ascii="Times New Roman" w:hAnsi="Times New Roman"/>
          <w:sz w:val="21"/>
          <w:szCs w:val="21"/>
        </w:rPr>
        <w:t>1</w:t>
      </w:r>
      <w:r>
        <w:rPr>
          <w:rFonts w:hint="eastAsia" w:ascii="黑体" w:hAnsi="黑体"/>
          <w:b w:val="0"/>
          <w:sz w:val="21"/>
          <w:szCs w:val="21"/>
        </w:rPr>
        <w:t xml:space="preserve">  </w:t>
      </w:r>
      <w:r>
        <w:rPr>
          <w:rFonts w:hint="eastAsia" w:ascii="黑体" w:hAnsi="黑体" w:eastAsia="黑体"/>
          <w:b w:val="0"/>
          <w:sz w:val="21"/>
          <w:szCs w:val="21"/>
        </w:rPr>
        <w:t>一 般 规 定</w:t>
      </w:r>
      <w:bookmarkEnd w:id="38"/>
    </w:p>
    <w:p>
      <w:pPr>
        <w:spacing w:line="240" w:lineRule="auto"/>
        <w:rPr>
          <w:szCs w:val="21"/>
        </w:rPr>
      </w:pPr>
      <w:r>
        <w:rPr>
          <w:b/>
          <w:bCs/>
          <w:szCs w:val="21"/>
        </w:rPr>
        <w:t>9</w:t>
      </w:r>
      <w:r>
        <w:rPr>
          <w:rFonts w:ascii="宋体" w:hAnsi="宋体"/>
          <w:b/>
          <w:bCs/>
          <w:szCs w:val="21"/>
        </w:rPr>
        <w:t>.</w:t>
      </w:r>
      <w:r>
        <w:rPr>
          <w:b/>
          <w:bCs/>
          <w:szCs w:val="21"/>
        </w:rPr>
        <w:t>1</w:t>
      </w:r>
      <w:r>
        <w:rPr>
          <w:rFonts w:ascii="宋体" w:hAnsi="宋体"/>
          <w:b/>
          <w:bCs/>
          <w:szCs w:val="21"/>
        </w:rPr>
        <w:t>.</w:t>
      </w:r>
      <w:r>
        <w:rPr>
          <w:b/>
          <w:bCs/>
          <w:szCs w:val="21"/>
        </w:rPr>
        <w:t xml:space="preserve">1  </w:t>
      </w:r>
      <w:r>
        <w:rPr>
          <w:rFonts w:hint="eastAsia"/>
          <w:szCs w:val="21"/>
        </w:rPr>
        <w:t>建筑物碳排放计算应以单栋建筑或建筑群为计算对象。</w:t>
      </w:r>
    </w:p>
    <w:p>
      <w:pPr>
        <w:spacing w:line="240" w:lineRule="auto"/>
        <w:rPr>
          <w:szCs w:val="21"/>
        </w:rPr>
      </w:pPr>
      <w:r>
        <w:rPr>
          <w:b/>
          <w:bCs/>
          <w:szCs w:val="21"/>
        </w:rPr>
        <w:t>9</w:t>
      </w:r>
      <w:r>
        <w:rPr>
          <w:rFonts w:ascii="宋体" w:hAnsi="宋体"/>
          <w:b/>
          <w:bCs/>
          <w:szCs w:val="21"/>
        </w:rPr>
        <w:t>.</w:t>
      </w:r>
      <w:r>
        <w:rPr>
          <w:b/>
          <w:bCs/>
          <w:szCs w:val="21"/>
        </w:rPr>
        <w:t>1</w:t>
      </w:r>
      <w:r>
        <w:rPr>
          <w:rFonts w:ascii="宋体" w:hAnsi="宋体"/>
          <w:b/>
          <w:bCs/>
          <w:szCs w:val="21"/>
        </w:rPr>
        <w:t>.</w:t>
      </w:r>
      <w:r>
        <w:rPr>
          <w:b/>
          <w:bCs/>
          <w:szCs w:val="21"/>
        </w:rPr>
        <w:t xml:space="preserve">2  </w:t>
      </w:r>
      <w:r>
        <w:rPr>
          <w:rFonts w:hint="eastAsia"/>
          <w:szCs w:val="21"/>
        </w:rPr>
        <w:t>建筑拆除阶段的碳排放应包括完成各分部分项工程施工产生的碳排放和各项措施项目实施过程产生的碳排放。</w:t>
      </w:r>
    </w:p>
    <w:p>
      <w:pPr>
        <w:spacing w:line="240" w:lineRule="auto"/>
        <w:rPr>
          <w:szCs w:val="21"/>
        </w:rPr>
      </w:pPr>
      <w:r>
        <w:rPr>
          <w:b/>
          <w:bCs/>
          <w:szCs w:val="21"/>
        </w:rPr>
        <w:t>9</w:t>
      </w:r>
      <w:r>
        <w:rPr>
          <w:rFonts w:ascii="宋体" w:hAnsi="宋体"/>
          <w:b/>
          <w:bCs/>
          <w:szCs w:val="21"/>
        </w:rPr>
        <w:t>.</w:t>
      </w:r>
      <w:r>
        <w:rPr>
          <w:b/>
          <w:bCs/>
          <w:szCs w:val="21"/>
        </w:rPr>
        <w:t>1</w:t>
      </w:r>
      <w:r>
        <w:rPr>
          <w:rFonts w:ascii="宋体" w:hAnsi="宋体"/>
          <w:b/>
          <w:bCs/>
          <w:szCs w:val="21"/>
        </w:rPr>
        <w:t>.</w:t>
      </w:r>
      <w:r>
        <w:rPr>
          <w:b/>
          <w:bCs/>
          <w:szCs w:val="21"/>
        </w:rPr>
        <w:t xml:space="preserve">3  </w:t>
      </w:r>
      <w:r>
        <w:rPr>
          <w:rFonts w:hint="eastAsia"/>
          <w:szCs w:val="21"/>
        </w:rPr>
        <w:t>建筑拆除阶段的碳排放应包括人工拆除和使用小型机具、机械拆除使用的机械设备消耗的各种能源产生的碳排放。</w:t>
      </w:r>
    </w:p>
    <w:p>
      <w:pPr>
        <w:spacing w:line="240" w:lineRule="auto"/>
        <w:rPr>
          <w:szCs w:val="21"/>
        </w:rPr>
      </w:pPr>
      <w:r>
        <w:rPr>
          <w:b/>
          <w:bCs/>
          <w:szCs w:val="21"/>
        </w:rPr>
        <w:t>9</w:t>
      </w:r>
      <w:r>
        <w:rPr>
          <w:rFonts w:ascii="宋体" w:hAnsi="宋体"/>
          <w:b/>
          <w:bCs/>
          <w:szCs w:val="21"/>
        </w:rPr>
        <w:t>.</w:t>
      </w:r>
      <w:r>
        <w:rPr>
          <w:b/>
          <w:bCs/>
          <w:szCs w:val="21"/>
        </w:rPr>
        <w:t>1</w:t>
      </w:r>
      <w:r>
        <w:rPr>
          <w:rFonts w:ascii="宋体" w:hAnsi="宋体"/>
          <w:b/>
          <w:bCs/>
          <w:szCs w:val="21"/>
        </w:rPr>
        <w:t>.</w:t>
      </w:r>
      <w:r>
        <w:rPr>
          <w:b/>
          <w:bCs/>
          <w:szCs w:val="21"/>
        </w:rPr>
        <w:t xml:space="preserve">4  </w:t>
      </w:r>
      <w:r>
        <w:rPr>
          <w:rFonts w:hint="eastAsia"/>
          <w:szCs w:val="21"/>
        </w:rPr>
        <w:t>根据《IPCC国家温室气体清单指南（2006年）》，与建筑碳排放相关的活动过程需要评估的温室气体包括二氧化碳（CO</w:t>
      </w:r>
      <w:r>
        <w:rPr>
          <w:rFonts w:hint="eastAsia"/>
          <w:szCs w:val="21"/>
          <w:vertAlign w:val="subscript"/>
        </w:rPr>
        <w:t>2</w:t>
      </w:r>
      <w:r>
        <w:rPr>
          <w:rFonts w:hint="eastAsia"/>
          <w:szCs w:val="21"/>
        </w:rPr>
        <w:t>）、甲烷（CH</w:t>
      </w:r>
      <w:r>
        <w:rPr>
          <w:rFonts w:hint="eastAsia"/>
          <w:szCs w:val="21"/>
          <w:vertAlign w:val="subscript"/>
        </w:rPr>
        <w:t>4</w:t>
      </w:r>
      <w:r>
        <w:rPr>
          <w:rFonts w:hint="eastAsia"/>
          <w:szCs w:val="21"/>
        </w:rPr>
        <w:t>）、氧化亚氮（N</w:t>
      </w:r>
      <w:r>
        <w:rPr>
          <w:rFonts w:hint="eastAsia"/>
          <w:szCs w:val="21"/>
          <w:vertAlign w:val="subscript"/>
        </w:rPr>
        <w:t>2</w:t>
      </w:r>
      <w:r>
        <w:rPr>
          <w:rFonts w:hint="eastAsia"/>
          <w:szCs w:val="21"/>
        </w:rPr>
        <w:t>O）、氢氟碳化物（HFCs）、全氟化碳（PFCs）和六氟化硫（SF</w:t>
      </w:r>
      <w:r>
        <w:rPr>
          <w:rFonts w:hint="eastAsia"/>
          <w:szCs w:val="21"/>
          <w:vertAlign w:val="subscript"/>
        </w:rPr>
        <w:t>6</w:t>
      </w:r>
      <w:r>
        <w:rPr>
          <w:rFonts w:hint="eastAsia"/>
          <w:szCs w:val="21"/>
        </w:rPr>
        <w:t>）等主要温室气体。</w:t>
      </w:r>
    </w:p>
    <w:p>
      <w:pPr>
        <w:spacing w:line="240" w:lineRule="auto"/>
        <w:rPr>
          <w:szCs w:val="21"/>
        </w:rPr>
      </w:pPr>
      <w:r>
        <w:rPr>
          <w:b/>
          <w:bCs/>
          <w:szCs w:val="21"/>
        </w:rPr>
        <w:t>9</w:t>
      </w:r>
      <w:r>
        <w:rPr>
          <w:rFonts w:ascii="宋体" w:hAnsi="宋体"/>
          <w:b/>
          <w:bCs/>
          <w:szCs w:val="21"/>
        </w:rPr>
        <w:t>.</w:t>
      </w:r>
      <w:r>
        <w:rPr>
          <w:b/>
          <w:bCs/>
          <w:szCs w:val="21"/>
        </w:rPr>
        <w:t>1</w:t>
      </w:r>
      <w:r>
        <w:rPr>
          <w:rFonts w:ascii="宋体" w:hAnsi="宋体"/>
          <w:b/>
          <w:bCs/>
          <w:szCs w:val="21"/>
        </w:rPr>
        <w:t>.</w:t>
      </w:r>
      <w:r>
        <w:rPr>
          <w:b/>
          <w:bCs/>
          <w:szCs w:val="21"/>
        </w:rPr>
        <w:t xml:space="preserve">5  </w:t>
      </w:r>
      <w:r>
        <w:rPr>
          <w:rFonts w:hint="eastAsia"/>
          <w:szCs w:val="21"/>
        </w:rPr>
        <w:t>建筑拆除阶段中因电力消耗造成的碳排放计算，应采用由国家相关机构公布的区域电网平均碳排放因子。</w:t>
      </w:r>
    </w:p>
    <w:p>
      <w:pPr>
        <w:pStyle w:val="4"/>
        <w:spacing w:before="240" w:after="240" w:line="240" w:lineRule="auto"/>
        <w:jc w:val="center"/>
        <w:rPr>
          <w:rFonts w:ascii="黑体" w:hAnsi="黑体" w:eastAsia="黑体"/>
          <w:b w:val="0"/>
          <w:sz w:val="21"/>
          <w:szCs w:val="21"/>
        </w:rPr>
      </w:pPr>
      <w:bookmarkStart w:id="39" w:name="_Toc149641227"/>
      <w:r>
        <w:rPr>
          <w:rFonts w:ascii="Times New Roman" w:hAnsi="Times New Roman"/>
          <w:sz w:val="21"/>
          <w:szCs w:val="21"/>
        </w:rPr>
        <w:t>9</w:t>
      </w:r>
      <w:r>
        <w:rPr>
          <w:rFonts w:hint="eastAsia" w:ascii="宋体" w:hAnsi="宋体" w:eastAsia="宋体"/>
          <w:sz w:val="21"/>
          <w:szCs w:val="21"/>
        </w:rPr>
        <w:t>.</w:t>
      </w:r>
      <w:r>
        <w:rPr>
          <w:rFonts w:ascii="Times New Roman" w:hAnsi="Times New Roman"/>
          <w:sz w:val="21"/>
          <w:szCs w:val="21"/>
        </w:rPr>
        <w:t>2</w:t>
      </w:r>
      <w:r>
        <w:rPr>
          <w:rFonts w:hint="eastAsia" w:ascii="黑体" w:hAnsi="黑体"/>
          <w:b w:val="0"/>
          <w:sz w:val="21"/>
          <w:szCs w:val="21"/>
        </w:rPr>
        <w:t xml:space="preserve">  </w:t>
      </w:r>
      <w:r>
        <w:rPr>
          <w:rFonts w:hint="eastAsia" w:ascii="黑体" w:hAnsi="黑体" w:eastAsia="黑体"/>
          <w:b w:val="0"/>
          <w:sz w:val="21"/>
          <w:szCs w:val="21"/>
        </w:rPr>
        <w:t>拆除建筑物碳足迹评价边界</w:t>
      </w:r>
      <w:bookmarkEnd w:id="39"/>
    </w:p>
    <w:p>
      <w:pPr>
        <w:spacing w:line="240" w:lineRule="auto"/>
        <w:rPr>
          <w:szCs w:val="21"/>
        </w:rPr>
      </w:pPr>
      <w:r>
        <w:rPr>
          <w:b/>
          <w:bCs/>
          <w:szCs w:val="21"/>
        </w:rPr>
        <w:t>9</w:t>
      </w:r>
      <w:r>
        <w:rPr>
          <w:rFonts w:ascii="宋体" w:hAnsi="宋体"/>
          <w:b/>
          <w:bCs/>
          <w:szCs w:val="21"/>
        </w:rPr>
        <w:t>.</w:t>
      </w:r>
      <w:r>
        <w:rPr>
          <w:b/>
          <w:bCs/>
          <w:szCs w:val="21"/>
        </w:rPr>
        <w:t>2</w:t>
      </w:r>
      <w:r>
        <w:rPr>
          <w:rFonts w:ascii="宋体" w:hAnsi="宋体"/>
          <w:b/>
          <w:bCs/>
          <w:szCs w:val="21"/>
        </w:rPr>
        <w:t>.</w:t>
      </w:r>
      <w:r>
        <w:rPr>
          <w:b/>
          <w:bCs/>
          <w:szCs w:val="21"/>
        </w:rPr>
        <w:t xml:space="preserve">1  </w:t>
      </w:r>
      <w:r>
        <w:rPr>
          <w:rFonts w:hint="eastAsia"/>
          <w:szCs w:val="21"/>
        </w:rPr>
        <w:t>建筑拆除阶段的碳排放的计算边界应符合下列规定：</w:t>
      </w:r>
    </w:p>
    <w:p>
      <w:pPr>
        <w:spacing w:line="240" w:lineRule="auto"/>
        <w:ind w:firstLine="440"/>
        <w:rPr>
          <w:szCs w:val="21"/>
        </w:rPr>
      </w:pPr>
      <w:r>
        <w:rPr>
          <w:b/>
          <w:bCs/>
          <w:szCs w:val="21"/>
        </w:rPr>
        <w:t>1</w:t>
      </w:r>
      <w:r>
        <w:rPr>
          <w:szCs w:val="21"/>
        </w:rPr>
        <w:t xml:space="preserve">  </w:t>
      </w:r>
      <w:r>
        <w:rPr>
          <w:rFonts w:hint="eastAsia"/>
          <w:szCs w:val="21"/>
        </w:rPr>
        <w:t>拆除阶段单体建筑碳排放计算时间边界应从项目开工起至项目竣工验收止，拆除阶段碳排放计算时间边界应从拆除作业起至拆除肢解并从工地运出止；</w:t>
      </w:r>
    </w:p>
    <w:p>
      <w:pPr>
        <w:spacing w:line="240" w:lineRule="auto"/>
        <w:ind w:firstLine="440"/>
        <w:rPr>
          <w:szCs w:val="21"/>
        </w:rPr>
      </w:pPr>
      <w:r>
        <w:rPr>
          <w:b/>
          <w:bCs/>
          <w:szCs w:val="21"/>
        </w:rPr>
        <w:t xml:space="preserve">2  </w:t>
      </w:r>
      <w:r>
        <w:rPr>
          <w:rFonts w:hint="eastAsia"/>
          <w:szCs w:val="21"/>
        </w:rPr>
        <w:t>建筑施工场地区域内的机械设备、小型机具、临时设施等使用过程中消耗的能源产生的碳排放应计入；</w:t>
      </w:r>
    </w:p>
    <w:p>
      <w:pPr>
        <w:spacing w:line="240" w:lineRule="auto"/>
        <w:ind w:firstLine="440"/>
        <w:rPr>
          <w:szCs w:val="21"/>
        </w:rPr>
      </w:pPr>
      <w:r>
        <w:rPr>
          <w:b/>
          <w:bCs/>
          <w:szCs w:val="21"/>
        </w:rPr>
        <w:t xml:space="preserve">3  </w:t>
      </w:r>
      <w:r>
        <w:rPr>
          <w:rFonts w:hint="eastAsia"/>
          <w:szCs w:val="21"/>
        </w:rPr>
        <w:t>建筑施工场地区域内为降尘所使用的空气检测设备，传感器，除尘设备，降尘设备等使用过程中消耗的能源产生的碳排放应计入；</w:t>
      </w:r>
    </w:p>
    <w:p>
      <w:pPr>
        <w:spacing w:line="240" w:lineRule="auto"/>
        <w:ind w:firstLine="440"/>
        <w:rPr>
          <w:szCs w:val="21"/>
        </w:rPr>
      </w:pPr>
      <w:r>
        <w:rPr>
          <w:b/>
          <w:bCs/>
          <w:szCs w:val="21"/>
        </w:rPr>
        <w:t xml:space="preserve">4  </w:t>
      </w:r>
      <w:r>
        <w:rPr>
          <w:rFonts w:hint="eastAsia"/>
          <w:szCs w:val="21"/>
        </w:rPr>
        <w:t>储存拆除的建筑构件过程中消耗的能源所产生的生的碳排放应计入；</w:t>
      </w:r>
    </w:p>
    <w:p>
      <w:pPr>
        <w:spacing w:line="240" w:lineRule="auto"/>
        <w:ind w:firstLine="440"/>
        <w:rPr>
          <w:szCs w:val="21"/>
        </w:rPr>
      </w:pPr>
      <w:r>
        <w:rPr>
          <w:b/>
          <w:bCs/>
          <w:szCs w:val="21"/>
        </w:rPr>
        <w:t xml:space="preserve">5  </w:t>
      </w:r>
      <w:r>
        <w:rPr>
          <w:rFonts w:hint="eastAsia"/>
          <w:szCs w:val="21"/>
        </w:rPr>
        <w:t>拆除阶段使用的办公用房、生活用房和材料库房等临时设施的建设和拆除产生的碳排放可不计入。</w:t>
      </w:r>
    </w:p>
    <w:p>
      <w:pPr>
        <w:pStyle w:val="4"/>
        <w:spacing w:before="240" w:after="240" w:line="240" w:lineRule="auto"/>
        <w:jc w:val="center"/>
        <w:rPr>
          <w:rFonts w:ascii="黑体" w:hAnsi="黑体" w:eastAsia="黑体"/>
          <w:b w:val="0"/>
          <w:sz w:val="21"/>
          <w:szCs w:val="21"/>
        </w:rPr>
      </w:pPr>
      <w:bookmarkStart w:id="40" w:name="_Toc149641228"/>
      <w:r>
        <w:rPr>
          <w:rFonts w:ascii="Times New Roman" w:hAnsi="Times New Roman"/>
          <w:sz w:val="21"/>
          <w:szCs w:val="21"/>
        </w:rPr>
        <w:t>9</w:t>
      </w:r>
      <w:r>
        <w:rPr>
          <w:rFonts w:hint="eastAsia" w:ascii="宋体" w:hAnsi="宋体" w:eastAsia="宋体"/>
          <w:sz w:val="21"/>
          <w:szCs w:val="21"/>
        </w:rPr>
        <w:t>.</w:t>
      </w:r>
      <w:r>
        <w:rPr>
          <w:rFonts w:ascii="Times New Roman" w:hAnsi="Times New Roman"/>
          <w:sz w:val="21"/>
          <w:szCs w:val="21"/>
        </w:rPr>
        <w:t>3</w:t>
      </w:r>
      <w:r>
        <w:rPr>
          <w:rFonts w:hint="eastAsia" w:ascii="黑体" w:hAnsi="黑体"/>
          <w:b w:val="0"/>
          <w:sz w:val="21"/>
          <w:szCs w:val="21"/>
        </w:rPr>
        <w:t xml:space="preserve">  </w:t>
      </w:r>
      <w:r>
        <w:rPr>
          <w:rFonts w:hint="eastAsia" w:ascii="黑体" w:hAnsi="黑体" w:eastAsia="黑体"/>
          <w:b w:val="0"/>
          <w:sz w:val="21"/>
          <w:szCs w:val="21"/>
        </w:rPr>
        <w:t>碳足迹计算</w:t>
      </w:r>
      <w:bookmarkEnd w:id="40"/>
    </w:p>
    <w:p>
      <w:pPr>
        <w:spacing w:line="240" w:lineRule="auto"/>
        <w:rPr>
          <w:szCs w:val="21"/>
        </w:rPr>
      </w:pPr>
      <w:r>
        <w:rPr>
          <w:b/>
          <w:bCs/>
          <w:szCs w:val="21"/>
        </w:rPr>
        <w:t>9</w:t>
      </w:r>
      <w:r>
        <w:rPr>
          <w:rFonts w:ascii="宋体" w:hAnsi="宋体"/>
          <w:b/>
          <w:bCs/>
          <w:szCs w:val="21"/>
        </w:rPr>
        <w:t>.</w:t>
      </w:r>
      <w:r>
        <w:rPr>
          <w:b/>
          <w:bCs/>
          <w:szCs w:val="21"/>
        </w:rPr>
        <w:t>3</w:t>
      </w:r>
      <w:r>
        <w:rPr>
          <w:rFonts w:ascii="宋体" w:hAnsi="宋体"/>
          <w:b/>
          <w:bCs/>
          <w:szCs w:val="21"/>
        </w:rPr>
        <w:t>.</w:t>
      </w:r>
      <w:r>
        <w:rPr>
          <w:b/>
          <w:bCs/>
          <w:szCs w:val="21"/>
        </w:rPr>
        <w:t xml:space="preserve">1  </w:t>
      </w:r>
      <w:r>
        <w:rPr>
          <w:rFonts w:hint="eastAsia"/>
          <w:szCs w:val="21"/>
        </w:rPr>
        <w:t>碳足迹计算应采用过程分析法，宜包括如下程序：</w:t>
      </w:r>
    </w:p>
    <w:p>
      <w:pPr>
        <w:spacing w:line="240" w:lineRule="auto"/>
        <w:ind w:firstLine="440"/>
        <w:rPr>
          <w:szCs w:val="21"/>
        </w:rPr>
      </w:pPr>
      <w:r>
        <w:rPr>
          <w:b/>
          <w:bCs/>
          <w:szCs w:val="21"/>
        </w:rPr>
        <w:t>1</w:t>
      </w:r>
      <w:r>
        <w:rPr>
          <w:szCs w:val="21"/>
        </w:rPr>
        <w:t xml:space="preserve">  </w:t>
      </w:r>
      <w:r>
        <w:rPr>
          <w:rFonts w:hint="eastAsia"/>
          <w:szCs w:val="21"/>
        </w:rPr>
        <w:t>编制建筑物拆除系统流程：将建筑物拆除过程所涉及的物耗、能耗全部列出；</w:t>
      </w:r>
    </w:p>
    <w:p>
      <w:pPr>
        <w:spacing w:line="240" w:lineRule="auto"/>
        <w:ind w:firstLine="440"/>
        <w:rPr>
          <w:szCs w:val="21"/>
        </w:rPr>
      </w:pPr>
      <w:r>
        <w:rPr>
          <w:b/>
          <w:bCs/>
          <w:szCs w:val="21"/>
        </w:rPr>
        <w:t>2</w:t>
      </w:r>
      <w:r>
        <w:rPr>
          <w:szCs w:val="21"/>
        </w:rPr>
        <w:t xml:space="preserve">  </w:t>
      </w:r>
      <w:r>
        <w:rPr>
          <w:rFonts w:hint="eastAsia"/>
          <w:szCs w:val="21"/>
        </w:rPr>
        <w:t>确定建筑物拆除系统界面：按照系统流程严格界定“碳足迹”计算界面；</w:t>
      </w:r>
    </w:p>
    <w:p>
      <w:pPr>
        <w:spacing w:line="240" w:lineRule="auto"/>
        <w:ind w:firstLine="440"/>
        <w:rPr>
          <w:szCs w:val="21"/>
        </w:rPr>
      </w:pPr>
      <w:r>
        <w:rPr>
          <w:rFonts w:hint="eastAsia"/>
          <w:b/>
          <w:bCs/>
          <w:szCs w:val="21"/>
        </w:rPr>
        <w:t>3</w:t>
      </w:r>
      <w:r>
        <w:rPr>
          <w:szCs w:val="21"/>
        </w:rPr>
        <w:t xml:space="preserve">  </w:t>
      </w:r>
      <w:r>
        <w:rPr>
          <w:rFonts w:hint="eastAsia"/>
          <w:szCs w:val="21"/>
        </w:rPr>
        <w:t>测定或收集统计数据：建筑物拆除过程中所有物质或活动数据；单位物质和能量的碳排放因子；</w:t>
      </w:r>
    </w:p>
    <w:p>
      <w:pPr>
        <w:spacing w:line="240" w:lineRule="auto"/>
        <w:ind w:firstLine="440"/>
        <w:rPr>
          <w:szCs w:val="21"/>
        </w:rPr>
      </w:pPr>
      <w:r>
        <w:rPr>
          <w:rFonts w:hint="eastAsia"/>
          <w:b/>
          <w:bCs/>
          <w:szCs w:val="21"/>
        </w:rPr>
        <w:t>4</w:t>
      </w:r>
      <w:r>
        <w:rPr>
          <w:szCs w:val="21"/>
        </w:rPr>
        <w:t xml:space="preserve">  </w:t>
      </w:r>
      <w:r>
        <w:rPr>
          <w:rFonts w:hint="eastAsia"/>
          <w:szCs w:val="21"/>
        </w:rPr>
        <w:t>计算“碳足迹”。</w:t>
      </w:r>
    </w:p>
    <w:p>
      <w:pPr>
        <w:spacing w:line="240" w:lineRule="auto"/>
        <w:rPr>
          <w:szCs w:val="21"/>
        </w:rPr>
      </w:pPr>
      <w:r>
        <w:rPr>
          <w:b/>
          <w:bCs/>
          <w:szCs w:val="21"/>
        </w:rPr>
        <w:t>9</w:t>
      </w:r>
      <w:r>
        <w:rPr>
          <w:rFonts w:ascii="宋体" w:hAnsi="宋体"/>
          <w:b/>
          <w:bCs/>
          <w:szCs w:val="21"/>
        </w:rPr>
        <w:t>.</w:t>
      </w:r>
      <w:r>
        <w:rPr>
          <w:b/>
          <w:bCs/>
          <w:szCs w:val="21"/>
        </w:rPr>
        <w:t>3</w:t>
      </w:r>
      <w:r>
        <w:rPr>
          <w:rFonts w:ascii="宋体" w:hAnsi="宋体"/>
          <w:b/>
          <w:bCs/>
          <w:szCs w:val="21"/>
        </w:rPr>
        <w:t>.</w:t>
      </w:r>
      <w:r>
        <w:rPr>
          <w:b/>
          <w:bCs/>
          <w:szCs w:val="21"/>
        </w:rPr>
        <w:t xml:space="preserve">2  </w:t>
      </w:r>
      <w:r>
        <w:rPr>
          <w:rFonts w:hint="eastAsia"/>
          <w:szCs w:val="21"/>
        </w:rPr>
        <w:t>建筑拆除阶段单位面积碳排放量应按下式计算。</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00"/>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00" w:type="dxa"/>
            <w:vAlign w:val="center"/>
          </w:tcPr>
          <w:p>
            <w:pPr>
              <w:spacing w:line="240" w:lineRule="auto"/>
              <w:rPr>
                <w:szCs w:val="21"/>
              </w:rPr>
            </w:pPr>
            <m:oMathPara>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w:rPr>
                        <w:rFonts w:ascii="Cambria Math" w:hAnsi="Cambria Math"/>
                        <w:szCs w:val="21"/>
                      </w:rPr>
                      <m:t>dm</m:t>
                    </m:r>
                    <m:ctrlPr>
                      <w:rPr>
                        <w:rFonts w:ascii="Cambria Math" w:hAnsi="Cambria Math"/>
                        <w:i/>
                        <w:szCs w:val="21"/>
                      </w:rPr>
                    </m:ctrlPr>
                  </m:sub>
                </m:sSub>
                <m:r>
                  <w:rPr>
                    <w:rFonts w:ascii="Cambria Math" w:hAnsi="Cambria Math"/>
                    <w:szCs w:val="21"/>
                  </w:rPr>
                  <m:t>=</m:t>
                </m:r>
                <m:f>
                  <m:fPr>
                    <m:ctrlPr>
                      <w:rPr>
                        <w:rFonts w:ascii="Cambria Math" w:hAnsi="Cambria Math"/>
                        <w:i/>
                        <w:szCs w:val="21"/>
                      </w:rPr>
                    </m:ctrlPr>
                  </m:fPr>
                  <m:num>
                    <m:nary>
                      <m:naryPr>
                        <m:chr m:val="∑"/>
                        <m:limLoc m:val="subSup"/>
                        <m:ctrlPr>
                          <w:rPr>
                            <w:rFonts w:ascii="Cambria Math" w:hAnsi="Cambria Math"/>
                            <w:i/>
                            <w:szCs w:val="21"/>
                          </w:rPr>
                        </m:ctrlPr>
                      </m:naryPr>
                      <m:sub>
                        <m:r>
                          <w:rPr>
                            <w:rFonts w:ascii="Cambria Math" w:hAnsi="Cambria Math"/>
                            <w:szCs w:val="21"/>
                          </w:rPr>
                          <m:t>i=1</m:t>
                        </m:r>
                        <m:ctrlPr>
                          <w:rPr>
                            <w:rFonts w:ascii="Cambria Math" w:hAnsi="Cambria Math"/>
                            <w:i/>
                            <w:szCs w:val="21"/>
                          </w:rPr>
                        </m:ctrlPr>
                      </m:sub>
                      <m:sup>
                        <m:r>
                          <w:rPr>
                            <w:rFonts w:ascii="Cambria Math" w:hAnsi="Cambria Math"/>
                            <w:szCs w:val="21"/>
                          </w:rPr>
                          <m:t>n</m:t>
                        </m:r>
                        <m:ctrlPr>
                          <w:rPr>
                            <w:rFonts w:ascii="Cambria Math" w:hAnsi="Cambria Math"/>
                            <w:i/>
                            <w:szCs w:val="21"/>
                          </w:rPr>
                        </m:ctrlPr>
                      </m:sup>
                      <m:e>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r>
                          <w:rPr>
                            <w:rFonts w:ascii="Cambria Math" w:hAnsi="Cambria Math"/>
                            <w:szCs w:val="21"/>
                          </w:rPr>
                          <m:t>E</m:t>
                        </m:r>
                        <m:sSub>
                          <m:sSubPr>
                            <m:ctrlPr>
                              <w:rPr>
                                <w:rFonts w:ascii="Cambria Math" w:hAnsi="Cambria Math"/>
                                <w:i/>
                                <w:szCs w:val="21"/>
                              </w:rPr>
                            </m:ctrlPr>
                          </m:sSubPr>
                          <m:e>
                            <m:r>
                              <w:rPr>
                                <w:rFonts w:ascii="Cambria Math" w:hAnsi="Cambria Math"/>
                                <w:szCs w:val="21"/>
                              </w:rPr>
                              <m:t>F</m:t>
                            </m:r>
                            <m:ctrlPr>
                              <w:rPr>
                                <w:rFonts w:ascii="Cambria Math" w:hAnsi="Cambria Math"/>
                                <w:i/>
                                <w:szCs w:val="21"/>
                              </w:rPr>
                            </m:ctrlPr>
                          </m:e>
                          <m:sub>
                            <m:r>
                              <w:rPr>
                                <w:rFonts w:ascii="Cambria Math" w:hAnsi="Cambria Math"/>
                                <w:szCs w:val="21"/>
                              </w:rPr>
                              <m:t>i</m:t>
                            </m:r>
                            <m:ctrlPr>
                              <w:rPr>
                                <w:rFonts w:ascii="Cambria Math" w:hAnsi="Cambria Math"/>
                                <w:i/>
                                <w:szCs w:val="21"/>
                              </w:rPr>
                            </m:ctrlPr>
                          </m:sub>
                        </m:sSub>
                        <m:ctrlPr>
                          <w:rPr>
                            <w:rFonts w:ascii="Cambria Math" w:hAnsi="Cambria Math"/>
                            <w:i/>
                            <w:szCs w:val="21"/>
                          </w:rPr>
                        </m:ctrlPr>
                      </m:e>
                    </m:nary>
                    <m:ctrlPr>
                      <w:rPr>
                        <w:rFonts w:ascii="Cambria Math" w:hAnsi="Cambria Math"/>
                        <w:i/>
                        <w:szCs w:val="21"/>
                      </w:rPr>
                    </m:ctrlPr>
                  </m:num>
                  <m:den>
                    <m:r>
                      <w:rPr>
                        <w:rFonts w:ascii="Cambria Math" w:hAnsi="Cambria Math"/>
                        <w:szCs w:val="21"/>
                      </w:rPr>
                      <m:t>A</m:t>
                    </m:r>
                    <m:ctrlPr>
                      <w:rPr>
                        <w:rFonts w:ascii="Cambria Math" w:hAnsi="Cambria Math"/>
                        <w:i/>
                        <w:szCs w:val="21"/>
                      </w:rPr>
                    </m:ctrlPr>
                  </m:den>
                </m:f>
              </m:oMath>
            </m:oMathPara>
          </w:p>
        </w:tc>
        <w:tc>
          <w:tcPr>
            <w:tcW w:w="754" w:type="dxa"/>
            <w:vAlign w:val="center"/>
          </w:tcPr>
          <w:p>
            <w:pPr>
              <w:spacing w:line="240" w:lineRule="auto"/>
              <w:jc w:val="right"/>
              <w:rPr>
                <w:szCs w:val="21"/>
              </w:rPr>
            </w:pPr>
            <w:r>
              <w:rPr>
                <w:rFonts w:hint="eastAsia"/>
                <w:szCs w:val="21"/>
              </w:rPr>
              <w:t>9</w:t>
            </w:r>
            <w:r>
              <w:rPr>
                <w:szCs w:val="21"/>
              </w:rPr>
              <w:t>.3.2</w:t>
            </w:r>
          </w:p>
        </w:tc>
      </w:tr>
    </w:tbl>
    <w:p>
      <w:pPr>
        <w:spacing w:line="240" w:lineRule="auto"/>
        <w:rPr>
          <w:rFonts w:eastAsia="黑体"/>
          <w:bCs/>
          <w:szCs w:val="21"/>
        </w:rPr>
      </w:pPr>
      <w:r>
        <w:rPr>
          <w:rFonts w:hint="eastAsia"/>
          <w:szCs w:val="21"/>
        </w:rPr>
        <w:t>式中：</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w:rPr>
                <w:rFonts w:ascii="Cambria Math" w:hAnsi="Cambria Math"/>
                <w:szCs w:val="21"/>
              </w:rPr>
              <m:t>dm</m:t>
            </m:r>
            <m:ctrlPr>
              <w:rPr>
                <w:rFonts w:ascii="Cambria Math" w:hAnsi="Cambria Math"/>
                <w:i/>
                <w:szCs w:val="21"/>
              </w:rPr>
            </m:ctrlPr>
          </m:sub>
        </m:sSub>
        <m:r>
          <w:rPr>
            <w:rFonts w:ascii="Cambria Math" w:hAnsi="Cambria Math"/>
            <w:szCs w:val="21"/>
          </w:rPr>
          <m:t xml:space="preserve">  </m:t>
        </m:r>
      </m:oMath>
      <w:r>
        <w:rPr>
          <w:rFonts w:eastAsia="黑体"/>
          <w:bCs/>
          <w:szCs w:val="21"/>
        </w:rPr>
        <w:t>——</w:t>
      </w:r>
      <w:r>
        <w:rPr>
          <w:rFonts w:hint="eastAsia" w:ascii="宋体" w:hAnsi="宋体"/>
          <w:bCs/>
          <w:szCs w:val="21"/>
        </w:rPr>
        <w:t>建筑拆除阶段单位面积的碳排放量（</w:t>
      </w:r>
      <w:r>
        <w:rPr>
          <w:rFonts w:hint="eastAsia" w:eastAsia="黑体"/>
          <w:bCs/>
          <w:szCs w:val="21"/>
        </w:rPr>
        <w:t>kg</w:t>
      </w:r>
      <w:r>
        <w:rPr>
          <w:rFonts w:eastAsia="黑体"/>
          <w:bCs/>
          <w:szCs w:val="21"/>
        </w:rPr>
        <w:t xml:space="preserve"> </w:t>
      </w:r>
      <w:r>
        <w:rPr>
          <w:rFonts w:hint="eastAsia" w:eastAsia="黑体"/>
          <w:bCs/>
          <w:szCs w:val="21"/>
        </w:rPr>
        <w:t>CO</w:t>
      </w:r>
      <w:r>
        <w:rPr>
          <w:rFonts w:hint="eastAsia" w:eastAsia="黑体"/>
          <w:bCs/>
          <w:szCs w:val="21"/>
          <w:vertAlign w:val="subscript"/>
        </w:rPr>
        <w:t>2</w:t>
      </w:r>
      <w:r>
        <w:rPr>
          <w:rFonts w:hint="eastAsia" w:eastAsia="黑体"/>
          <w:bCs/>
          <w:szCs w:val="21"/>
        </w:rPr>
        <w:t>/m</w:t>
      </w:r>
      <w:r>
        <w:rPr>
          <w:rFonts w:hint="eastAsia" w:eastAsia="黑体"/>
          <w:bCs/>
          <w:szCs w:val="21"/>
          <w:vertAlign w:val="superscript"/>
        </w:rPr>
        <w:t>2</w:t>
      </w:r>
      <w:r>
        <w:rPr>
          <w:rFonts w:hint="eastAsia" w:ascii="宋体" w:hAnsi="宋体"/>
          <w:bCs/>
          <w:szCs w:val="21"/>
        </w:rPr>
        <w:t>）</w:t>
      </w:r>
      <w:r>
        <w:rPr>
          <w:rFonts w:hint="eastAsia" w:eastAsia="黑体"/>
          <w:bCs/>
          <w:szCs w:val="21"/>
        </w:rPr>
        <w:t>；</w:t>
      </w:r>
    </w:p>
    <w:p>
      <w:pPr>
        <w:spacing w:line="240" w:lineRule="auto"/>
        <w:rPr>
          <w:szCs w:val="21"/>
        </w:rPr>
      </w:pPr>
      <w:r>
        <w:rPr>
          <w:rFonts w:hint="eastAsia" w:eastAsia="黑体"/>
          <w:bCs/>
          <w:szCs w:val="21"/>
        </w:rPr>
        <w:t xml:space="preserve"> </w:t>
      </w:r>
      <w:r>
        <w:rPr>
          <w:rFonts w:eastAsia="黑体"/>
          <w:bCs/>
          <w:szCs w:val="21"/>
        </w:rPr>
        <w:t xml:space="preserve">     </w:t>
      </w:r>
      <m:oMath>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oMath>
      <w:r>
        <w:rPr>
          <w:rFonts w:eastAsia="黑体"/>
          <w:bCs/>
          <w:szCs w:val="21"/>
        </w:rPr>
        <w:t>——</w:t>
      </w:r>
      <w:r>
        <w:rPr>
          <w:rFonts w:hint="eastAsia" w:ascii="宋体" w:hAnsi="宋体"/>
          <w:bCs/>
          <w:szCs w:val="21"/>
        </w:rPr>
        <w:t>建筑拆除阶段第</w:t>
      </w:r>
      <w:r>
        <w:rPr>
          <w:bCs/>
          <w:i/>
          <w:iCs/>
          <w:szCs w:val="21"/>
        </w:rPr>
        <w:t>i</w:t>
      </w:r>
      <w:r>
        <w:rPr>
          <w:rFonts w:hint="eastAsia" w:ascii="宋体" w:hAnsi="宋体"/>
          <w:bCs/>
          <w:szCs w:val="21"/>
        </w:rPr>
        <w:t>种能源的总用量（</w:t>
      </w:r>
      <w:r>
        <w:rPr>
          <w:rFonts w:hint="eastAsia" w:eastAsia="黑体"/>
          <w:bCs/>
          <w:szCs w:val="21"/>
        </w:rPr>
        <w:t>kWh</w:t>
      </w:r>
      <w:r>
        <w:rPr>
          <w:rFonts w:ascii="宋体" w:hAnsi="宋体"/>
          <w:bCs/>
          <w:szCs w:val="21"/>
        </w:rPr>
        <w:t>或</w:t>
      </w:r>
      <w:r>
        <w:rPr>
          <w:rFonts w:hint="eastAsia" w:eastAsia="黑体"/>
          <w:bCs/>
          <w:szCs w:val="21"/>
        </w:rPr>
        <w:t>kg</w:t>
      </w:r>
      <w:r>
        <w:rPr>
          <w:rFonts w:hint="eastAsia" w:ascii="宋体" w:hAnsi="宋体"/>
          <w:bCs/>
          <w:szCs w:val="21"/>
        </w:rPr>
        <w:t>）</w:t>
      </w:r>
      <w:r>
        <w:rPr>
          <w:rFonts w:hint="eastAsia" w:eastAsia="黑体"/>
          <w:bCs/>
          <w:szCs w:val="21"/>
        </w:rPr>
        <w:t>；</w:t>
      </w:r>
    </w:p>
    <w:p>
      <w:pPr>
        <w:spacing w:line="240" w:lineRule="auto"/>
        <w:rPr>
          <w:rFonts w:ascii="宋体" w:hAnsi="宋体"/>
          <w:bCs/>
          <w:szCs w:val="21"/>
        </w:rPr>
      </w:pPr>
      <w:r>
        <w:rPr>
          <w:rFonts w:hint="eastAsia"/>
          <w:szCs w:val="21"/>
        </w:rPr>
        <w:t xml:space="preserve"> </w:t>
      </w:r>
      <w:r>
        <w:rPr>
          <w:szCs w:val="21"/>
        </w:rPr>
        <w:t xml:space="preserve">     </w:t>
      </w:r>
      <m:oMath>
        <m:r>
          <w:rPr>
            <w:rFonts w:ascii="Cambria Math" w:hAnsi="Cambria Math"/>
            <w:szCs w:val="21"/>
          </w:rPr>
          <m:t>E</m:t>
        </m:r>
        <m:sSub>
          <m:sSubPr>
            <m:ctrlPr>
              <w:rPr>
                <w:rFonts w:ascii="Cambria Math" w:hAnsi="Cambria Math"/>
                <w:i/>
                <w:szCs w:val="21"/>
              </w:rPr>
            </m:ctrlPr>
          </m:sSubPr>
          <m:e>
            <m:r>
              <w:rPr>
                <w:rFonts w:ascii="Cambria Math" w:hAnsi="Cambria Math"/>
                <w:szCs w:val="21"/>
              </w:rPr>
              <m:t>F</m:t>
            </m:r>
            <m:ctrlPr>
              <w:rPr>
                <w:rFonts w:ascii="Cambria Math" w:hAnsi="Cambria Math"/>
                <w:i/>
                <w:szCs w:val="21"/>
              </w:rPr>
            </m:ctrlPr>
          </m:e>
          <m:sub>
            <m:r>
              <w:rPr>
                <w:rFonts w:ascii="Cambria Math" w:hAnsi="Cambria Math"/>
                <w:szCs w:val="21"/>
              </w:rPr>
              <m:t>i</m:t>
            </m:r>
            <m:ctrlPr>
              <w:rPr>
                <w:rFonts w:ascii="Cambria Math" w:hAnsi="Cambria Math"/>
                <w:i/>
                <w:szCs w:val="21"/>
              </w:rPr>
            </m:ctrlPr>
          </m:sub>
        </m:sSub>
        <m:r>
          <w:rPr>
            <w:rFonts w:ascii="Cambria Math" w:hAnsi="Cambria Math"/>
            <w:szCs w:val="21"/>
          </w:rPr>
          <m:t xml:space="preserve"> </m:t>
        </m:r>
      </m:oMath>
      <w:r>
        <w:rPr>
          <w:szCs w:val="21"/>
        </w:rPr>
        <w:t xml:space="preserve"> </w:t>
      </w:r>
      <w:r>
        <w:rPr>
          <w:rFonts w:eastAsia="黑体"/>
          <w:bCs/>
          <w:szCs w:val="21"/>
        </w:rPr>
        <w:t>——</w:t>
      </w:r>
      <w:r>
        <w:rPr>
          <w:rFonts w:hint="eastAsia" w:ascii="宋体" w:hAnsi="宋体"/>
          <w:bCs/>
          <w:szCs w:val="21"/>
        </w:rPr>
        <w:t>第</w:t>
      </w:r>
      <w:r>
        <w:rPr>
          <w:bCs/>
          <w:i/>
          <w:iCs/>
          <w:szCs w:val="21"/>
        </w:rPr>
        <w:t>i</w:t>
      </w:r>
      <w:r>
        <w:rPr>
          <w:rFonts w:hint="eastAsia" w:ascii="宋体" w:hAnsi="宋体"/>
          <w:bCs/>
          <w:szCs w:val="21"/>
        </w:rPr>
        <w:t>类能源的排放因子（</w:t>
      </w:r>
      <w:r>
        <w:rPr>
          <w:rFonts w:hint="eastAsia" w:eastAsia="黑体"/>
          <w:bCs/>
          <w:szCs w:val="21"/>
        </w:rPr>
        <w:t>kgCO</w:t>
      </w:r>
      <w:r>
        <w:rPr>
          <w:rFonts w:hint="eastAsia" w:eastAsia="黑体"/>
          <w:bCs/>
          <w:szCs w:val="21"/>
          <w:vertAlign w:val="subscript"/>
        </w:rPr>
        <w:t>2</w:t>
      </w:r>
      <w:r>
        <w:rPr>
          <w:rFonts w:hint="eastAsia" w:eastAsia="黑体"/>
          <w:bCs/>
          <w:szCs w:val="21"/>
        </w:rPr>
        <w:t>/</w:t>
      </w:r>
      <w:r>
        <w:rPr>
          <w:rFonts w:eastAsia="黑体"/>
          <w:bCs/>
          <w:szCs w:val="21"/>
        </w:rPr>
        <w:t>k</w:t>
      </w:r>
      <w:r>
        <w:rPr>
          <w:rFonts w:hint="eastAsia" w:eastAsia="黑体"/>
          <w:bCs/>
          <w:szCs w:val="21"/>
        </w:rPr>
        <w:t>Wh</w:t>
      </w:r>
      <w:r>
        <w:rPr>
          <w:rFonts w:hint="eastAsia" w:ascii="宋体" w:hAnsi="宋体"/>
          <w:bCs/>
          <w:szCs w:val="21"/>
        </w:rPr>
        <w:t>），按</w:t>
      </w:r>
      <w:r>
        <w:rPr>
          <w:bCs/>
          <w:szCs w:val="21"/>
        </w:rPr>
        <w:t>IPCC</w:t>
      </w:r>
      <w:r>
        <w:rPr>
          <w:rFonts w:hint="eastAsia" w:ascii="宋体" w:hAnsi="宋体"/>
          <w:bCs/>
          <w:szCs w:val="21"/>
        </w:rPr>
        <w:t>因子库确定；</w:t>
      </w:r>
    </w:p>
    <w:p>
      <w:pPr>
        <w:spacing w:line="240" w:lineRule="auto"/>
        <w:rPr>
          <w:rFonts w:ascii="宋体" w:hAnsi="宋体"/>
          <w:bCs/>
          <w:szCs w:val="21"/>
        </w:rPr>
      </w:pPr>
      <w:r>
        <w:rPr>
          <w:rFonts w:ascii="宋体" w:hAnsi="宋体"/>
          <w:bCs/>
          <w:szCs w:val="21"/>
        </w:rPr>
        <w:t xml:space="preserve">      </w:t>
      </w:r>
      <m:oMath>
        <m:r>
          <w:rPr>
            <w:rFonts w:ascii="Cambria Math" w:hAnsi="Cambria Math"/>
            <w:szCs w:val="21"/>
          </w:rPr>
          <m:t>A</m:t>
        </m:r>
      </m:oMath>
      <w:r>
        <w:rPr>
          <w:rFonts w:hint="eastAsia" w:ascii="宋体" w:hAnsi="宋体"/>
          <w:szCs w:val="21"/>
        </w:rPr>
        <w:t xml:space="preserve"> </w:t>
      </w:r>
      <w:r>
        <w:rPr>
          <w:rFonts w:ascii="宋体" w:hAnsi="宋体"/>
          <w:szCs w:val="21"/>
        </w:rPr>
        <w:t xml:space="preserve">  </w:t>
      </w:r>
      <w:r>
        <w:rPr>
          <w:rFonts w:eastAsia="黑体"/>
          <w:bCs/>
          <w:szCs w:val="21"/>
        </w:rPr>
        <w:t>——</w:t>
      </w:r>
      <w:r>
        <w:rPr>
          <w:rFonts w:hint="eastAsia" w:ascii="宋体" w:hAnsi="宋体"/>
          <w:bCs/>
          <w:szCs w:val="21"/>
        </w:rPr>
        <w:t>建筑面积（</w:t>
      </w:r>
      <w:r>
        <w:rPr>
          <w:rFonts w:hint="eastAsia" w:eastAsia="黑体"/>
          <w:bCs/>
          <w:szCs w:val="21"/>
        </w:rPr>
        <w:t>m</w:t>
      </w:r>
      <w:r>
        <w:rPr>
          <w:rFonts w:hint="eastAsia" w:eastAsia="黑体"/>
          <w:bCs/>
          <w:szCs w:val="21"/>
          <w:vertAlign w:val="superscript"/>
        </w:rPr>
        <w:t>2</w:t>
      </w:r>
      <w:r>
        <w:rPr>
          <w:rFonts w:hint="eastAsia" w:ascii="宋体" w:hAnsi="宋体"/>
          <w:bCs/>
          <w:szCs w:val="21"/>
        </w:rPr>
        <w:t>）</w:t>
      </w:r>
      <w:r>
        <w:rPr>
          <w:rFonts w:ascii="宋体" w:hAnsi="宋体"/>
          <w:bCs/>
          <w:szCs w:val="21"/>
        </w:rPr>
        <w:t>。</w:t>
      </w:r>
    </w:p>
    <w:p>
      <w:pPr>
        <w:spacing w:line="240" w:lineRule="auto"/>
        <w:rPr>
          <w:szCs w:val="21"/>
        </w:rPr>
      </w:pPr>
      <w:r>
        <w:rPr>
          <w:b/>
          <w:bCs/>
          <w:szCs w:val="21"/>
        </w:rPr>
        <w:t>9</w:t>
      </w:r>
      <w:r>
        <w:rPr>
          <w:rFonts w:ascii="宋体" w:hAnsi="宋体"/>
          <w:b/>
          <w:bCs/>
          <w:szCs w:val="21"/>
        </w:rPr>
        <w:t>.</w:t>
      </w:r>
      <w:r>
        <w:rPr>
          <w:b/>
          <w:bCs/>
          <w:szCs w:val="21"/>
        </w:rPr>
        <w:t>3</w:t>
      </w:r>
      <w:r>
        <w:rPr>
          <w:rFonts w:ascii="宋体" w:hAnsi="宋体"/>
          <w:b/>
          <w:bCs/>
          <w:szCs w:val="21"/>
        </w:rPr>
        <w:t>.</w:t>
      </w:r>
      <w:r>
        <w:rPr>
          <w:b/>
          <w:bCs/>
          <w:szCs w:val="21"/>
        </w:rPr>
        <w:t xml:space="preserve">3  </w:t>
      </w:r>
      <w:r>
        <w:rPr>
          <w:rFonts w:hint="eastAsia"/>
          <w:szCs w:val="21"/>
        </w:rPr>
        <w:t>建筑拆除过程中使用机械的能源用量应按下列公式计算：</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64"/>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vAlign w:val="center"/>
          </w:tcPr>
          <w:p>
            <w:pPr>
              <w:spacing w:line="240" w:lineRule="auto"/>
              <w:rPr>
                <w:szCs w:val="21"/>
              </w:rPr>
            </w:pPr>
            <m:oMathPara>
              <m:oMath>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dm</m:t>
                    </m:r>
                    <m:ctrlPr>
                      <w:rPr>
                        <w:rFonts w:ascii="Cambria Math" w:hAnsi="Cambria Math"/>
                        <w:i/>
                        <w:szCs w:val="21"/>
                      </w:rPr>
                    </m:ctrlPr>
                  </m:sub>
                </m:sSub>
                <m:r>
                  <w:rPr>
                    <w:rFonts w:ascii="Cambria Math" w:hAnsi="Cambria Math"/>
                    <w:szCs w:val="21"/>
                  </w:rPr>
                  <m:t>=</m:t>
                </m:r>
                <m:nary>
                  <m:naryPr>
                    <m:chr m:val="∑"/>
                    <m:limLoc m:val="subSup"/>
                    <m:ctrlPr>
                      <w:rPr>
                        <w:rFonts w:ascii="Cambria Math" w:hAnsi="Cambria Math"/>
                        <w:i/>
                        <w:szCs w:val="21"/>
                      </w:rPr>
                    </m:ctrlPr>
                  </m:naryPr>
                  <m:sub>
                    <m:r>
                      <w:rPr>
                        <w:rFonts w:ascii="Cambria Math" w:hAnsi="Cambria Math"/>
                        <w:szCs w:val="21"/>
                      </w:rPr>
                      <m:t>i=1</m:t>
                    </m:r>
                    <m:ctrlPr>
                      <w:rPr>
                        <w:rFonts w:ascii="Cambria Math" w:hAnsi="Cambria Math"/>
                        <w:i/>
                        <w:szCs w:val="21"/>
                      </w:rPr>
                    </m:ctrlPr>
                  </m:sub>
                  <m:sup>
                    <m:r>
                      <w:rPr>
                        <w:rFonts w:ascii="Cambria Math" w:hAnsi="Cambria Math"/>
                        <w:szCs w:val="21"/>
                      </w:rPr>
                      <m:t>n</m:t>
                    </m:r>
                    <m:ctrlPr>
                      <w:rPr>
                        <w:rFonts w:ascii="Cambria Math" w:hAnsi="Cambria Math"/>
                        <w:i/>
                        <w:szCs w:val="21"/>
                      </w:rPr>
                    </m:ctrlPr>
                  </m:sup>
                  <m:e>
                    <m:sSub>
                      <m:sSubPr>
                        <m:ctrlPr>
                          <w:rPr>
                            <w:rFonts w:ascii="Cambria Math" w:hAnsi="Cambria Math"/>
                            <w:i/>
                            <w:szCs w:val="21"/>
                          </w:rPr>
                        </m:ctrlPr>
                      </m:sSubPr>
                      <m:e>
                        <m:r>
                          <w:rPr>
                            <w:rFonts w:ascii="Cambria Math" w:hAnsi="Cambria Math"/>
                            <w:szCs w:val="21"/>
                          </w:rPr>
                          <m:t>Q</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sSub>
                      <m:sSubPr>
                        <m:ctrlPr>
                          <w:rPr>
                            <w:rFonts w:ascii="Cambria Math" w:hAnsi="Cambria Math"/>
                            <w:i/>
                            <w:szCs w:val="21"/>
                          </w:rPr>
                        </m:ctrlPr>
                      </m:sSubPr>
                      <m:e>
                        <m:r>
                          <w:rPr>
                            <w:rFonts w:ascii="Cambria Math" w:hAnsi="Cambria Math"/>
                            <w:szCs w:val="21"/>
                          </w:rPr>
                          <m:t>f</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ctrlPr>
                      <w:rPr>
                        <w:rFonts w:ascii="Cambria Math" w:hAnsi="Cambria Math"/>
                        <w:i/>
                        <w:szCs w:val="21"/>
                      </w:rPr>
                    </m:ctrlPr>
                  </m:e>
                </m:nary>
              </m:oMath>
            </m:oMathPara>
          </w:p>
        </w:tc>
        <w:tc>
          <w:tcPr>
            <w:tcW w:w="890" w:type="dxa"/>
            <w:vAlign w:val="center"/>
          </w:tcPr>
          <w:p>
            <w:pPr>
              <w:spacing w:line="240" w:lineRule="auto"/>
              <w:jc w:val="right"/>
              <w:rPr>
                <w:szCs w:val="21"/>
              </w:rPr>
            </w:pPr>
            <w:r>
              <w:rPr>
                <w:rFonts w:hint="eastAsia"/>
                <w:szCs w:val="21"/>
              </w:rPr>
              <w:t>9</w:t>
            </w:r>
            <w:r>
              <w:rPr>
                <w:szCs w:val="21"/>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64" w:type="dxa"/>
            <w:vAlign w:val="center"/>
          </w:tcPr>
          <w:p>
            <w:pPr>
              <w:spacing w:line="240" w:lineRule="auto"/>
              <w:rPr>
                <w:szCs w:val="21"/>
              </w:rPr>
            </w:pPr>
            <m:oMathPara>
              <m:oMath>
                <m:sSub>
                  <m:sSubPr>
                    <m:ctrlPr>
                      <w:rPr>
                        <w:rFonts w:ascii="Cambria Math" w:hAnsi="Cambria Math"/>
                        <w:i/>
                        <w:szCs w:val="21"/>
                      </w:rPr>
                    </m:ctrlPr>
                  </m:sSubPr>
                  <m:e>
                    <m:r>
                      <w:rPr>
                        <w:rFonts w:ascii="Cambria Math" w:hAnsi="Cambria Math"/>
                        <w:szCs w:val="21"/>
                      </w:rPr>
                      <m:t>f</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r>
                  <w:rPr>
                    <w:rFonts w:ascii="Cambria Math" w:hAnsi="Cambria Math"/>
                    <w:szCs w:val="21"/>
                  </w:rPr>
                  <m:t>=</m:t>
                </m:r>
                <m:nary>
                  <m:naryPr>
                    <m:chr m:val="∑"/>
                    <m:limLoc m:val="subSup"/>
                    <m:ctrlPr>
                      <w:rPr>
                        <w:rFonts w:ascii="Cambria Math" w:hAnsi="Cambria Math"/>
                        <w:i/>
                        <w:szCs w:val="21"/>
                      </w:rPr>
                    </m:ctrlPr>
                  </m:naryPr>
                  <m:sub>
                    <m:r>
                      <w:rPr>
                        <w:rFonts w:ascii="Cambria Math" w:hAnsi="Cambria Math"/>
                        <w:szCs w:val="21"/>
                      </w:rPr>
                      <m:t>i=1</m:t>
                    </m:r>
                    <m:ctrlPr>
                      <w:rPr>
                        <w:rFonts w:ascii="Cambria Math" w:hAnsi="Cambria Math"/>
                        <w:i/>
                        <w:szCs w:val="21"/>
                      </w:rPr>
                    </m:ctrlPr>
                  </m:sub>
                  <m:sup>
                    <m:r>
                      <w:rPr>
                        <w:rFonts w:ascii="Cambria Math" w:hAnsi="Cambria Math"/>
                        <w:szCs w:val="21"/>
                      </w:rPr>
                      <m:t>n</m:t>
                    </m:r>
                    <m:ctrlPr>
                      <w:rPr>
                        <w:rFonts w:ascii="Cambria Math" w:hAnsi="Cambria Math"/>
                        <w:i/>
                        <w:szCs w:val="21"/>
                      </w:rPr>
                    </m:ctrlPr>
                  </m:sup>
                  <m:e>
                    <m:sSub>
                      <m:sSubPr>
                        <m:ctrlPr>
                          <w:rPr>
                            <w:rFonts w:ascii="Cambria Math" w:hAnsi="Cambria Math"/>
                            <w:i/>
                            <w:szCs w:val="21"/>
                          </w:rPr>
                        </m:ctrlPr>
                      </m:sSubPr>
                      <m:e>
                        <m:r>
                          <w:rPr>
                            <w:rFonts w:ascii="Cambria Math" w:hAnsi="Cambria Math"/>
                            <w:szCs w:val="21"/>
                          </w:rPr>
                          <m:t>T</m:t>
                        </m:r>
                        <m:ctrlPr>
                          <w:rPr>
                            <w:rFonts w:ascii="Cambria Math" w:hAnsi="Cambria Math"/>
                            <w:i/>
                            <w:szCs w:val="21"/>
                          </w:rPr>
                        </m:ctrlPr>
                      </m:e>
                      <m:sub>
                        <m:r>
                          <w:rPr>
                            <w:rFonts w:ascii="Cambria Math" w:hAnsi="Cambria Math"/>
                            <w:szCs w:val="21"/>
                          </w:rPr>
                          <m:t>Bi.j</m:t>
                        </m:r>
                        <m:ctrlPr>
                          <w:rPr>
                            <w:rFonts w:ascii="Cambria Math" w:hAnsi="Cambria Math"/>
                            <w:i/>
                            <w:szCs w:val="21"/>
                          </w:rPr>
                        </m:ctrlPr>
                      </m:sub>
                    </m:sSub>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j</m:t>
                        </m:r>
                        <m:ctrlPr>
                          <w:rPr>
                            <w:rFonts w:ascii="Cambria Math" w:hAnsi="Cambria Math"/>
                            <w:i/>
                            <w:szCs w:val="21"/>
                          </w:rPr>
                        </m:ctrlP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jj.i</m:t>
                        </m:r>
                        <m:ctrlPr>
                          <w:rPr>
                            <w:rFonts w:ascii="Cambria Math" w:hAnsi="Cambria Math"/>
                            <w:i/>
                            <w:szCs w:val="21"/>
                          </w:rPr>
                        </m:ctrlPr>
                      </m:sub>
                    </m:sSub>
                    <m:ctrlPr>
                      <w:rPr>
                        <w:rFonts w:ascii="Cambria Math" w:hAnsi="Cambria Math"/>
                        <w:i/>
                        <w:szCs w:val="21"/>
                      </w:rPr>
                    </m:ctrlPr>
                  </m:e>
                </m:nary>
              </m:oMath>
            </m:oMathPara>
          </w:p>
        </w:tc>
        <w:tc>
          <w:tcPr>
            <w:tcW w:w="890" w:type="dxa"/>
            <w:vAlign w:val="center"/>
          </w:tcPr>
          <w:p>
            <w:pPr>
              <w:spacing w:line="240" w:lineRule="auto"/>
              <w:jc w:val="right"/>
              <w:rPr>
                <w:szCs w:val="21"/>
              </w:rPr>
            </w:pPr>
            <w:r>
              <w:rPr>
                <w:rFonts w:hint="eastAsia"/>
                <w:szCs w:val="21"/>
              </w:rPr>
              <w:t>9</w:t>
            </w:r>
            <w:r>
              <w:rPr>
                <w:szCs w:val="21"/>
              </w:rPr>
              <w:t>.3.3-2</w:t>
            </w:r>
          </w:p>
        </w:tc>
      </w:tr>
    </w:tbl>
    <w:p>
      <w:pPr>
        <w:spacing w:line="240" w:lineRule="auto"/>
        <w:rPr>
          <w:rFonts w:ascii="宋体" w:hAnsi="宋体"/>
          <w:bCs/>
          <w:szCs w:val="21"/>
        </w:rPr>
      </w:pPr>
      <w:r>
        <w:rPr>
          <w:rFonts w:hint="eastAsia"/>
          <w:szCs w:val="21"/>
        </w:rPr>
        <w:t>式中：</w:t>
      </w:r>
      <m:oMath>
        <m:sSub>
          <m:sSubPr>
            <m:ctrlPr>
              <w:rPr>
                <w:rFonts w:ascii="Cambria Math" w:hAnsi="Cambria Math"/>
                <w:i/>
                <w:szCs w:val="21"/>
              </w:rPr>
            </m:ctrlPr>
          </m:sSubPr>
          <m:e>
            <m:r>
              <w:rPr>
                <w:rFonts w:ascii="Cambria Math" w:hAnsi="Cambria Math"/>
                <w:szCs w:val="21"/>
              </w:rPr>
              <m:t>E</m:t>
            </m:r>
            <m:ctrlPr>
              <w:rPr>
                <w:rFonts w:ascii="Cambria Math" w:hAnsi="Cambria Math"/>
                <w:i/>
                <w:szCs w:val="21"/>
              </w:rPr>
            </m:ctrlPr>
          </m:e>
          <m:sub>
            <m:r>
              <w:rPr>
                <w:rFonts w:ascii="Cambria Math" w:hAnsi="Cambria Math"/>
                <w:szCs w:val="21"/>
              </w:rPr>
              <m:t>dm</m:t>
            </m:r>
            <m:ctrlPr>
              <w:rPr>
                <w:rFonts w:ascii="Cambria Math" w:hAnsi="Cambria Math"/>
                <w:i/>
                <w:szCs w:val="21"/>
              </w:rPr>
            </m:ctrlPr>
          </m:sub>
        </m:sSub>
        <m:r>
          <w:rPr>
            <w:rFonts w:ascii="Cambria Math" w:hAnsi="Cambria Math"/>
            <w:szCs w:val="21"/>
          </w:rPr>
          <m:t xml:space="preserve">  </m:t>
        </m:r>
      </m:oMath>
      <w:r>
        <w:rPr>
          <w:rFonts w:eastAsia="黑体"/>
          <w:bCs/>
          <w:szCs w:val="21"/>
        </w:rPr>
        <w:t>——</w:t>
      </w:r>
      <w:r>
        <w:rPr>
          <w:rFonts w:hint="eastAsia" w:ascii="宋体" w:hAnsi="宋体"/>
          <w:bCs/>
          <w:szCs w:val="21"/>
        </w:rPr>
        <w:t>建筑拆除阶段能源用量（</w:t>
      </w:r>
      <w:r>
        <w:rPr>
          <w:bCs/>
          <w:szCs w:val="21"/>
        </w:rPr>
        <w:t>kWh</w:t>
      </w:r>
      <w:r>
        <w:rPr>
          <w:rFonts w:hint="eastAsia" w:ascii="宋体" w:hAnsi="宋体"/>
          <w:bCs/>
          <w:szCs w:val="21"/>
        </w:rPr>
        <w:t>或</w:t>
      </w:r>
      <w:r>
        <w:rPr>
          <w:bCs/>
          <w:szCs w:val="21"/>
        </w:rPr>
        <w:t>kg</w:t>
      </w:r>
      <w:r>
        <w:rPr>
          <w:rFonts w:hint="eastAsia" w:ascii="宋体" w:hAnsi="宋体"/>
          <w:bCs/>
          <w:szCs w:val="21"/>
        </w:rPr>
        <w:t>）；</w:t>
      </w:r>
    </w:p>
    <w:p>
      <w:pPr>
        <w:spacing w:line="240" w:lineRule="auto"/>
        <w:rPr>
          <w:rFonts w:ascii="宋体" w:hAnsi="宋体"/>
          <w:bCs/>
          <w:szCs w:val="21"/>
        </w:rPr>
      </w:pPr>
      <w:r>
        <w:rPr>
          <w:rFonts w:hint="eastAsia" w:ascii="宋体" w:hAnsi="宋体"/>
          <w:bCs/>
          <w:szCs w:val="21"/>
        </w:rPr>
        <w:t xml:space="preserve"> </w:t>
      </w:r>
      <w:r>
        <w:rPr>
          <w:rFonts w:ascii="宋体" w:hAnsi="宋体"/>
          <w:bCs/>
          <w:szCs w:val="21"/>
        </w:rPr>
        <w:t xml:space="preserve">     </w:t>
      </w:r>
      <m:oMath>
        <m:sSub>
          <m:sSubPr>
            <m:ctrlPr>
              <w:rPr>
                <w:rFonts w:ascii="Cambria Math" w:hAnsi="Cambria Math"/>
                <w:i/>
                <w:szCs w:val="21"/>
              </w:rPr>
            </m:ctrlPr>
          </m:sSubPr>
          <m:e>
            <m:r>
              <w:rPr>
                <w:rFonts w:ascii="Cambria Math" w:hAnsi="Cambria Math"/>
                <w:szCs w:val="21"/>
              </w:rPr>
              <m:t>Q</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oMath>
      <w:r>
        <w:rPr>
          <w:rFonts w:eastAsia="黑体"/>
          <w:bCs/>
          <w:szCs w:val="21"/>
        </w:rPr>
        <w:t>——</w:t>
      </w:r>
      <w:r>
        <w:rPr>
          <w:rFonts w:hint="eastAsia" w:ascii="宋体" w:hAnsi="宋体"/>
          <w:bCs/>
          <w:szCs w:val="21"/>
        </w:rPr>
        <w:t>第</w:t>
      </w:r>
      <w:r>
        <w:rPr>
          <w:bCs/>
          <w:i/>
          <w:iCs/>
          <w:szCs w:val="21"/>
        </w:rPr>
        <w:t>i</w:t>
      </w:r>
      <w:r>
        <w:rPr>
          <w:rFonts w:hint="eastAsia" w:ascii="宋体" w:hAnsi="宋体"/>
          <w:bCs/>
          <w:szCs w:val="21"/>
        </w:rPr>
        <w:t>个拆除项目的工程量（工程量计量单位）；</w:t>
      </w:r>
    </w:p>
    <w:p>
      <w:pPr>
        <w:spacing w:line="240" w:lineRule="auto"/>
        <w:ind w:left="1544" w:hanging="1540" w:hangingChars="700"/>
        <w:rPr>
          <w:rFonts w:ascii="宋体" w:hAnsi="宋体"/>
          <w:bCs/>
          <w:szCs w:val="21"/>
        </w:rPr>
      </w:pPr>
      <w:r>
        <w:rPr>
          <w:rFonts w:hint="eastAsia" w:ascii="宋体" w:hAnsi="宋体"/>
          <w:bCs/>
          <w:szCs w:val="21"/>
        </w:rPr>
        <w:t xml:space="preserve"> </w:t>
      </w:r>
      <w:r>
        <w:rPr>
          <w:rFonts w:ascii="宋体" w:hAnsi="宋体"/>
          <w:bCs/>
          <w:szCs w:val="21"/>
        </w:rPr>
        <w:t xml:space="preserve">     </w:t>
      </w:r>
      <m:oMath>
        <m:sSub>
          <m:sSubPr>
            <m:ctrlPr>
              <w:rPr>
                <w:rFonts w:ascii="Cambria Math" w:hAnsi="Cambria Math"/>
                <w:i/>
                <w:szCs w:val="21"/>
              </w:rPr>
            </m:ctrlPr>
          </m:sSubPr>
          <m:e>
            <m:r>
              <w:rPr>
                <w:rFonts w:ascii="Cambria Math" w:hAnsi="Cambria Math"/>
                <w:szCs w:val="21"/>
              </w:rPr>
              <m:t>f</m:t>
            </m:r>
            <m:ctrlPr>
              <w:rPr>
                <w:rFonts w:ascii="Cambria Math" w:hAnsi="Cambria Math"/>
                <w:i/>
                <w:szCs w:val="21"/>
              </w:rPr>
            </m:ctrlPr>
          </m:e>
          <m:sub>
            <m:r>
              <w:rPr>
                <w:rFonts w:ascii="Cambria Math" w:hAnsi="Cambria Math"/>
                <w:szCs w:val="21"/>
              </w:rPr>
              <m:t>dm.i</m:t>
            </m:r>
            <m:ctrlPr>
              <w:rPr>
                <w:rFonts w:ascii="Cambria Math" w:hAnsi="Cambria Math"/>
                <w:i/>
                <w:szCs w:val="21"/>
              </w:rPr>
            </m:ctrlPr>
          </m:sub>
        </m:sSub>
        <m:r>
          <w:rPr>
            <w:rFonts w:ascii="Cambria Math" w:hAnsi="Cambria Math"/>
            <w:szCs w:val="21"/>
          </w:rPr>
          <m:t xml:space="preserve"> </m:t>
        </m:r>
      </m:oMath>
      <w:r>
        <w:rPr>
          <w:rFonts w:eastAsia="黑体"/>
          <w:bCs/>
          <w:szCs w:val="21"/>
        </w:rPr>
        <w:t>——</w:t>
      </w:r>
      <w:r>
        <w:rPr>
          <w:rFonts w:hint="eastAsia" w:ascii="宋体" w:hAnsi="宋体"/>
          <w:bCs/>
          <w:szCs w:val="21"/>
        </w:rPr>
        <w:t>第</w:t>
      </w:r>
      <w:r>
        <w:rPr>
          <w:bCs/>
          <w:i/>
          <w:iCs/>
          <w:szCs w:val="21"/>
        </w:rPr>
        <w:t>i</w:t>
      </w:r>
      <w:r>
        <w:rPr>
          <w:rFonts w:hint="eastAsia" w:ascii="宋体" w:hAnsi="宋体"/>
          <w:bCs/>
          <w:szCs w:val="21"/>
        </w:rPr>
        <w:t>个拆除项目每计量单位的能耗系数（</w:t>
      </w:r>
      <w:r>
        <w:rPr>
          <w:rFonts w:hint="cs"/>
          <w:bCs/>
          <w:szCs w:val="21"/>
        </w:rPr>
        <w:t>k</w:t>
      </w:r>
      <w:r>
        <w:rPr>
          <w:bCs/>
          <w:szCs w:val="21"/>
        </w:rPr>
        <w:t>Wh/</w:t>
      </w:r>
      <w:r>
        <w:rPr>
          <w:rFonts w:hint="eastAsia"/>
          <w:bCs/>
          <w:szCs w:val="21"/>
        </w:rPr>
        <w:t>工程量计量单位或kg</w:t>
      </w:r>
      <w:r>
        <w:rPr>
          <w:bCs/>
          <w:szCs w:val="21"/>
        </w:rPr>
        <w:t>/</w:t>
      </w:r>
      <w:r>
        <w:rPr>
          <w:rFonts w:hint="eastAsia"/>
          <w:bCs/>
          <w:szCs w:val="21"/>
        </w:rPr>
        <w:t>工程量计量单位</w:t>
      </w:r>
      <w:r>
        <w:rPr>
          <w:rFonts w:hint="eastAsia" w:ascii="宋体" w:hAnsi="宋体"/>
          <w:bCs/>
          <w:szCs w:val="21"/>
        </w:rPr>
        <w:t>）</w:t>
      </w:r>
    </w:p>
    <w:p>
      <w:pPr>
        <w:spacing w:line="240" w:lineRule="auto"/>
        <w:ind w:left="1544" w:hanging="1540" w:hangingChars="700"/>
        <w:rPr>
          <w:rFonts w:ascii="宋体" w:hAnsi="宋体"/>
          <w:bCs/>
          <w:szCs w:val="21"/>
        </w:rPr>
      </w:pPr>
      <w:r>
        <w:rPr>
          <w:rFonts w:hint="eastAsia" w:ascii="宋体" w:hAnsi="宋体"/>
          <w:bCs/>
          <w:szCs w:val="21"/>
        </w:rPr>
        <w:t xml:space="preserve"> </w:t>
      </w:r>
      <w:r>
        <w:rPr>
          <w:rFonts w:ascii="宋体" w:hAnsi="宋体"/>
          <w:bCs/>
          <w:szCs w:val="21"/>
        </w:rPr>
        <w:t xml:space="preserve">     </w:t>
      </w:r>
      <m:oMath>
        <m:sSub>
          <m:sSubPr>
            <m:ctrlPr>
              <w:rPr>
                <w:rFonts w:ascii="Cambria Math" w:hAnsi="Cambria Math"/>
                <w:i/>
                <w:szCs w:val="21"/>
              </w:rPr>
            </m:ctrlPr>
          </m:sSubPr>
          <m:e>
            <m:r>
              <w:rPr>
                <w:rFonts w:ascii="Cambria Math" w:hAnsi="Cambria Math"/>
                <w:szCs w:val="21"/>
              </w:rPr>
              <m:t>T</m:t>
            </m:r>
            <m:ctrlPr>
              <w:rPr>
                <w:rFonts w:ascii="Cambria Math" w:hAnsi="Cambria Math"/>
                <w:i/>
                <w:szCs w:val="21"/>
              </w:rPr>
            </m:ctrlPr>
          </m:e>
          <m:sub>
            <m:r>
              <w:rPr>
                <w:rFonts w:ascii="Cambria Math" w:hAnsi="Cambria Math"/>
                <w:szCs w:val="21"/>
              </w:rPr>
              <m:t>Bi.j</m:t>
            </m:r>
            <m:ctrlPr>
              <w:rPr>
                <w:rFonts w:ascii="Cambria Math" w:hAnsi="Cambria Math"/>
                <w:i/>
                <w:szCs w:val="21"/>
              </w:rPr>
            </m:ctrlPr>
          </m:sub>
        </m:sSub>
        <m:r>
          <w:rPr>
            <w:rFonts w:ascii="Cambria Math" w:hAnsi="Cambria Math"/>
            <w:szCs w:val="21"/>
          </w:rPr>
          <m:t xml:space="preserve"> </m:t>
        </m:r>
      </m:oMath>
      <w:r>
        <w:rPr>
          <w:rFonts w:eastAsia="黑体"/>
          <w:bCs/>
          <w:szCs w:val="21"/>
        </w:rPr>
        <w:t>——</w:t>
      </w:r>
      <w:r>
        <w:rPr>
          <w:rFonts w:hint="eastAsia" w:ascii="宋体" w:hAnsi="宋体"/>
          <w:bCs/>
          <w:szCs w:val="21"/>
        </w:rPr>
        <w:t>第</w:t>
      </w:r>
      <w:r>
        <w:rPr>
          <w:bCs/>
          <w:i/>
          <w:iCs/>
          <w:szCs w:val="21"/>
        </w:rPr>
        <w:t>i</w:t>
      </w:r>
      <w:r>
        <w:rPr>
          <w:rFonts w:hint="eastAsia" w:ascii="宋体" w:hAnsi="宋体"/>
          <w:bCs/>
          <w:szCs w:val="21"/>
        </w:rPr>
        <w:t>个拆除项目单位工程量第</w:t>
      </w:r>
      <w:r>
        <w:rPr>
          <w:bCs/>
          <w:i/>
          <w:iCs/>
          <w:szCs w:val="21"/>
        </w:rPr>
        <w:t>j</w:t>
      </w:r>
      <w:r>
        <w:rPr>
          <w:rFonts w:hint="eastAsia" w:ascii="宋体" w:hAnsi="宋体"/>
          <w:bCs/>
          <w:szCs w:val="21"/>
        </w:rPr>
        <w:t>种施工机械台班消耗量；</w:t>
      </w:r>
    </w:p>
    <w:p>
      <w:pPr>
        <w:spacing w:line="240" w:lineRule="auto"/>
        <w:ind w:left="1544" w:hanging="1540" w:hangingChars="700"/>
        <w:rPr>
          <w:rFonts w:ascii="宋体" w:hAnsi="宋体"/>
          <w:bCs/>
          <w:szCs w:val="21"/>
        </w:rPr>
      </w:pPr>
      <m:oMath>
        <m:r>
          <w:rPr>
            <w:rFonts w:ascii="Cambria Math" w:hAnsi="Cambria Math"/>
            <w:szCs w:val="21"/>
          </w:rPr>
          <m:t xml:space="preserve">              </m:t>
        </m:r>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j</m:t>
            </m:r>
            <m:ctrlPr>
              <w:rPr>
                <w:rFonts w:ascii="Cambria Math" w:hAnsi="Cambria Math"/>
                <w:i/>
                <w:szCs w:val="21"/>
              </w:rPr>
            </m:ctrlPr>
          </m:sub>
        </m:sSub>
      </m:oMath>
      <w:r>
        <w:rPr>
          <w:rFonts w:hint="eastAsia"/>
          <w:szCs w:val="21"/>
        </w:rPr>
        <w:t xml:space="preserve"> </w:t>
      </w:r>
      <w:r>
        <w:rPr>
          <w:szCs w:val="21"/>
        </w:rPr>
        <w:t xml:space="preserve"> </w:t>
      </w:r>
      <w:r>
        <w:rPr>
          <w:rFonts w:eastAsia="黑体"/>
          <w:bCs/>
          <w:szCs w:val="21"/>
        </w:rPr>
        <w:t>——</w:t>
      </w:r>
      <w:r>
        <w:rPr>
          <w:rFonts w:hint="eastAsia" w:ascii="宋体" w:hAnsi="宋体"/>
          <w:bCs/>
          <w:szCs w:val="21"/>
        </w:rPr>
        <w:t>第</w:t>
      </w:r>
      <w:r>
        <w:rPr>
          <w:bCs/>
          <w:i/>
          <w:iCs/>
          <w:szCs w:val="21"/>
        </w:rPr>
        <w:t>i</w:t>
      </w:r>
      <w:r>
        <w:rPr>
          <w:rFonts w:hint="eastAsia" w:ascii="宋体" w:hAnsi="宋体"/>
          <w:bCs/>
          <w:szCs w:val="21"/>
        </w:rPr>
        <w:t>个项目第</w:t>
      </w:r>
      <w:r>
        <w:rPr>
          <w:bCs/>
          <w:i/>
          <w:iCs/>
          <w:szCs w:val="21"/>
        </w:rPr>
        <w:t>j</w:t>
      </w:r>
      <w:r>
        <w:rPr>
          <w:rFonts w:hint="eastAsia" w:ascii="宋体" w:hAnsi="宋体"/>
          <w:bCs/>
          <w:szCs w:val="21"/>
        </w:rPr>
        <w:t>种施工机械单位台班的能源用量；</w:t>
      </w:r>
    </w:p>
    <w:p>
      <w:pPr>
        <w:spacing w:line="240" w:lineRule="auto"/>
        <w:rPr>
          <w:bCs/>
          <w:szCs w:val="21"/>
        </w:rPr>
      </w:pPr>
      <m:oMath>
        <m:r>
          <w:rPr>
            <w:rFonts w:ascii="Cambria Math" w:hAnsi="Cambria Math"/>
            <w:szCs w:val="21"/>
          </w:rPr>
          <m:t xml:space="preserve">              </m:t>
        </m:r>
        <m:r>
          <w:rPr>
            <w:rFonts w:hint="eastAsia" w:ascii="Cambria Math" w:hAnsi="Cambria Math"/>
            <w:szCs w:val="21"/>
          </w:rPr>
          <m:t>i</m:t>
        </m:r>
      </m:oMath>
      <w:r>
        <w:rPr>
          <w:rFonts w:hint="eastAsia" w:ascii="宋体" w:hAnsi="宋体"/>
          <w:bCs/>
          <w:iCs/>
          <w:szCs w:val="21"/>
        </w:rPr>
        <w:t xml:space="preserve"> </w:t>
      </w:r>
      <w:r>
        <w:rPr>
          <w:rFonts w:ascii="宋体" w:hAnsi="宋体"/>
          <w:bCs/>
          <w:iCs/>
          <w:szCs w:val="21"/>
        </w:rPr>
        <w:t xml:space="preserve">  </w:t>
      </w:r>
      <w:r>
        <w:rPr>
          <w:rFonts w:eastAsia="黑体"/>
          <w:bCs/>
          <w:szCs w:val="21"/>
        </w:rPr>
        <w:t>——</w:t>
      </w:r>
      <w:r>
        <w:rPr>
          <w:rFonts w:hint="eastAsia"/>
          <w:bCs/>
          <w:szCs w:val="21"/>
        </w:rPr>
        <w:t>拆除工程中项目序号；</w:t>
      </w:r>
    </w:p>
    <w:p>
      <w:pPr>
        <w:spacing w:line="240" w:lineRule="auto"/>
        <w:rPr>
          <w:bCs/>
          <w:szCs w:val="21"/>
        </w:rPr>
      </w:pPr>
      <m:oMath>
        <m:r>
          <w:rPr>
            <w:rFonts w:ascii="Cambria Math" w:hAnsi="Cambria Math"/>
            <w:szCs w:val="21"/>
          </w:rPr>
          <m:t xml:space="preserve">              j</m:t>
        </m:r>
      </m:oMath>
      <w:r>
        <w:rPr>
          <w:rFonts w:hint="eastAsia" w:ascii="宋体" w:hAnsi="宋体"/>
          <w:bCs/>
          <w:iCs/>
          <w:szCs w:val="21"/>
        </w:rPr>
        <w:t xml:space="preserve"> </w:t>
      </w:r>
      <w:r>
        <w:rPr>
          <w:rFonts w:ascii="宋体" w:hAnsi="宋体"/>
          <w:bCs/>
          <w:iCs/>
          <w:szCs w:val="21"/>
        </w:rPr>
        <w:t xml:space="preserve">  </w:t>
      </w:r>
      <w:r>
        <w:rPr>
          <w:rFonts w:eastAsia="黑体"/>
          <w:bCs/>
          <w:szCs w:val="21"/>
        </w:rPr>
        <w:t>——</w:t>
      </w:r>
      <w:r>
        <w:rPr>
          <w:rFonts w:hint="eastAsia"/>
          <w:bCs/>
          <w:szCs w:val="21"/>
        </w:rPr>
        <w:t>施工机械序号。</w:t>
      </w:r>
    </w:p>
    <w:p>
      <w:pPr>
        <w:spacing w:line="240" w:lineRule="auto"/>
        <w:rPr>
          <w:szCs w:val="21"/>
        </w:rPr>
      </w:pPr>
    </w:p>
    <w:p>
      <w:pPr>
        <w:spacing w:line="240" w:lineRule="auto"/>
        <w:jc w:val="left"/>
        <w:rPr>
          <w:szCs w:val="21"/>
        </w:rPr>
      </w:pPr>
    </w:p>
    <w:p>
      <w:pPr>
        <w:widowControl/>
        <w:spacing w:line="240" w:lineRule="auto"/>
        <w:jc w:val="left"/>
        <w:rPr>
          <w:rFonts w:ascii="黑体" w:hAnsi="黑体" w:eastAsia="黑体"/>
          <w:sz w:val="30"/>
          <w:szCs w:val="30"/>
        </w:rPr>
      </w:pPr>
      <w:r>
        <w:rPr>
          <w:rFonts w:ascii="黑体" w:hAnsi="黑体" w:eastAsia="黑体"/>
          <w:sz w:val="30"/>
          <w:szCs w:val="30"/>
        </w:rPr>
        <w:br w:type="page"/>
      </w:r>
    </w:p>
    <w:p>
      <w:pPr>
        <w:keepNext/>
        <w:keepLines/>
        <w:spacing w:before="360" w:after="360" w:line="240" w:lineRule="auto"/>
        <w:jc w:val="center"/>
        <w:outlineLvl w:val="0"/>
        <w:rPr>
          <w:rStyle w:val="22"/>
          <w:rFonts w:ascii="宋体" w:hAnsi="宋体" w:eastAsia="宋体"/>
          <w:b w:val="0"/>
          <w:bCs w:val="0"/>
          <w:sz w:val="28"/>
          <w:szCs w:val="28"/>
        </w:rPr>
      </w:pPr>
      <w:bookmarkStart w:id="41" w:name="_Toc149641229"/>
      <w:bookmarkStart w:id="42" w:name="_Toc24663"/>
      <w:bookmarkStart w:id="43" w:name="_Toc93998976"/>
      <w:bookmarkStart w:id="44" w:name="_Toc93999737"/>
      <w:bookmarkStart w:id="45" w:name="_Toc82523981"/>
      <w:bookmarkStart w:id="46" w:name="_Toc19755"/>
      <w:r>
        <w:rPr>
          <w:rStyle w:val="22"/>
          <w:rFonts w:hint="eastAsia" w:ascii="宋体" w:hAnsi="宋体" w:eastAsia="宋体"/>
          <w:b w:val="0"/>
          <w:bCs w:val="0"/>
          <w:sz w:val="28"/>
          <w:szCs w:val="28"/>
        </w:rPr>
        <w:t>本标准用词说明</w:t>
      </w:r>
      <w:bookmarkEnd w:id="41"/>
      <w:bookmarkEnd w:id="42"/>
      <w:bookmarkEnd w:id="43"/>
      <w:bookmarkEnd w:id="44"/>
      <w:bookmarkEnd w:id="45"/>
      <w:bookmarkEnd w:id="46"/>
    </w:p>
    <w:p>
      <w:pPr>
        <w:spacing w:line="240" w:lineRule="auto"/>
        <w:ind w:firstLine="440" w:firstLineChars="200"/>
        <w:jc w:val="left"/>
        <w:rPr>
          <w:bCs/>
          <w:szCs w:val="21"/>
        </w:rPr>
      </w:pPr>
      <w:r>
        <w:rPr>
          <w:rFonts w:hint="eastAsia"/>
          <w:b/>
          <w:szCs w:val="21"/>
        </w:rPr>
        <w:t>1</w:t>
      </w:r>
      <w:r>
        <w:rPr>
          <w:rFonts w:hint="eastAsia"/>
          <w:bCs/>
          <w:szCs w:val="21"/>
        </w:rPr>
        <w:t xml:space="preserve"> </w:t>
      </w:r>
      <w:r>
        <w:rPr>
          <w:bCs/>
          <w:szCs w:val="21"/>
        </w:rPr>
        <w:t xml:space="preserve"> </w:t>
      </w:r>
      <w:r>
        <w:rPr>
          <w:rFonts w:hint="eastAsia"/>
          <w:bCs/>
          <w:szCs w:val="21"/>
        </w:rPr>
        <w:t>为了便于在执行本标准条文时区别对待，对要求严格程度不同的用词说明如下：</w:t>
      </w:r>
    </w:p>
    <w:p>
      <w:pPr>
        <w:spacing w:line="240" w:lineRule="auto"/>
        <w:ind w:firstLine="660" w:firstLineChars="300"/>
        <w:jc w:val="left"/>
        <w:rPr>
          <w:rFonts w:cs="宋体"/>
          <w:bCs/>
          <w:szCs w:val="21"/>
        </w:rPr>
      </w:pPr>
      <w:r>
        <w:rPr>
          <w:rFonts w:hint="eastAsia" w:cs="宋体"/>
          <w:b/>
          <w:szCs w:val="21"/>
        </w:rPr>
        <w:t>1</w:t>
      </w:r>
      <w:r>
        <w:rPr>
          <w:rFonts w:hint="eastAsia" w:cs="宋体"/>
          <w:bCs/>
          <w:szCs w:val="21"/>
        </w:rPr>
        <w:t>）表示很严格，非这样做不可的用词：</w:t>
      </w:r>
    </w:p>
    <w:p>
      <w:pPr>
        <w:spacing w:line="240" w:lineRule="auto"/>
        <w:ind w:firstLine="990" w:firstLineChars="450"/>
        <w:jc w:val="left"/>
        <w:outlineLvl w:val="3"/>
        <w:rPr>
          <w:rFonts w:cs="宋体"/>
          <w:szCs w:val="21"/>
        </w:rPr>
      </w:pPr>
      <w:r>
        <w:rPr>
          <w:rFonts w:hint="eastAsia" w:cs="宋体"/>
          <w:szCs w:val="21"/>
        </w:rPr>
        <w:t>正面词采用“必须”，反面词采用“严禁”；</w:t>
      </w:r>
    </w:p>
    <w:p>
      <w:pPr>
        <w:spacing w:line="240" w:lineRule="auto"/>
        <w:ind w:firstLine="660" w:firstLineChars="300"/>
        <w:jc w:val="left"/>
        <w:outlineLvl w:val="3"/>
        <w:rPr>
          <w:rFonts w:eastAsia="黑体" w:cs="黑体"/>
          <w:szCs w:val="21"/>
        </w:rPr>
      </w:pPr>
      <w:r>
        <w:rPr>
          <w:rFonts w:hint="eastAsia" w:eastAsia="黑体"/>
          <w:b/>
          <w:bCs/>
          <w:szCs w:val="21"/>
        </w:rPr>
        <w:t>2</w:t>
      </w:r>
      <w:r>
        <w:rPr>
          <w:rFonts w:hint="eastAsia" w:eastAsia="黑体"/>
          <w:bCs/>
          <w:szCs w:val="21"/>
        </w:rPr>
        <w:t>）</w:t>
      </w:r>
      <w:r>
        <w:rPr>
          <w:rFonts w:hint="eastAsia" w:cs="宋体"/>
          <w:szCs w:val="21"/>
        </w:rPr>
        <w:t>表示严格，在正常情况下均应这样做的用词：</w:t>
      </w:r>
    </w:p>
    <w:p>
      <w:pPr>
        <w:spacing w:line="240" w:lineRule="auto"/>
        <w:ind w:firstLine="990" w:firstLineChars="450"/>
        <w:jc w:val="left"/>
        <w:rPr>
          <w:rFonts w:cs="宋体"/>
          <w:szCs w:val="21"/>
        </w:rPr>
      </w:pPr>
      <w:r>
        <w:rPr>
          <w:rFonts w:hint="eastAsia" w:cs="宋体"/>
          <w:szCs w:val="21"/>
        </w:rPr>
        <w:t>正面词采用“应”，反面词采用“不应”或“不得”；</w:t>
      </w:r>
    </w:p>
    <w:p>
      <w:pPr>
        <w:spacing w:line="240" w:lineRule="auto"/>
        <w:ind w:firstLine="660" w:firstLineChars="300"/>
        <w:jc w:val="left"/>
        <w:outlineLvl w:val="3"/>
        <w:rPr>
          <w:rFonts w:eastAsia="黑体" w:cs="黑体"/>
          <w:szCs w:val="21"/>
        </w:rPr>
      </w:pPr>
      <w:r>
        <w:rPr>
          <w:rFonts w:hint="eastAsia" w:eastAsia="黑体"/>
          <w:b/>
          <w:bCs/>
          <w:szCs w:val="21"/>
        </w:rPr>
        <w:t>3</w:t>
      </w:r>
      <w:r>
        <w:rPr>
          <w:rFonts w:hint="eastAsia" w:eastAsia="黑体"/>
          <w:bCs/>
          <w:szCs w:val="21"/>
        </w:rPr>
        <w:t>）</w:t>
      </w:r>
      <w:r>
        <w:rPr>
          <w:rFonts w:hint="eastAsia" w:cs="宋体"/>
          <w:szCs w:val="21"/>
        </w:rPr>
        <w:t>表示允许稍有选择，在条件许可时首先应这样做的用词：</w:t>
      </w:r>
    </w:p>
    <w:p>
      <w:pPr>
        <w:spacing w:line="240" w:lineRule="auto"/>
        <w:ind w:firstLine="990" w:firstLineChars="450"/>
        <w:jc w:val="left"/>
        <w:rPr>
          <w:rFonts w:cs="宋体"/>
          <w:szCs w:val="21"/>
        </w:rPr>
      </w:pPr>
      <w:r>
        <w:rPr>
          <w:rFonts w:hint="eastAsia" w:cs="宋体"/>
          <w:szCs w:val="21"/>
        </w:rPr>
        <w:t>正面词采用“宜”，反面词采用“不宜”；</w:t>
      </w:r>
    </w:p>
    <w:p>
      <w:pPr>
        <w:spacing w:line="240" w:lineRule="auto"/>
        <w:ind w:firstLine="660" w:firstLineChars="300"/>
        <w:jc w:val="left"/>
        <w:outlineLvl w:val="3"/>
        <w:rPr>
          <w:rFonts w:cs="宋体"/>
          <w:szCs w:val="21"/>
        </w:rPr>
      </w:pPr>
      <w:r>
        <w:rPr>
          <w:rFonts w:hint="eastAsia" w:eastAsia="黑体"/>
          <w:b/>
          <w:bCs/>
          <w:szCs w:val="21"/>
        </w:rPr>
        <w:t>4</w:t>
      </w:r>
      <w:r>
        <w:rPr>
          <w:rFonts w:hint="eastAsia" w:eastAsia="黑体"/>
          <w:bCs/>
          <w:szCs w:val="21"/>
        </w:rPr>
        <w:t>）</w:t>
      </w:r>
      <w:r>
        <w:rPr>
          <w:rFonts w:hint="eastAsia" w:cs="宋体"/>
          <w:szCs w:val="21"/>
        </w:rPr>
        <w:t>表示有选择，在一定条件下可以这样做的用词，采用“可”。</w:t>
      </w:r>
    </w:p>
    <w:p>
      <w:pPr>
        <w:spacing w:line="240" w:lineRule="auto"/>
        <w:ind w:firstLine="440" w:firstLineChars="200"/>
        <w:jc w:val="left"/>
        <w:rPr>
          <w:rFonts w:cs="宋体"/>
          <w:szCs w:val="21"/>
        </w:rPr>
      </w:pPr>
      <w:r>
        <w:rPr>
          <w:rFonts w:hint="eastAsia" w:eastAsia="黑体"/>
          <w:b/>
          <w:bCs/>
          <w:szCs w:val="21"/>
        </w:rPr>
        <w:t>2</w:t>
      </w:r>
      <w:r>
        <w:rPr>
          <w:rFonts w:hint="eastAsia" w:cs="宋体"/>
          <w:szCs w:val="21"/>
        </w:rPr>
        <w:t xml:space="preserve"> </w:t>
      </w:r>
      <w:r>
        <w:rPr>
          <w:rFonts w:cs="宋体"/>
          <w:szCs w:val="21"/>
        </w:rPr>
        <w:t xml:space="preserve"> </w:t>
      </w:r>
      <w:r>
        <w:rPr>
          <w:rFonts w:hint="eastAsia" w:cs="宋体"/>
          <w:szCs w:val="21"/>
        </w:rPr>
        <w:t>条文中指明应按其他有关的标准执行的写法为“应符合……的规定”或“应按……执行”。</w:t>
      </w:r>
    </w:p>
    <w:p>
      <w:pPr>
        <w:keepNext/>
        <w:keepLines/>
        <w:spacing w:before="360" w:after="360" w:line="240" w:lineRule="auto"/>
        <w:jc w:val="center"/>
        <w:outlineLvl w:val="0"/>
        <w:rPr>
          <w:rFonts w:cs="宋体"/>
          <w:bCs/>
          <w:sz w:val="28"/>
          <w:szCs w:val="28"/>
        </w:rPr>
      </w:pPr>
      <w:r>
        <w:rPr>
          <w:szCs w:val="21"/>
        </w:rPr>
        <w:br w:type="page"/>
      </w:r>
      <w:bookmarkStart w:id="47" w:name="_Toc31437"/>
      <w:bookmarkStart w:id="48" w:name="_Toc93998977"/>
      <w:bookmarkStart w:id="49" w:name="_Toc82523982"/>
      <w:bookmarkStart w:id="50" w:name="_Toc4925"/>
      <w:bookmarkStart w:id="51" w:name="_Toc149641230"/>
      <w:bookmarkStart w:id="52" w:name="_Toc93999738"/>
      <w:bookmarkStart w:id="53" w:name="_Toc25092"/>
      <w:r>
        <w:rPr>
          <w:rFonts w:hint="eastAsia" w:cs="宋体"/>
          <w:bCs/>
          <w:sz w:val="28"/>
          <w:szCs w:val="28"/>
        </w:rPr>
        <w:t>引用标准名录</w:t>
      </w:r>
      <w:bookmarkEnd w:id="47"/>
      <w:bookmarkEnd w:id="48"/>
      <w:bookmarkEnd w:id="49"/>
      <w:bookmarkEnd w:id="50"/>
      <w:bookmarkEnd w:id="51"/>
      <w:bookmarkEnd w:id="52"/>
      <w:bookmarkEnd w:id="53"/>
    </w:p>
    <w:p>
      <w:pPr>
        <w:spacing w:line="240" w:lineRule="auto"/>
        <w:ind w:firstLine="440" w:firstLineChars="200"/>
        <w:jc w:val="left"/>
        <w:rPr>
          <w:szCs w:val="21"/>
        </w:rPr>
      </w:pPr>
      <w:r>
        <w:rPr>
          <w:b/>
          <w:bCs/>
          <w:szCs w:val="21"/>
        </w:rPr>
        <w:t>1</w:t>
      </w:r>
      <w:r>
        <w:rPr>
          <w:rFonts w:hint="eastAsia"/>
          <w:b/>
          <w:szCs w:val="21"/>
        </w:rPr>
        <w:t xml:space="preserve"> </w:t>
      </w:r>
      <w:r>
        <w:rPr>
          <w:b/>
          <w:szCs w:val="21"/>
        </w:rPr>
        <w:t xml:space="preserve"> </w:t>
      </w:r>
      <w:r>
        <w:rPr>
          <w:rFonts w:hint="eastAsia"/>
          <w:szCs w:val="21"/>
        </w:rPr>
        <w:t>《建筑施工场界环境噪声排放标准》</w:t>
      </w:r>
      <w:r>
        <w:rPr>
          <w:szCs w:val="21"/>
        </w:rPr>
        <w:t>GB 12523</w:t>
      </w:r>
    </w:p>
    <w:p>
      <w:pPr>
        <w:spacing w:line="240" w:lineRule="auto"/>
        <w:ind w:firstLine="440" w:firstLineChars="200"/>
        <w:jc w:val="left"/>
        <w:rPr>
          <w:rFonts w:cs="宋体"/>
          <w:szCs w:val="21"/>
        </w:rPr>
      </w:pPr>
      <w:r>
        <w:rPr>
          <w:b/>
          <w:bCs/>
          <w:szCs w:val="21"/>
        </w:rPr>
        <w:t>2</w:t>
      </w:r>
      <w:r>
        <w:rPr>
          <w:rFonts w:hint="eastAsia"/>
          <w:b/>
          <w:szCs w:val="21"/>
        </w:rPr>
        <w:t xml:space="preserve"> </w:t>
      </w:r>
      <w:r>
        <w:rPr>
          <w:b/>
          <w:szCs w:val="21"/>
        </w:rPr>
        <w:t xml:space="preserve"> </w:t>
      </w:r>
      <w:r>
        <w:rPr>
          <w:rFonts w:hint="eastAsia" w:cs="宋体"/>
          <w:szCs w:val="21"/>
        </w:rPr>
        <w:t xml:space="preserve">《大气污染物综合排放标准》GB </w:t>
      </w:r>
      <w:r>
        <w:rPr>
          <w:rFonts w:cs="宋体"/>
          <w:szCs w:val="21"/>
        </w:rPr>
        <w:t>16297</w:t>
      </w:r>
    </w:p>
    <w:p>
      <w:pPr>
        <w:spacing w:line="240" w:lineRule="auto"/>
        <w:ind w:firstLine="440" w:firstLineChars="200"/>
        <w:jc w:val="left"/>
        <w:rPr>
          <w:rFonts w:cs="宋体"/>
          <w:szCs w:val="21"/>
        </w:rPr>
      </w:pPr>
      <w:r>
        <w:rPr>
          <w:b/>
          <w:bCs/>
          <w:szCs w:val="21"/>
        </w:rPr>
        <w:t>3</w:t>
      </w:r>
      <w:r>
        <w:rPr>
          <w:rFonts w:hint="eastAsia"/>
          <w:b/>
          <w:szCs w:val="21"/>
        </w:rPr>
        <w:t xml:space="preserve"> </w:t>
      </w:r>
      <w:r>
        <w:rPr>
          <w:b/>
          <w:szCs w:val="21"/>
        </w:rPr>
        <w:t xml:space="preserve"> </w:t>
      </w:r>
      <w:r>
        <w:rPr>
          <w:rFonts w:hint="eastAsia" w:cs="宋体"/>
          <w:szCs w:val="21"/>
        </w:rPr>
        <w:t>《混凝土和砂浆用再生细骨料》GB</w:t>
      </w:r>
      <w:r>
        <w:rPr>
          <w:rFonts w:cs="宋体"/>
          <w:szCs w:val="21"/>
        </w:rPr>
        <w:t>/T</w:t>
      </w:r>
      <w:r>
        <w:rPr>
          <w:rFonts w:hint="eastAsia" w:cs="宋体"/>
          <w:szCs w:val="21"/>
        </w:rPr>
        <w:t xml:space="preserve"> </w:t>
      </w:r>
      <w:r>
        <w:rPr>
          <w:rFonts w:cs="宋体"/>
          <w:szCs w:val="21"/>
        </w:rPr>
        <w:t>25176</w:t>
      </w:r>
    </w:p>
    <w:p>
      <w:pPr>
        <w:spacing w:line="240" w:lineRule="auto"/>
        <w:ind w:firstLine="440" w:firstLineChars="200"/>
        <w:jc w:val="left"/>
        <w:rPr>
          <w:rFonts w:cs="宋体"/>
          <w:szCs w:val="21"/>
        </w:rPr>
      </w:pPr>
      <w:r>
        <w:rPr>
          <w:b/>
          <w:bCs/>
          <w:szCs w:val="21"/>
        </w:rPr>
        <w:t>4</w:t>
      </w:r>
      <w:r>
        <w:rPr>
          <w:rFonts w:hint="eastAsia"/>
          <w:b/>
          <w:szCs w:val="21"/>
        </w:rPr>
        <w:t xml:space="preserve"> </w:t>
      </w:r>
      <w:r>
        <w:rPr>
          <w:b/>
          <w:szCs w:val="21"/>
        </w:rPr>
        <w:t xml:space="preserve"> </w:t>
      </w:r>
      <w:r>
        <w:rPr>
          <w:rFonts w:hint="eastAsia" w:cs="宋体"/>
          <w:szCs w:val="21"/>
        </w:rPr>
        <w:t>《混凝土用再生粗骨料》GB</w:t>
      </w:r>
      <w:r>
        <w:rPr>
          <w:rFonts w:cs="宋体"/>
          <w:szCs w:val="21"/>
        </w:rPr>
        <w:t>/T</w:t>
      </w:r>
      <w:r>
        <w:rPr>
          <w:rFonts w:hint="eastAsia" w:cs="宋体"/>
          <w:szCs w:val="21"/>
        </w:rPr>
        <w:t xml:space="preserve"> </w:t>
      </w:r>
      <w:r>
        <w:rPr>
          <w:rFonts w:cs="宋体"/>
          <w:szCs w:val="21"/>
        </w:rPr>
        <w:t>25177</w:t>
      </w:r>
    </w:p>
    <w:p>
      <w:pPr>
        <w:spacing w:line="240" w:lineRule="auto"/>
        <w:ind w:firstLine="440" w:firstLineChars="200"/>
        <w:jc w:val="left"/>
        <w:rPr>
          <w:rFonts w:cs="宋体"/>
          <w:szCs w:val="21"/>
        </w:rPr>
      </w:pPr>
      <w:r>
        <w:rPr>
          <w:b/>
          <w:bCs/>
          <w:szCs w:val="21"/>
        </w:rPr>
        <w:t>5</w:t>
      </w:r>
      <w:r>
        <w:rPr>
          <w:rFonts w:hint="eastAsia"/>
          <w:b/>
          <w:szCs w:val="21"/>
        </w:rPr>
        <w:t xml:space="preserve"> </w:t>
      </w:r>
      <w:r>
        <w:rPr>
          <w:b/>
          <w:szCs w:val="21"/>
        </w:rPr>
        <w:t xml:space="preserve"> </w:t>
      </w:r>
      <w:r>
        <w:rPr>
          <w:rFonts w:hint="eastAsia" w:cs="宋体"/>
          <w:szCs w:val="21"/>
        </w:rPr>
        <w:t>《砌体结构设计规范》GB 50</w:t>
      </w:r>
      <w:r>
        <w:rPr>
          <w:rFonts w:cs="宋体"/>
          <w:szCs w:val="21"/>
        </w:rPr>
        <w:t>003</w:t>
      </w:r>
    </w:p>
    <w:p>
      <w:pPr>
        <w:spacing w:line="240" w:lineRule="auto"/>
        <w:ind w:firstLine="440" w:firstLineChars="200"/>
        <w:jc w:val="left"/>
        <w:rPr>
          <w:rFonts w:cs="宋体"/>
          <w:szCs w:val="21"/>
        </w:rPr>
      </w:pPr>
      <w:r>
        <w:rPr>
          <w:rFonts w:hint="eastAsia" w:cs="宋体"/>
          <w:b/>
          <w:bCs/>
          <w:szCs w:val="21"/>
        </w:rPr>
        <w:t>6</w:t>
      </w:r>
      <w:r>
        <w:rPr>
          <w:rFonts w:cs="宋体"/>
          <w:szCs w:val="21"/>
        </w:rPr>
        <w:t xml:space="preserve">  </w:t>
      </w:r>
      <w:r>
        <w:rPr>
          <w:rFonts w:hint="eastAsia" w:cs="宋体"/>
          <w:szCs w:val="21"/>
        </w:rPr>
        <w:t>《建筑灭火器配置设计规范》</w:t>
      </w:r>
      <w:r>
        <w:rPr>
          <w:rFonts w:cs="宋体"/>
          <w:szCs w:val="21"/>
        </w:rPr>
        <w:t>GB 50140</w:t>
      </w:r>
    </w:p>
    <w:p>
      <w:pPr>
        <w:spacing w:line="240" w:lineRule="auto"/>
        <w:ind w:firstLine="440" w:firstLineChars="200"/>
        <w:jc w:val="left"/>
        <w:rPr>
          <w:rFonts w:cs="宋体"/>
          <w:szCs w:val="21"/>
        </w:rPr>
      </w:pPr>
      <w:r>
        <w:rPr>
          <w:rFonts w:hint="eastAsia" w:cs="宋体"/>
          <w:b/>
          <w:bCs/>
          <w:szCs w:val="21"/>
        </w:rPr>
        <w:t>7</w:t>
      </w:r>
      <w:r>
        <w:rPr>
          <w:rFonts w:cs="宋体"/>
          <w:szCs w:val="21"/>
        </w:rPr>
        <w:t xml:space="preserve">  </w:t>
      </w:r>
      <w:r>
        <w:rPr>
          <w:rFonts w:hint="eastAsia" w:cs="宋体"/>
          <w:szCs w:val="21"/>
        </w:rPr>
        <w:t>《建设工程施工现场消防安全技术规范》</w:t>
      </w:r>
      <w:r>
        <w:rPr>
          <w:rFonts w:cs="宋体"/>
          <w:szCs w:val="21"/>
        </w:rPr>
        <w:t>GB 50720</w:t>
      </w:r>
    </w:p>
    <w:p>
      <w:pPr>
        <w:spacing w:line="240" w:lineRule="auto"/>
        <w:ind w:firstLine="440" w:firstLineChars="200"/>
        <w:jc w:val="left"/>
        <w:rPr>
          <w:rFonts w:cs="宋体"/>
          <w:szCs w:val="21"/>
        </w:rPr>
      </w:pPr>
      <w:r>
        <w:rPr>
          <w:rFonts w:hint="eastAsia" w:cs="宋体"/>
          <w:b/>
          <w:bCs/>
          <w:szCs w:val="21"/>
        </w:rPr>
        <w:t>8</w:t>
      </w:r>
      <w:r>
        <w:rPr>
          <w:rFonts w:cs="宋体"/>
          <w:szCs w:val="21"/>
        </w:rPr>
        <w:t xml:space="preserve">  </w:t>
      </w:r>
      <w:r>
        <w:rPr>
          <w:rFonts w:hint="eastAsia" w:cs="宋体"/>
          <w:szCs w:val="21"/>
        </w:rPr>
        <w:t>《建筑工程绿色施工规范》G</w:t>
      </w:r>
      <w:r>
        <w:rPr>
          <w:rFonts w:cs="宋体"/>
          <w:szCs w:val="21"/>
        </w:rPr>
        <w:t>B</w:t>
      </w:r>
      <w:r>
        <w:rPr>
          <w:rFonts w:hint="eastAsia" w:cs="宋体"/>
          <w:szCs w:val="21"/>
        </w:rPr>
        <w:t>/</w:t>
      </w:r>
      <w:r>
        <w:rPr>
          <w:rFonts w:cs="宋体"/>
          <w:szCs w:val="21"/>
        </w:rPr>
        <w:t>T 50905</w:t>
      </w:r>
    </w:p>
    <w:p>
      <w:pPr>
        <w:spacing w:line="240" w:lineRule="auto"/>
        <w:ind w:firstLine="440" w:firstLineChars="200"/>
        <w:jc w:val="left"/>
        <w:rPr>
          <w:rFonts w:cs="宋体"/>
          <w:szCs w:val="21"/>
        </w:rPr>
      </w:pPr>
      <w:r>
        <w:rPr>
          <w:rFonts w:cs="宋体"/>
          <w:b/>
          <w:bCs/>
          <w:szCs w:val="21"/>
        </w:rPr>
        <w:t>9</w:t>
      </w:r>
      <w:r>
        <w:rPr>
          <w:rFonts w:cs="宋体"/>
          <w:szCs w:val="21"/>
        </w:rPr>
        <w:t xml:space="preserve">  </w:t>
      </w:r>
      <w:r>
        <w:rPr>
          <w:rFonts w:hint="eastAsia" w:cs="宋体"/>
          <w:szCs w:val="21"/>
        </w:rPr>
        <w:t>《建筑废弃物再生工厂设计标准》G</w:t>
      </w:r>
      <w:r>
        <w:rPr>
          <w:rFonts w:cs="宋体"/>
          <w:szCs w:val="21"/>
        </w:rPr>
        <w:t>B 51322</w:t>
      </w:r>
    </w:p>
    <w:p>
      <w:pPr>
        <w:spacing w:line="240" w:lineRule="auto"/>
        <w:ind w:firstLine="440" w:firstLineChars="200"/>
        <w:jc w:val="left"/>
        <w:rPr>
          <w:rFonts w:cs="宋体"/>
          <w:szCs w:val="21"/>
        </w:rPr>
      </w:pPr>
      <w:r>
        <w:rPr>
          <w:rFonts w:cs="宋体"/>
          <w:b/>
          <w:bCs/>
          <w:szCs w:val="21"/>
        </w:rPr>
        <w:t>10</w:t>
      </w:r>
      <w:r>
        <w:rPr>
          <w:rFonts w:cs="宋体"/>
          <w:szCs w:val="21"/>
        </w:rPr>
        <w:t xml:space="preserve">  </w:t>
      </w:r>
      <w:r>
        <w:rPr>
          <w:rFonts w:hint="eastAsia" w:cs="宋体"/>
          <w:szCs w:val="21"/>
        </w:rPr>
        <w:t>《建筑垃圾处理技术标准》CJJ/T 134</w:t>
      </w:r>
    </w:p>
    <w:p>
      <w:pPr>
        <w:spacing w:line="240" w:lineRule="auto"/>
        <w:ind w:firstLine="440" w:firstLineChars="200"/>
        <w:jc w:val="left"/>
        <w:rPr>
          <w:rFonts w:cs="宋体"/>
          <w:szCs w:val="21"/>
        </w:rPr>
      </w:pPr>
      <w:r>
        <w:rPr>
          <w:rFonts w:cs="宋体"/>
          <w:b/>
          <w:bCs/>
          <w:szCs w:val="21"/>
        </w:rPr>
        <w:t>11</w:t>
      </w:r>
      <w:r>
        <w:rPr>
          <w:rFonts w:cs="宋体"/>
          <w:szCs w:val="21"/>
        </w:rPr>
        <w:t xml:space="preserve">  </w:t>
      </w:r>
      <w:r>
        <w:rPr>
          <w:rFonts w:hint="eastAsia" w:cs="宋体"/>
          <w:szCs w:val="21"/>
        </w:rPr>
        <w:t>《施工现场临时用电安全技术规范》JGJ 46</w:t>
      </w:r>
    </w:p>
    <w:p>
      <w:pPr>
        <w:spacing w:line="240" w:lineRule="auto"/>
        <w:ind w:firstLine="440" w:firstLineChars="200"/>
        <w:jc w:val="left"/>
        <w:rPr>
          <w:rFonts w:cs="宋体"/>
          <w:szCs w:val="21"/>
        </w:rPr>
      </w:pPr>
      <w:r>
        <w:rPr>
          <w:rFonts w:cs="宋体"/>
          <w:b/>
          <w:bCs/>
          <w:szCs w:val="21"/>
        </w:rPr>
        <w:t>12</w:t>
      </w:r>
      <w:r>
        <w:rPr>
          <w:rFonts w:cs="宋体"/>
          <w:szCs w:val="21"/>
        </w:rPr>
        <w:t xml:space="preserve">  </w:t>
      </w:r>
      <w:r>
        <w:rPr>
          <w:rFonts w:hint="eastAsia" w:cs="宋体"/>
          <w:szCs w:val="21"/>
        </w:rPr>
        <w:t>《建筑拆除工程安全技术规范》JGJ 147</w:t>
      </w:r>
    </w:p>
    <w:p>
      <w:pPr>
        <w:spacing w:line="240" w:lineRule="auto"/>
        <w:ind w:firstLine="440" w:firstLineChars="200"/>
        <w:jc w:val="left"/>
        <w:rPr>
          <w:rFonts w:cs="宋体"/>
          <w:szCs w:val="21"/>
        </w:rPr>
      </w:pPr>
      <w:r>
        <w:rPr>
          <w:rFonts w:cs="宋体"/>
          <w:b/>
          <w:bCs/>
          <w:szCs w:val="21"/>
        </w:rPr>
        <w:t>13</w:t>
      </w:r>
      <w:r>
        <w:rPr>
          <w:rFonts w:cs="宋体"/>
          <w:szCs w:val="21"/>
        </w:rPr>
        <w:t xml:space="preserve">  </w:t>
      </w:r>
      <w:r>
        <w:rPr>
          <w:rFonts w:hint="eastAsia" w:cs="宋体"/>
          <w:szCs w:val="21"/>
        </w:rPr>
        <w:t>《建筑施工作业劳动防护用品配备及使用标准》JGJ 184</w:t>
      </w:r>
    </w:p>
    <w:p>
      <w:pPr>
        <w:spacing w:line="240" w:lineRule="auto"/>
        <w:ind w:firstLine="440" w:firstLineChars="200"/>
        <w:jc w:val="left"/>
        <w:rPr>
          <w:rFonts w:cs="宋体"/>
          <w:szCs w:val="21"/>
        </w:rPr>
      </w:pPr>
      <w:r>
        <w:rPr>
          <w:rFonts w:cs="宋体"/>
          <w:b/>
          <w:bCs/>
          <w:szCs w:val="21"/>
        </w:rPr>
        <w:t>14</w:t>
      </w:r>
      <w:r>
        <w:rPr>
          <w:rFonts w:cs="宋体"/>
          <w:szCs w:val="21"/>
        </w:rPr>
        <w:t xml:space="preserve">  </w:t>
      </w:r>
      <w:r>
        <w:rPr>
          <w:rFonts w:hint="eastAsia" w:cs="宋体"/>
          <w:szCs w:val="21"/>
        </w:rPr>
        <w:t>《抹灰砂浆技术规程》JGJ/T 220</w:t>
      </w:r>
    </w:p>
    <w:p>
      <w:pPr>
        <w:spacing w:line="240" w:lineRule="auto"/>
        <w:ind w:firstLine="440" w:firstLineChars="200"/>
        <w:jc w:val="left"/>
        <w:rPr>
          <w:rFonts w:cs="宋体"/>
          <w:szCs w:val="21"/>
        </w:rPr>
      </w:pPr>
      <w:r>
        <w:rPr>
          <w:rFonts w:cs="宋体"/>
          <w:b/>
          <w:bCs/>
          <w:szCs w:val="21"/>
        </w:rPr>
        <w:t>15</w:t>
      </w:r>
      <w:r>
        <w:rPr>
          <w:rFonts w:cs="宋体"/>
          <w:szCs w:val="21"/>
        </w:rPr>
        <w:t xml:space="preserve">  </w:t>
      </w:r>
      <w:r>
        <w:rPr>
          <w:rFonts w:hint="eastAsia" w:cs="宋体"/>
          <w:szCs w:val="21"/>
        </w:rPr>
        <w:t>《道路用建筑垃圾再生骨料无机混合料》JC/T 2281</w:t>
      </w:r>
    </w:p>
    <w:p>
      <w:pPr>
        <w:spacing w:line="240" w:lineRule="auto"/>
        <w:ind w:firstLine="440" w:firstLineChars="200"/>
        <w:jc w:val="left"/>
        <w:rPr>
          <w:rFonts w:cs="宋体"/>
          <w:szCs w:val="21"/>
        </w:rPr>
      </w:pPr>
      <w:r>
        <w:rPr>
          <w:rFonts w:cs="宋体"/>
          <w:b/>
          <w:bCs/>
          <w:szCs w:val="21"/>
        </w:rPr>
        <w:t>16</w:t>
      </w:r>
      <w:r>
        <w:rPr>
          <w:rFonts w:cs="宋体"/>
          <w:szCs w:val="21"/>
        </w:rPr>
        <w:t xml:space="preserve">  </w:t>
      </w:r>
      <w:r>
        <w:rPr>
          <w:rFonts w:hint="eastAsia" w:cs="宋体"/>
          <w:szCs w:val="21"/>
        </w:rPr>
        <w:t>《固定式建筑垃圾处置技术规程》JC/T 2546</w:t>
      </w:r>
    </w:p>
    <w:p>
      <w:pPr>
        <w:spacing w:line="240" w:lineRule="auto"/>
        <w:ind w:firstLine="440" w:firstLineChars="200"/>
        <w:jc w:val="left"/>
        <w:rPr>
          <w:rFonts w:cs="宋体"/>
          <w:szCs w:val="21"/>
        </w:rPr>
      </w:pPr>
      <w:r>
        <w:rPr>
          <w:rFonts w:cs="宋体"/>
          <w:b/>
          <w:bCs/>
          <w:szCs w:val="21"/>
        </w:rPr>
        <w:t>17</w:t>
      </w:r>
      <w:r>
        <w:rPr>
          <w:rFonts w:cs="宋体"/>
          <w:szCs w:val="21"/>
        </w:rPr>
        <w:t xml:space="preserve">  </w:t>
      </w:r>
      <w:r>
        <w:rPr>
          <w:rFonts w:hint="eastAsia" w:cs="宋体"/>
          <w:szCs w:val="21"/>
        </w:rPr>
        <w:t>《建筑拆除工程安全技术规范》JGJ</w:t>
      </w:r>
      <w:r>
        <w:rPr>
          <w:rFonts w:cs="宋体"/>
          <w:szCs w:val="21"/>
        </w:rPr>
        <w:t xml:space="preserve"> </w:t>
      </w:r>
      <w:r>
        <w:rPr>
          <w:rFonts w:hint="eastAsia" w:cs="宋体"/>
          <w:szCs w:val="21"/>
        </w:rPr>
        <w:t>147</w:t>
      </w:r>
    </w:p>
    <w:p>
      <w:pPr>
        <w:spacing w:line="240" w:lineRule="auto"/>
        <w:ind w:firstLine="440" w:firstLineChars="200"/>
        <w:jc w:val="left"/>
        <w:rPr>
          <w:rFonts w:cs="宋体"/>
          <w:szCs w:val="21"/>
        </w:rPr>
      </w:pPr>
      <w:r>
        <w:rPr>
          <w:rFonts w:cs="宋体"/>
          <w:b/>
          <w:bCs/>
          <w:szCs w:val="21"/>
        </w:rPr>
        <w:t>18</w:t>
      </w:r>
      <w:r>
        <w:rPr>
          <w:rFonts w:cs="宋体"/>
          <w:szCs w:val="21"/>
        </w:rPr>
        <w:t xml:space="preserve">  </w:t>
      </w:r>
      <w:r>
        <w:rPr>
          <w:rFonts w:hint="eastAsia" w:cs="宋体"/>
          <w:szCs w:val="21"/>
        </w:rPr>
        <w:t>《建筑机械使用安全技术规程》JGJ</w:t>
      </w:r>
      <w:r>
        <w:rPr>
          <w:rFonts w:cs="宋体"/>
          <w:szCs w:val="21"/>
        </w:rPr>
        <w:t xml:space="preserve"> </w:t>
      </w:r>
      <w:r>
        <w:rPr>
          <w:rFonts w:hint="eastAsia" w:cs="宋体"/>
          <w:szCs w:val="21"/>
        </w:rPr>
        <w:t>33</w:t>
      </w:r>
    </w:p>
    <w:p>
      <w:pPr>
        <w:spacing w:line="240" w:lineRule="auto"/>
        <w:ind w:firstLine="440" w:firstLineChars="200"/>
        <w:jc w:val="left"/>
        <w:rPr>
          <w:rFonts w:cs="宋体"/>
          <w:szCs w:val="21"/>
        </w:rPr>
      </w:pPr>
      <w:r>
        <w:rPr>
          <w:rFonts w:cs="宋体"/>
          <w:b/>
          <w:bCs/>
          <w:szCs w:val="21"/>
        </w:rPr>
        <w:t>19</w:t>
      </w:r>
      <w:r>
        <w:rPr>
          <w:rFonts w:cs="宋体"/>
          <w:szCs w:val="21"/>
        </w:rPr>
        <w:t xml:space="preserve">  </w:t>
      </w:r>
      <w:r>
        <w:rPr>
          <w:rFonts w:hint="eastAsia" w:cs="宋体"/>
          <w:szCs w:val="21"/>
        </w:rPr>
        <w:t>《建筑施工扣件式钢管脚手架安全技术规范》JGJ</w:t>
      </w:r>
      <w:r>
        <w:rPr>
          <w:rFonts w:cs="宋体"/>
          <w:szCs w:val="21"/>
        </w:rPr>
        <w:t xml:space="preserve"> </w:t>
      </w:r>
      <w:r>
        <w:rPr>
          <w:rFonts w:hint="eastAsia" w:cs="宋体"/>
          <w:szCs w:val="21"/>
        </w:rPr>
        <w:t>130</w:t>
      </w:r>
    </w:p>
    <w:p>
      <w:pPr>
        <w:spacing w:line="240" w:lineRule="auto"/>
        <w:ind w:firstLine="440" w:firstLineChars="200"/>
        <w:jc w:val="left"/>
        <w:rPr>
          <w:rFonts w:cs="宋体"/>
          <w:szCs w:val="21"/>
        </w:rPr>
      </w:pPr>
      <w:r>
        <w:rPr>
          <w:rFonts w:cs="宋体"/>
          <w:b/>
          <w:bCs/>
          <w:szCs w:val="21"/>
        </w:rPr>
        <w:t>20</w:t>
      </w:r>
      <w:r>
        <w:rPr>
          <w:rFonts w:cs="宋体"/>
          <w:szCs w:val="21"/>
        </w:rPr>
        <w:t xml:space="preserve">  </w:t>
      </w:r>
      <w:r>
        <w:rPr>
          <w:rFonts w:hint="eastAsia" w:cs="宋体"/>
          <w:szCs w:val="21"/>
        </w:rPr>
        <w:t>《拆除临时用电安全技术规范》JGJ</w:t>
      </w:r>
      <w:r>
        <w:rPr>
          <w:rFonts w:cs="宋体"/>
          <w:szCs w:val="21"/>
        </w:rPr>
        <w:t xml:space="preserve"> </w:t>
      </w:r>
      <w:r>
        <w:rPr>
          <w:rFonts w:hint="eastAsia" w:cs="宋体"/>
          <w:szCs w:val="21"/>
        </w:rPr>
        <w:t>46</w:t>
      </w:r>
    </w:p>
    <w:p>
      <w:pPr>
        <w:spacing w:line="240" w:lineRule="auto"/>
        <w:ind w:firstLine="440" w:firstLineChars="200"/>
        <w:jc w:val="left"/>
        <w:rPr>
          <w:rFonts w:cs="宋体"/>
          <w:szCs w:val="21"/>
        </w:rPr>
      </w:pPr>
      <w:r>
        <w:rPr>
          <w:rFonts w:cs="宋体"/>
          <w:b/>
          <w:bCs/>
          <w:szCs w:val="21"/>
        </w:rPr>
        <w:t>21</w:t>
      </w:r>
      <w:r>
        <w:rPr>
          <w:rFonts w:cs="宋体"/>
          <w:szCs w:val="21"/>
        </w:rPr>
        <w:t xml:space="preserve">  </w:t>
      </w:r>
      <w:r>
        <w:rPr>
          <w:rFonts w:hint="eastAsia" w:cs="宋体"/>
          <w:szCs w:val="21"/>
        </w:rPr>
        <w:t>《文明施工规范》DG</w:t>
      </w:r>
      <w:r>
        <w:rPr>
          <w:rFonts w:cs="宋体"/>
          <w:szCs w:val="21"/>
        </w:rPr>
        <w:t>/T</w:t>
      </w:r>
      <w:r>
        <w:rPr>
          <w:rFonts w:hint="eastAsia" w:cs="宋体"/>
          <w:szCs w:val="21"/>
        </w:rPr>
        <w:t>J</w:t>
      </w:r>
      <w:r>
        <w:rPr>
          <w:rFonts w:cs="宋体"/>
          <w:szCs w:val="21"/>
        </w:rPr>
        <w:t xml:space="preserve"> </w:t>
      </w:r>
      <w:r>
        <w:rPr>
          <w:rFonts w:hint="eastAsia" w:cs="宋体"/>
          <w:szCs w:val="21"/>
        </w:rPr>
        <w:t>08-2102</w:t>
      </w:r>
    </w:p>
    <w:p>
      <w:pPr>
        <w:spacing w:line="240" w:lineRule="auto"/>
        <w:ind w:firstLine="440" w:firstLineChars="200"/>
        <w:jc w:val="left"/>
        <w:rPr>
          <w:rFonts w:cs="宋体"/>
          <w:szCs w:val="21"/>
        </w:rPr>
      </w:pPr>
      <w:r>
        <w:rPr>
          <w:rFonts w:hint="eastAsia" w:cs="宋体"/>
          <w:b/>
          <w:bCs/>
          <w:szCs w:val="21"/>
        </w:rPr>
        <w:t>2</w:t>
      </w:r>
      <w:r>
        <w:rPr>
          <w:rFonts w:cs="宋体"/>
          <w:b/>
          <w:bCs/>
          <w:szCs w:val="21"/>
        </w:rPr>
        <w:t>2</w:t>
      </w:r>
      <w:r>
        <w:rPr>
          <w:rFonts w:cs="宋体"/>
          <w:szCs w:val="21"/>
        </w:rPr>
        <w:t xml:space="preserve">  </w:t>
      </w:r>
      <w:r>
        <w:rPr>
          <w:rFonts w:hint="eastAsia" w:cs="宋体"/>
          <w:szCs w:val="21"/>
        </w:rPr>
        <w:t>《建筑机械与设备 噪声限值和噪声测量方法》JG/T 5079.2-1996</w:t>
      </w:r>
    </w:p>
    <w:p>
      <w:pPr>
        <w:spacing w:line="240" w:lineRule="auto"/>
        <w:ind w:firstLine="440" w:firstLineChars="200"/>
        <w:jc w:val="left"/>
        <w:rPr>
          <w:rFonts w:cs="宋体"/>
          <w:szCs w:val="21"/>
        </w:rPr>
      </w:pPr>
      <w:r>
        <w:rPr>
          <w:rFonts w:cs="宋体"/>
          <w:b/>
          <w:bCs/>
          <w:szCs w:val="21"/>
        </w:rPr>
        <w:t>23</w:t>
      </w:r>
      <w:r>
        <w:rPr>
          <w:rFonts w:cs="宋体"/>
          <w:szCs w:val="21"/>
        </w:rPr>
        <w:t xml:space="preserve">  </w:t>
      </w:r>
      <w:r>
        <w:rPr>
          <w:rFonts w:hint="eastAsia" w:cs="宋体"/>
          <w:szCs w:val="21"/>
        </w:rPr>
        <w:t>《硫化橡胶或热塑性橡胶 在常温和高温下压缩应力松弛的测定》GB/T</w:t>
      </w:r>
      <w:r>
        <w:rPr>
          <w:rFonts w:cs="宋体"/>
          <w:szCs w:val="21"/>
        </w:rPr>
        <w:t xml:space="preserve"> </w:t>
      </w:r>
      <w:r>
        <w:rPr>
          <w:rFonts w:hint="eastAsia" w:cs="宋体"/>
          <w:szCs w:val="21"/>
        </w:rPr>
        <w:t>1685</w:t>
      </w:r>
    </w:p>
    <w:p>
      <w:pPr>
        <w:spacing w:line="240" w:lineRule="auto"/>
        <w:ind w:firstLine="440" w:firstLineChars="200"/>
        <w:jc w:val="left"/>
        <w:rPr>
          <w:rFonts w:cs="宋体"/>
          <w:szCs w:val="21"/>
        </w:rPr>
      </w:pPr>
      <w:r>
        <w:rPr>
          <w:rFonts w:cs="宋体"/>
          <w:b/>
          <w:bCs/>
          <w:szCs w:val="21"/>
        </w:rPr>
        <w:t>24</w:t>
      </w:r>
      <w:r>
        <w:rPr>
          <w:rFonts w:cs="宋体"/>
          <w:szCs w:val="21"/>
        </w:rPr>
        <w:t xml:space="preserve">  </w:t>
      </w:r>
      <w:r>
        <w:rPr>
          <w:rFonts w:hint="eastAsia" w:cs="宋体"/>
          <w:szCs w:val="21"/>
        </w:rPr>
        <w:t>《机械电气安全 机械电气设备》GB/T 5226</w:t>
      </w:r>
    </w:p>
    <w:p>
      <w:pPr>
        <w:spacing w:line="240" w:lineRule="auto"/>
        <w:ind w:firstLine="440" w:firstLineChars="200"/>
        <w:jc w:val="left"/>
        <w:rPr>
          <w:rFonts w:cs="宋体"/>
          <w:szCs w:val="21"/>
        </w:rPr>
      </w:pPr>
      <w:r>
        <w:rPr>
          <w:rFonts w:cs="宋体"/>
          <w:b/>
          <w:bCs/>
          <w:szCs w:val="21"/>
        </w:rPr>
        <w:t>25</w:t>
      </w:r>
      <w:r>
        <w:rPr>
          <w:rFonts w:cs="宋体"/>
          <w:szCs w:val="21"/>
        </w:rPr>
        <w:t xml:space="preserve">  </w:t>
      </w:r>
      <w:r>
        <w:rPr>
          <w:rFonts w:hint="eastAsia" w:cs="宋体"/>
          <w:szCs w:val="21"/>
        </w:rPr>
        <w:t>《图形符号 安全色和安全标志》GB</w:t>
      </w:r>
      <w:r>
        <w:rPr>
          <w:rFonts w:cs="宋体"/>
          <w:szCs w:val="21"/>
        </w:rPr>
        <w:t xml:space="preserve"> </w:t>
      </w:r>
      <w:r>
        <w:rPr>
          <w:rFonts w:hint="eastAsia" w:cs="宋体"/>
          <w:szCs w:val="21"/>
        </w:rPr>
        <w:t>2893</w:t>
      </w:r>
    </w:p>
    <w:p>
      <w:pPr>
        <w:spacing w:line="240" w:lineRule="auto"/>
        <w:ind w:firstLine="440" w:firstLineChars="200"/>
        <w:jc w:val="left"/>
        <w:rPr>
          <w:rFonts w:cs="宋体"/>
          <w:szCs w:val="21"/>
        </w:rPr>
        <w:sectPr>
          <w:footerReference r:id="rId5" w:type="default"/>
          <w:pgSz w:w="11906" w:h="16838"/>
          <w:pgMar w:top="1610" w:right="1349" w:bottom="1213" w:left="1293" w:header="851" w:footer="992" w:gutter="0"/>
          <w:pgNumType w:start="1"/>
          <w:cols w:space="425" w:num="1"/>
          <w:docGrid w:type="linesAndChars" w:linePitch="333" w:charSpace="2165"/>
        </w:sectPr>
      </w:pPr>
      <w:r>
        <w:rPr>
          <w:rFonts w:cs="宋体"/>
          <w:szCs w:val="21"/>
        </w:rPr>
        <w:t xml:space="preserve"> </w:t>
      </w:r>
    </w:p>
    <w:p>
      <w:pPr>
        <w:widowControl/>
        <w:jc w:val="center"/>
        <w:rPr>
          <w:rFonts w:ascii="Calibri" w:hAnsi="Calibri" w:eastAsia="黑体"/>
          <w:sz w:val="32"/>
          <w:szCs w:val="32"/>
        </w:rPr>
      </w:pPr>
    </w:p>
    <w:p>
      <w:pPr>
        <w:spacing w:line="240" w:lineRule="auto"/>
        <w:ind w:right="-42"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ascii="宋体" w:hAnsi="宋体"/>
          <w:b/>
          <w:bCs/>
          <w:sz w:val="32"/>
          <w:szCs w:val="32"/>
        </w:rPr>
      </w:pPr>
      <w:r>
        <w:rPr>
          <w:rFonts w:hint="eastAsia" w:ascii="宋体" w:hAnsi="宋体"/>
          <w:b/>
          <w:bCs/>
          <w:sz w:val="32"/>
          <w:szCs w:val="32"/>
        </w:rPr>
        <w:t>X</w:t>
      </w:r>
      <w:r>
        <w:rPr>
          <w:rFonts w:ascii="宋体" w:hAnsi="宋体"/>
          <w:b/>
          <w:bCs/>
          <w:sz w:val="32"/>
          <w:szCs w:val="32"/>
        </w:rPr>
        <w:t xml:space="preserve">X </w:t>
      </w:r>
      <w:r>
        <w:rPr>
          <w:rFonts w:hint="eastAsia" w:ascii="宋体" w:hAnsi="宋体"/>
          <w:b/>
          <w:bCs/>
          <w:sz w:val="32"/>
          <w:szCs w:val="32"/>
        </w:rPr>
        <w:t>标准</w:t>
      </w:r>
    </w:p>
    <w:p>
      <w:pPr>
        <w:spacing w:line="240" w:lineRule="auto"/>
        <w:jc w:val="center"/>
        <w:rPr>
          <w:rFonts w:ascii="宋体" w:hAnsi="宋体"/>
          <w:b/>
          <w:bCs/>
          <w:sz w:val="32"/>
          <w:szCs w:val="32"/>
        </w:rPr>
      </w:pPr>
    </w:p>
    <w:p>
      <w:pPr>
        <w:spacing w:line="240" w:lineRule="auto"/>
        <w:jc w:val="center"/>
        <w:rPr>
          <w:b/>
          <w:sz w:val="30"/>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202X</w:t>
      </w:r>
    </w:p>
    <w:p>
      <w:pPr>
        <w:ind w:firstLine="480"/>
      </w:pPr>
    </w:p>
    <w:p>
      <w:pPr>
        <w:ind w:firstLine="480"/>
      </w:pPr>
    </w:p>
    <w:p>
      <w:pPr>
        <w:jc w:val="center"/>
        <w:outlineLvl w:val="0"/>
        <w:rPr>
          <w:b/>
          <w:sz w:val="36"/>
          <w:szCs w:val="36"/>
        </w:rPr>
      </w:pPr>
      <w:bookmarkStart w:id="54" w:name="_Toc80871088"/>
      <w:bookmarkStart w:id="55" w:name="_Toc149641231"/>
      <w:bookmarkStart w:id="56" w:name="_Toc93998978"/>
      <w:bookmarkStart w:id="57" w:name="_Toc93677055"/>
      <w:bookmarkStart w:id="58" w:name="_Toc48203206"/>
      <w:bookmarkStart w:id="59" w:name="_Toc48203657"/>
      <w:bookmarkStart w:id="60" w:name="_Toc93350498"/>
      <w:bookmarkStart w:id="61" w:name="_Toc49879944"/>
      <w:bookmarkStart w:id="62" w:name="_Toc93389587"/>
      <w:bookmarkStart w:id="63" w:name="_Toc80881037"/>
      <w:bookmarkStart w:id="64" w:name="_Toc93999739"/>
      <w:bookmarkStart w:id="65" w:name="_Toc49851384"/>
      <w:bookmarkStart w:id="66" w:name="_Toc49876765"/>
      <w:bookmarkStart w:id="67" w:name="_Toc49880526"/>
      <w:bookmarkStart w:id="68" w:name="_Toc93909047"/>
      <w:bookmarkStart w:id="69" w:name="_Toc92982247"/>
      <w:bookmarkStart w:id="70" w:name="_Toc48203498"/>
      <w:r>
        <w:rPr>
          <w:b/>
          <w:sz w:val="36"/>
          <w:szCs w:val="36"/>
        </w:rPr>
        <w:t>条文说明</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ind w:firstLine="723"/>
        <w:rPr>
          <w:b/>
          <w:sz w:val="36"/>
          <w:szCs w:val="36"/>
        </w:rPr>
      </w:pPr>
    </w:p>
    <w:p>
      <w:pPr>
        <w:ind w:firstLine="723"/>
        <w:rPr>
          <w:b/>
          <w:sz w:val="36"/>
          <w:szCs w:val="36"/>
        </w:rPr>
      </w:pPr>
    </w:p>
    <w:p>
      <w:pPr>
        <w:widowControl/>
        <w:jc w:val="left"/>
        <w:rPr>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right"/>
        <w:rPr>
          <w:rFonts w:ascii="宋体" w:hAnsi="宋体"/>
          <w:szCs w:val="21"/>
        </w:rPr>
      </w:pPr>
    </w:p>
    <w:p>
      <w:pPr>
        <w:pStyle w:val="9"/>
        <w:spacing w:before="360" w:after="360"/>
        <w:ind w:firstLine="0"/>
        <w:jc w:val="center"/>
      </w:pPr>
      <w:r>
        <w:rPr>
          <w:rFonts w:hint="eastAsia" w:ascii="仿宋" w:hAnsi="仿宋" w:eastAsia="仿宋" w:cs="Times New Roman"/>
          <w:sz w:val="28"/>
          <w:szCs w:val="28"/>
        </w:rPr>
        <w:t xml:space="preserve">目 </w:t>
      </w:r>
      <w:r>
        <w:rPr>
          <w:rFonts w:ascii="仿宋" w:hAnsi="仿宋" w:eastAsia="仿宋" w:cs="Times New Roman"/>
          <w:sz w:val="28"/>
          <w:szCs w:val="28"/>
        </w:rPr>
        <w:t xml:space="preserve">   </w:t>
      </w:r>
      <w:r>
        <w:rPr>
          <w:rFonts w:hint="eastAsia" w:ascii="仿宋" w:hAnsi="仿宋" w:eastAsia="仿宋" w:cs="Times New Roman"/>
          <w:sz w:val="28"/>
          <w:szCs w:val="28"/>
        </w:rPr>
        <w:t>次</w:t>
      </w:r>
    </w:p>
    <w:sdt>
      <w:sdtPr>
        <w:rPr>
          <w:rFonts w:asciiTheme="minorHAnsi" w:hAnsiTheme="minorHAnsi" w:eastAsiaTheme="minorEastAsia" w:cstheme="minorBidi"/>
          <w:color w:val="auto"/>
          <w:kern w:val="2"/>
          <w:sz w:val="21"/>
          <w:szCs w:val="22"/>
          <w:lang w:val="zh-CN"/>
        </w:rPr>
        <w:id w:val="-1734377819"/>
        <w:docPartObj>
          <w:docPartGallery w:val="Table of Contents"/>
          <w:docPartUnique/>
        </w:docPartObj>
      </w:sdtPr>
      <w:sdtEndPr>
        <w:rPr>
          <w:rFonts w:ascii="Times New Roman" w:hAnsi="Times New Roman" w:eastAsia="宋体" w:cs="Times New Roman"/>
          <w:b/>
          <w:bCs/>
          <w:color w:val="auto"/>
          <w:kern w:val="2"/>
          <w:sz w:val="21"/>
          <w:szCs w:val="22"/>
          <w:lang w:val="zh-CN"/>
        </w:rPr>
      </w:sdtEndPr>
      <w:sdtContent>
        <w:p>
          <w:pPr>
            <w:pStyle w:val="27"/>
          </w:pPr>
        </w:p>
        <w:p>
          <w:pPr>
            <w:pStyle w:val="9"/>
            <w:tabs>
              <w:tab w:val="clear" w:pos="1050"/>
            </w:tabs>
            <w:ind w:firstLine="0"/>
            <w:rPr>
              <w:rFonts w:ascii="宋体" w:hAnsi="宋体" w:eastAsia="宋体" w:cs="Times New Roman"/>
            </w:rPr>
          </w:pPr>
          <w:r>
            <w:rPr>
              <w:rFonts w:ascii="宋体" w:hAnsi="宋体" w:eastAsia="宋体" w:cs="Times New Roman"/>
            </w:rPr>
            <w:fldChar w:fldCharType="begin"/>
          </w:r>
          <w:r>
            <w:rPr>
              <w:rFonts w:ascii="宋体" w:hAnsi="宋体" w:eastAsia="宋体" w:cs="Times New Roman"/>
            </w:rPr>
            <w:instrText xml:space="preserve"> TOC \o "1-3" \h \z \u </w:instrText>
          </w:r>
          <w:r>
            <w:rPr>
              <w:rFonts w:ascii="宋体" w:hAnsi="宋体" w:eastAsia="宋体" w:cs="Times New Roman"/>
            </w:rPr>
            <w:fldChar w:fldCharType="separate"/>
          </w:r>
          <w:r>
            <w:fldChar w:fldCharType="begin"/>
          </w:r>
          <w:r>
            <w:instrText xml:space="preserve"> HYPERLINK \l "_Toc149641201" </w:instrText>
          </w:r>
          <w:r>
            <w:fldChar w:fldCharType="separate"/>
          </w:r>
          <w:r>
            <w:rPr>
              <w:rFonts w:ascii="宋体" w:hAnsi="宋体" w:eastAsia="宋体" w:cs="Times New Roman"/>
            </w:rPr>
            <w:t>1</w:t>
          </w:r>
          <w:r>
            <w:rPr>
              <w:rFonts w:eastAsia="宋体" w:cs="Times New Roman"/>
            </w:rPr>
            <w:t xml:space="preserve">  总则</w:t>
          </w:r>
          <w:r>
            <w:rPr>
              <w:rFonts w:ascii="宋体" w:hAnsi="宋体" w:eastAsia="宋体" w:cs="Times New Roman"/>
            </w:rPr>
            <w:tab/>
          </w:r>
          <w:r>
            <w:rPr>
              <w:rFonts w:ascii="宋体" w:hAnsi="宋体" w:eastAsia="宋体" w:cs="Times New Roman"/>
            </w:rPr>
            <w:t>3</w:t>
          </w:r>
          <w:r>
            <w:rPr>
              <w:rFonts w:ascii="宋体" w:hAnsi="宋体" w:eastAsia="宋体" w:cs="Times New Roman"/>
            </w:rPr>
            <w:fldChar w:fldCharType="begin"/>
          </w:r>
          <w:r>
            <w:rPr>
              <w:rFonts w:ascii="宋体" w:hAnsi="宋体" w:eastAsia="宋体" w:cs="Times New Roman"/>
            </w:rPr>
            <w:instrText xml:space="preserve"> PAGEREF _Toc149641201 \h </w:instrText>
          </w:r>
          <w:r>
            <w:rPr>
              <w:rFonts w:ascii="宋体" w:hAnsi="宋体" w:eastAsia="宋体" w:cs="Times New Roman"/>
            </w:rPr>
            <w:fldChar w:fldCharType="separate"/>
          </w:r>
          <w:r>
            <w:rPr>
              <w:rFonts w:ascii="宋体" w:hAnsi="宋体" w:eastAsia="宋体" w:cs="Times New Roman"/>
            </w:rPr>
            <w:t>5</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fldChar w:fldCharType="begin"/>
          </w:r>
          <w:r>
            <w:instrText xml:space="preserve"> HYPERLINK \l "_Toc149641203" </w:instrText>
          </w:r>
          <w:r>
            <w:fldChar w:fldCharType="separate"/>
          </w:r>
          <w:r>
            <w:rPr>
              <w:rFonts w:ascii="宋体" w:hAnsi="宋体" w:eastAsia="宋体" w:cs="Times New Roman"/>
            </w:rPr>
            <w:t>3</w:t>
          </w:r>
          <w:r>
            <w:rPr>
              <w:rFonts w:eastAsia="宋体" w:cs="Times New Roman"/>
            </w:rPr>
            <w:t xml:space="preserve">  一般规定</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36</w:t>
          </w:r>
        </w:p>
        <w:p>
          <w:pPr>
            <w:pStyle w:val="9"/>
            <w:ind w:firstLine="0"/>
            <w:rPr>
              <w:rFonts w:ascii="宋体" w:hAnsi="宋体" w:eastAsia="宋体" w:cs="Times New Roman"/>
            </w:rPr>
          </w:pPr>
          <w:r>
            <w:fldChar w:fldCharType="begin"/>
          </w:r>
          <w:r>
            <w:instrText xml:space="preserve"> HYPERLINK \l "_Toc149641204" </w:instrText>
          </w:r>
          <w:r>
            <w:fldChar w:fldCharType="separate"/>
          </w:r>
          <w:r>
            <w:rPr>
              <w:rFonts w:ascii="宋体" w:hAnsi="宋体" w:eastAsia="宋体" w:cs="Times New Roman"/>
            </w:rPr>
            <w:t>4</w:t>
          </w:r>
          <w:r>
            <w:rPr>
              <w:rFonts w:eastAsia="宋体" w:cs="Times New Roman"/>
            </w:rPr>
            <w:t xml:space="preserve">  施工组织设计</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37</w:t>
          </w:r>
        </w:p>
        <w:p>
          <w:pPr>
            <w:pStyle w:val="9"/>
            <w:ind w:firstLine="0"/>
            <w:rPr>
              <w:rFonts w:ascii="宋体" w:hAnsi="宋体" w:eastAsia="宋体" w:cs="Times New Roman"/>
            </w:rPr>
          </w:pPr>
          <w:r>
            <w:fldChar w:fldCharType="begin"/>
          </w:r>
          <w:r>
            <w:instrText xml:space="preserve"> HYPERLINK \l "_Toc149641207" </w:instrText>
          </w:r>
          <w:r>
            <w:fldChar w:fldCharType="separate"/>
          </w:r>
          <w:r>
            <w:rPr>
              <w:rFonts w:ascii="宋体" w:hAnsi="宋体" w:eastAsia="宋体" w:cs="Times New Roman"/>
            </w:rPr>
            <w:t>5</w:t>
          </w:r>
          <w:r>
            <w:rPr>
              <w:rFonts w:eastAsia="宋体" w:cs="Times New Roman"/>
            </w:rPr>
            <w:t xml:space="preserve">  绿色拆除作业</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38</w:t>
          </w:r>
        </w:p>
        <w:p>
          <w:pPr>
            <w:pStyle w:val="9"/>
            <w:ind w:firstLine="0"/>
            <w:rPr>
              <w:rFonts w:ascii="宋体" w:hAnsi="宋体" w:eastAsia="宋体" w:cs="Times New Roman"/>
            </w:rPr>
          </w:pPr>
          <w:r>
            <w:fldChar w:fldCharType="begin"/>
          </w:r>
          <w:r>
            <w:instrText xml:space="preserve"> HYPERLINK \l "_Toc149641211" </w:instrText>
          </w:r>
          <w:r>
            <w:fldChar w:fldCharType="separate"/>
          </w:r>
          <w:r>
            <w:rPr>
              <w:rFonts w:ascii="宋体" w:hAnsi="宋体" w:eastAsia="宋体" w:cs="Times New Roman"/>
            </w:rPr>
            <w:t>6</w:t>
          </w:r>
          <w:r>
            <w:rPr>
              <w:rFonts w:eastAsia="宋体" w:cs="Times New Roman"/>
            </w:rPr>
            <w:t xml:space="preserve">  反向建造工序拆除</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39</w:t>
          </w:r>
        </w:p>
        <w:p>
          <w:pPr>
            <w:pStyle w:val="9"/>
            <w:ind w:firstLine="0"/>
            <w:rPr>
              <w:rFonts w:ascii="宋体" w:hAnsi="宋体" w:eastAsia="宋体" w:cs="Times New Roman"/>
            </w:rPr>
          </w:pPr>
          <w:r>
            <w:fldChar w:fldCharType="begin"/>
          </w:r>
          <w:r>
            <w:instrText xml:space="preserve"> HYPERLINK \l "_Toc149641216" </w:instrText>
          </w:r>
          <w:r>
            <w:fldChar w:fldCharType="separate"/>
          </w:r>
          <w:r>
            <w:rPr>
              <w:rFonts w:ascii="宋体" w:hAnsi="宋体" w:eastAsia="宋体" w:cs="Times New Roman"/>
            </w:rPr>
            <w:t>7</w:t>
          </w:r>
          <w:r>
            <w:rPr>
              <w:rFonts w:eastAsia="宋体" w:cs="Times New Roman"/>
            </w:rPr>
            <w:t xml:space="preserve">  现场减量化方案</w:t>
          </w:r>
          <w:r>
            <w:rPr>
              <w:rFonts w:ascii="宋体" w:hAnsi="宋体" w:eastAsia="宋体" w:cs="Times New Roman"/>
            </w:rPr>
            <w:tab/>
          </w:r>
          <w:r>
            <w:rPr>
              <w:rFonts w:ascii="宋体" w:hAnsi="宋体" w:eastAsia="宋体" w:cs="Times New Roman"/>
            </w:rPr>
            <w:fldChar w:fldCharType="begin"/>
          </w:r>
          <w:r>
            <w:rPr>
              <w:rFonts w:ascii="宋体" w:hAnsi="宋体" w:eastAsia="宋体" w:cs="Times New Roman"/>
            </w:rPr>
            <w:instrText xml:space="preserve"> PAGEREF _Toc149641216 \h </w:instrText>
          </w:r>
          <w:r>
            <w:rPr>
              <w:rFonts w:ascii="宋体" w:hAnsi="宋体" w:eastAsia="宋体" w:cs="Times New Roman"/>
            </w:rPr>
            <w:fldChar w:fldCharType="separate"/>
          </w:r>
          <w:r>
            <w:rPr>
              <w:rFonts w:ascii="宋体" w:hAnsi="宋体" w:eastAsia="宋体" w:cs="Times New Roman"/>
            </w:rPr>
            <w:t>41</w:t>
          </w:r>
          <w:r>
            <w:rPr>
              <w:rFonts w:ascii="宋体" w:hAnsi="宋体" w:eastAsia="宋体" w:cs="Times New Roman"/>
            </w:rPr>
            <w:fldChar w:fldCharType="end"/>
          </w:r>
          <w:r>
            <w:rPr>
              <w:rFonts w:ascii="宋体" w:hAnsi="宋体" w:eastAsia="宋体" w:cs="Times New Roman"/>
            </w:rPr>
            <w:fldChar w:fldCharType="end"/>
          </w:r>
        </w:p>
        <w:p>
          <w:pPr>
            <w:pStyle w:val="9"/>
            <w:ind w:firstLine="0"/>
            <w:rPr>
              <w:rFonts w:ascii="宋体" w:hAnsi="宋体" w:eastAsia="宋体" w:cs="Times New Roman"/>
            </w:rPr>
          </w:pPr>
          <w:r>
            <w:fldChar w:fldCharType="begin"/>
          </w:r>
          <w:r>
            <w:instrText xml:space="preserve"> HYPERLINK \l "_Toc149641220" </w:instrText>
          </w:r>
          <w:r>
            <w:fldChar w:fldCharType="separate"/>
          </w:r>
          <w:r>
            <w:rPr>
              <w:rFonts w:ascii="宋体" w:hAnsi="宋体" w:eastAsia="宋体" w:cs="Times New Roman"/>
            </w:rPr>
            <w:t>8</w:t>
          </w:r>
          <w:r>
            <w:rPr>
              <w:rFonts w:eastAsia="宋体" w:cs="Times New Roman"/>
            </w:rPr>
            <w:t xml:space="preserve">  建筑废弃物现场综合利用</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42</w:t>
          </w:r>
        </w:p>
        <w:p>
          <w:pPr>
            <w:pStyle w:val="9"/>
            <w:ind w:firstLine="0"/>
            <w:rPr>
              <w:rFonts w:ascii="宋体" w:hAnsi="宋体" w:eastAsia="宋体" w:cs="Times New Roman"/>
            </w:rPr>
          </w:pPr>
          <w:r>
            <w:fldChar w:fldCharType="begin"/>
          </w:r>
          <w:r>
            <w:instrText xml:space="preserve"> HYPERLINK \l "_Toc149641225" </w:instrText>
          </w:r>
          <w:r>
            <w:fldChar w:fldCharType="separate"/>
          </w:r>
          <w:r>
            <w:rPr>
              <w:rFonts w:ascii="宋体" w:hAnsi="宋体" w:eastAsia="宋体" w:cs="Times New Roman"/>
            </w:rPr>
            <w:t>9</w:t>
          </w:r>
          <w:r>
            <w:rPr>
              <w:rFonts w:eastAsia="宋体" w:cs="Times New Roman"/>
            </w:rPr>
            <w:t xml:space="preserve">  拆除工程碳足迹评价</w:t>
          </w:r>
          <w:r>
            <w:rPr>
              <w:rFonts w:ascii="宋体" w:hAnsi="宋体" w:eastAsia="宋体" w:cs="Times New Roman"/>
            </w:rPr>
            <w:tab/>
          </w:r>
          <w:r>
            <w:rPr>
              <w:rFonts w:ascii="宋体" w:hAnsi="宋体" w:eastAsia="宋体" w:cs="Times New Roman"/>
            </w:rPr>
            <w:fldChar w:fldCharType="end"/>
          </w:r>
          <w:r>
            <w:rPr>
              <w:rFonts w:ascii="宋体" w:hAnsi="宋体" w:eastAsia="宋体" w:cs="Times New Roman"/>
            </w:rPr>
            <w:t>43</w:t>
          </w:r>
        </w:p>
        <w:p>
          <w:pPr>
            <w:rPr>
              <w:rFonts w:ascii="宋体" w:hAnsi="宋体"/>
              <w:szCs w:val="21"/>
            </w:rPr>
          </w:pPr>
          <w:r>
            <w:rPr>
              <w:rFonts w:ascii="宋体" w:hAnsi="宋体"/>
            </w:rPr>
            <w:fldChar w:fldCharType="end"/>
          </w:r>
        </w:p>
      </w:sdtContent>
    </w:sdt>
    <w:p>
      <w:pPr>
        <w:rPr>
          <w:rFonts w:ascii="宋体" w:hAnsi="宋体"/>
          <w:szCs w:val="21"/>
        </w:rPr>
      </w:pPr>
    </w:p>
    <w:p>
      <w:pPr>
        <w:rPr>
          <w:rFonts w:ascii="宋体" w:hAnsi="宋体"/>
          <w:szCs w:val="21"/>
        </w:rPr>
      </w:pPr>
    </w:p>
    <w:p>
      <w:pPr>
        <w:rPr>
          <w:rFonts w:ascii="宋体" w:hAnsi="宋体"/>
          <w:szCs w:val="21"/>
        </w:rPr>
      </w:pPr>
    </w:p>
    <w:p>
      <w:pPr>
        <w:widowControl/>
        <w:spacing w:line="240" w:lineRule="auto"/>
        <w:jc w:val="left"/>
        <w:rPr>
          <w:rFonts w:ascii="宋体" w:hAnsi="宋体"/>
          <w:szCs w:val="21"/>
        </w:rPr>
      </w:pPr>
      <w:r>
        <w:rPr>
          <w:rFonts w:ascii="宋体" w:hAnsi="宋体"/>
          <w:szCs w:val="21"/>
        </w:rPr>
        <w:br w:type="page"/>
      </w:r>
    </w:p>
    <w:p>
      <w:pPr>
        <w:rPr>
          <w:rFonts w:ascii="宋体" w:hAnsi="宋体"/>
          <w:szCs w:val="21"/>
        </w:rPr>
      </w:pPr>
    </w:p>
    <w:p>
      <w:pPr>
        <w:jc w:val="center"/>
        <w:rPr>
          <w:rFonts w:ascii="宋体" w:hAnsi="宋体"/>
          <w:sz w:val="28"/>
          <w:szCs w:val="28"/>
        </w:rPr>
      </w:pPr>
      <w:r>
        <w:rPr>
          <w:rFonts w:hint="eastAsia" w:ascii="宋体" w:hAnsi="宋体"/>
          <w:b/>
          <w:sz w:val="28"/>
          <w:szCs w:val="28"/>
        </w:rPr>
        <w:t>1</w:t>
      </w:r>
      <w:r>
        <w:rPr>
          <w:rFonts w:ascii="宋体" w:hAnsi="宋体"/>
          <w:b/>
          <w:sz w:val="28"/>
          <w:szCs w:val="28"/>
        </w:rPr>
        <w:t xml:space="preserve"> </w:t>
      </w:r>
      <w:r>
        <w:rPr>
          <w:rFonts w:hint="eastAsia" w:ascii="宋体" w:hAnsi="宋体"/>
          <w:sz w:val="28"/>
          <w:szCs w:val="28"/>
        </w:rPr>
        <w:t>总则</w:t>
      </w:r>
    </w:p>
    <w:p>
      <w:pPr>
        <w:jc w:val="center"/>
        <w:rPr>
          <w:rFonts w:hint="eastAsia" w:ascii="宋体" w:hAnsi="宋体"/>
          <w:sz w:val="28"/>
          <w:szCs w:val="28"/>
        </w:rPr>
      </w:pPr>
    </w:p>
    <w:p>
      <w:pPr>
        <w:rPr>
          <w:rFonts w:hint="eastAsia" w:ascii="宋体" w:hAnsi="宋体"/>
          <w:szCs w:val="21"/>
        </w:rPr>
      </w:pPr>
      <w:r>
        <w:rPr>
          <w:rFonts w:hint="eastAsia" w:ascii="宋体" w:hAnsi="宋体"/>
          <w:b/>
          <w:szCs w:val="21"/>
        </w:rPr>
        <w:t xml:space="preserve">1.0.1 </w:t>
      </w:r>
      <w:r>
        <w:rPr>
          <w:rFonts w:hint="eastAsia" w:ascii="宋体" w:hAnsi="宋体"/>
          <w:szCs w:val="21"/>
        </w:rPr>
        <w:t xml:space="preserve"> 本条文阐明制定本标准的目的，为本市建筑物拆除工程的实施提供技术依据。</w:t>
      </w:r>
    </w:p>
    <w:p>
      <w:pPr>
        <w:rPr>
          <w:rFonts w:hint="eastAsia" w:ascii="宋体" w:hAnsi="宋体"/>
          <w:szCs w:val="21"/>
        </w:rPr>
      </w:pPr>
      <w:r>
        <w:rPr>
          <w:rFonts w:hint="eastAsia" w:ascii="宋体" w:hAnsi="宋体"/>
          <w:b/>
          <w:szCs w:val="21"/>
        </w:rPr>
        <w:t xml:space="preserve">1.0.3 </w:t>
      </w:r>
      <w:r>
        <w:rPr>
          <w:rFonts w:hint="eastAsia" w:ascii="宋体" w:hAnsi="宋体"/>
          <w:szCs w:val="21"/>
        </w:rPr>
        <w:t xml:space="preserve"> 本规程积极贯彻国家节约能源和环境保护的战略方针，倡导拆除废弃物现场资源化利用，及采用低噪音、低能耗、无污染的安全绿色拆除技术。</w:t>
      </w:r>
    </w:p>
    <w:p>
      <w:pPr>
        <w:widowControl/>
        <w:spacing w:line="240" w:lineRule="auto"/>
        <w:jc w:val="left"/>
        <w:rPr>
          <w:rFonts w:ascii="宋体" w:hAnsi="宋体"/>
          <w:szCs w:val="21"/>
        </w:rPr>
      </w:pPr>
      <w:r>
        <w:rPr>
          <w:rFonts w:ascii="宋体" w:hAnsi="宋体"/>
          <w:szCs w:val="21"/>
        </w:rPr>
        <w:br w:type="page"/>
      </w:r>
    </w:p>
    <w:p>
      <w:pPr>
        <w:jc w:val="center"/>
        <w:rPr>
          <w:rFonts w:ascii="宋体" w:hAnsi="宋体"/>
          <w:sz w:val="28"/>
          <w:szCs w:val="28"/>
        </w:rPr>
      </w:pPr>
      <w:r>
        <w:rPr>
          <w:rFonts w:hint="eastAsia" w:ascii="宋体" w:hAnsi="宋体"/>
          <w:b/>
          <w:sz w:val="28"/>
          <w:szCs w:val="28"/>
        </w:rPr>
        <w:t>3</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一般规定</w:t>
      </w:r>
    </w:p>
    <w:p>
      <w:pPr>
        <w:jc w:val="center"/>
        <w:rPr>
          <w:rFonts w:hint="eastAsia" w:ascii="宋体" w:hAnsi="宋体"/>
          <w:sz w:val="28"/>
          <w:szCs w:val="28"/>
        </w:rPr>
      </w:pPr>
    </w:p>
    <w:p>
      <w:pPr>
        <w:rPr>
          <w:rFonts w:hint="eastAsia" w:ascii="宋体" w:hAnsi="宋体"/>
          <w:szCs w:val="21"/>
        </w:rPr>
      </w:pPr>
      <w:r>
        <w:rPr>
          <w:rFonts w:hint="eastAsia" w:ascii="宋体" w:hAnsi="宋体"/>
          <w:b/>
          <w:szCs w:val="21"/>
        </w:rPr>
        <w:t xml:space="preserve">3.0.1 </w:t>
      </w:r>
      <w:r>
        <w:rPr>
          <w:rFonts w:hint="eastAsia" w:ascii="宋体" w:hAnsi="宋体"/>
          <w:szCs w:val="21"/>
        </w:rPr>
        <w:t xml:space="preserve"> 根据国家和本市的规定，在本市从事建、构筑物拆除工程施工的企业应具有从事建筑工程相应的资质证书，并在界定的施工范围内承接工程，严禁越级承包工程和转包工程；拆除工程施工企业主要负责人、企业项目负责人、企业专职安全管理员、拆除工、特种作业人员等必须经过相应的培训、考核合格、持证上岗。</w:t>
      </w:r>
    </w:p>
    <w:p>
      <w:pPr>
        <w:rPr>
          <w:rFonts w:hint="eastAsia" w:ascii="宋体" w:hAnsi="宋体"/>
          <w:szCs w:val="21"/>
        </w:rPr>
      </w:pPr>
      <w:r>
        <w:rPr>
          <w:rFonts w:hint="eastAsia" w:ascii="宋体" w:hAnsi="宋体"/>
          <w:b/>
          <w:szCs w:val="21"/>
        </w:rPr>
        <w:t xml:space="preserve">3.0.2  </w:t>
      </w:r>
      <w:r>
        <w:rPr>
          <w:rFonts w:hint="eastAsia" w:ascii="宋体" w:hAnsi="宋体"/>
          <w:szCs w:val="21"/>
        </w:rPr>
        <w:t>拆除工程施工企业应根据本规程的大原则，制订具体而详细的技术管理规定和操作规程。</w:t>
      </w:r>
    </w:p>
    <w:p>
      <w:pPr>
        <w:rPr>
          <w:rFonts w:hint="eastAsia" w:ascii="宋体" w:hAnsi="宋体"/>
          <w:szCs w:val="21"/>
        </w:rPr>
      </w:pPr>
      <w:r>
        <w:rPr>
          <w:rFonts w:hint="eastAsia" w:ascii="宋体" w:hAnsi="宋体"/>
          <w:b/>
          <w:szCs w:val="21"/>
        </w:rPr>
        <w:t xml:space="preserve">3.0.3 </w:t>
      </w:r>
      <w:r>
        <w:rPr>
          <w:rFonts w:hint="eastAsia" w:ascii="宋体" w:hAnsi="宋体"/>
          <w:szCs w:val="21"/>
        </w:rPr>
        <w:t xml:space="preserve"> 本条文对建设单位和拆除工程施工企业编制施工组织设计前应做好的准备工作，以及对施工中贯彻施工组织设计的要求作了明确的规定。</w:t>
      </w:r>
    </w:p>
    <w:p>
      <w:pPr>
        <w:rPr>
          <w:rFonts w:hint="eastAsia" w:ascii="宋体" w:hAnsi="宋体"/>
          <w:szCs w:val="21"/>
        </w:rPr>
      </w:pPr>
      <w:r>
        <w:rPr>
          <w:rFonts w:ascii="宋体" w:hAnsi="宋体"/>
          <w:b/>
          <w:szCs w:val="21"/>
        </w:rPr>
        <w:t>3.0.4</w:t>
      </w:r>
      <w:r>
        <w:rPr>
          <w:rFonts w:hint="eastAsia" w:ascii="宋体" w:hAnsi="宋体"/>
          <w:szCs w:val="21"/>
        </w:rPr>
        <w:t>控制扬尘是拆除工程文明施工管理的重点之一，机械拆除、爆破拆除或破碎构件、翻渣、建筑垃圾清运易产生的扬尘，直接影响到周边人们的口常生产、生活，经拆除工程实践证明，若在上述施工中同时进行洒水或喷淋，能有效控制扬尘，减少对周边环境的影响。</w:t>
      </w:r>
    </w:p>
    <w:p>
      <w:pPr>
        <w:rPr>
          <w:rFonts w:hint="eastAsia" w:ascii="宋体" w:hAnsi="宋体"/>
          <w:szCs w:val="21"/>
        </w:rPr>
      </w:pPr>
      <w:r>
        <w:rPr>
          <w:rFonts w:hint="eastAsia" w:ascii="宋体" w:hAnsi="宋体"/>
          <w:b/>
          <w:szCs w:val="21"/>
        </w:rPr>
        <w:t xml:space="preserve">3.0.5 </w:t>
      </w:r>
      <w:r>
        <w:rPr>
          <w:rFonts w:hint="eastAsia" w:ascii="宋体" w:hAnsi="宋体"/>
          <w:szCs w:val="21"/>
        </w:rPr>
        <w:t xml:space="preserve"> 根据本市拆除工程施工的相关规定，考虑木结构、砖木结构、砖混结构的稳定和周边施工环境安全要求，对此类结构居民住宅应采取整幢整排拆除。</w:t>
      </w:r>
    </w:p>
    <w:p>
      <w:pPr>
        <w:rPr>
          <w:rFonts w:hint="eastAsia" w:ascii="宋体" w:hAnsi="宋体"/>
          <w:szCs w:val="21"/>
        </w:rPr>
      </w:pPr>
      <w:r>
        <w:rPr>
          <w:rFonts w:hint="eastAsia" w:ascii="宋体" w:hAnsi="宋体"/>
          <w:b/>
          <w:szCs w:val="21"/>
        </w:rPr>
        <w:t xml:space="preserve">3.0.7 </w:t>
      </w:r>
      <w:r>
        <w:rPr>
          <w:rFonts w:hint="eastAsia" w:ascii="宋体" w:hAnsi="宋体"/>
          <w:szCs w:val="21"/>
        </w:rPr>
        <w:t xml:space="preserve"> 技术交底作为拆除工程施工前的重要工作，应按照要求进行实施。</w:t>
      </w:r>
    </w:p>
    <w:p>
      <w:pPr>
        <w:rPr>
          <w:rFonts w:hint="eastAsia" w:ascii="宋体" w:hAnsi="宋体"/>
          <w:szCs w:val="21"/>
        </w:rPr>
      </w:pPr>
      <w:r>
        <w:rPr>
          <w:rFonts w:hint="eastAsia" w:ascii="宋体" w:hAnsi="宋体"/>
          <w:b/>
          <w:szCs w:val="21"/>
        </w:rPr>
        <w:t xml:space="preserve">3.0.8~3.0.10、3.0.12  </w:t>
      </w:r>
      <w:r>
        <w:rPr>
          <w:rFonts w:hint="eastAsia" w:ascii="宋体" w:hAnsi="宋体"/>
          <w:szCs w:val="21"/>
        </w:rPr>
        <w:t>根据《文明施工规范》(DGJ08-2102)的规定，对施工围挡、工地排水设施提出了具体要求。</w:t>
      </w:r>
    </w:p>
    <w:p>
      <w:pPr>
        <w:rPr>
          <w:rFonts w:hint="eastAsia" w:ascii="宋体" w:hAnsi="宋体"/>
          <w:szCs w:val="21"/>
        </w:rPr>
      </w:pPr>
      <w:r>
        <w:rPr>
          <w:rFonts w:hint="eastAsia" w:ascii="宋体" w:hAnsi="宋体"/>
          <w:b/>
          <w:szCs w:val="21"/>
        </w:rPr>
        <w:t xml:space="preserve">3.0.11 </w:t>
      </w:r>
      <w:r>
        <w:rPr>
          <w:rFonts w:hint="eastAsia" w:ascii="宋体" w:hAnsi="宋体"/>
          <w:szCs w:val="21"/>
        </w:rPr>
        <w:t xml:space="preserve"> 本条文主要指对机械、静态破拆除工程施工中，可能导致毗邻建、构筑物、管线损坏，因此拆除工程施工企业应事先检查建、构筑物和管线情况，踏勘和取证，并采取相应的保护措施，进行全过程观察和监护；遇到特殊情况或发生管线损坏时，应及时报告有关部门，并配合做好抢修工作。</w:t>
      </w:r>
    </w:p>
    <w:p>
      <w:pPr>
        <w:rPr>
          <w:rFonts w:hint="eastAsia" w:ascii="宋体" w:hAnsi="宋体"/>
          <w:szCs w:val="21"/>
        </w:rPr>
      </w:pPr>
      <w:r>
        <w:rPr>
          <w:rFonts w:hint="eastAsia" w:ascii="宋体" w:hAnsi="宋体"/>
          <w:b/>
          <w:szCs w:val="21"/>
        </w:rPr>
        <w:t xml:space="preserve">3.0.15 </w:t>
      </w:r>
      <w:r>
        <w:rPr>
          <w:rFonts w:hint="eastAsia" w:ascii="宋体" w:hAnsi="宋体"/>
          <w:szCs w:val="21"/>
        </w:rPr>
        <w:t xml:space="preserve"> 当遇到风力大于5级、大雾、雨雪等恶劣天气时实施室外施工作业，安全生产和文明措施难以落实，易发生安全生产事故和扬尘污染。</w:t>
      </w:r>
    </w:p>
    <w:p>
      <w:pPr>
        <w:rPr>
          <w:rFonts w:hint="eastAsia" w:ascii="宋体" w:hAnsi="宋体"/>
          <w:szCs w:val="21"/>
        </w:rPr>
      </w:pPr>
      <w:r>
        <w:rPr>
          <w:rFonts w:hint="eastAsia" w:ascii="宋体" w:hAnsi="宋体"/>
          <w:b/>
          <w:szCs w:val="21"/>
        </w:rPr>
        <w:t xml:space="preserve">3.0.16 </w:t>
      </w:r>
      <w:r>
        <w:rPr>
          <w:rFonts w:hint="eastAsia" w:ascii="宋体" w:hAnsi="宋体"/>
          <w:szCs w:val="21"/>
        </w:rPr>
        <w:t xml:space="preserve"> 拆除工程施工是高危作业，拆除工程施工企业应制订应急救援预案、建立应急救援组织配备应急救援器材，一旦出现险情，能迅速作出反应、排除险情，将损失降低到最低程度。</w:t>
      </w:r>
    </w:p>
    <w:p>
      <w:pPr>
        <w:widowControl/>
        <w:spacing w:line="240" w:lineRule="auto"/>
        <w:jc w:val="left"/>
        <w:rPr>
          <w:rFonts w:ascii="宋体" w:hAnsi="宋体"/>
          <w:szCs w:val="21"/>
        </w:rPr>
      </w:pPr>
      <w:r>
        <w:rPr>
          <w:rFonts w:ascii="宋体" w:hAnsi="宋体"/>
          <w:szCs w:val="21"/>
        </w:rPr>
        <w:br w:type="page"/>
      </w:r>
    </w:p>
    <w:p>
      <w:pPr>
        <w:jc w:val="center"/>
        <w:rPr>
          <w:rFonts w:ascii="宋体" w:hAnsi="宋体"/>
          <w:sz w:val="28"/>
          <w:szCs w:val="28"/>
        </w:rPr>
      </w:pPr>
      <w:r>
        <w:rPr>
          <w:rFonts w:hint="eastAsia" w:ascii="宋体" w:hAnsi="宋体"/>
          <w:b/>
          <w:sz w:val="28"/>
          <w:szCs w:val="28"/>
        </w:rPr>
        <w:t>4</w:t>
      </w:r>
      <w:r>
        <w:rPr>
          <w:rFonts w:hint="eastAsia" w:ascii="宋体" w:hAnsi="宋体"/>
          <w:sz w:val="28"/>
          <w:szCs w:val="28"/>
        </w:rPr>
        <w:t xml:space="preserve"> 施工组织设计</w:t>
      </w:r>
    </w:p>
    <w:p>
      <w:pPr>
        <w:jc w:val="center"/>
        <w:rPr>
          <w:rFonts w:hint="eastAsia" w:ascii="宋体" w:hAnsi="宋体"/>
          <w:sz w:val="28"/>
          <w:szCs w:val="28"/>
        </w:rPr>
      </w:pPr>
    </w:p>
    <w:p>
      <w:pPr>
        <w:rPr>
          <w:rFonts w:hint="eastAsia" w:ascii="宋体" w:hAnsi="宋体"/>
          <w:szCs w:val="21"/>
        </w:rPr>
      </w:pPr>
      <w:r>
        <w:rPr>
          <w:rFonts w:hint="eastAsia" w:ascii="宋体" w:hAnsi="宋体"/>
          <w:b/>
          <w:szCs w:val="21"/>
        </w:rPr>
        <w:t>4.</w:t>
      </w:r>
      <w:r>
        <w:rPr>
          <w:rFonts w:ascii="宋体" w:hAnsi="宋体"/>
          <w:b/>
          <w:szCs w:val="21"/>
        </w:rPr>
        <w:t>1</w:t>
      </w:r>
      <w:r>
        <w:rPr>
          <w:rFonts w:hint="eastAsia" w:ascii="宋体" w:hAnsi="宋体"/>
          <w:b/>
          <w:szCs w:val="21"/>
        </w:rPr>
        <w:t>.1~4.</w:t>
      </w:r>
      <w:r>
        <w:rPr>
          <w:rFonts w:ascii="宋体" w:hAnsi="宋体"/>
          <w:b/>
          <w:szCs w:val="21"/>
        </w:rPr>
        <w:t>1</w:t>
      </w:r>
      <w:r>
        <w:rPr>
          <w:rFonts w:hint="eastAsia" w:ascii="宋体" w:hAnsi="宋体"/>
          <w:b/>
          <w:szCs w:val="21"/>
        </w:rPr>
        <w:t xml:space="preserve">.3 </w:t>
      </w:r>
      <w:r>
        <w:rPr>
          <w:rFonts w:hint="eastAsia" w:ascii="宋体" w:hAnsi="宋体"/>
          <w:szCs w:val="21"/>
        </w:rPr>
        <w:t xml:space="preserve"> 条文规定拆除工程施工前，必须编制施工组织设计，并对施工组织设计编制的程序、应具备的资料、内容提出了具体要求；对施工中根据实际情况确需要变更施工组织设计书部分内容的，强调“必须由企业技术负责人重新审定、核准”这一要求。</w:t>
      </w:r>
    </w:p>
    <w:p>
      <w:pPr>
        <w:rPr>
          <w:rFonts w:hint="eastAsia" w:ascii="宋体" w:hAnsi="宋体"/>
          <w:szCs w:val="21"/>
        </w:rPr>
      </w:pPr>
      <w:r>
        <w:rPr>
          <w:rFonts w:hint="eastAsia" w:ascii="宋体" w:hAnsi="宋体"/>
          <w:szCs w:val="21"/>
        </w:rPr>
        <w:t>绿色拆除工程施工既要保证拆除过程最低环境影响，又要实现建筑废弃物最大资源化利用。拆除工程环境复杂、危险程度高，稍有疏忽，就可能造成不可挽回的重大经济损失和发生重大伤亡事故，因此，在组织施工前应认真编制施工组织设计书，全面统筹拆除工程施工的全过程，才能贯彻安全、合理、经济、工期短、扰民少和对环境影响小的原则。</w:t>
      </w:r>
    </w:p>
    <w:p>
      <w:pPr>
        <w:widowControl/>
        <w:rPr>
          <w:rFonts w:hint="eastAsia" w:ascii="宋体" w:hAnsi="宋体"/>
          <w:szCs w:val="21"/>
        </w:rPr>
      </w:pPr>
      <w:r>
        <w:rPr>
          <w:rFonts w:ascii="宋体" w:hAnsi="宋体"/>
          <w:b/>
          <w:szCs w:val="21"/>
        </w:rPr>
        <w:t>4</w:t>
      </w:r>
      <w:r>
        <w:rPr>
          <w:rFonts w:hint="eastAsia" w:ascii="宋体" w:hAnsi="宋体"/>
          <w:b/>
          <w:szCs w:val="21"/>
        </w:rPr>
        <w:t>.</w:t>
      </w:r>
      <w:r>
        <w:rPr>
          <w:rFonts w:ascii="宋体" w:hAnsi="宋体"/>
          <w:b/>
          <w:szCs w:val="21"/>
        </w:rPr>
        <w:t>2</w:t>
      </w:r>
      <w:r>
        <w:rPr>
          <w:rFonts w:hint="eastAsia" w:ascii="宋体" w:hAnsi="宋体"/>
          <w:b/>
          <w:szCs w:val="21"/>
        </w:rPr>
        <w:t xml:space="preserve">.1 </w:t>
      </w:r>
      <w:r>
        <w:rPr>
          <w:rFonts w:hint="eastAsia" w:ascii="宋体" w:hAnsi="宋体"/>
          <w:szCs w:val="21"/>
        </w:rPr>
        <w:t xml:space="preserve"> 拆除工程是技术性强、危险程度高并涉及公共安全的工程。根据国家、广东省和本市的有关规定，凡属本条款所述范围内的拆除工程必须组织技术论证，确保拆除工程施工安全。</w:t>
      </w:r>
    </w:p>
    <w:p>
      <w:pPr>
        <w:rPr>
          <w:rFonts w:ascii="宋体" w:hAnsi="宋体"/>
          <w:szCs w:val="21"/>
        </w:rPr>
      </w:pPr>
      <w:r>
        <w:rPr>
          <w:rFonts w:ascii="宋体" w:hAnsi="宋体"/>
          <w:b/>
          <w:szCs w:val="21"/>
        </w:rPr>
        <w:t>4</w:t>
      </w:r>
      <w:r>
        <w:rPr>
          <w:rFonts w:hint="eastAsia" w:ascii="宋体" w:hAnsi="宋体"/>
          <w:b/>
          <w:szCs w:val="21"/>
        </w:rPr>
        <w:t>.</w:t>
      </w:r>
      <w:r>
        <w:rPr>
          <w:rFonts w:ascii="宋体" w:hAnsi="宋体"/>
          <w:b/>
          <w:szCs w:val="21"/>
        </w:rPr>
        <w:t>2</w:t>
      </w:r>
      <w:r>
        <w:rPr>
          <w:rFonts w:hint="eastAsia" w:ascii="宋体" w:hAnsi="宋体"/>
          <w:b/>
          <w:szCs w:val="21"/>
        </w:rPr>
        <w:t>.2~</w:t>
      </w:r>
      <w:r>
        <w:rPr>
          <w:rFonts w:ascii="宋体" w:hAnsi="宋体"/>
          <w:b/>
          <w:szCs w:val="21"/>
        </w:rPr>
        <w:t>4</w:t>
      </w:r>
      <w:r>
        <w:rPr>
          <w:rFonts w:hint="eastAsia" w:ascii="宋体" w:hAnsi="宋体"/>
          <w:b/>
          <w:szCs w:val="21"/>
        </w:rPr>
        <w:t>.</w:t>
      </w:r>
      <w:r>
        <w:rPr>
          <w:rFonts w:ascii="宋体" w:hAnsi="宋体"/>
          <w:b/>
          <w:szCs w:val="21"/>
        </w:rPr>
        <w:t>2</w:t>
      </w:r>
      <w:r>
        <w:rPr>
          <w:rFonts w:hint="eastAsia" w:ascii="宋体" w:hAnsi="宋体"/>
          <w:b/>
          <w:szCs w:val="21"/>
        </w:rPr>
        <w:t xml:space="preserve">.5 </w:t>
      </w:r>
      <w:r>
        <w:rPr>
          <w:rFonts w:hint="eastAsia" w:ascii="宋体" w:hAnsi="宋体"/>
          <w:szCs w:val="21"/>
        </w:rPr>
        <w:t xml:space="preserve"> 技术论证小组应有建筑结构、机械拆除工程施工、环境工程、安全管理等相关专业技术的资深专家组成；技术论证小组一般不少于5人，涉及保护建筑、重要管线以及其它特殊要求的，应同时邀请有关主管部门的技术负责人参加。技术论证小组重点论证施工方法、安全技术措施，并形成书面论证意见及会议纪要。</w:t>
      </w:r>
    </w:p>
    <w:p>
      <w:pPr>
        <w:widowControl/>
        <w:spacing w:line="240" w:lineRule="auto"/>
        <w:jc w:val="left"/>
        <w:rPr>
          <w:rFonts w:ascii="宋体" w:hAnsi="宋体"/>
          <w:szCs w:val="21"/>
        </w:rPr>
      </w:pPr>
      <w:r>
        <w:rPr>
          <w:rFonts w:ascii="宋体" w:hAnsi="宋体"/>
          <w:szCs w:val="21"/>
        </w:rPr>
        <w:br w:type="page"/>
      </w:r>
    </w:p>
    <w:p>
      <w:pPr>
        <w:keepNext/>
        <w:keepLines/>
        <w:spacing w:before="360" w:after="360" w:line="240" w:lineRule="auto"/>
        <w:jc w:val="center"/>
        <w:outlineLvl w:val="0"/>
        <w:rPr>
          <w:rStyle w:val="22"/>
          <w:rFonts w:ascii="宋体" w:hAnsi="宋体" w:eastAsia="宋体"/>
          <w:b w:val="0"/>
          <w:bCs w:val="0"/>
          <w:sz w:val="28"/>
          <w:szCs w:val="28"/>
        </w:rPr>
      </w:pPr>
      <w:r>
        <w:rPr>
          <w:rStyle w:val="22"/>
          <w:rFonts w:ascii="Times New Roman" w:hAnsi="Times New Roman" w:cs="Times New Roman"/>
          <w:sz w:val="28"/>
          <w:szCs w:val="28"/>
        </w:rPr>
        <w:t>5</w:t>
      </w:r>
      <w:r>
        <w:rPr>
          <w:rStyle w:val="22"/>
          <w:rFonts w:hint="eastAsia" w:ascii="宋体" w:hAnsi="宋体"/>
          <w:sz w:val="28"/>
          <w:szCs w:val="28"/>
        </w:rPr>
        <w:t xml:space="preserve">  </w:t>
      </w:r>
      <w:r>
        <w:rPr>
          <w:rStyle w:val="22"/>
          <w:rFonts w:hint="eastAsia" w:ascii="宋体" w:hAnsi="宋体" w:eastAsia="宋体"/>
          <w:b w:val="0"/>
          <w:bCs w:val="0"/>
          <w:sz w:val="28"/>
          <w:szCs w:val="28"/>
        </w:rPr>
        <w:t>绿色拆除作业</w:t>
      </w:r>
    </w:p>
    <w:p>
      <w:pPr>
        <w:rPr>
          <w:rFonts w:ascii="宋体" w:hAnsi="宋体"/>
          <w:szCs w:val="21"/>
        </w:rPr>
      </w:pPr>
      <w:r>
        <w:rPr>
          <w:rFonts w:ascii="宋体" w:hAnsi="宋体"/>
          <w:b/>
          <w:szCs w:val="21"/>
        </w:rPr>
        <w:t xml:space="preserve">5.1.1~5.1.5 </w:t>
      </w:r>
      <w:r>
        <w:rPr>
          <w:rFonts w:ascii="宋体" w:hAnsi="宋体"/>
          <w:szCs w:val="21"/>
        </w:rPr>
        <w:t>对绿色拆除作业过程应遵循的原则</w:t>
      </w:r>
      <w:r>
        <w:rPr>
          <w:rFonts w:hint="eastAsia" w:ascii="宋体" w:hAnsi="宋体"/>
          <w:szCs w:val="21"/>
        </w:rPr>
        <w:t>、</w:t>
      </w:r>
      <w:r>
        <w:rPr>
          <w:rFonts w:ascii="宋体" w:hAnsi="宋体"/>
          <w:szCs w:val="21"/>
        </w:rPr>
        <w:t>施工规范</w:t>
      </w:r>
      <w:r>
        <w:rPr>
          <w:rFonts w:hint="eastAsia" w:ascii="宋体" w:hAnsi="宋体"/>
          <w:szCs w:val="21"/>
        </w:rPr>
        <w:t>、</w:t>
      </w:r>
      <w:r>
        <w:rPr>
          <w:rFonts w:ascii="宋体" w:hAnsi="宋体"/>
          <w:szCs w:val="21"/>
        </w:rPr>
        <w:t>使用机具环保要求</w:t>
      </w:r>
      <w:r>
        <w:rPr>
          <w:rFonts w:hint="eastAsia" w:ascii="宋体" w:hAnsi="宋体"/>
          <w:szCs w:val="21"/>
        </w:rPr>
        <w:t>，</w:t>
      </w:r>
      <w:r>
        <w:rPr>
          <w:rFonts w:ascii="宋体" w:hAnsi="宋体"/>
          <w:szCs w:val="21"/>
        </w:rPr>
        <w:t>及拆除废弃物的分类收集方法等作了一般规定</w:t>
      </w:r>
      <w:r>
        <w:rPr>
          <w:rFonts w:hint="eastAsia" w:ascii="宋体" w:hAnsi="宋体"/>
          <w:szCs w:val="21"/>
        </w:rPr>
        <w:t>。</w:t>
      </w:r>
    </w:p>
    <w:p>
      <w:pPr>
        <w:rPr>
          <w:rFonts w:ascii="宋体" w:hAnsi="宋体"/>
          <w:szCs w:val="21"/>
        </w:rPr>
      </w:pPr>
      <w:r>
        <w:rPr>
          <w:rFonts w:ascii="宋体" w:hAnsi="宋体"/>
          <w:b/>
          <w:szCs w:val="21"/>
        </w:rPr>
        <w:t xml:space="preserve">5.2.1~5.2.5 </w:t>
      </w:r>
      <w:r>
        <w:rPr>
          <w:rFonts w:ascii="宋体" w:hAnsi="宋体"/>
          <w:szCs w:val="21"/>
        </w:rPr>
        <w:t>对拆除作业前的准备</w:t>
      </w:r>
      <w:r>
        <w:rPr>
          <w:rFonts w:hint="eastAsia" w:ascii="宋体" w:hAnsi="宋体"/>
          <w:szCs w:val="21"/>
        </w:rPr>
        <w:t>，</w:t>
      </w:r>
      <w:r>
        <w:rPr>
          <w:rFonts w:ascii="宋体" w:hAnsi="宋体"/>
          <w:szCs w:val="21"/>
        </w:rPr>
        <w:t>包括围挡</w:t>
      </w:r>
      <w:r>
        <w:rPr>
          <w:rFonts w:hint="eastAsia" w:ascii="宋体" w:hAnsi="宋体"/>
          <w:szCs w:val="21"/>
        </w:rPr>
        <w:t>、</w:t>
      </w:r>
      <w:r>
        <w:rPr>
          <w:rFonts w:ascii="宋体" w:hAnsi="宋体"/>
          <w:szCs w:val="21"/>
        </w:rPr>
        <w:t>出入口设置</w:t>
      </w:r>
      <w:r>
        <w:rPr>
          <w:rFonts w:hint="eastAsia" w:ascii="宋体" w:hAnsi="宋体"/>
          <w:szCs w:val="21"/>
        </w:rPr>
        <w:t>、</w:t>
      </w:r>
      <w:r>
        <w:rPr>
          <w:rFonts w:ascii="宋体" w:hAnsi="宋体"/>
          <w:szCs w:val="21"/>
        </w:rPr>
        <w:t>扬尘在线监测等作了详细规定</w:t>
      </w:r>
      <w:r>
        <w:rPr>
          <w:rFonts w:hint="eastAsia" w:ascii="宋体" w:hAnsi="宋体"/>
          <w:szCs w:val="21"/>
        </w:rPr>
        <w:t>。</w:t>
      </w:r>
    </w:p>
    <w:p>
      <w:pPr>
        <w:rPr>
          <w:rFonts w:hint="eastAsia" w:ascii="宋体" w:hAnsi="宋体"/>
          <w:b/>
          <w:szCs w:val="21"/>
        </w:rPr>
      </w:pPr>
      <w:r>
        <w:rPr>
          <w:rFonts w:ascii="宋体" w:hAnsi="宋体"/>
          <w:b/>
          <w:szCs w:val="21"/>
        </w:rPr>
        <w:t xml:space="preserve">5.2.5 </w:t>
      </w:r>
      <w:r>
        <w:rPr>
          <w:rFonts w:ascii="宋体" w:hAnsi="宋体"/>
          <w:szCs w:val="21"/>
        </w:rPr>
        <w:t>详细规定了拆除作业前必须保证施工安全的要求</w:t>
      </w:r>
      <w:r>
        <w:rPr>
          <w:rFonts w:hint="eastAsia" w:ascii="宋体" w:hAnsi="宋体"/>
          <w:szCs w:val="21"/>
        </w:rPr>
        <w:t>；为了保证拆除废弃物的高效资源化，必须清除垃圾及非惰性材料，且危险废弃物必须有专业人员和企业进行处置。</w:t>
      </w:r>
    </w:p>
    <w:p>
      <w:pPr>
        <w:rPr>
          <w:rFonts w:ascii="宋体" w:hAnsi="宋体"/>
          <w:b/>
          <w:szCs w:val="21"/>
        </w:rPr>
      </w:pPr>
      <w:r>
        <w:rPr>
          <w:rFonts w:ascii="宋体" w:hAnsi="宋体"/>
          <w:b/>
          <w:szCs w:val="21"/>
        </w:rPr>
        <w:t xml:space="preserve">5.3.1 </w:t>
      </w:r>
      <w:r>
        <w:rPr>
          <w:rFonts w:ascii="宋体" w:hAnsi="宋体"/>
          <w:szCs w:val="21"/>
        </w:rPr>
        <w:t>规定了现场拆除作业必须采用本标准规定的反向建造工序拆除工序进行</w:t>
      </w:r>
      <w:r>
        <w:rPr>
          <w:rFonts w:hint="eastAsia" w:ascii="宋体" w:hAnsi="宋体"/>
          <w:szCs w:val="21"/>
        </w:rPr>
        <w:t>；</w:t>
      </w:r>
    </w:p>
    <w:p>
      <w:pPr>
        <w:rPr>
          <w:rFonts w:hint="eastAsia" w:ascii="宋体" w:hAnsi="宋体"/>
          <w:b/>
          <w:szCs w:val="21"/>
        </w:rPr>
      </w:pPr>
      <w:r>
        <w:rPr>
          <w:rFonts w:ascii="宋体" w:hAnsi="宋体"/>
          <w:b/>
          <w:szCs w:val="21"/>
        </w:rPr>
        <w:t xml:space="preserve">5.3.2~5.3.5 </w:t>
      </w:r>
      <w:r>
        <w:rPr>
          <w:rFonts w:ascii="宋体" w:hAnsi="宋体"/>
          <w:szCs w:val="21"/>
        </w:rPr>
        <w:t>规定了现场拆除建筑物各部位的拆除方法</w:t>
      </w:r>
      <w:r>
        <w:rPr>
          <w:rFonts w:hint="eastAsia" w:ascii="宋体" w:hAnsi="宋体"/>
          <w:szCs w:val="21"/>
        </w:rPr>
        <w:t>，</w:t>
      </w:r>
      <w:r>
        <w:rPr>
          <w:rFonts w:ascii="宋体" w:hAnsi="宋体"/>
          <w:szCs w:val="21"/>
        </w:rPr>
        <w:t>包括拆除机具</w:t>
      </w:r>
      <w:r>
        <w:rPr>
          <w:rFonts w:hint="eastAsia" w:ascii="宋体" w:hAnsi="宋体"/>
          <w:szCs w:val="21"/>
        </w:rPr>
        <w:t>、</w:t>
      </w:r>
      <w:r>
        <w:rPr>
          <w:rFonts w:ascii="宋体" w:hAnsi="宋体"/>
          <w:szCs w:val="21"/>
        </w:rPr>
        <w:t>材料堆放</w:t>
      </w:r>
      <w:r>
        <w:rPr>
          <w:rFonts w:hint="eastAsia" w:ascii="宋体" w:hAnsi="宋体"/>
          <w:szCs w:val="21"/>
        </w:rPr>
        <w:t>、</w:t>
      </w:r>
      <w:r>
        <w:rPr>
          <w:rFonts w:ascii="宋体" w:hAnsi="宋体"/>
          <w:szCs w:val="21"/>
        </w:rPr>
        <w:t>安全管理要求等</w:t>
      </w:r>
      <w:r>
        <w:rPr>
          <w:rFonts w:hint="eastAsia" w:ascii="宋体" w:hAnsi="宋体"/>
          <w:szCs w:val="21"/>
        </w:rPr>
        <w:t>。</w:t>
      </w:r>
    </w:p>
    <w:p>
      <w:pPr>
        <w:widowControl/>
        <w:spacing w:line="240" w:lineRule="auto"/>
        <w:jc w:val="left"/>
        <w:rPr>
          <w:rFonts w:ascii="宋体" w:hAnsi="宋体"/>
          <w:szCs w:val="21"/>
        </w:rPr>
      </w:pPr>
      <w:r>
        <w:rPr>
          <w:rFonts w:ascii="宋体" w:hAnsi="宋体"/>
          <w:szCs w:val="21"/>
        </w:rPr>
        <w:br w:type="page"/>
      </w:r>
    </w:p>
    <w:p>
      <w:pPr>
        <w:keepNext/>
        <w:keepLines/>
        <w:spacing w:before="360" w:after="360" w:line="240" w:lineRule="auto"/>
        <w:jc w:val="center"/>
        <w:outlineLvl w:val="0"/>
        <w:rPr>
          <w:rStyle w:val="22"/>
          <w:rFonts w:ascii="宋体" w:hAnsi="宋体" w:eastAsia="宋体"/>
          <w:b w:val="0"/>
          <w:bCs w:val="0"/>
          <w:sz w:val="28"/>
          <w:szCs w:val="28"/>
        </w:rPr>
      </w:pPr>
      <w:r>
        <w:rPr>
          <w:rStyle w:val="22"/>
          <w:rFonts w:ascii="Times New Roman" w:hAnsi="Times New Roman" w:cs="Times New Roman"/>
          <w:sz w:val="28"/>
          <w:szCs w:val="28"/>
        </w:rPr>
        <w:t>6</w:t>
      </w:r>
      <w:r>
        <w:rPr>
          <w:rStyle w:val="22"/>
          <w:rFonts w:hint="eastAsia" w:ascii="宋体" w:hAnsi="宋体"/>
          <w:sz w:val="28"/>
          <w:szCs w:val="28"/>
        </w:rPr>
        <w:t xml:space="preserve">  </w:t>
      </w:r>
      <w:r>
        <w:rPr>
          <w:rStyle w:val="22"/>
          <w:rFonts w:hint="eastAsia" w:ascii="宋体" w:hAnsi="宋体" w:eastAsia="宋体"/>
          <w:b w:val="0"/>
          <w:bCs w:val="0"/>
          <w:sz w:val="28"/>
          <w:szCs w:val="28"/>
        </w:rPr>
        <w:t>反向建造工序拆除</w:t>
      </w:r>
    </w:p>
    <w:p>
      <w:pPr>
        <w:rPr>
          <w:rFonts w:hint="eastAsia" w:ascii="宋体" w:hAnsi="宋体"/>
          <w:szCs w:val="21"/>
        </w:rPr>
      </w:pPr>
      <w:r>
        <w:rPr>
          <w:rFonts w:hint="eastAsia" w:ascii="宋体" w:hAnsi="宋体"/>
          <w:b/>
          <w:szCs w:val="21"/>
        </w:rPr>
        <w:t>6</w:t>
      </w:r>
      <w:r>
        <w:rPr>
          <w:rFonts w:ascii="宋体" w:hAnsi="宋体"/>
          <w:b/>
          <w:szCs w:val="21"/>
        </w:rPr>
        <w:t xml:space="preserve">.1.1~6.1.3 </w:t>
      </w:r>
      <w:r>
        <w:rPr>
          <w:rFonts w:ascii="宋体" w:hAnsi="宋体"/>
          <w:szCs w:val="21"/>
        </w:rPr>
        <w:t>规定了反向建造工序拆除的一般程序</w:t>
      </w:r>
      <w:r>
        <w:rPr>
          <w:rFonts w:hint="eastAsia" w:ascii="宋体" w:hAnsi="宋体"/>
          <w:szCs w:val="21"/>
        </w:rPr>
        <w:t>、</w:t>
      </w:r>
      <w:r>
        <w:rPr>
          <w:rFonts w:ascii="宋体" w:hAnsi="宋体"/>
          <w:szCs w:val="21"/>
        </w:rPr>
        <w:t>拆除工艺路线</w:t>
      </w:r>
      <w:r>
        <w:rPr>
          <w:rFonts w:hint="eastAsia" w:ascii="宋体" w:hAnsi="宋体"/>
          <w:szCs w:val="21"/>
        </w:rPr>
        <w:t>；</w:t>
      </w:r>
    </w:p>
    <w:p>
      <w:pPr>
        <w:rPr>
          <w:rFonts w:ascii="宋体" w:hAnsi="宋体"/>
          <w:szCs w:val="21"/>
        </w:rPr>
      </w:pPr>
      <w:r>
        <w:rPr>
          <w:rFonts w:ascii="宋体" w:hAnsi="宋体"/>
          <w:b/>
          <w:szCs w:val="21"/>
        </w:rPr>
        <w:t xml:space="preserve">6.1.4 </w:t>
      </w:r>
      <w:r>
        <w:rPr>
          <w:rFonts w:ascii="宋体" w:hAnsi="宋体"/>
          <w:szCs w:val="21"/>
        </w:rPr>
        <w:t>规定了框架结构建筑物的拆除顺序</w:t>
      </w:r>
      <w:r>
        <w:rPr>
          <w:rFonts w:hint="eastAsia" w:ascii="宋体" w:hAnsi="宋体"/>
          <w:szCs w:val="21"/>
        </w:rPr>
        <w:t>；</w:t>
      </w:r>
    </w:p>
    <w:p>
      <w:pPr>
        <w:rPr>
          <w:rFonts w:hint="eastAsia" w:ascii="宋体" w:hAnsi="宋体"/>
          <w:szCs w:val="21"/>
        </w:rPr>
      </w:pPr>
      <w:r>
        <w:rPr>
          <w:rFonts w:ascii="宋体" w:hAnsi="宋体"/>
          <w:b/>
          <w:szCs w:val="21"/>
        </w:rPr>
        <w:t xml:space="preserve">6.1.5 </w:t>
      </w:r>
      <w:r>
        <w:rPr>
          <w:rFonts w:ascii="宋体" w:hAnsi="宋体"/>
          <w:szCs w:val="21"/>
        </w:rPr>
        <w:t>规定在无损检测基础上</w:t>
      </w:r>
      <w:r>
        <w:rPr>
          <w:rFonts w:hint="eastAsia" w:ascii="宋体" w:hAnsi="宋体"/>
          <w:szCs w:val="21"/>
        </w:rPr>
        <w:t>，</w:t>
      </w:r>
      <w:r>
        <w:rPr>
          <w:rFonts w:ascii="宋体" w:hAnsi="宋体"/>
          <w:szCs w:val="21"/>
        </w:rPr>
        <w:t>建筑结构主体能尺寸缩减制造建筑材料</w:t>
      </w:r>
      <w:r>
        <w:rPr>
          <w:rFonts w:hint="eastAsia" w:ascii="宋体" w:hAnsi="宋体"/>
          <w:szCs w:val="21"/>
        </w:rPr>
        <w:t>的应最大化制造可直接利用的建筑材料；</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 xml:space="preserve">.l </w:t>
      </w:r>
      <w:r>
        <w:rPr>
          <w:rFonts w:hint="eastAsia" w:ascii="宋体" w:hAnsi="宋体"/>
          <w:szCs w:val="21"/>
        </w:rPr>
        <w:t xml:space="preserve">  规定了人工拆除的一般适用范围和特殊适用情况。</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 xml:space="preserve">.2 </w:t>
      </w:r>
      <w:r>
        <w:rPr>
          <w:rFonts w:hint="eastAsia" w:ascii="宋体" w:hAnsi="宋体"/>
          <w:szCs w:val="21"/>
        </w:rPr>
        <w:t xml:space="preserve"> 坍塌、物体打击、高空坠落是人工拆除过程中最主要的危险源和高发事故，人工拆除必须遵循符合建筑物、构筑物特性的基本原则，按顺序、按步骤进行拆除，以避免此类安全生产事故的发生。</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.4</w:t>
      </w:r>
      <w:r>
        <w:rPr>
          <w:rFonts w:hint="eastAsia" w:ascii="宋体" w:hAnsi="宋体"/>
          <w:szCs w:val="21"/>
        </w:rPr>
        <w:t xml:space="preserve">  根据《文明施工规范》(DGJ08-2102)规定，应遵守高处作业规定。</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.5</w:t>
      </w:r>
      <w:r>
        <w:rPr>
          <w:rFonts w:hint="eastAsia" w:ascii="宋体" w:hAnsi="宋体"/>
          <w:szCs w:val="21"/>
        </w:rPr>
        <w:t xml:space="preserve">  由于拆除作业过程中破坏了建筑结构，容易造成结构失稳。当作业人员站立在失稳的构件上时，可能会因建筑物的意外坍塌造成安全生产事故。</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.6</w:t>
      </w:r>
      <w:r>
        <w:rPr>
          <w:rFonts w:hint="eastAsia" w:ascii="宋体" w:hAnsi="宋体"/>
          <w:szCs w:val="21"/>
        </w:rPr>
        <w:t xml:space="preserve">  楼板上设置垃圾井道洞口，应考虑到楼板开洞的位置和大小，洞口、临边必须采取围挡封闭措施。</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 xml:space="preserve">.9 </w:t>
      </w:r>
      <w:r>
        <w:rPr>
          <w:rFonts w:hint="eastAsia" w:ascii="宋体" w:hAnsi="宋体"/>
          <w:szCs w:val="21"/>
        </w:rPr>
        <w:t xml:space="preserve"> 由于拆除预制楼板容易发生事故且回收的预制楼板具有安全隐患，应采用粉碎性拆除。</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.12</w:t>
      </w:r>
      <w:r>
        <w:rPr>
          <w:rFonts w:hint="eastAsia" w:ascii="宋体" w:hAnsi="宋体"/>
          <w:szCs w:val="21"/>
        </w:rPr>
        <w:t xml:space="preserve">  采用开墙槽、砍凿墙脚、人力推倒或拉倒墙体的拆除方法，极易造成施工人员被压在倒塌墙体下或砖、石反弹所导致的人员伤亡，因此规定墙体拆除必须自上而下粉碎性拆除。</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 xml:space="preserve">.14 </w:t>
      </w:r>
      <w:r>
        <w:rPr>
          <w:rFonts w:hint="eastAsia" w:ascii="宋体" w:hAnsi="宋体"/>
          <w:szCs w:val="21"/>
        </w:rPr>
        <w:t xml:space="preserve"> 为保证拆除过程中不发生保留部分结构破坏，原则上应先加固后拆除。</w:t>
      </w:r>
    </w:p>
    <w:p>
      <w:pPr>
        <w:rPr>
          <w:rFonts w:hint="eastAsia" w:ascii="宋体" w:hAnsi="宋体"/>
          <w:szCs w:val="21"/>
        </w:rPr>
      </w:pPr>
      <w:r>
        <w:rPr>
          <w:rFonts w:hint="eastAsia" w:ascii="宋体" w:hAnsi="宋体"/>
          <w:b/>
          <w:szCs w:val="21"/>
        </w:rPr>
        <w:t>6.</w:t>
      </w:r>
      <w:r>
        <w:rPr>
          <w:rFonts w:ascii="宋体" w:hAnsi="宋体"/>
          <w:b/>
          <w:szCs w:val="21"/>
        </w:rPr>
        <w:t>2</w:t>
      </w:r>
      <w:r>
        <w:rPr>
          <w:rFonts w:hint="eastAsia" w:ascii="宋体" w:hAnsi="宋体"/>
          <w:b/>
          <w:szCs w:val="21"/>
        </w:rPr>
        <w:t>.15</w:t>
      </w:r>
      <w:r>
        <w:rPr>
          <w:rFonts w:hint="eastAsia" w:ascii="宋体" w:hAnsi="宋体"/>
          <w:szCs w:val="21"/>
        </w:rPr>
        <w:t xml:space="preserve">  切割具有噪音低、扬尘污染小的特点，是拆除工艺的发展方向；拆除时应按照切割设备的使用说明操作。</w:t>
      </w:r>
    </w:p>
    <w:p>
      <w:pPr>
        <w:widowControl/>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w:t>
      </w:r>
      <w:r>
        <w:rPr>
          <w:rFonts w:ascii="宋体" w:hAnsi="宋体"/>
          <w:b/>
          <w:szCs w:val="21"/>
        </w:rPr>
        <w:t>1</w:t>
      </w:r>
      <w:r>
        <w:rPr>
          <w:rFonts w:hint="eastAsia" w:ascii="宋体" w:hAnsi="宋体"/>
          <w:szCs w:val="21"/>
        </w:rPr>
        <w:t xml:space="preserve">  当建筑物的高度大于拆除机械的有效作业高度时，则无法根据机械拆除自上而下的基本原则进行拆除作业，因而产生野蛮施工行为，极易造成安全生产事故发生。</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.6</w:t>
      </w:r>
      <w:r>
        <w:rPr>
          <w:rFonts w:hint="eastAsia" w:ascii="宋体" w:hAnsi="宋体"/>
          <w:szCs w:val="21"/>
        </w:rPr>
        <w:t xml:space="preserve">  机械拆除作业中要特别注意周边的架空线，并保持《建筑机械使用安全技术规程》(JGJ33)规定的安全距离，以防碰、拉电线以及感应造成触电或断电事故。</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 xml:space="preserve">.8 </w:t>
      </w:r>
      <w:r>
        <w:rPr>
          <w:rFonts w:hint="eastAsia" w:ascii="宋体" w:hAnsi="宋体"/>
          <w:szCs w:val="21"/>
        </w:rPr>
        <w:t xml:space="preserve"> 本条文强调机械操作人员在操作机械时应遵守机械操作人员手册的各项要求和《建筑机械使用安全技术规程》(JGJ33)的相关规定，不得横向作业，防止机械倾覆。</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.10</w:t>
      </w:r>
      <w:r>
        <w:rPr>
          <w:rFonts w:hint="eastAsia" w:ascii="宋体" w:hAnsi="宋体"/>
          <w:szCs w:val="21"/>
        </w:rPr>
        <w:t xml:space="preserve">  机械拆除过程中对地下管线的破坏会影响城市的正常运营，因此根据《文明施工规范》(DGJ08-2102)强调了对地下管线的保护。</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.13</w:t>
      </w:r>
      <w:r>
        <w:rPr>
          <w:rFonts w:hint="eastAsia" w:ascii="宋体" w:hAnsi="宋体"/>
          <w:szCs w:val="21"/>
        </w:rPr>
        <w:t xml:space="preserve">  机械拆除作业必须在指挥人员用对讲机或指挥信号的指挥下进行作业，机械作业时人员不得进人作业区域，以避免机械误伤他人。</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 xml:space="preserve">.15 </w:t>
      </w:r>
      <w:r>
        <w:rPr>
          <w:rFonts w:hint="eastAsia" w:ascii="宋体" w:hAnsi="宋体"/>
          <w:szCs w:val="21"/>
        </w:rPr>
        <w:t xml:space="preserve"> 部分拆除工程由于条件限制，在机械拆除的前提下，局部需要人工进行配合。为保证人员安全，防止机械伤害的发生，应严格控制人、机作业点的距离和位置，并根据本规程第六章的要求组织人工拆除施工。</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.1</w:t>
      </w:r>
      <w:r>
        <w:rPr>
          <w:rFonts w:ascii="宋体" w:hAnsi="宋体"/>
          <w:b/>
          <w:szCs w:val="21"/>
        </w:rPr>
        <w:t>7</w:t>
      </w:r>
      <w:r>
        <w:rPr>
          <w:rFonts w:hint="eastAsia" w:ascii="宋体" w:hAnsi="宋体"/>
          <w:szCs w:val="21"/>
        </w:rPr>
        <w:t xml:space="preserve">  机械拆除作业时，不得先拆除下部或中部柱、梁、墙等承重构件，使建、构筑物数层整体坍塌。</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.17~</w:t>
      </w: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.22</w:t>
      </w:r>
      <w:r>
        <w:rPr>
          <w:rFonts w:hint="eastAsia" w:ascii="宋体" w:hAnsi="宋体"/>
          <w:szCs w:val="21"/>
        </w:rPr>
        <w:t xml:space="preserve">  分别重点描述机械拆除砖木结构、砖混结构、框架结构、钢结构和高层框架或框剪结构拆除顺序。</w:t>
      </w:r>
    </w:p>
    <w:p>
      <w:pPr>
        <w:rPr>
          <w:rFonts w:hint="eastAsia" w:ascii="宋体" w:hAnsi="宋体"/>
          <w:szCs w:val="21"/>
        </w:rPr>
      </w:pPr>
      <w:r>
        <w:rPr>
          <w:rFonts w:hint="eastAsia" w:ascii="宋体" w:hAnsi="宋体"/>
          <w:szCs w:val="21"/>
        </w:rPr>
        <w:t>根据液压剪设备的特点，对使用该机拆除框架结构、框剪结构的墙体、楼板、主次梁时，允许实施自下而上逐跨进行拆除非承重构件的顺序，但钢筋混凝土立柱及承重墙、梁等承重构件仍需自上而下拆除。</w:t>
      </w:r>
    </w:p>
    <w:p>
      <w:pPr>
        <w:rPr>
          <w:rFonts w:hint="eastAsia" w:ascii="宋体" w:hAnsi="宋体"/>
          <w:szCs w:val="21"/>
        </w:rPr>
      </w:pPr>
      <w:r>
        <w:rPr>
          <w:rFonts w:ascii="宋体" w:hAnsi="宋体"/>
          <w:b/>
          <w:szCs w:val="21"/>
        </w:rPr>
        <w:t>6</w:t>
      </w:r>
      <w:r>
        <w:rPr>
          <w:rFonts w:hint="eastAsia" w:ascii="宋体" w:hAnsi="宋体"/>
          <w:b/>
          <w:szCs w:val="21"/>
        </w:rPr>
        <w:t>.</w:t>
      </w:r>
      <w:r>
        <w:rPr>
          <w:rFonts w:ascii="宋体" w:hAnsi="宋体"/>
          <w:b/>
          <w:szCs w:val="21"/>
        </w:rPr>
        <w:t>3</w:t>
      </w:r>
      <w:r>
        <w:rPr>
          <w:rFonts w:hint="eastAsia" w:ascii="宋体" w:hAnsi="宋体"/>
          <w:b/>
          <w:szCs w:val="21"/>
        </w:rPr>
        <w:t>.23</w:t>
      </w:r>
      <w:r>
        <w:rPr>
          <w:rFonts w:hint="eastAsia" w:ascii="宋体" w:hAnsi="宋体"/>
          <w:szCs w:val="21"/>
        </w:rPr>
        <w:t xml:space="preserve">  在拆除作业中使用起重机，应遵守《建筑机械使用安全技术规程》(JGJ33)中的相关规定。</w:t>
      </w:r>
    </w:p>
    <w:p>
      <w:pPr>
        <w:widowControl/>
        <w:spacing w:line="240" w:lineRule="auto"/>
        <w:jc w:val="left"/>
        <w:rPr>
          <w:rFonts w:ascii="宋体" w:hAnsi="宋体"/>
          <w:szCs w:val="21"/>
        </w:rPr>
      </w:pPr>
      <w:r>
        <w:rPr>
          <w:rFonts w:ascii="宋体" w:hAnsi="宋体"/>
          <w:szCs w:val="21"/>
        </w:rPr>
        <w:br w:type="page"/>
      </w:r>
    </w:p>
    <w:p>
      <w:pPr>
        <w:keepNext/>
        <w:keepLines/>
        <w:spacing w:before="360" w:after="360" w:line="240" w:lineRule="auto"/>
        <w:jc w:val="center"/>
        <w:outlineLvl w:val="0"/>
        <w:rPr>
          <w:rFonts w:ascii="宋体" w:hAnsi="宋体" w:cstheme="majorBidi"/>
          <w:b/>
          <w:sz w:val="28"/>
          <w:szCs w:val="28"/>
        </w:rPr>
      </w:pPr>
      <w:r>
        <w:rPr>
          <w:rFonts w:ascii="宋体" w:hAnsi="宋体" w:cstheme="majorBidi"/>
          <w:b/>
          <w:bCs/>
          <w:sz w:val="28"/>
          <w:szCs w:val="28"/>
        </w:rPr>
        <w:t>7</w:t>
      </w:r>
      <w:r>
        <w:rPr>
          <w:rFonts w:hint="eastAsia" w:ascii="宋体" w:hAnsi="宋体" w:cstheme="majorBidi"/>
          <w:b/>
          <w:bCs/>
          <w:sz w:val="28"/>
          <w:szCs w:val="28"/>
        </w:rPr>
        <w:t xml:space="preserve">  </w:t>
      </w:r>
      <w:r>
        <w:rPr>
          <w:rFonts w:hint="eastAsia" w:ascii="宋体" w:hAnsi="宋体" w:cstheme="majorBidi"/>
          <w:b/>
          <w:sz w:val="28"/>
          <w:szCs w:val="28"/>
        </w:rPr>
        <w:t>现场减量化方案</w:t>
      </w:r>
    </w:p>
    <w:p>
      <w:pPr>
        <w:keepNext/>
        <w:keepLines/>
        <w:spacing w:before="360" w:after="360" w:line="240" w:lineRule="auto"/>
        <w:outlineLvl w:val="0"/>
        <w:rPr>
          <w:rFonts w:ascii="宋体" w:hAnsi="宋体" w:cstheme="majorBidi"/>
          <w:b/>
          <w:szCs w:val="21"/>
        </w:rPr>
      </w:pPr>
      <w:r>
        <w:rPr>
          <w:rFonts w:hint="eastAsia" w:ascii="宋体" w:hAnsi="宋体" w:cstheme="majorBidi"/>
          <w:b/>
          <w:szCs w:val="21"/>
        </w:rPr>
        <w:t>7</w:t>
      </w:r>
      <w:r>
        <w:rPr>
          <w:rFonts w:ascii="宋体" w:hAnsi="宋体" w:cstheme="majorBidi"/>
          <w:b/>
          <w:szCs w:val="21"/>
        </w:rPr>
        <w:t xml:space="preserve">.1.1 </w:t>
      </w:r>
      <w:r>
        <w:rPr>
          <w:rFonts w:ascii="宋体" w:hAnsi="宋体" w:cstheme="majorBidi"/>
          <w:szCs w:val="21"/>
        </w:rPr>
        <w:t>规定拆除废弃物可分为直接利用和不可直接利用的建筑材料</w:t>
      </w:r>
      <w:r>
        <w:rPr>
          <w:rFonts w:hint="eastAsia" w:ascii="宋体" w:hAnsi="宋体" w:cstheme="majorBidi"/>
          <w:szCs w:val="21"/>
        </w:rPr>
        <w:t>；</w:t>
      </w:r>
    </w:p>
    <w:p>
      <w:pPr>
        <w:keepNext/>
        <w:keepLines/>
        <w:spacing w:before="360" w:after="360" w:line="240" w:lineRule="auto"/>
        <w:outlineLvl w:val="0"/>
        <w:rPr>
          <w:rFonts w:hint="eastAsia" w:ascii="宋体" w:hAnsi="宋体" w:cstheme="majorBidi"/>
          <w:szCs w:val="21"/>
        </w:rPr>
      </w:pPr>
      <w:r>
        <w:rPr>
          <w:rFonts w:ascii="宋体" w:hAnsi="宋体" w:cstheme="majorBidi"/>
          <w:b/>
          <w:szCs w:val="21"/>
        </w:rPr>
        <w:t>7.1.2</w:t>
      </w:r>
      <w:r>
        <w:rPr>
          <w:rFonts w:ascii="宋体" w:hAnsi="宋体" w:cstheme="majorBidi"/>
          <w:szCs w:val="21"/>
        </w:rPr>
        <w:t xml:space="preserve"> 规定了拆除废弃物的分类方法</w:t>
      </w:r>
      <w:r>
        <w:rPr>
          <w:rFonts w:hint="eastAsia" w:ascii="宋体" w:hAnsi="宋体" w:cstheme="majorBidi"/>
          <w:szCs w:val="21"/>
        </w:rPr>
        <w:t>；</w:t>
      </w:r>
    </w:p>
    <w:p>
      <w:pPr>
        <w:keepNext/>
        <w:keepLines/>
        <w:spacing w:before="360" w:after="360" w:line="240" w:lineRule="auto"/>
        <w:outlineLvl w:val="0"/>
        <w:rPr>
          <w:rFonts w:ascii="宋体" w:hAnsi="宋体" w:cstheme="majorBidi"/>
          <w:szCs w:val="21"/>
        </w:rPr>
      </w:pPr>
      <w:r>
        <w:rPr>
          <w:rFonts w:ascii="宋体" w:hAnsi="宋体" w:cstheme="majorBidi"/>
          <w:b/>
          <w:szCs w:val="21"/>
        </w:rPr>
        <w:t xml:space="preserve">7.1.3 </w:t>
      </w:r>
      <w:r>
        <w:rPr>
          <w:rFonts w:hint="eastAsia" w:ascii="宋体" w:hAnsi="宋体" w:cstheme="majorBidi"/>
          <w:szCs w:val="21"/>
        </w:rPr>
        <w:t>指出</w:t>
      </w:r>
      <w:r>
        <w:rPr>
          <w:rFonts w:ascii="宋体" w:hAnsi="宋体" w:cstheme="majorBidi"/>
          <w:szCs w:val="21"/>
        </w:rPr>
        <w:t>了建筑结构部位与建筑废弃物的分类对应关系</w:t>
      </w:r>
      <w:r>
        <w:rPr>
          <w:rFonts w:hint="eastAsia" w:ascii="宋体" w:hAnsi="宋体" w:cstheme="majorBidi"/>
          <w:szCs w:val="21"/>
        </w:rPr>
        <w:t>；</w:t>
      </w:r>
    </w:p>
    <w:p>
      <w:pPr>
        <w:keepNext/>
        <w:keepLines/>
        <w:spacing w:before="360" w:after="360" w:line="240" w:lineRule="auto"/>
        <w:outlineLvl w:val="0"/>
        <w:rPr>
          <w:rFonts w:hint="eastAsia" w:ascii="宋体" w:hAnsi="宋体" w:cstheme="majorBidi"/>
          <w:b/>
          <w:szCs w:val="21"/>
        </w:rPr>
      </w:pPr>
      <w:r>
        <w:rPr>
          <w:rFonts w:ascii="宋体" w:hAnsi="宋体" w:cstheme="majorBidi"/>
          <w:b/>
          <w:szCs w:val="21"/>
        </w:rPr>
        <w:t xml:space="preserve">7.2.1~7.2.5 </w:t>
      </w:r>
      <w:r>
        <w:rPr>
          <w:rFonts w:ascii="宋体" w:hAnsi="宋体" w:cstheme="majorBidi"/>
          <w:szCs w:val="21"/>
        </w:rPr>
        <w:t>规定了拆除废弃物分类收集方法</w:t>
      </w:r>
      <w:r>
        <w:rPr>
          <w:rFonts w:hint="eastAsia" w:ascii="宋体" w:hAnsi="宋体" w:cstheme="majorBidi"/>
          <w:szCs w:val="21"/>
        </w:rPr>
        <w:t>、</w:t>
      </w:r>
      <w:r>
        <w:rPr>
          <w:rFonts w:ascii="宋体" w:hAnsi="宋体" w:cstheme="majorBidi"/>
          <w:szCs w:val="21"/>
        </w:rPr>
        <w:t>堆放和安全要求</w:t>
      </w:r>
      <w:r>
        <w:rPr>
          <w:rFonts w:hint="eastAsia" w:ascii="宋体" w:hAnsi="宋体" w:cstheme="majorBidi"/>
          <w:szCs w:val="21"/>
        </w:rPr>
        <w:t>；</w:t>
      </w:r>
    </w:p>
    <w:p>
      <w:pPr>
        <w:keepNext/>
        <w:keepLines/>
        <w:spacing w:before="360" w:after="360" w:line="240" w:lineRule="auto"/>
        <w:outlineLvl w:val="0"/>
        <w:rPr>
          <w:rFonts w:hint="eastAsia" w:ascii="宋体" w:hAnsi="宋体" w:cstheme="majorBidi"/>
          <w:szCs w:val="21"/>
        </w:rPr>
      </w:pPr>
      <w:r>
        <w:rPr>
          <w:rFonts w:ascii="宋体" w:hAnsi="宋体" w:cstheme="majorBidi"/>
          <w:b/>
          <w:szCs w:val="21"/>
        </w:rPr>
        <w:t xml:space="preserve">7.3.1~7.3.5 </w:t>
      </w:r>
      <w:r>
        <w:rPr>
          <w:rFonts w:ascii="宋体" w:hAnsi="宋体" w:cstheme="majorBidi"/>
          <w:szCs w:val="21"/>
        </w:rPr>
        <w:t>规定了拆除废弃物运输要求</w:t>
      </w:r>
      <w:r>
        <w:rPr>
          <w:rFonts w:hint="eastAsia" w:ascii="宋体" w:hAnsi="宋体" w:cstheme="majorBidi"/>
          <w:szCs w:val="21"/>
        </w:rPr>
        <w:t>。</w:t>
      </w:r>
    </w:p>
    <w:p>
      <w:pPr>
        <w:widowControl/>
        <w:spacing w:line="240" w:lineRule="auto"/>
        <w:jc w:val="left"/>
        <w:rPr>
          <w:rFonts w:ascii="宋体" w:hAnsi="宋体"/>
          <w:szCs w:val="21"/>
        </w:rPr>
      </w:pPr>
      <w:r>
        <w:rPr>
          <w:rFonts w:ascii="宋体" w:hAnsi="宋体"/>
          <w:szCs w:val="21"/>
        </w:rPr>
        <w:br w:type="page"/>
      </w:r>
    </w:p>
    <w:p>
      <w:pPr>
        <w:keepNext/>
        <w:keepLines/>
        <w:spacing w:before="360" w:after="360" w:line="240" w:lineRule="auto"/>
        <w:jc w:val="center"/>
        <w:outlineLvl w:val="0"/>
        <w:rPr>
          <w:rFonts w:hint="eastAsia" w:ascii="宋体" w:hAnsi="宋体" w:cstheme="majorBidi"/>
          <w:b/>
          <w:sz w:val="28"/>
          <w:szCs w:val="28"/>
        </w:rPr>
      </w:pPr>
      <w:r>
        <w:rPr>
          <w:rFonts w:ascii="宋体" w:hAnsi="宋体" w:cstheme="majorBidi"/>
          <w:b/>
          <w:bCs/>
          <w:sz w:val="28"/>
          <w:szCs w:val="28"/>
        </w:rPr>
        <w:t>8</w:t>
      </w:r>
      <w:r>
        <w:rPr>
          <w:rFonts w:hint="eastAsia" w:ascii="宋体" w:hAnsi="宋体" w:cstheme="majorBidi"/>
          <w:b/>
          <w:bCs/>
          <w:sz w:val="28"/>
          <w:szCs w:val="28"/>
        </w:rPr>
        <w:t xml:space="preserve">  </w:t>
      </w:r>
      <w:r>
        <w:rPr>
          <w:rFonts w:hint="eastAsia" w:ascii="宋体" w:hAnsi="宋体" w:cstheme="majorBidi"/>
          <w:b/>
          <w:sz w:val="28"/>
          <w:szCs w:val="28"/>
        </w:rPr>
        <w:t>建筑废弃物现场综合利用</w:t>
      </w:r>
    </w:p>
    <w:p>
      <w:pPr>
        <w:widowControl/>
        <w:jc w:val="left"/>
        <w:rPr>
          <w:rFonts w:ascii="宋体" w:hAnsi="宋体"/>
          <w:szCs w:val="21"/>
        </w:rPr>
      </w:pPr>
      <w:r>
        <w:rPr>
          <w:rFonts w:hint="eastAsia" w:ascii="宋体" w:hAnsi="宋体"/>
          <w:b/>
          <w:szCs w:val="21"/>
        </w:rPr>
        <w:t>8</w:t>
      </w:r>
      <w:r>
        <w:rPr>
          <w:rFonts w:ascii="宋体" w:hAnsi="宋体"/>
          <w:b/>
          <w:szCs w:val="21"/>
        </w:rPr>
        <w:t xml:space="preserve">.1.1 </w:t>
      </w:r>
      <w:r>
        <w:rPr>
          <w:rFonts w:ascii="宋体" w:hAnsi="宋体"/>
          <w:szCs w:val="21"/>
        </w:rPr>
        <w:t>规定要实现绿色拆除的目标</w:t>
      </w:r>
      <w:r>
        <w:rPr>
          <w:rFonts w:hint="eastAsia" w:ascii="宋体" w:hAnsi="宋体"/>
          <w:szCs w:val="21"/>
        </w:rPr>
        <w:t>必须遵循拆除现场减量化的原则；</w:t>
      </w:r>
    </w:p>
    <w:p>
      <w:pPr>
        <w:widowControl/>
        <w:jc w:val="left"/>
        <w:rPr>
          <w:rFonts w:ascii="宋体" w:hAnsi="宋体"/>
          <w:szCs w:val="21"/>
        </w:rPr>
      </w:pPr>
      <w:r>
        <w:rPr>
          <w:rFonts w:hint="eastAsia" w:ascii="宋体" w:hAnsi="宋体"/>
          <w:b/>
          <w:szCs w:val="21"/>
        </w:rPr>
        <w:t>8</w:t>
      </w:r>
      <w:r>
        <w:rPr>
          <w:rFonts w:ascii="宋体" w:hAnsi="宋体"/>
          <w:b/>
          <w:szCs w:val="21"/>
        </w:rPr>
        <w:t xml:space="preserve">.2.1~8.2.3 </w:t>
      </w:r>
      <w:r>
        <w:rPr>
          <w:rFonts w:ascii="宋体" w:hAnsi="宋体"/>
          <w:szCs w:val="21"/>
        </w:rPr>
        <w:t>规定了拆除现场产生的金属材料的再利用方法</w:t>
      </w:r>
      <w:r>
        <w:rPr>
          <w:rFonts w:hint="eastAsia" w:ascii="宋体" w:hAnsi="宋体"/>
          <w:szCs w:val="21"/>
        </w:rPr>
        <w:t>；</w:t>
      </w:r>
    </w:p>
    <w:p>
      <w:pPr>
        <w:widowControl/>
        <w:jc w:val="left"/>
        <w:rPr>
          <w:rFonts w:ascii="宋体" w:hAnsi="宋体"/>
          <w:b/>
          <w:szCs w:val="21"/>
        </w:rPr>
      </w:pPr>
      <w:r>
        <w:rPr>
          <w:rFonts w:ascii="宋体" w:hAnsi="宋体"/>
          <w:b/>
          <w:szCs w:val="21"/>
        </w:rPr>
        <w:t>8.3.1~8.3.5</w:t>
      </w:r>
      <w:r>
        <w:rPr>
          <w:rFonts w:hint="eastAsia" w:ascii="宋体" w:hAnsi="宋体"/>
          <w:szCs w:val="21"/>
        </w:rPr>
        <w:t>规定了拆除现场产生的非金属材料的再利用方法；</w:t>
      </w:r>
    </w:p>
    <w:p>
      <w:pPr>
        <w:widowControl/>
        <w:jc w:val="left"/>
        <w:rPr>
          <w:rFonts w:ascii="宋体" w:hAnsi="宋体"/>
          <w:szCs w:val="21"/>
        </w:rPr>
      </w:pPr>
      <w:r>
        <w:rPr>
          <w:rFonts w:ascii="宋体" w:hAnsi="宋体"/>
          <w:b/>
          <w:szCs w:val="21"/>
        </w:rPr>
        <w:t xml:space="preserve">8.4.1 </w:t>
      </w:r>
      <w:r>
        <w:rPr>
          <w:rFonts w:ascii="宋体" w:hAnsi="宋体"/>
          <w:szCs w:val="21"/>
        </w:rPr>
        <w:t>规定了现场再生利用拆除废弃物的工艺要求</w:t>
      </w:r>
      <w:r>
        <w:rPr>
          <w:rFonts w:hint="eastAsia" w:ascii="宋体" w:hAnsi="宋体"/>
          <w:szCs w:val="21"/>
        </w:rPr>
        <w:t>；</w:t>
      </w:r>
    </w:p>
    <w:p>
      <w:pPr>
        <w:widowControl/>
        <w:jc w:val="left"/>
        <w:rPr>
          <w:rFonts w:ascii="宋体" w:hAnsi="宋体"/>
          <w:szCs w:val="21"/>
        </w:rPr>
      </w:pPr>
      <w:r>
        <w:rPr>
          <w:rFonts w:ascii="宋体" w:hAnsi="宋体"/>
          <w:b/>
          <w:szCs w:val="21"/>
        </w:rPr>
        <w:t xml:space="preserve">8.4.2 </w:t>
      </w:r>
      <w:r>
        <w:rPr>
          <w:rFonts w:ascii="宋体" w:hAnsi="宋体"/>
          <w:szCs w:val="21"/>
        </w:rPr>
        <w:t>规定了现场再生利用处置设备的性能要求</w:t>
      </w:r>
      <w:r>
        <w:rPr>
          <w:rFonts w:hint="eastAsia" w:ascii="宋体" w:hAnsi="宋体"/>
          <w:szCs w:val="21"/>
        </w:rPr>
        <w:t>；</w:t>
      </w:r>
    </w:p>
    <w:p>
      <w:pPr>
        <w:widowControl/>
        <w:jc w:val="left"/>
        <w:rPr>
          <w:rFonts w:hint="eastAsia" w:ascii="宋体" w:hAnsi="宋体"/>
          <w:szCs w:val="21"/>
        </w:rPr>
      </w:pPr>
      <w:r>
        <w:rPr>
          <w:rFonts w:ascii="宋体" w:hAnsi="宋体"/>
          <w:b/>
          <w:szCs w:val="21"/>
        </w:rPr>
        <w:t>8.4.3~8.4.6</w:t>
      </w:r>
      <w:r>
        <w:rPr>
          <w:rFonts w:hint="eastAsia" w:ascii="宋体" w:hAnsi="宋体"/>
          <w:szCs w:val="21"/>
        </w:rPr>
        <w:t>规定了现场再生利用处置设备的节能、环保和安全生产要求</w:t>
      </w:r>
      <w:r>
        <w:rPr>
          <w:rFonts w:hint="eastAsia" w:ascii="宋体" w:hAnsi="宋体"/>
          <w:b/>
          <w:szCs w:val="21"/>
        </w:rPr>
        <w:t>；</w:t>
      </w:r>
    </w:p>
    <w:p>
      <w:pPr>
        <w:widowControl/>
        <w:spacing w:line="240" w:lineRule="auto"/>
        <w:jc w:val="left"/>
        <w:rPr>
          <w:rFonts w:ascii="宋体" w:hAnsi="宋体"/>
          <w:szCs w:val="21"/>
        </w:rPr>
      </w:pPr>
      <w:r>
        <w:rPr>
          <w:rFonts w:ascii="宋体" w:hAnsi="宋体"/>
          <w:szCs w:val="21"/>
        </w:rPr>
        <w:br w:type="page"/>
      </w:r>
    </w:p>
    <w:p>
      <w:pPr>
        <w:widowControl/>
        <w:spacing w:line="240" w:lineRule="auto"/>
        <w:jc w:val="left"/>
        <w:rPr>
          <w:rFonts w:hint="eastAsia" w:ascii="宋体" w:hAnsi="宋体"/>
          <w:szCs w:val="21"/>
        </w:rPr>
      </w:pPr>
    </w:p>
    <w:p>
      <w:pPr>
        <w:keepNext/>
        <w:keepLines/>
        <w:spacing w:before="360" w:after="360" w:line="240" w:lineRule="auto"/>
        <w:jc w:val="center"/>
        <w:outlineLvl w:val="0"/>
        <w:rPr>
          <w:rStyle w:val="22"/>
          <w:rFonts w:ascii="宋体" w:hAnsi="宋体" w:eastAsia="宋体"/>
          <w:b w:val="0"/>
          <w:bCs w:val="0"/>
          <w:sz w:val="28"/>
          <w:szCs w:val="28"/>
        </w:rPr>
      </w:pPr>
      <w:r>
        <w:rPr>
          <w:rStyle w:val="22"/>
          <w:rFonts w:ascii="Times New Roman" w:hAnsi="Times New Roman" w:cs="Times New Roman"/>
          <w:sz w:val="28"/>
          <w:szCs w:val="28"/>
        </w:rPr>
        <w:t>9</w:t>
      </w:r>
      <w:r>
        <w:rPr>
          <w:rStyle w:val="22"/>
          <w:rFonts w:hint="eastAsia" w:ascii="宋体" w:hAnsi="宋体"/>
          <w:sz w:val="28"/>
          <w:szCs w:val="28"/>
        </w:rPr>
        <w:t xml:space="preserve">  </w:t>
      </w:r>
      <w:r>
        <w:rPr>
          <w:rStyle w:val="22"/>
          <w:rFonts w:hint="eastAsia" w:ascii="宋体" w:hAnsi="宋体" w:eastAsia="宋体"/>
          <w:b w:val="0"/>
          <w:bCs w:val="0"/>
          <w:sz w:val="28"/>
          <w:szCs w:val="28"/>
        </w:rPr>
        <w:t>拆除工程碳足迹评价</w:t>
      </w:r>
    </w:p>
    <w:p>
      <w:pPr>
        <w:rPr>
          <w:rFonts w:ascii="宋体" w:hAnsi="宋体"/>
          <w:szCs w:val="21"/>
        </w:rPr>
      </w:pPr>
      <w:r>
        <w:rPr>
          <w:rFonts w:hint="eastAsia" w:ascii="宋体" w:hAnsi="宋体"/>
          <w:b/>
          <w:szCs w:val="21"/>
        </w:rPr>
        <w:t>9</w:t>
      </w:r>
      <w:r>
        <w:rPr>
          <w:rFonts w:ascii="宋体" w:hAnsi="宋体"/>
          <w:b/>
          <w:szCs w:val="21"/>
        </w:rPr>
        <w:t>.1.1~9.1.5</w:t>
      </w:r>
      <w:r>
        <w:rPr>
          <w:rFonts w:hint="eastAsia" w:ascii="宋体" w:hAnsi="宋体"/>
          <w:szCs w:val="21"/>
        </w:rPr>
        <w:t>规定了建筑物拆除阶段碳排放的因素和计算碳排放的评估要素；</w:t>
      </w:r>
    </w:p>
    <w:p>
      <w:pPr>
        <w:rPr>
          <w:rFonts w:hint="eastAsia" w:ascii="宋体" w:hAnsi="宋体"/>
          <w:szCs w:val="21"/>
        </w:rPr>
      </w:pPr>
      <w:r>
        <w:rPr>
          <w:rFonts w:ascii="宋体" w:hAnsi="宋体"/>
          <w:b/>
          <w:szCs w:val="21"/>
        </w:rPr>
        <w:t xml:space="preserve">9.2.1 </w:t>
      </w:r>
      <w:r>
        <w:rPr>
          <w:rFonts w:ascii="宋体" w:hAnsi="宋体"/>
          <w:szCs w:val="21"/>
        </w:rPr>
        <w:t>规定了建筑物拆除阶段碳排放计算边界</w:t>
      </w:r>
      <w:r>
        <w:rPr>
          <w:rFonts w:hint="eastAsia" w:ascii="宋体" w:hAnsi="宋体"/>
          <w:szCs w:val="21"/>
        </w:rPr>
        <w:t>；</w:t>
      </w:r>
    </w:p>
    <w:p>
      <w:pPr>
        <w:rPr>
          <w:rFonts w:hint="eastAsia" w:ascii="宋体" w:hAnsi="宋体"/>
          <w:szCs w:val="21"/>
        </w:rPr>
      </w:pPr>
      <w:r>
        <w:rPr>
          <w:rFonts w:ascii="宋体" w:hAnsi="宋体"/>
          <w:b/>
          <w:szCs w:val="21"/>
        </w:rPr>
        <w:t>9.3.1~9.3.3</w:t>
      </w:r>
      <w:r>
        <w:rPr>
          <w:rFonts w:ascii="宋体" w:hAnsi="宋体"/>
          <w:szCs w:val="21"/>
        </w:rPr>
        <w:t xml:space="preserve"> 规定了建筑物拆除阶段碳排放的计算方法和公式</w:t>
      </w:r>
      <w:r>
        <w:rPr>
          <w:rFonts w:hint="eastAsia" w:ascii="宋体" w:hAnsi="宋体"/>
          <w:szCs w:val="21"/>
        </w:rPr>
        <w:t>。</w:t>
      </w:r>
    </w:p>
    <w:sectPr>
      <w:pgSz w:w="11906" w:h="16838"/>
      <w:pgMar w:top="1610" w:right="1349" w:bottom="1213" w:left="1293" w:header="851" w:footer="992" w:gutter="0"/>
      <w:cols w:space="425" w:num="1"/>
      <w:docGrid w:type="lines" w:linePitch="333" w:charSpace="4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黑体e眠副浡渀.">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749075"/>
    </w:sdtPr>
    <w:sdtEndPr>
      <w:rPr>
        <w:color w:val="FFFFFF" w:themeColor="background1"/>
        <w14:textFill>
          <w14:solidFill>
            <w14:schemeClr w14:val="bg1"/>
          </w14:solidFill>
        </w14:textFill>
      </w:rPr>
    </w:sdtEndPr>
    <w:sdtContent>
      <w:p>
        <w:pPr>
          <w:pStyle w:val="7"/>
          <w:jc w:val="right"/>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1</w:t>
        </w:r>
        <w:r>
          <w:rPr>
            <w:color w:val="FFFFFF" w:themeColor="background1"/>
            <w14:textFill>
              <w14:solidFill>
                <w14:schemeClr w14:val="bg1"/>
              </w14:solidFill>
            </w14:textFill>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728659"/>
      <w:docPartObj>
        <w:docPartGallery w:val="autotext"/>
      </w:docPartObj>
    </w:sdtPr>
    <w:sdtEndPr>
      <w:rPr>
        <w:rFonts w:ascii="Times New Roman" w:hAnsi="Times New Roman" w:cs="Times New Roman"/>
        <w:i/>
        <w:iCs/>
        <w:sz w:val="21"/>
        <w:szCs w:val="21"/>
        <w:lang w:val="zh-CN"/>
      </w:rPr>
    </w:sdtEndPr>
    <w:sdtContent>
      <w:p>
        <w:pPr>
          <w:pStyle w:val="7"/>
          <w:rPr>
            <w:rFonts w:ascii="Times New Roman" w:hAnsi="Times New Roman" w:cs="Times New Roman"/>
            <w:i/>
            <w:iCs/>
            <w:sz w:val="21"/>
            <w:szCs w:val="21"/>
            <w:lang w:val="zh-CN"/>
          </w:rPr>
        </w:pPr>
        <w:r>
          <w:rPr>
            <w:rFonts w:ascii="Times New Roman" w:hAnsi="Times New Roman" w:cs="Times New Roman"/>
            <w:i/>
            <w:iCs/>
            <w:sz w:val="21"/>
            <w:szCs w:val="21"/>
            <w:lang w:val="zh-CN"/>
          </w:rPr>
          <w:fldChar w:fldCharType="begin"/>
        </w:r>
        <w:r>
          <w:rPr>
            <w:rFonts w:ascii="Times New Roman" w:hAnsi="Times New Roman" w:cs="Times New Roman"/>
            <w:i/>
            <w:iCs/>
            <w:sz w:val="21"/>
            <w:szCs w:val="21"/>
            <w:lang w:val="zh-CN"/>
          </w:rPr>
          <w:instrText xml:space="preserve">PAGE   \* MERGEFORMAT</w:instrText>
        </w:r>
        <w:r>
          <w:rPr>
            <w:rFonts w:ascii="Times New Roman" w:hAnsi="Times New Roman" w:cs="Times New Roman"/>
            <w:i/>
            <w:iCs/>
            <w:sz w:val="21"/>
            <w:szCs w:val="21"/>
            <w:lang w:val="zh-CN"/>
          </w:rPr>
          <w:fldChar w:fldCharType="separate"/>
        </w:r>
        <w:r>
          <w:rPr>
            <w:rFonts w:ascii="Times New Roman" w:hAnsi="Times New Roman" w:cs="Times New Roman"/>
            <w:i/>
            <w:iCs/>
            <w:sz w:val="21"/>
            <w:szCs w:val="21"/>
            <w:lang w:val="zh-CN"/>
          </w:rPr>
          <w:t>42</w:t>
        </w:r>
        <w:r>
          <w:rPr>
            <w:rFonts w:ascii="Times New Roman" w:hAnsi="Times New Roman" w:cs="Times New Roman"/>
            <w:i/>
            <w:iCs/>
            <w:sz w:val="21"/>
            <w:szCs w:val="21"/>
            <w:lang w:val="zh-CN"/>
          </w:rPr>
          <w:fldChar w:fldCharType="end"/>
        </w:r>
      </w:p>
    </w:sdtContent>
  </w:sdt>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1841623"/>
    </w:sdtPr>
    <w:sdtEndPr>
      <w:rPr>
        <w:rFonts w:ascii="Times New Roman" w:hAnsi="Times New Roman" w:cs="Times New Roman"/>
        <w:i/>
        <w:iCs/>
        <w:sz w:val="21"/>
        <w:szCs w:val="21"/>
      </w:rPr>
    </w:sdtEndPr>
    <w:sdtContent>
      <w:p>
        <w:pPr>
          <w:pStyle w:val="7"/>
          <w:jc w:val="right"/>
          <w:rPr>
            <w:rFonts w:ascii="Times New Roman" w:hAnsi="Times New Roman" w:cs="Times New Roman"/>
            <w:i/>
            <w:iCs/>
            <w:sz w:val="21"/>
            <w:szCs w:val="21"/>
          </w:rPr>
        </w:pPr>
        <w:r>
          <w:rPr>
            <w:rFonts w:ascii="Times New Roman" w:hAnsi="Times New Roman" w:cs="Times New Roman"/>
            <w:i/>
            <w:iCs/>
            <w:sz w:val="21"/>
            <w:szCs w:val="21"/>
          </w:rPr>
          <w:fldChar w:fldCharType="begin"/>
        </w:r>
        <w:r>
          <w:rPr>
            <w:rFonts w:ascii="Times New Roman" w:hAnsi="Times New Roman" w:cs="Times New Roman"/>
            <w:i/>
            <w:iCs/>
            <w:sz w:val="21"/>
            <w:szCs w:val="21"/>
          </w:rPr>
          <w:instrText xml:space="preserve">PAGE   \* MERGEFORMAT</w:instrText>
        </w:r>
        <w:r>
          <w:rPr>
            <w:rFonts w:ascii="Times New Roman" w:hAnsi="Times New Roman" w:cs="Times New Roman"/>
            <w:i/>
            <w:iCs/>
            <w:sz w:val="21"/>
            <w:szCs w:val="21"/>
          </w:rPr>
          <w:fldChar w:fldCharType="separate"/>
        </w:r>
        <w:r>
          <w:rPr>
            <w:rFonts w:ascii="Times New Roman" w:hAnsi="Times New Roman" w:cs="Times New Roman"/>
            <w:i/>
            <w:iCs/>
            <w:sz w:val="21"/>
            <w:szCs w:val="21"/>
            <w:lang w:val="zh-CN"/>
          </w:rPr>
          <w:t>43</w:t>
        </w:r>
        <w:r>
          <w:rPr>
            <w:rFonts w:ascii="Times New Roman" w:hAnsi="Times New Roman" w:cs="Times New Roman"/>
            <w:i/>
            <w:iCs/>
            <w:sz w:val="21"/>
            <w:szCs w:val="21"/>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B42"/>
    <w:multiLevelType w:val="multilevel"/>
    <w:tmpl w:val="06EC3B42"/>
    <w:lvl w:ilvl="0" w:tentative="0">
      <w:start w:val="1"/>
      <w:numFmt w:val="decimal"/>
      <w:lvlText w:val="%1）"/>
      <w:lvlJc w:val="left"/>
      <w:pPr>
        <w:ind w:left="1024" w:hanging="360"/>
      </w:pPr>
      <w:rPr>
        <w:rFonts w:hint="default"/>
        <w:b/>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221"/>
  <w:drawingGridVerticalSpacing w:val="3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ze1MDMwNrEwMzRR0lEKTi0uzszPAykwrAUAuJHaTiwAAAA="/>
    <w:docVar w:name="commondata" w:val="eyJoZGlkIjoiZTk0YThkYjgwMGYzZjI1YzFkMjQ5MGUyNTlhODJjNDgifQ=="/>
  </w:docVars>
  <w:rsids>
    <w:rsidRoot w:val="0028249B"/>
    <w:rsid w:val="00001C98"/>
    <w:rsid w:val="00002BF1"/>
    <w:rsid w:val="0000325F"/>
    <w:rsid w:val="000132C3"/>
    <w:rsid w:val="00020103"/>
    <w:rsid w:val="00022F34"/>
    <w:rsid w:val="0003157F"/>
    <w:rsid w:val="000339DD"/>
    <w:rsid w:val="00034780"/>
    <w:rsid w:val="00044AEA"/>
    <w:rsid w:val="000450DD"/>
    <w:rsid w:val="0004537D"/>
    <w:rsid w:val="00046FEF"/>
    <w:rsid w:val="00062BDC"/>
    <w:rsid w:val="0006425A"/>
    <w:rsid w:val="000715B2"/>
    <w:rsid w:val="0007229E"/>
    <w:rsid w:val="00072E64"/>
    <w:rsid w:val="00082B29"/>
    <w:rsid w:val="000833EE"/>
    <w:rsid w:val="00087E11"/>
    <w:rsid w:val="000A582D"/>
    <w:rsid w:val="000A5D30"/>
    <w:rsid w:val="000A6C2B"/>
    <w:rsid w:val="000A712E"/>
    <w:rsid w:val="000B0554"/>
    <w:rsid w:val="000B6CA6"/>
    <w:rsid w:val="000C19E3"/>
    <w:rsid w:val="000C1A3D"/>
    <w:rsid w:val="000C4323"/>
    <w:rsid w:val="000D2DDC"/>
    <w:rsid w:val="000E27F2"/>
    <w:rsid w:val="000F0FE5"/>
    <w:rsid w:val="000F15FB"/>
    <w:rsid w:val="000F7CD7"/>
    <w:rsid w:val="00105479"/>
    <w:rsid w:val="00110C5F"/>
    <w:rsid w:val="00126AAD"/>
    <w:rsid w:val="00127A2D"/>
    <w:rsid w:val="001320A3"/>
    <w:rsid w:val="00133ABF"/>
    <w:rsid w:val="001373C7"/>
    <w:rsid w:val="00137C24"/>
    <w:rsid w:val="00141E96"/>
    <w:rsid w:val="00142263"/>
    <w:rsid w:val="00143BEE"/>
    <w:rsid w:val="00145D0C"/>
    <w:rsid w:val="0015077D"/>
    <w:rsid w:val="00151CB4"/>
    <w:rsid w:val="0015456D"/>
    <w:rsid w:val="00155443"/>
    <w:rsid w:val="001572A4"/>
    <w:rsid w:val="001579C3"/>
    <w:rsid w:val="001600A1"/>
    <w:rsid w:val="0016194D"/>
    <w:rsid w:val="00163174"/>
    <w:rsid w:val="001659D6"/>
    <w:rsid w:val="00172DAF"/>
    <w:rsid w:val="00185C34"/>
    <w:rsid w:val="0019105F"/>
    <w:rsid w:val="001927EB"/>
    <w:rsid w:val="001D4AFF"/>
    <w:rsid w:val="001D6017"/>
    <w:rsid w:val="001D6213"/>
    <w:rsid w:val="001D7814"/>
    <w:rsid w:val="001E2E1C"/>
    <w:rsid w:val="001E327E"/>
    <w:rsid w:val="001F281C"/>
    <w:rsid w:val="001F435C"/>
    <w:rsid w:val="0020278A"/>
    <w:rsid w:val="002111DC"/>
    <w:rsid w:val="00212FC1"/>
    <w:rsid w:val="0021447B"/>
    <w:rsid w:val="00215040"/>
    <w:rsid w:val="00224CAD"/>
    <w:rsid w:val="00225624"/>
    <w:rsid w:val="002300E9"/>
    <w:rsid w:val="00242F80"/>
    <w:rsid w:val="0025083D"/>
    <w:rsid w:val="002608E8"/>
    <w:rsid w:val="0026113D"/>
    <w:rsid w:val="00275EFA"/>
    <w:rsid w:val="00277D43"/>
    <w:rsid w:val="0028249B"/>
    <w:rsid w:val="002879E7"/>
    <w:rsid w:val="00297126"/>
    <w:rsid w:val="002B1AA6"/>
    <w:rsid w:val="002B45C7"/>
    <w:rsid w:val="002B5638"/>
    <w:rsid w:val="002B6042"/>
    <w:rsid w:val="002B649A"/>
    <w:rsid w:val="002C7699"/>
    <w:rsid w:val="002D4419"/>
    <w:rsid w:val="002D6C74"/>
    <w:rsid w:val="002D6DD5"/>
    <w:rsid w:val="002E2BB0"/>
    <w:rsid w:val="002E3ADB"/>
    <w:rsid w:val="002E74B2"/>
    <w:rsid w:val="002F07E1"/>
    <w:rsid w:val="002F14F1"/>
    <w:rsid w:val="002F1EB0"/>
    <w:rsid w:val="002F1F5E"/>
    <w:rsid w:val="002F504B"/>
    <w:rsid w:val="002F57DF"/>
    <w:rsid w:val="002F5A98"/>
    <w:rsid w:val="002F6702"/>
    <w:rsid w:val="00303582"/>
    <w:rsid w:val="00310323"/>
    <w:rsid w:val="00311D71"/>
    <w:rsid w:val="003179EB"/>
    <w:rsid w:val="00321D32"/>
    <w:rsid w:val="00322EB7"/>
    <w:rsid w:val="00333E6E"/>
    <w:rsid w:val="00341620"/>
    <w:rsid w:val="003437A8"/>
    <w:rsid w:val="003440F3"/>
    <w:rsid w:val="0035781E"/>
    <w:rsid w:val="00363B8D"/>
    <w:rsid w:val="003753A0"/>
    <w:rsid w:val="00375FB0"/>
    <w:rsid w:val="00382EBC"/>
    <w:rsid w:val="00384E67"/>
    <w:rsid w:val="00385663"/>
    <w:rsid w:val="00395568"/>
    <w:rsid w:val="003A4FC3"/>
    <w:rsid w:val="003A56FF"/>
    <w:rsid w:val="003A6559"/>
    <w:rsid w:val="003B5032"/>
    <w:rsid w:val="003B6B24"/>
    <w:rsid w:val="003B792C"/>
    <w:rsid w:val="003C00B2"/>
    <w:rsid w:val="003C5885"/>
    <w:rsid w:val="003C6336"/>
    <w:rsid w:val="003D2EF5"/>
    <w:rsid w:val="003E01B6"/>
    <w:rsid w:val="003E1EF1"/>
    <w:rsid w:val="003E36F1"/>
    <w:rsid w:val="003F536D"/>
    <w:rsid w:val="0040478D"/>
    <w:rsid w:val="00412DED"/>
    <w:rsid w:val="0041446F"/>
    <w:rsid w:val="00415CB1"/>
    <w:rsid w:val="0041669D"/>
    <w:rsid w:val="00417831"/>
    <w:rsid w:val="00422F4A"/>
    <w:rsid w:val="00427A91"/>
    <w:rsid w:val="00430824"/>
    <w:rsid w:val="00435174"/>
    <w:rsid w:val="004447E1"/>
    <w:rsid w:val="004462EB"/>
    <w:rsid w:val="00446FFF"/>
    <w:rsid w:val="00450073"/>
    <w:rsid w:val="00464A28"/>
    <w:rsid w:val="00470F5A"/>
    <w:rsid w:val="00472272"/>
    <w:rsid w:val="0047443A"/>
    <w:rsid w:val="00474499"/>
    <w:rsid w:val="00482A46"/>
    <w:rsid w:val="004837BD"/>
    <w:rsid w:val="0049319F"/>
    <w:rsid w:val="0049373B"/>
    <w:rsid w:val="00494A4C"/>
    <w:rsid w:val="00496E60"/>
    <w:rsid w:val="0049781C"/>
    <w:rsid w:val="004A08E2"/>
    <w:rsid w:val="004A0DA4"/>
    <w:rsid w:val="004A191A"/>
    <w:rsid w:val="004A3D47"/>
    <w:rsid w:val="004B0602"/>
    <w:rsid w:val="004B1C5F"/>
    <w:rsid w:val="004B4E1B"/>
    <w:rsid w:val="004B7011"/>
    <w:rsid w:val="004B79AE"/>
    <w:rsid w:val="004C0DC5"/>
    <w:rsid w:val="004C0F33"/>
    <w:rsid w:val="004D02BF"/>
    <w:rsid w:val="004D2647"/>
    <w:rsid w:val="004D4716"/>
    <w:rsid w:val="004E10A6"/>
    <w:rsid w:val="004E17F9"/>
    <w:rsid w:val="004E3967"/>
    <w:rsid w:val="004E74CA"/>
    <w:rsid w:val="004E7DBC"/>
    <w:rsid w:val="004F0495"/>
    <w:rsid w:val="004F13D8"/>
    <w:rsid w:val="004F5334"/>
    <w:rsid w:val="004F5B98"/>
    <w:rsid w:val="0050250F"/>
    <w:rsid w:val="0050649C"/>
    <w:rsid w:val="00510F36"/>
    <w:rsid w:val="00515C16"/>
    <w:rsid w:val="00520689"/>
    <w:rsid w:val="005210CF"/>
    <w:rsid w:val="00523763"/>
    <w:rsid w:val="00524C17"/>
    <w:rsid w:val="00524FB5"/>
    <w:rsid w:val="00526B44"/>
    <w:rsid w:val="005313AC"/>
    <w:rsid w:val="0053322D"/>
    <w:rsid w:val="00541556"/>
    <w:rsid w:val="00542FAD"/>
    <w:rsid w:val="0054417E"/>
    <w:rsid w:val="00553403"/>
    <w:rsid w:val="0056048C"/>
    <w:rsid w:val="00560948"/>
    <w:rsid w:val="00560A22"/>
    <w:rsid w:val="005650AF"/>
    <w:rsid w:val="00570E56"/>
    <w:rsid w:val="00571CCD"/>
    <w:rsid w:val="00575939"/>
    <w:rsid w:val="00577C2B"/>
    <w:rsid w:val="00583754"/>
    <w:rsid w:val="00583D85"/>
    <w:rsid w:val="00586133"/>
    <w:rsid w:val="0058723E"/>
    <w:rsid w:val="0059230E"/>
    <w:rsid w:val="00592C0A"/>
    <w:rsid w:val="005948EA"/>
    <w:rsid w:val="005A34A1"/>
    <w:rsid w:val="005A3DD6"/>
    <w:rsid w:val="005A4033"/>
    <w:rsid w:val="005A57E9"/>
    <w:rsid w:val="005C00F3"/>
    <w:rsid w:val="005C045F"/>
    <w:rsid w:val="005C46E5"/>
    <w:rsid w:val="005D7C7E"/>
    <w:rsid w:val="005E1F00"/>
    <w:rsid w:val="005E7EB3"/>
    <w:rsid w:val="00600C14"/>
    <w:rsid w:val="006013C3"/>
    <w:rsid w:val="00601B4A"/>
    <w:rsid w:val="00606401"/>
    <w:rsid w:val="006209F8"/>
    <w:rsid w:val="00635E0E"/>
    <w:rsid w:val="00637682"/>
    <w:rsid w:val="00637CCB"/>
    <w:rsid w:val="006407EE"/>
    <w:rsid w:val="00640F35"/>
    <w:rsid w:val="00641E60"/>
    <w:rsid w:val="006427B6"/>
    <w:rsid w:val="00656C7B"/>
    <w:rsid w:val="006574FB"/>
    <w:rsid w:val="00667829"/>
    <w:rsid w:val="00672508"/>
    <w:rsid w:val="00672662"/>
    <w:rsid w:val="00675C39"/>
    <w:rsid w:val="00677458"/>
    <w:rsid w:val="00681D30"/>
    <w:rsid w:val="0069272F"/>
    <w:rsid w:val="00695BCC"/>
    <w:rsid w:val="0069651E"/>
    <w:rsid w:val="006A2796"/>
    <w:rsid w:val="006A7C72"/>
    <w:rsid w:val="006C024A"/>
    <w:rsid w:val="006C5CF6"/>
    <w:rsid w:val="006C7531"/>
    <w:rsid w:val="006E30DB"/>
    <w:rsid w:val="006F0FB7"/>
    <w:rsid w:val="006F1DFB"/>
    <w:rsid w:val="00705C08"/>
    <w:rsid w:val="00707F50"/>
    <w:rsid w:val="0071755A"/>
    <w:rsid w:val="00717B77"/>
    <w:rsid w:val="00722128"/>
    <w:rsid w:val="007253A6"/>
    <w:rsid w:val="007272D1"/>
    <w:rsid w:val="007310F9"/>
    <w:rsid w:val="00731633"/>
    <w:rsid w:val="007331E7"/>
    <w:rsid w:val="007334D9"/>
    <w:rsid w:val="0073790F"/>
    <w:rsid w:val="00744B3B"/>
    <w:rsid w:val="00745FEF"/>
    <w:rsid w:val="00747637"/>
    <w:rsid w:val="00752E72"/>
    <w:rsid w:val="00755CD0"/>
    <w:rsid w:val="00763072"/>
    <w:rsid w:val="007643A2"/>
    <w:rsid w:val="0076645D"/>
    <w:rsid w:val="00777855"/>
    <w:rsid w:val="0078388C"/>
    <w:rsid w:val="0078428F"/>
    <w:rsid w:val="00786659"/>
    <w:rsid w:val="0079534F"/>
    <w:rsid w:val="007A44DE"/>
    <w:rsid w:val="007A7E82"/>
    <w:rsid w:val="007B2704"/>
    <w:rsid w:val="007B3091"/>
    <w:rsid w:val="007C273E"/>
    <w:rsid w:val="007D62F6"/>
    <w:rsid w:val="007E0FA1"/>
    <w:rsid w:val="007E2955"/>
    <w:rsid w:val="007E4B97"/>
    <w:rsid w:val="00800F0F"/>
    <w:rsid w:val="00804E0A"/>
    <w:rsid w:val="00813B0F"/>
    <w:rsid w:val="00814650"/>
    <w:rsid w:val="00814746"/>
    <w:rsid w:val="0081645D"/>
    <w:rsid w:val="00822B7F"/>
    <w:rsid w:val="00827BD7"/>
    <w:rsid w:val="008318F8"/>
    <w:rsid w:val="00831A81"/>
    <w:rsid w:val="008348BA"/>
    <w:rsid w:val="00834D9F"/>
    <w:rsid w:val="00840811"/>
    <w:rsid w:val="00840B36"/>
    <w:rsid w:val="00841D1A"/>
    <w:rsid w:val="008460EF"/>
    <w:rsid w:val="00856C64"/>
    <w:rsid w:val="0085778A"/>
    <w:rsid w:val="00861316"/>
    <w:rsid w:val="00863623"/>
    <w:rsid w:val="008719B7"/>
    <w:rsid w:val="00871CF6"/>
    <w:rsid w:val="00882C6D"/>
    <w:rsid w:val="008857BE"/>
    <w:rsid w:val="008949E3"/>
    <w:rsid w:val="00897DC5"/>
    <w:rsid w:val="008A0E86"/>
    <w:rsid w:val="008A1312"/>
    <w:rsid w:val="008A4084"/>
    <w:rsid w:val="008B141C"/>
    <w:rsid w:val="008B2E18"/>
    <w:rsid w:val="008B5576"/>
    <w:rsid w:val="008C2665"/>
    <w:rsid w:val="008C5D29"/>
    <w:rsid w:val="008C63B5"/>
    <w:rsid w:val="008C7CE3"/>
    <w:rsid w:val="008D63FA"/>
    <w:rsid w:val="008D71DF"/>
    <w:rsid w:val="008E09A9"/>
    <w:rsid w:val="008E1EB7"/>
    <w:rsid w:val="008E3BAD"/>
    <w:rsid w:val="008E43C5"/>
    <w:rsid w:val="008E5E5B"/>
    <w:rsid w:val="008E6780"/>
    <w:rsid w:val="008F4062"/>
    <w:rsid w:val="008F49A7"/>
    <w:rsid w:val="008F5E99"/>
    <w:rsid w:val="009037E2"/>
    <w:rsid w:val="00904B57"/>
    <w:rsid w:val="00906458"/>
    <w:rsid w:val="0091009A"/>
    <w:rsid w:val="00910D2F"/>
    <w:rsid w:val="00917EC3"/>
    <w:rsid w:val="0092730E"/>
    <w:rsid w:val="00940B9D"/>
    <w:rsid w:val="00940BF9"/>
    <w:rsid w:val="00940E8D"/>
    <w:rsid w:val="00942D2E"/>
    <w:rsid w:val="009436FF"/>
    <w:rsid w:val="009503DD"/>
    <w:rsid w:val="00961057"/>
    <w:rsid w:val="0096319A"/>
    <w:rsid w:val="00963A2F"/>
    <w:rsid w:val="00982BD2"/>
    <w:rsid w:val="009933B1"/>
    <w:rsid w:val="00994609"/>
    <w:rsid w:val="009A31A1"/>
    <w:rsid w:val="009A3AB4"/>
    <w:rsid w:val="009A4C3F"/>
    <w:rsid w:val="009B0660"/>
    <w:rsid w:val="009B181C"/>
    <w:rsid w:val="009B2B66"/>
    <w:rsid w:val="009C3043"/>
    <w:rsid w:val="009C5629"/>
    <w:rsid w:val="009C6229"/>
    <w:rsid w:val="009C6482"/>
    <w:rsid w:val="009D1B09"/>
    <w:rsid w:val="009E6B93"/>
    <w:rsid w:val="009F0215"/>
    <w:rsid w:val="009F3354"/>
    <w:rsid w:val="009F773F"/>
    <w:rsid w:val="00A00D9F"/>
    <w:rsid w:val="00A015AD"/>
    <w:rsid w:val="00A01E1A"/>
    <w:rsid w:val="00A07ADB"/>
    <w:rsid w:val="00A12931"/>
    <w:rsid w:val="00A1462D"/>
    <w:rsid w:val="00A17ACC"/>
    <w:rsid w:val="00A339BA"/>
    <w:rsid w:val="00A3457A"/>
    <w:rsid w:val="00A36F14"/>
    <w:rsid w:val="00A61C44"/>
    <w:rsid w:val="00A631DA"/>
    <w:rsid w:val="00A72708"/>
    <w:rsid w:val="00A7511C"/>
    <w:rsid w:val="00A7512B"/>
    <w:rsid w:val="00A816DF"/>
    <w:rsid w:val="00A843AB"/>
    <w:rsid w:val="00A90296"/>
    <w:rsid w:val="00AA0822"/>
    <w:rsid w:val="00AA1597"/>
    <w:rsid w:val="00AA3BC7"/>
    <w:rsid w:val="00AA6261"/>
    <w:rsid w:val="00AA6EBD"/>
    <w:rsid w:val="00AB259C"/>
    <w:rsid w:val="00AB3289"/>
    <w:rsid w:val="00AC17A2"/>
    <w:rsid w:val="00AC4969"/>
    <w:rsid w:val="00AC4CD2"/>
    <w:rsid w:val="00AD16D1"/>
    <w:rsid w:val="00AD2AE6"/>
    <w:rsid w:val="00AD4515"/>
    <w:rsid w:val="00AE2FC1"/>
    <w:rsid w:val="00AE3D4C"/>
    <w:rsid w:val="00AE45F3"/>
    <w:rsid w:val="00AE49C5"/>
    <w:rsid w:val="00AF3696"/>
    <w:rsid w:val="00AF5693"/>
    <w:rsid w:val="00B03788"/>
    <w:rsid w:val="00B059CD"/>
    <w:rsid w:val="00B068EB"/>
    <w:rsid w:val="00B115E3"/>
    <w:rsid w:val="00B119D3"/>
    <w:rsid w:val="00B129D7"/>
    <w:rsid w:val="00B13A1D"/>
    <w:rsid w:val="00B15479"/>
    <w:rsid w:val="00B245CC"/>
    <w:rsid w:val="00B25998"/>
    <w:rsid w:val="00B27746"/>
    <w:rsid w:val="00B31E07"/>
    <w:rsid w:val="00B3443B"/>
    <w:rsid w:val="00B356B5"/>
    <w:rsid w:val="00B41A33"/>
    <w:rsid w:val="00B44D6C"/>
    <w:rsid w:val="00B45FB3"/>
    <w:rsid w:val="00B55047"/>
    <w:rsid w:val="00B67CC3"/>
    <w:rsid w:val="00B76578"/>
    <w:rsid w:val="00B81717"/>
    <w:rsid w:val="00B84B98"/>
    <w:rsid w:val="00B8707C"/>
    <w:rsid w:val="00B92400"/>
    <w:rsid w:val="00BA13BC"/>
    <w:rsid w:val="00BA48CC"/>
    <w:rsid w:val="00BA70EC"/>
    <w:rsid w:val="00BA77A9"/>
    <w:rsid w:val="00BB0EF9"/>
    <w:rsid w:val="00BB706A"/>
    <w:rsid w:val="00BC6071"/>
    <w:rsid w:val="00BD1DE9"/>
    <w:rsid w:val="00BD1F73"/>
    <w:rsid w:val="00BE3FD5"/>
    <w:rsid w:val="00BE4BE5"/>
    <w:rsid w:val="00BE6723"/>
    <w:rsid w:val="00C005D9"/>
    <w:rsid w:val="00C049BF"/>
    <w:rsid w:val="00C1148B"/>
    <w:rsid w:val="00C1228E"/>
    <w:rsid w:val="00C14295"/>
    <w:rsid w:val="00C17CCA"/>
    <w:rsid w:val="00C20750"/>
    <w:rsid w:val="00C245BB"/>
    <w:rsid w:val="00C251E8"/>
    <w:rsid w:val="00C31D1E"/>
    <w:rsid w:val="00C43A60"/>
    <w:rsid w:val="00C43CC9"/>
    <w:rsid w:val="00C44A9F"/>
    <w:rsid w:val="00C45D63"/>
    <w:rsid w:val="00C504D7"/>
    <w:rsid w:val="00C518D7"/>
    <w:rsid w:val="00C568C8"/>
    <w:rsid w:val="00C642DB"/>
    <w:rsid w:val="00C65DA6"/>
    <w:rsid w:val="00C65E6E"/>
    <w:rsid w:val="00C6630C"/>
    <w:rsid w:val="00C73501"/>
    <w:rsid w:val="00C75DDD"/>
    <w:rsid w:val="00C80D68"/>
    <w:rsid w:val="00C82139"/>
    <w:rsid w:val="00C86663"/>
    <w:rsid w:val="00C92618"/>
    <w:rsid w:val="00C92DF9"/>
    <w:rsid w:val="00CA3082"/>
    <w:rsid w:val="00CA7A09"/>
    <w:rsid w:val="00CA7EC1"/>
    <w:rsid w:val="00CB0200"/>
    <w:rsid w:val="00CB3D90"/>
    <w:rsid w:val="00CC3434"/>
    <w:rsid w:val="00CD5158"/>
    <w:rsid w:val="00CD53BC"/>
    <w:rsid w:val="00CD5AFC"/>
    <w:rsid w:val="00CE39FE"/>
    <w:rsid w:val="00CE49C0"/>
    <w:rsid w:val="00CE71AF"/>
    <w:rsid w:val="00CF00C7"/>
    <w:rsid w:val="00CF1E32"/>
    <w:rsid w:val="00CF422D"/>
    <w:rsid w:val="00CF45E7"/>
    <w:rsid w:val="00CF6C91"/>
    <w:rsid w:val="00D017CC"/>
    <w:rsid w:val="00D0248A"/>
    <w:rsid w:val="00D03016"/>
    <w:rsid w:val="00D101D6"/>
    <w:rsid w:val="00D13500"/>
    <w:rsid w:val="00D13C37"/>
    <w:rsid w:val="00D14F18"/>
    <w:rsid w:val="00D16851"/>
    <w:rsid w:val="00D2747E"/>
    <w:rsid w:val="00D33C0E"/>
    <w:rsid w:val="00D411CF"/>
    <w:rsid w:val="00D42846"/>
    <w:rsid w:val="00D45490"/>
    <w:rsid w:val="00D57FB1"/>
    <w:rsid w:val="00D66BFF"/>
    <w:rsid w:val="00D67236"/>
    <w:rsid w:val="00D72D30"/>
    <w:rsid w:val="00D75095"/>
    <w:rsid w:val="00D82351"/>
    <w:rsid w:val="00D84FFF"/>
    <w:rsid w:val="00D874F9"/>
    <w:rsid w:val="00D922F9"/>
    <w:rsid w:val="00D9637F"/>
    <w:rsid w:val="00DA701B"/>
    <w:rsid w:val="00DB2C75"/>
    <w:rsid w:val="00DB57EF"/>
    <w:rsid w:val="00DB7621"/>
    <w:rsid w:val="00DC22C6"/>
    <w:rsid w:val="00DC3D06"/>
    <w:rsid w:val="00DC6833"/>
    <w:rsid w:val="00DC6B56"/>
    <w:rsid w:val="00DD2241"/>
    <w:rsid w:val="00DD29E5"/>
    <w:rsid w:val="00DD2AB5"/>
    <w:rsid w:val="00DD3F84"/>
    <w:rsid w:val="00DE66A2"/>
    <w:rsid w:val="00DF6D59"/>
    <w:rsid w:val="00DF7B82"/>
    <w:rsid w:val="00E00836"/>
    <w:rsid w:val="00E04588"/>
    <w:rsid w:val="00E06E3C"/>
    <w:rsid w:val="00E108D0"/>
    <w:rsid w:val="00E2017E"/>
    <w:rsid w:val="00E279A7"/>
    <w:rsid w:val="00E372D7"/>
    <w:rsid w:val="00E37F36"/>
    <w:rsid w:val="00E436E3"/>
    <w:rsid w:val="00E44684"/>
    <w:rsid w:val="00E45993"/>
    <w:rsid w:val="00E466FF"/>
    <w:rsid w:val="00E5164D"/>
    <w:rsid w:val="00E53574"/>
    <w:rsid w:val="00E56AA4"/>
    <w:rsid w:val="00E614F5"/>
    <w:rsid w:val="00E648D7"/>
    <w:rsid w:val="00E718C0"/>
    <w:rsid w:val="00E726F8"/>
    <w:rsid w:val="00E74DE7"/>
    <w:rsid w:val="00E76536"/>
    <w:rsid w:val="00E8331C"/>
    <w:rsid w:val="00E862FC"/>
    <w:rsid w:val="00E9158B"/>
    <w:rsid w:val="00E94E33"/>
    <w:rsid w:val="00E96D41"/>
    <w:rsid w:val="00EA5DC5"/>
    <w:rsid w:val="00EB1521"/>
    <w:rsid w:val="00EB72E2"/>
    <w:rsid w:val="00ED1DCF"/>
    <w:rsid w:val="00ED24A1"/>
    <w:rsid w:val="00ED2CA6"/>
    <w:rsid w:val="00ED6819"/>
    <w:rsid w:val="00EE2D50"/>
    <w:rsid w:val="00EE57DA"/>
    <w:rsid w:val="00EE7420"/>
    <w:rsid w:val="00EF0766"/>
    <w:rsid w:val="00EF2A1B"/>
    <w:rsid w:val="00EF3C94"/>
    <w:rsid w:val="00F04462"/>
    <w:rsid w:val="00F13614"/>
    <w:rsid w:val="00F159F5"/>
    <w:rsid w:val="00F171E2"/>
    <w:rsid w:val="00F2034E"/>
    <w:rsid w:val="00F2215D"/>
    <w:rsid w:val="00F22980"/>
    <w:rsid w:val="00F3119E"/>
    <w:rsid w:val="00F326B4"/>
    <w:rsid w:val="00F354DD"/>
    <w:rsid w:val="00F356F2"/>
    <w:rsid w:val="00F3603B"/>
    <w:rsid w:val="00F409DA"/>
    <w:rsid w:val="00F45714"/>
    <w:rsid w:val="00F61735"/>
    <w:rsid w:val="00F8716F"/>
    <w:rsid w:val="00F90E01"/>
    <w:rsid w:val="00F924F9"/>
    <w:rsid w:val="00F92E7A"/>
    <w:rsid w:val="00FA0291"/>
    <w:rsid w:val="00FA314A"/>
    <w:rsid w:val="00FA6A06"/>
    <w:rsid w:val="00FA78F5"/>
    <w:rsid w:val="00FB32C6"/>
    <w:rsid w:val="00FB5DC2"/>
    <w:rsid w:val="00FB623A"/>
    <w:rsid w:val="00FC1A35"/>
    <w:rsid w:val="00FC34BB"/>
    <w:rsid w:val="00FC3EBF"/>
    <w:rsid w:val="00FE4F3E"/>
    <w:rsid w:val="00FE4FD5"/>
    <w:rsid w:val="00FE79E8"/>
    <w:rsid w:val="00FF011F"/>
    <w:rsid w:val="00FF16DF"/>
    <w:rsid w:val="00FF5E77"/>
    <w:rsid w:val="05452940"/>
    <w:rsid w:val="07BB30BA"/>
    <w:rsid w:val="14CF3284"/>
    <w:rsid w:val="162F3020"/>
    <w:rsid w:val="16FD1545"/>
    <w:rsid w:val="21E56A1B"/>
    <w:rsid w:val="24E053EA"/>
    <w:rsid w:val="26144270"/>
    <w:rsid w:val="27B451DA"/>
    <w:rsid w:val="30003CB6"/>
    <w:rsid w:val="328876E0"/>
    <w:rsid w:val="33E94441"/>
    <w:rsid w:val="35421215"/>
    <w:rsid w:val="377A1A18"/>
    <w:rsid w:val="47B34000"/>
    <w:rsid w:val="47F937FA"/>
    <w:rsid w:val="4B987E89"/>
    <w:rsid w:val="4CE06EC9"/>
    <w:rsid w:val="574D0215"/>
    <w:rsid w:val="5BD00078"/>
    <w:rsid w:val="5EF1414F"/>
    <w:rsid w:val="683D493C"/>
    <w:rsid w:val="69431C43"/>
    <w:rsid w:val="6BC96098"/>
    <w:rsid w:val="72025F52"/>
    <w:rsid w:val="74734AA9"/>
    <w:rsid w:val="77841823"/>
    <w:rsid w:val="7A511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spacing w:line="240" w:lineRule="auto"/>
      <w:ind w:left="840" w:leftChars="400"/>
    </w:pPr>
    <w:rPr>
      <w:rFonts w:asciiTheme="minorHAnsi" w:hAnsiTheme="minorHAnsi" w:eastAsiaTheme="minorEastAsia" w:cstheme="minorBidi"/>
    </w:rPr>
  </w:style>
  <w:style w:type="paragraph" w:styleId="6">
    <w:name w:val="Date"/>
    <w:basedOn w:val="1"/>
    <w:next w:val="1"/>
    <w:link w:val="26"/>
    <w:semiHidden/>
    <w:unhideWhenUsed/>
    <w:qFormat/>
    <w:uiPriority w:val="99"/>
    <w:pPr>
      <w:ind w:left="100" w:leftChars="2500"/>
    </w:pPr>
  </w:style>
  <w:style w:type="paragraph" w:styleId="7">
    <w:name w:val="footer"/>
    <w:basedOn w:val="1"/>
    <w:link w:val="16"/>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pPr>
      <w:tabs>
        <w:tab w:val="left" w:pos="1050"/>
        <w:tab w:val="right" w:leader="dot" w:pos="13948"/>
      </w:tabs>
      <w:spacing w:line="240" w:lineRule="auto"/>
      <w:ind w:firstLine="480"/>
    </w:pPr>
    <w:rPr>
      <w:rFonts w:asciiTheme="minorHAnsi" w:hAnsiTheme="minorHAnsi" w:eastAsiaTheme="minorEastAsia" w:cstheme="minorBidi"/>
    </w:rPr>
  </w:style>
  <w:style w:type="paragraph" w:styleId="10">
    <w:name w:val="toc 2"/>
    <w:basedOn w:val="1"/>
    <w:next w:val="1"/>
    <w:unhideWhenUsed/>
    <w:qFormat/>
    <w:uiPriority w:val="39"/>
    <w:pPr>
      <w:spacing w:line="240" w:lineRule="auto"/>
      <w:ind w:left="420" w:leftChars="200"/>
    </w:pPr>
    <w:rPr>
      <w:rFonts w:asciiTheme="minorHAnsi" w:hAnsiTheme="minorHAnsi" w:eastAsiaTheme="minorEastAsia" w:cstheme="minorBidi"/>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标准标志"/>
    <w:basedOn w:val="17"/>
    <w:next w:val="17"/>
    <w:qFormat/>
    <w:uiPriority w:val="99"/>
    <w:rPr>
      <w:color w:val="auto"/>
    </w:rPr>
  </w:style>
  <w:style w:type="paragraph" w:customStyle="1" w:styleId="19">
    <w:name w:val="其他标准称谓"/>
    <w:basedOn w:val="17"/>
    <w:next w:val="17"/>
    <w:qFormat/>
    <w:uiPriority w:val="99"/>
    <w:rPr>
      <w:color w:val="auto"/>
    </w:rPr>
  </w:style>
  <w:style w:type="paragraph" w:customStyle="1" w:styleId="20">
    <w:name w:val="TOC 标题3"/>
    <w:basedOn w:val="2"/>
    <w:next w:val="1"/>
    <w:unhideWhenUsed/>
    <w:qFormat/>
    <w:uiPriority w:val="39"/>
    <w:pPr>
      <w:outlineLvl w:val="9"/>
    </w:pPr>
  </w:style>
  <w:style w:type="character" w:customStyle="1" w:styleId="21">
    <w:name w:val="标题 1 Char"/>
    <w:basedOn w:val="13"/>
    <w:link w:val="2"/>
    <w:qFormat/>
    <w:uiPriority w:val="9"/>
    <w:rPr>
      <w:rFonts w:ascii="Times New Roman" w:hAnsi="Times New Roman" w:eastAsia="宋体" w:cs="Times New Roman"/>
      <w:b/>
      <w:bCs/>
      <w:kern w:val="44"/>
      <w:sz w:val="44"/>
      <w:szCs w:val="44"/>
    </w:rPr>
  </w:style>
  <w:style w:type="character" w:customStyle="1" w:styleId="22">
    <w:name w:val="标题 2 Char"/>
    <w:basedOn w:val="13"/>
    <w:link w:val="3"/>
    <w:semiHidden/>
    <w:qFormat/>
    <w:uiPriority w:val="0"/>
    <w:rPr>
      <w:rFonts w:asciiTheme="majorHAnsi" w:hAnsiTheme="majorHAnsi" w:eastAsiaTheme="majorEastAsia" w:cstheme="majorBidi"/>
      <w:b/>
      <w:bCs/>
      <w:sz w:val="32"/>
      <w:szCs w:val="32"/>
    </w:rPr>
  </w:style>
  <w:style w:type="character" w:styleId="23">
    <w:name w:val="Placeholder Text"/>
    <w:basedOn w:val="13"/>
    <w:semiHidden/>
    <w:qFormat/>
    <w:uiPriority w:val="99"/>
    <w:rPr>
      <w:color w:val="808080"/>
    </w:rPr>
  </w:style>
  <w:style w:type="character" w:customStyle="1" w:styleId="24">
    <w:name w:val="标题 3 Char"/>
    <w:basedOn w:val="13"/>
    <w:link w:val="4"/>
    <w:qFormat/>
    <w:uiPriority w:val="0"/>
    <w:rPr>
      <w:b/>
      <w:bCs/>
      <w:sz w:val="32"/>
      <w:szCs w:val="32"/>
    </w:rPr>
  </w:style>
  <w:style w:type="paragraph" w:styleId="25">
    <w:name w:val="List Paragraph"/>
    <w:basedOn w:val="1"/>
    <w:qFormat/>
    <w:uiPriority w:val="34"/>
    <w:pPr>
      <w:ind w:firstLine="420" w:firstLineChars="200"/>
    </w:pPr>
  </w:style>
  <w:style w:type="character" w:customStyle="1" w:styleId="26">
    <w:name w:val="日期 Char"/>
    <w:basedOn w:val="13"/>
    <w:link w:val="6"/>
    <w:semiHidden/>
    <w:qFormat/>
    <w:uiPriority w:val="99"/>
    <w:rPr>
      <w:rFonts w:ascii="Times New Roman" w:hAnsi="Times New Roman" w:eastAsia="宋体" w:cs="Times New Roman"/>
      <w:kern w:val="2"/>
      <w:sz w:val="21"/>
      <w:szCs w:val="22"/>
    </w:rPr>
  </w:style>
  <w:style w:type="paragraph" w:customStyle="1" w:styleId="2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76ED0-9920-4643-AFFE-AF0BC7726ACF}">
  <ds:schemaRefs/>
</ds:datastoreItem>
</file>

<file path=docProps/app.xml><?xml version="1.0" encoding="utf-8"?>
<Properties xmlns="http://schemas.openxmlformats.org/officeDocument/2006/extended-properties" xmlns:vt="http://schemas.openxmlformats.org/officeDocument/2006/docPropsVTypes">
  <Template>Normal</Template>
  <Pages>1</Pages>
  <Words>5182</Words>
  <Characters>29542</Characters>
  <Lines>246</Lines>
  <Paragraphs>69</Paragraphs>
  <TotalTime>17</TotalTime>
  <ScaleCrop>false</ScaleCrop>
  <LinksUpToDate>false</LinksUpToDate>
  <CharactersWithSpaces>34655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2023-11-28T09:35:00Z</dcterms:created>
  <dc:creator>天予 陈</dc:creator>
  <cp:lastModifiedBy>Administrator</cp:lastModifiedBy>
  <dcterms:modified xsi:type="dcterms:W3CDTF">2023-12-05T03:52:11Z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B6AA943BEC1F48B8B141543CC5D85BC3</vt:lpwstr>
  </property>
</Properties>
</file>