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《</w:t>
      </w:r>
      <w:r>
        <w:rPr>
          <w:rFonts w:hint="eastAsia" w:ascii="宋体" w:hAnsi="宋体" w:cs="宋体"/>
          <w:b/>
          <w:bCs/>
          <w:sz w:val="44"/>
          <w:szCs w:val="44"/>
          <w:lang w:val="en-US" w:eastAsia="zh-CN"/>
        </w:rPr>
        <w:t>建筑工程消耗量标准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（征求意见稿）》</w:t>
      </w:r>
      <w:r>
        <w:rPr>
          <w:rFonts w:hint="eastAsia" w:ascii="宋体" w:hAnsi="宋体" w:cs="宋体"/>
          <w:b/>
          <w:bCs/>
          <w:sz w:val="44"/>
          <w:szCs w:val="44"/>
          <w:lang w:eastAsia="zh-CN"/>
        </w:rPr>
        <w:t>《装配式建筑工程消耗量标准（征求意见稿）》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公开征求意见采纳情况汇总表</w:t>
      </w:r>
    </w:p>
    <w:p>
      <w:pPr>
        <w:pStyle w:val="2"/>
        <w:rPr>
          <w:rFonts w:hint="eastAsia"/>
          <w:lang w:eastAsia="zh-CN"/>
        </w:rPr>
      </w:pPr>
    </w:p>
    <w:tbl>
      <w:tblPr>
        <w:tblStyle w:val="4"/>
        <w:tblW w:w="5032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2"/>
        <w:gridCol w:w="7466"/>
        <w:gridCol w:w="1612"/>
        <w:gridCol w:w="43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  <w:t>序号</w:t>
            </w:r>
          </w:p>
        </w:tc>
        <w:tc>
          <w:tcPr>
            <w:tcW w:w="261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  <w:t>意见</w:t>
            </w:r>
          </w:p>
        </w:tc>
        <w:tc>
          <w:tcPr>
            <w:tcW w:w="56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  <w:t>采纳情况</w:t>
            </w:r>
          </w:p>
        </w:tc>
        <w:tc>
          <w:tcPr>
            <w:tcW w:w="1513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  <w:t>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5000" w:type="pct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cs="宋体"/>
                <w:b/>
                <w:bCs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  <w:lang w:eastAsia="zh-CN"/>
              </w:rPr>
              <w:t>一、</w:t>
            </w: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  <w:lang w:val="en-US" w:eastAsia="zh-CN"/>
              </w:rPr>
              <w:t>《</w:t>
            </w:r>
            <w:r>
              <w:rPr>
                <w:rFonts w:hint="eastAsia" w:ascii="宋体" w:hAnsi="宋体" w:cs="宋体"/>
                <w:b/>
                <w:bCs/>
                <w:sz w:val="28"/>
                <w:szCs w:val="28"/>
                <w:lang w:val="en-US" w:eastAsia="zh-CN"/>
              </w:rPr>
              <w:t>建筑工程消耗量标准</w:t>
            </w: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</w:rPr>
              <w:t>（征求意见稿）》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30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宋体" w:hAnsi="宋体" w:cs="宋体"/>
                <w:b/>
                <w:bCs/>
                <w:sz w:val="21"/>
                <w:szCs w:val="21"/>
                <w:lang w:val="en-US" w:eastAsia="zh-CN"/>
              </w:rPr>
            </w:pPr>
          </w:p>
        </w:tc>
        <w:tc>
          <w:tcPr>
            <w:tcW w:w="261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eastAsia="zh-CN"/>
              </w:rPr>
              <w:t>无</w:t>
            </w:r>
          </w:p>
        </w:tc>
        <w:tc>
          <w:tcPr>
            <w:tcW w:w="56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cs="宋体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13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cs="宋体"/>
                <w:b/>
                <w:bCs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5000" w:type="pct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  <w:lang w:eastAsia="zh-CN"/>
              </w:rPr>
              <w:t>二、《装配式建筑工程消耗量标准（征求意见稿）》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30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2617" w:type="pct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钢柱安装定额子目是否还应区分每根构件质量 10t 以内、20t 以内、20t以外。</w:t>
            </w:r>
          </w:p>
        </w:tc>
        <w:tc>
          <w:tcPr>
            <w:tcW w:w="56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val="en" w:eastAsia="zh-CN"/>
              </w:rPr>
              <w:t>解释说明</w:t>
            </w:r>
          </w:p>
        </w:tc>
        <w:tc>
          <w:tcPr>
            <w:tcW w:w="43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经市场调研分析，不同重量的钢柱安装主要差异在垂直运输机械配置，而本标准钢柱安装子目未包含垂直运输费用，可根据现场实际配置按垂直运输相应子目另行计算，因此钢柱安装子目无需区分构件重量。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  <w:jc w:val="center"/>
        </w:trPr>
        <w:tc>
          <w:tcPr>
            <w:tcW w:w="30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261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钢梁安装定额子目是否还应区分每根构件质量 5t 以内、10t 以内、l0t以外。</w:t>
            </w:r>
          </w:p>
        </w:tc>
        <w:tc>
          <w:tcPr>
            <w:tcW w:w="56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val="en" w:eastAsia="zh-CN"/>
              </w:rPr>
              <w:t>解释说明</w:t>
            </w:r>
          </w:p>
        </w:tc>
        <w:tc>
          <w:tcPr>
            <w:tcW w:w="43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经市场调研分析，不同重量的钢梁安装主要差异在垂直运输机械配置，而本标准钢梁安装子目未包含垂直运输费用，可根据现场实际配置按垂直运输相应子目另行计算，因此钢梁安装子目无需区分构件重量。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0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3</w:t>
            </w:r>
          </w:p>
        </w:tc>
        <w:tc>
          <w:tcPr>
            <w:tcW w:w="261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 xml:space="preserve">在装配式内隔墙高度大于 4.2 米，墙体长度超过 6 米时，设计一般要求增加钢圈梁及钢构柱，建议新增钢圈梁及钢构柱定额。 </w:t>
            </w:r>
          </w:p>
        </w:tc>
        <w:tc>
          <w:tcPr>
            <w:tcW w:w="56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" w:eastAsia="zh-CN"/>
              </w:rPr>
              <w:t>解释</w:t>
            </w: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val="en" w:eastAsia="zh-CN"/>
              </w:rPr>
              <w:t>说明</w:t>
            </w:r>
          </w:p>
        </w:tc>
        <w:tc>
          <w:tcPr>
            <w:tcW w:w="1513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eastAsia="zh-CN"/>
              </w:rPr>
              <w:t>本标准第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1.1.19~1.1.20</w:t>
            </w: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eastAsia="zh-CN"/>
              </w:rPr>
              <w:t>条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 xml:space="preserve"> </w:t>
            </w: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eastAsia="zh-CN"/>
              </w:rPr>
              <w:t>已明确该部分计价原则。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5" w:hRule="atLeast"/>
          <w:jc w:val="center"/>
        </w:trPr>
        <w:tc>
          <w:tcPr>
            <w:tcW w:w="30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261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建议增加钢筋</w:t>
            </w: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eastAsia="zh-CN"/>
              </w:rPr>
              <w:t>桁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架楼承板与钢梁及混凝土梁连接时,措施费用计算说明，比如脚手架支架等。</w:t>
            </w:r>
          </w:p>
        </w:tc>
        <w:tc>
          <w:tcPr>
            <w:tcW w:w="56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" w:eastAsia="zh-CN"/>
              </w:rPr>
              <w:t>解释</w:t>
            </w: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val="en" w:eastAsia="zh-CN"/>
              </w:rPr>
              <w:t>说明</w:t>
            </w:r>
          </w:p>
        </w:tc>
        <w:tc>
          <w:tcPr>
            <w:tcW w:w="1513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钢筋</w:t>
            </w: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eastAsia="zh-CN"/>
              </w:rPr>
              <w:t>桁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架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楼承板与钢梁及混凝土梁连接费用在子目中已考虑</w:t>
            </w: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eastAsia="zh-CN"/>
              </w:rPr>
              <w:t>；竖向支撑的计价原则已在第</w:t>
            </w: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val="en-US" w:eastAsia="zh-CN"/>
              </w:rPr>
              <w:t>2.1.14条中明确。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  <w:jc w:val="center"/>
        </w:trPr>
        <w:tc>
          <w:tcPr>
            <w:tcW w:w="30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5</w:t>
            </w:r>
          </w:p>
        </w:tc>
        <w:tc>
          <w:tcPr>
            <w:tcW w:w="261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缺少钢构件从加工厂至工地现场的场外运输说明及定额子目</w:t>
            </w: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eastAsia="zh-CN"/>
              </w:rPr>
              <w:t>。</w:t>
            </w:r>
          </w:p>
        </w:tc>
        <w:tc>
          <w:tcPr>
            <w:tcW w:w="56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" w:eastAsia="zh-CN"/>
              </w:rPr>
              <w:t>解释</w:t>
            </w: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val="en" w:eastAsia="zh-CN"/>
              </w:rPr>
              <w:t>说明</w:t>
            </w:r>
          </w:p>
        </w:tc>
        <w:tc>
          <w:tcPr>
            <w:tcW w:w="1513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本标准</w:t>
            </w: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eastAsia="zh-CN"/>
              </w:rPr>
              <w:t>第</w:t>
            </w: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val="en-US" w:eastAsia="zh-CN"/>
              </w:rPr>
              <w:t>2.1.3条已明确。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30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6</w:t>
            </w:r>
          </w:p>
        </w:tc>
        <w:tc>
          <w:tcPr>
            <w:tcW w:w="261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铝合金模板工程缺少针对20层以下应项目需求采用铝</w:t>
            </w: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eastAsia="zh-CN"/>
              </w:rPr>
              <w:t>模板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对定额工料机如何调整的约定，建议补充完善</w:t>
            </w: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eastAsia="zh-CN"/>
              </w:rPr>
              <w:t>。</w:t>
            </w:r>
          </w:p>
        </w:tc>
        <w:tc>
          <w:tcPr>
            <w:tcW w:w="56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" w:eastAsia="zh-CN"/>
              </w:rPr>
              <w:t>解释</w:t>
            </w: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val="en" w:eastAsia="zh-CN"/>
              </w:rPr>
              <w:t>说明</w:t>
            </w:r>
          </w:p>
        </w:tc>
        <w:tc>
          <w:tcPr>
            <w:tcW w:w="1513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eastAsia="zh-CN"/>
              </w:rPr>
              <w:t>本标准第</w:t>
            </w: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val="en-US" w:eastAsia="zh-CN"/>
              </w:rPr>
              <w:t>3.1.2条已明确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铝合金模板按</w:t>
            </w: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eastAsia="zh-CN"/>
              </w:rPr>
              <w:t>全套成品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租赁</w:t>
            </w: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eastAsia="zh-CN"/>
              </w:rPr>
              <w:t>编制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，</w:t>
            </w: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eastAsia="zh-CN"/>
              </w:rPr>
              <w:t>不区分建筑层数，材料费按实计算，人工费综合考虑。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  <w:jc w:val="center"/>
        </w:trPr>
        <w:tc>
          <w:tcPr>
            <w:tcW w:w="30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7</w:t>
            </w:r>
          </w:p>
        </w:tc>
        <w:tc>
          <w:tcPr>
            <w:tcW w:w="261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油漆：建议增加油漆品类子目如：油性酚醛、醇酸、高氯化聚乙烯、氯化橡胶、氯磺化聚乙烯、环氧树脂、有机硅、过氯乙烯等底漆</w:t>
            </w: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eastAsia="zh-CN"/>
              </w:rPr>
              <w:t>。</w:t>
            </w:r>
          </w:p>
        </w:tc>
        <w:tc>
          <w:tcPr>
            <w:tcW w:w="56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" w:eastAsia="zh-CN"/>
              </w:rPr>
              <w:t>采纳</w:t>
            </w:r>
          </w:p>
        </w:tc>
        <w:tc>
          <w:tcPr>
            <w:tcW w:w="1513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vertAlign w:val="baseline"/>
                <w:lang w:val="en" w:eastAsia="zh-CN"/>
              </w:rPr>
              <w:t>重新组织开展市场调研，结合市场需求和常见设计做法，进一步补充完善相应油漆子目。</w:t>
            </w:r>
          </w:p>
        </w:tc>
      </w:tr>
    </w:tbl>
    <w:p>
      <w:pPr>
        <w:rPr>
          <w:sz w:val="21"/>
          <w:szCs w:val="21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951747"/>
    <w:rsid w:val="0222523C"/>
    <w:rsid w:val="0A411EAC"/>
    <w:rsid w:val="151A12ED"/>
    <w:rsid w:val="17456004"/>
    <w:rsid w:val="1E9C6E58"/>
    <w:rsid w:val="34345499"/>
    <w:rsid w:val="468876F9"/>
    <w:rsid w:val="4B1E4B4A"/>
    <w:rsid w:val="54BB56AF"/>
    <w:rsid w:val="5FBF7D54"/>
    <w:rsid w:val="7EEFB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adjustRightInd w:val="0"/>
      <w:snapToGrid w:val="0"/>
      <w:spacing w:after="120" w:line="353" w:lineRule="auto"/>
      <w:ind w:firstLine="576" w:firstLineChars="200"/>
    </w:pPr>
    <w:rPr>
      <w:rFonts w:ascii="Calibri" w:hAnsi="Calibri" w:eastAsia="仿宋_GB2312" w:cs="Times New Roman"/>
      <w:sz w:val="32"/>
      <w:szCs w:val="32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2023-04-19T19:38:00Z</dcterms:created>
  <dc:creator>Administrator</dc:creator>
  <cp:lastModifiedBy>Administrator</cp:lastModifiedBy>
  <dcterms:modified xsi:type="dcterms:W3CDTF">2023-04-25T05:00:48Z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49C96D7385AB408FA6511440DB8684CF</vt:lpwstr>
  </property>
</Properties>
</file>