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CESI宋体-GB2312" w:hAnsi="CESI宋体-GB2312" w:eastAsia="CESI宋体-GB2312" w:cs="CESI宋体-GB2312"/>
          <w:b/>
          <w:bCs/>
          <w:sz w:val="44"/>
          <w:szCs w:val="44"/>
        </w:rPr>
      </w:pPr>
      <w:bookmarkStart w:id="7" w:name="_GoBack"/>
      <w:bookmarkEnd w:id="7"/>
      <w:r>
        <w:rPr>
          <w:rFonts w:hint="eastAsia" w:ascii="CESI仿宋-GB2312" w:hAnsi="CESI仿宋-GB2312" w:eastAsia="CESI仿宋-GB2312" w:cs="CESI仿宋-GB2312"/>
          <w:color w:val="auto"/>
          <w:sz w:val="32"/>
          <w:shd w:val="clear" w:color="050000" w:fill="auto"/>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auto"/>
          <w:kern w:val="2"/>
          <w:sz w:val="44"/>
          <w:szCs w:val="44"/>
          <w:lang w:val="en-US" w:eastAsia="zh-CN" w:bidi="ar"/>
        </w:rPr>
      </w:pPr>
      <w:r>
        <w:rPr>
          <w:rFonts w:hint="eastAsia" w:ascii="方正小标宋简体" w:hAnsi="方正小标宋简体" w:eastAsia="方正小标宋简体" w:cs="方正小标宋简体"/>
          <w:b w:val="0"/>
          <w:bCs w:val="0"/>
          <w:color w:val="auto"/>
          <w:kern w:val="2"/>
          <w:sz w:val="44"/>
          <w:szCs w:val="44"/>
          <w:lang w:val="en-US" w:eastAsia="zh-CN" w:bidi="ar"/>
        </w:rPr>
        <w:t>深圳市《建筑工程抗风设计标准</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b w:val="0"/>
          <w:bCs w:val="0"/>
          <w:color w:val="auto"/>
          <w:kern w:val="2"/>
          <w:sz w:val="44"/>
          <w:szCs w:val="44"/>
          <w:lang w:val="en-US" w:eastAsia="zh-CN" w:bidi="ar"/>
        </w:rPr>
      </w:pPr>
      <w:r>
        <w:rPr>
          <w:rFonts w:hint="eastAsia" w:ascii="方正小标宋简体" w:hAnsi="方正小标宋简体" w:eastAsia="方正小标宋简体" w:cs="方正小标宋简体"/>
          <w:b w:val="0"/>
          <w:bCs w:val="0"/>
          <w:color w:val="auto"/>
          <w:kern w:val="2"/>
          <w:sz w:val="44"/>
          <w:szCs w:val="44"/>
          <w:lang w:val="en-US" w:eastAsia="zh-CN" w:bidi="ar"/>
        </w:rPr>
        <w:t>（征求意见稿）》意见及采纳情况汇总表</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auto"/>
          <w:kern w:val="2"/>
          <w:sz w:val="44"/>
          <w:szCs w:val="44"/>
          <w:lang w:val="en-US" w:eastAsia="zh-CN" w:bidi="ar"/>
        </w:rPr>
      </w:pPr>
    </w:p>
    <w:p>
      <w:pPr>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本次征求意见工作共收集</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24</w:t>
      </w:r>
      <w:r>
        <w:rPr>
          <w:rFonts w:hint="eastAsia" w:ascii="仿宋_GB2312" w:hAnsi="仿宋_GB2312" w:eastAsia="仿宋_GB2312" w:cs="仿宋_GB2312"/>
          <w:color w:val="000000" w:themeColor="text1"/>
          <w:sz w:val="24"/>
          <w:szCs w:val="24"/>
          <w14:textFill>
            <w14:solidFill>
              <w14:schemeClr w14:val="tx1"/>
            </w14:solidFill>
          </w14:textFill>
        </w:rPr>
        <w:t>条有效意见。其中，采纳</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9</w:t>
      </w:r>
      <w:r>
        <w:rPr>
          <w:rFonts w:hint="eastAsia" w:ascii="仿宋_GB2312" w:hAnsi="仿宋_GB2312" w:eastAsia="仿宋_GB2312" w:cs="仿宋_GB2312"/>
          <w:color w:val="000000" w:themeColor="text1"/>
          <w:sz w:val="24"/>
          <w:szCs w:val="24"/>
          <w14:textFill>
            <w14:solidFill>
              <w14:schemeClr w14:val="tx1"/>
            </w14:solidFill>
          </w14:textFill>
        </w:rPr>
        <w:t>条，部分采纳</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7</w:t>
      </w:r>
      <w:r>
        <w:rPr>
          <w:rFonts w:hint="eastAsia" w:ascii="仿宋_GB2312" w:hAnsi="仿宋_GB2312" w:eastAsia="仿宋_GB2312" w:cs="仿宋_GB2312"/>
          <w:color w:val="000000" w:themeColor="text1"/>
          <w:sz w:val="24"/>
          <w:szCs w:val="24"/>
          <w14:textFill>
            <w14:solidFill>
              <w14:schemeClr w14:val="tx1"/>
            </w14:solidFill>
          </w14:textFill>
        </w:rPr>
        <w:t>条，</w:t>
      </w:r>
      <w:r>
        <w:rPr>
          <w:rFonts w:hint="eastAsia" w:ascii="仿宋_GB2312" w:hAnsi="仿宋_GB2312" w:eastAsia="仿宋_GB2312" w:cs="仿宋_GB2312"/>
          <w:color w:val="000000" w:themeColor="text1"/>
          <w:sz w:val="24"/>
          <w:szCs w:val="24"/>
          <w:lang w:eastAsia="zh-CN"/>
          <w14:textFill>
            <w14:solidFill>
              <w14:schemeClr w14:val="tx1"/>
            </w14:solidFill>
          </w14:textFill>
        </w:rPr>
        <w:t>解释说明</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8</w:t>
      </w:r>
      <w:r>
        <w:rPr>
          <w:rFonts w:hint="eastAsia" w:ascii="仿宋_GB2312" w:hAnsi="仿宋_GB2312" w:eastAsia="仿宋_GB2312" w:cs="仿宋_GB2312"/>
          <w:color w:val="000000" w:themeColor="text1"/>
          <w:sz w:val="24"/>
          <w:szCs w:val="24"/>
          <w14:textFill>
            <w14:solidFill>
              <w14:schemeClr w14:val="tx1"/>
            </w14:solidFill>
          </w14:textFill>
        </w:rPr>
        <w:t>条</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p>
    <w:tbl>
      <w:tblPr>
        <w:tblStyle w:val="7"/>
        <w:tblW w:w="90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
        <w:gridCol w:w="1229"/>
        <w:gridCol w:w="5711"/>
        <w:gridCol w:w="1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6" w:type="dxa"/>
            <w:vAlign w:val="center"/>
          </w:tcPr>
          <w:p>
            <w:pPr>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序号</w:t>
            </w:r>
          </w:p>
        </w:tc>
        <w:tc>
          <w:tcPr>
            <w:tcW w:w="1229" w:type="dxa"/>
            <w:vAlign w:val="center"/>
          </w:tcPr>
          <w:p>
            <w:pPr>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章节编号/页码</w:t>
            </w:r>
          </w:p>
        </w:tc>
        <w:tc>
          <w:tcPr>
            <w:tcW w:w="5711" w:type="dxa"/>
            <w:vAlign w:val="center"/>
          </w:tcPr>
          <w:p>
            <w:pPr>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建议修改内容</w:t>
            </w:r>
          </w:p>
        </w:tc>
        <w:tc>
          <w:tcPr>
            <w:tcW w:w="1552" w:type="dxa"/>
            <w:vAlign w:val="center"/>
          </w:tcPr>
          <w:p>
            <w:pPr>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意见采纳情况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25页</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建议增加“典型屋盖结构的体型系数”，包括：方形平面平屋盖、柱面屋盖、球面屋盖、悬挑屋盖等。</w:t>
            </w:r>
          </w:p>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说明：可参考《屋盖结构风荷载标准》附录A。</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解释说明</w:t>
            </w:r>
            <w:r>
              <w:rPr>
                <w:rFonts w:hint="eastAsia" w:ascii="仿宋_GB2312" w:hAnsi="仿宋_GB2312" w:eastAsia="仿宋_GB2312" w:cs="仿宋_GB2312"/>
                <w:color w:val="000000" w:themeColor="text1"/>
                <w:sz w:val="24"/>
                <w:szCs w:val="24"/>
                <w14:textFill>
                  <w14:solidFill>
                    <w14:schemeClr w14:val="tx1"/>
                  </w14:solidFill>
                </w14:textFill>
              </w:rPr>
              <w:t>，屋盖结构体型复杂，一般通过风洞试验获得体型系数，且有现行《屋盖结构风荷载标准》可参考。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2</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39页</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6.1.6条，建议该节增加“</w:t>
            </w:r>
            <w:bookmarkStart w:id="0" w:name="_Hlk134611704"/>
            <w:r>
              <w:rPr>
                <w:rFonts w:hint="eastAsia" w:ascii="仿宋_GB2312" w:hAnsi="仿宋_GB2312" w:eastAsia="仿宋_GB2312" w:cs="仿宋_GB2312"/>
                <w:color w:val="000000" w:themeColor="text1"/>
                <w:sz w:val="24"/>
                <w:szCs w:val="24"/>
                <w14:textFill>
                  <w14:solidFill>
                    <w14:schemeClr w14:val="tx1"/>
                  </w14:solidFill>
                </w14:textFill>
              </w:rPr>
              <w:t>必要时，可考虑刚度退化的影响</w:t>
            </w:r>
            <w:bookmarkEnd w:id="0"/>
            <w:r>
              <w:rPr>
                <w:rFonts w:hint="eastAsia" w:ascii="仿宋_GB2312" w:hAnsi="仿宋_GB2312" w:eastAsia="仿宋_GB2312" w:cs="仿宋_GB2312"/>
                <w:color w:val="000000" w:themeColor="text1"/>
                <w:sz w:val="24"/>
                <w:szCs w:val="24"/>
                <w14:textFill>
                  <w14:solidFill>
                    <w14:schemeClr w14:val="tx1"/>
                  </w14:solidFill>
                </w14:textFill>
              </w:rPr>
              <w:t>”。</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3</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40页</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6.3.4采用空间网格结构的大跨悬挑屋盖第一阶自振周期不宜高于1.2s。</w:t>
            </w:r>
          </w:p>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建议第一阶竖向自振周不宜高于1.2s；</w:t>
            </w:r>
          </w:p>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建议补充第一阶平动自振周期参考值。</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部分采纳，补充“竖向”两字采纳，补充平动周期不采纳，因为大跨屋盖结构形式复杂，不适合统一规定。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4</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1.0.2</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本标准定义的高耸结构（2.1.11条）与《高耸结构设计标准》对高耸结构的定义不同，考虑电视塔、观光塔等构筑物对风荷载敏感，建议补充条文说明，本标准</w:t>
            </w:r>
            <w:bookmarkStart w:id="1" w:name="_Hlk134612596"/>
            <w:r>
              <w:rPr>
                <w:rFonts w:hint="eastAsia" w:ascii="仿宋_GB2312" w:hAnsi="仿宋_GB2312" w:eastAsia="仿宋_GB2312" w:cs="仿宋_GB2312"/>
                <w:color w:val="000000" w:themeColor="text1"/>
                <w:sz w:val="24"/>
                <w:szCs w:val="24"/>
                <w14:textFill>
                  <w14:solidFill>
                    <w14:schemeClr w14:val="tx1"/>
                  </w14:solidFill>
                </w14:textFill>
              </w:rPr>
              <w:t>对于深圳市建设的高耸结构构筑物也可参考使用</w:t>
            </w:r>
            <w:bookmarkEnd w:id="1"/>
            <w:r>
              <w:rPr>
                <w:rFonts w:hint="eastAsia" w:ascii="仿宋_GB2312" w:hAnsi="仿宋_GB2312" w:eastAsia="仿宋_GB2312" w:cs="仿宋_GB2312"/>
                <w:color w:val="000000" w:themeColor="text1"/>
                <w:sz w:val="24"/>
                <w:szCs w:val="24"/>
                <w14:textFill>
                  <w14:solidFill>
                    <w14:schemeClr w14:val="tx1"/>
                  </w14:solidFill>
                </w14:textFill>
              </w:rPr>
              <w:t>。</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5</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6.1.4</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深圳为台风多发区域，对于超高层住宅（台风时居住建筑）应提出更高的风振控制要求，建议明确哪些建筑需要进行1年期的风振舒适度分析。</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eastAsia="zh-CN"/>
                <w14:textFill>
                  <w14:solidFill>
                    <w14:schemeClr w14:val="tx1"/>
                  </w14:solidFill>
                </w14:textFill>
              </w:rPr>
              <w:t>解释说明</w:t>
            </w:r>
            <w:r>
              <w:rPr>
                <w:rFonts w:hint="eastAsia" w:ascii="仿宋_GB2312" w:hAnsi="仿宋_GB2312" w:eastAsia="仿宋_GB2312" w:cs="仿宋_GB2312"/>
                <w:color w:val="000000" w:themeColor="text1"/>
                <w:sz w:val="24"/>
                <w:szCs w:val="24"/>
                <w14:textFill>
                  <w14:solidFill>
                    <w14:schemeClr w14:val="tx1"/>
                  </w14:solidFill>
                </w14:textFill>
              </w:rPr>
              <w:t>，本标准提供的1年期风振舒适度控制标准作为改善型参考标准，不做底线要求。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40页</w:t>
            </w:r>
          </w:p>
        </w:tc>
        <w:tc>
          <w:tcPr>
            <w:tcW w:w="5711" w:type="dxa"/>
            <w:vAlign w:val="center"/>
          </w:tcPr>
          <w:p>
            <w:pPr>
              <w:rPr>
                <w:rFonts w:hint="eastAsia" w:ascii="仿宋_GB2312" w:hAnsi="仿宋_GB2312" w:eastAsia="仿宋_GB2312" w:cs="仿宋_GB2312"/>
                <w:color w:val="000000" w:themeColor="text1"/>
                <w:sz w:val="24"/>
                <w:szCs w:val="24"/>
                <w:lang w:eastAsia="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表6.5.7应该是6.2.7</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7</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6.2.3</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可参考香港规范，风荷载下控制顶点位移。</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部分采纳，参考了香港规范，但为了与深高规统一，未采用顶点位移控制。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8</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4.1.4</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表4.1.4应该是采用蒙特卡罗模拟的结果（谁做的？），蒙特卡罗模拟的风向因子本身就偏于保守，但这个结果显得更过于保守:按这个结果，深圳地区台风是北风的最大风速仅仅是其东风最大风速的2%，这个是不可能的。</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部分采纳，采纳了模拟方法，但本结果基于气象数据和大量工程实践，具有较强的合理性，因此保留原取值方案。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9</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4.4</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bookmarkStart w:id="2" w:name="_Toc128083525"/>
            <w:bookmarkStart w:id="3" w:name="_Toc128082667"/>
            <w:r>
              <w:rPr>
                <w:rFonts w:hint="eastAsia" w:ascii="仿宋_GB2312" w:hAnsi="仿宋_GB2312" w:eastAsia="仿宋_GB2312" w:cs="仿宋_GB2312"/>
                <w:color w:val="000000" w:themeColor="text1"/>
                <w:sz w:val="24"/>
                <w:szCs w:val="24"/>
                <w14:textFill>
                  <w14:solidFill>
                    <w14:schemeClr w14:val="tx1"/>
                  </w14:solidFill>
                </w14:textFill>
              </w:rPr>
              <w:t>考虑到工程已适应风振系数和阵风系数这两个概念了，标题建议仍采用“阵风系数”</w:t>
            </w:r>
            <w:bookmarkEnd w:id="2"/>
            <w:bookmarkEnd w:id="3"/>
            <w:r>
              <w:rPr>
                <w:rFonts w:hint="eastAsia" w:ascii="仿宋_GB2312" w:hAnsi="仿宋_GB2312" w:eastAsia="仿宋_GB2312" w:cs="仿宋_GB2312"/>
                <w:color w:val="000000" w:themeColor="text1"/>
                <w:sz w:val="24"/>
                <w:szCs w:val="24"/>
                <w14:textFill>
                  <w14:solidFill>
                    <w14:schemeClr w14:val="tx1"/>
                  </w14:solidFill>
                </w14:textFill>
              </w:rPr>
              <w:t>与荷载规范一致。</w:t>
            </w:r>
          </w:p>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风振系数和阵风系数的物理意义有差别，应用的场合也不同，虽然均起放大作用。</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eastAsia="zh-CN"/>
                <w14:textFill>
                  <w14:solidFill>
                    <w14:schemeClr w14:val="tx1"/>
                  </w14:solidFill>
                </w14:textFill>
              </w:rPr>
              <w:t>解释说明</w:t>
            </w:r>
            <w:r>
              <w:rPr>
                <w:rFonts w:hint="eastAsia" w:ascii="仿宋_GB2312" w:hAnsi="仿宋_GB2312" w:eastAsia="仿宋_GB2312" w:cs="仿宋_GB2312"/>
                <w:color w:val="000000" w:themeColor="text1"/>
                <w:sz w:val="24"/>
                <w:szCs w:val="24"/>
                <w14:textFill>
                  <w14:solidFill>
                    <w14:schemeClr w14:val="tx1"/>
                  </w14:solidFill>
                </w14:textFill>
              </w:rPr>
              <w:t>，与国家通规相协调。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10</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6.2.3条</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高层结构的变形控制，建议与深高规3.7.1条协调统一，避免设计人员歧义。</w:t>
            </w:r>
          </w:p>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drawing>
                <wp:inline distT="0" distB="0" distL="114300" distR="114300">
                  <wp:extent cx="3238500" cy="790575"/>
                  <wp:effectExtent l="0" t="0" r="0" b="9525"/>
                  <wp:docPr id="1"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true"/>
                          </pic:cNvPicPr>
                        </pic:nvPicPr>
                        <pic:blipFill>
                          <a:blip r:embed="rId4"/>
                          <a:stretch>
                            <a:fillRect/>
                          </a:stretch>
                        </pic:blipFill>
                        <pic:spPr>
                          <a:xfrm>
                            <a:off x="0" y="0"/>
                            <a:ext cx="3238500" cy="790575"/>
                          </a:xfrm>
                          <a:prstGeom prst="rect">
                            <a:avLst/>
                          </a:prstGeom>
                          <a:noFill/>
                          <a:ln>
                            <a:noFill/>
                          </a:ln>
                        </pic:spPr>
                      </pic:pic>
                    </a:graphicData>
                  </a:graphic>
                </wp:inline>
              </w:drawing>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11</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7.3.1</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数值风洞可以有限用于计算动力风荷载。建议删除。数值风洞目前应不能用于与结构安全相关的分析。</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解释说明</w:t>
            </w:r>
            <w:r>
              <w:rPr>
                <w:rFonts w:hint="eastAsia" w:ascii="仿宋_GB2312" w:hAnsi="仿宋_GB2312" w:eastAsia="仿宋_GB2312" w:cs="仿宋_GB2312"/>
                <w:sz w:val="24"/>
                <w:szCs w:val="24"/>
              </w:rPr>
              <w:t>，本标准规定在有限制的情况下采用数值模拟技术。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12</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 抗风监测</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风环境监测除了三向超声风速仪和机械式螺旋桨风速仪外，还有激光测风雷达，近几年发展迅速，建议加上。规范应保持一定的先进性。</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部分采纳，采纳补充激光测风雷达，但作为补充验证手段。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13</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5.2人行高度风环境舒适度</w:t>
            </w:r>
          </w:p>
        </w:tc>
        <w:tc>
          <w:tcPr>
            <w:tcW w:w="5711" w:type="dxa"/>
            <w:vAlign w:val="center"/>
          </w:tcPr>
          <w:p>
            <w:pPr>
              <w:rPr>
                <w:rFonts w:hint="eastAsia" w:ascii="仿宋_GB2312" w:hAnsi="仿宋_GB2312" w:eastAsia="仿宋_GB2312" w:cs="仿宋_GB2312"/>
                <w:sz w:val="24"/>
                <w:szCs w:val="24"/>
              </w:rPr>
            </w:pPr>
            <w:bookmarkStart w:id="4" w:name="_Toc128083530"/>
            <w:bookmarkStart w:id="5" w:name="_Toc129078087"/>
            <w:bookmarkStart w:id="6" w:name="_Toc129077540"/>
            <w:r>
              <w:rPr>
                <w:rFonts w:hint="eastAsia" w:ascii="仿宋_GB2312" w:hAnsi="仿宋_GB2312" w:eastAsia="仿宋_GB2312" w:cs="仿宋_GB2312"/>
                <w:sz w:val="24"/>
                <w:szCs w:val="24"/>
              </w:rPr>
              <w:t>人行高度风环境舒适度</w:t>
            </w:r>
            <w:bookmarkEnd w:id="4"/>
            <w:bookmarkEnd w:id="5"/>
            <w:bookmarkEnd w:id="6"/>
            <w:r>
              <w:rPr>
                <w:rFonts w:hint="eastAsia" w:ascii="仿宋_GB2312" w:hAnsi="仿宋_GB2312" w:eastAsia="仿宋_GB2312" w:cs="仿宋_GB2312"/>
                <w:sz w:val="24"/>
                <w:szCs w:val="24"/>
              </w:rPr>
              <w:t>这一节中，缺乏对行人高度的定义。这一节内容建议参考广东省标准《建筑风环境测试与评价标准》DBJ/T 15-154-2019修改。</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采纳，已补充条文说明5.1.1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14</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3.1.3</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按本条及条文说明的要求，需做风洞试验的建筑可能会较多，是否必要?</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解释说明</w:t>
            </w:r>
            <w:r>
              <w:rPr>
                <w:rFonts w:hint="eastAsia" w:ascii="仿宋_GB2312" w:hAnsi="仿宋_GB2312" w:eastAsia="仿宋_GB2312" w:cs="仿宋_GB2312"/>
                <w:sz w:val="24"/>
                <w:szCs w:val="24"/>
              </w:rPr>
              <w:t>，大量市场调研、专家咨询等情况表明，均鼓励多做风洞试验，对结构安全性、舒适性较为有利。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15</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4..1.5</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对于所有高层，基本风压放大1.1倍，要求过严，“对风荷载比较敏感的其它建筑”宜进一步明确（如轻钢结构等）。</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6"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16</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4.1.3</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深圳属于台风高发地区，极端天气重现概率高，临时建筑使用年限内也可能遇到极端天气，建议设计使用年限低于50年的建筑，风压取值仍按50年取值。</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部分采纳，采纳提高临时建筑风压取值，但临时建筑使用功能差异较大，具体设计年限似应根据项目类型确定。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7"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17</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6.2.3</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50年重现期风荷载作用下，按弹性方法计算的结构顶点位移与结构高度之比,混凝土结构不宜大于1/600，钢结构不宜大于1/400，混合结构不宜大于1/500；对于室内装修要求较高或围护结构不能适应较大变形的结构，其薄弱部位的层间位移角不宜大于1/350。”</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 和深圳高规SJG98-2021第3.7.1条不一致，其控制层间位移角，是否需要统一？</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2“顶点位移与结构高度之比，钢结构不宜大于1/400”是否偏严？高层钢结构规程JGJ99-2015第3.5.2条，最大层间位移角不宜大于1/250 。</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18</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7.1.2</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“7.1.2  房屋高度大于150m或有下列情况之一时，应通过风洞试验确定建筑物的风荷载：”</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此</w:t>
            </w:r>
            <w:r>
              <w:rPr>
                <w:rFonts w:hint="eastAsia" w:ascii="仿宋_GB2312" w:hAnsi="仿宋_GB2312" w:eastAsia="仿宋_GB2312" w:cs="仿宋_GB2312"/>
                <w:color w:val="auto"/>
                <w:sz w:val="24"/>
                <w:szCs w:val="24"/>
              </w:rPr>
              <w:t>条“应”建议改为 “宜”，否则太</w:t>
            </w:r>
            <w:r>
              <w:rPr>
                <w:rFonts w:hint="eastAsia" w:ascii="仿宋_GB2312" w:hAnsi="仿宋_GB2312" w:eastAsia="仿宋_GB2312" w:cs="仿宋_GB2312"/>
                <w:sz w:val="24"/>
                <w:szCs w:val="24"/>
              </w:rPr>
              <w:t>多项目需要做风洞试验了， 可以由设计师根据复杂程度和重要性来判断是否需要。</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解释说明</w:t>
            </w:r>
            <w:r>
              <w:rPr>
                <w:rFonts w:hint="eastAsia" w:ascii="仿宋_GB2312" w:hAnsi="仿宋_GB2312" w:eastAsia="仿宋_GB2312" w:cs="仿宋_GB2312"/>
                <w:sz w:val="24"/>
                <w:szCs w:val="24"/>
              </w:rPr>
              <w:t>，本标准基于大量市场调研、专家咨询等结果，鼓励多做风洞试验，对结构安全性、舒适性较为有利。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19</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2.1.9</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“2km（且不小于建筑高度的20倍）”与3.2.3条的范围不一致。</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采纳，取</w:t>
            </w:r>
            <w:r>
              <w:rPr>
                <w:rFonts w:hint="eastAsia" w:ascii="仿宋_GB2312" w:hAnsi="仿宋_GB2312" w:eastAsia="仿宋_GB2312" w:cs="仿宋_GB2312"/>
                <w:color w:val="000000" w:themeColor="text1"/>
                <w:sz w:val="24"/>
                <w:szCs w:val="24"/>
                <w14:textFill>
                  <w14:solidFill>
                    <w14:schemeClr w14:val="tx1"/>
                  </w14:solidFill>
                </w14:textFill>
              </w:rPr>
              <w:t>2km（且不小于建筑高度的20倍）。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20</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3.4.9</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建议明确正常运营检测的最短监测时间不短于5年。</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566"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21</w:t>
            </w:r>
          </w:p>
        </w:tc>
        <w:tc>
          <w:tcPr>
            <w:tcW w:w="1229"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6.2.6</w:t>
            </w:r>
          </w:p>
        </w:tc>
        <w:tc>
          <w:tcPr>
            <w:tcW w:w="5711" w:type="dxa"/>
            <w:vAlign w:val="center"/>
          </w:tcPr>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风和地震的作用机理不同，结构扭转周期比大于0.85在风荷载下并不一定会出现明显的扭转现象。风荷载下的扭转通常是由于迎风面宽带中点与平面刚度中心差异过大造成的，建议改为“风荷载下结构扭转位移比大于1.2时，需考虑扭转效应对风振加速度的影响”，风荷载下的扭转位移比软件都有输出。</w:t>
            </w:r>
          </w:p>
        </w:tc>
        <w:tc>
          <w:tcPr>
            <w:tcW w:w="1552" w:type="dxa"/>
            <w:vAlign w:val="center"/>
          </w:tcPr>
          <w:p>
            <w:pPr>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eastAsia="zh-CN"/>
                <w14:textFill>
                  <w14:solidFill>
                    <w14:schemeClr w14:val="tx1"/>
                  </w14:solidFill>
                </w14:textFill>
              </w:rPr>
              <w:t>解释说明</w:t>
            </w:r>
            <w:r>
              <w:rPr>
                <w:rFonts w:hint="eastAsia" w:ascii="仿宋_GB2312" w:hAnsi="仿宋_GB2312" w:eastAsia="仿宋_GB2312" w:cs="仿宋_GB2312"/>
                <w:color w:val="000000" w:themeColor="text1"/>
                <w:sz w:val="24"/>
                <w:szCs w:val="24"/>
                <w14:textFill>
                  <w14:solidFill>
                    <w14:schemeClr w14:val="tx1"/>
                  </w14:solidFill>
                </w14:textFill>
              </w:rPr>
              <w:t>，扭转位移比大于1.2过于普遍，不完全符合本条的本意。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22</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4.1.1</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在广东省建筑规范中，幕墙风压计算要求不考虑风速风向的影响，本规范有风向影响系数，这是否矛盾？</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如何使用风向影响系数？规范计算时是否幕墙风压需要考虑不同风向角？这会使规范计算更加复杂。</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解释说明</w:t>
            </w:r>
            <w:r>
              <w:rPr>
                <w:rFonts w:hint="eastAsia" w:ascii="仿宋_GB2312" w:hAnsi="仿宋_GB2312" w:eastAsia="仿宋_GB2312" w:cs="仿宋_GB2312"/>
                <w:sz w:val="24"/>
                <w:szCs w:val="24"/>
              </w:rPr>
              <w:t>，围护结构计算（包括规范与风洞试验）不考虑风向影响。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23</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5.5.3</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“普通平开门承压阈值不宜超过 100N”是否应该改为“承力”或“开门力”？这里需要将门把手的力写明，以便计算压强。</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另外，NIST的要求是130N，可以参考。</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部分采纳，采纳改为“承力”，但取值保持“100N”，两者的使用条件不一致。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566"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24</w:t>
            </w:r>
          </w:p>
        </w:tc>
        <w:tc>
          <w:tcPr>
            <w:tcW w:w="1229"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6.3.6</w:t>
            </w:r>
          </w:p>
        </w:tc>
        <w:tc>
          <w:tcPr>
            <w:tcW w:w="5711" w:type="dxa"/>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应明确是竖向加速度或水平加速度。</w:t>
            </w:r>
          </w:p>
        </w:tc>
        <w:tc>
          <w:tcPr>
            <w:tcW w:w="1552"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采纳</w:t>
            </w:r>
          </w:p>
        </w:tc>
      </w:tr>
    </w:tbl>
    <w:p>
      <w:pPr>
        <w:spacing w:line="560" w:lineRule="exact"/>
        <w:ind w:firstLine="0" w:firstLineChars="0"/>
        <w:rPr>
          <w:rFonts w:hint="default" w:ascii="仿宋_GB2312" w:hAnsi="仿宋_GB2312" w:eastAsia="仿宋_GB2312" w:cs="仿宋_GB2312"/>
          <w:sz w:val="32"/>
          <w:szCs w:val="32"/>
          <w:lang w:val="e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auto"/>
    <w:pitch w:val="default"/>
    <w:sig w:usb0="00000000" w:usb1="00000000" w:usb2="00000000" w:usb3="00000000" w:csb0="00040000" w:csb1="00000000"/>
  </w:font>
  <w:font w:name="CESI宋体-GB2312">
    <w:panose1 w:val="02000500000000000000"/>
    <w:charset w:val="86"/>
    <w:family w:val="auto"/>
    <w:pitch w:val="default"/>
    <w:sig w:usb0="800002AF" w:usb1="08476CF8" w:usb2="00000010" w:usb3="00000000" w:csb0="0004000F" w:csb1="00000000"/>
  </w:font>
  <w:font w:name="CESI仿宋-GB2312">
    <w:panose1 w:val="02000500000000000000"/>
    <w:charset w:val="86"/>
    <w:family w:val="auto"/>
    <w:pitch w:val="default"/>
    <w:sig w:usb0="800002AF" w:usb1="084F6CF8" w:usb2="00000010" w:usb3="00000000" w:csb0="0004000F"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true"/>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DF3356"/>
    <w:rsid w:val="2FFECC9D"/>
    <w:rsid w:val="357716ED"/>
    <w:rsid w:val="3AC61333"/>
    <w:rsid w:val="3C5F25E2"/>
    <w:rsid w:val="3EFFF7DB"/>
    <w:rsid w:val="45CE2C4A"/>
    <w:rsid w:val="4D3D096D"/>
    <w:rsid w:val="4DDFE0CC"/>
    <w:rsid w:val="553E8590"/>
    <w:rsid w:val="5BFFC1DB"/>
    <w:rsid w:val="5CFF50CD"/>
    <w:rsid w:val="5DDDDBF7"/>
    <w:rsid w:val="65CF1A48"/>
    <w:rsid w:val="6BF59E27"/>
    <w:rsid w:val="72BDE0E1"/>
    <w:rsid w:val="75FADEEC"/>
    <w:rsid w:val="76F30A69"/>
    <w:rsid w:val="776FF71A"/>
    <w:rsid w:val="77DFDC73"/>
    <w:rsid w:val="7D6F1AAE"/>
    <w:rsid w:val="7EBD2DA2"/>
    <w:rsid w:val="7F7EE941"/>
    <w:rsid w:val="7FACDF3C"/>
    <w:rsid w:val="7FD32458"/>
    <w:rsid w:val="7FFC6E5C"/>
    <w:rsid w:val="8EFE50C2"/>
    <w:rsid w:val="B729331B"/>
    <w:rsid w:val="B8F63864"/>
    <w:rsid w:val="BC2EAA57"/>
    <w:rsid w:val="BDC78FFC"/>
    <w:rsid w:val="BF77C1D8"/>
    <w:rsid w:val="BF89483E"/>
    <w:rsid w:val="CBFF8970"/>
    <w:rsid w:val="CF7F86F6"/>
    <w:rsid w:val="DE5EF6F6"/>
    <w:rsid w:val="DFB34DE6"/>
    <w:rsid w:val="DFDD69FC"/>
    <w:rsid w:val="DFFF9196"/>
    <w:rsid w:val="E5785790"/>
    <w:rsid w:val="EDDFEF10"/>
    <w:rsid w:val="EEA75304"/>
    <w:rsid w:val="F5FF8AA1"/>
    <w:rsid w:val="F67F4E86"/>
    <w:rsid w:val="F6FF1923"/>
    <w:rsid w:val="FBDDD7BA"/>
    <w:rsid w:val="FCE7EEA6"/>
    <w:rsid w:val="FDD962F0"/>
    <w:rsid w:val="FEFFE2CB"/>
    <w:rsid w:val="FFB1A3BE"/>
    <w:rsid w:val="FFDDD5BD"/>
    <w:rsid w:val="FFECADB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qFormat/>
    <w:uiPriority w:val="0"/>
    <w:pPr>
      <w:spacing w:after="120"/>
    </w:p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37</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2023-05-03T19:20:00Z</dcterms:created>
  <dc:creator>cj_guq</dc:creator>
  <cp:lastModifiedBy>cjhuangjj</cp:lastModifiedBy>
  <dcterms:modified xsi:type="dcterms:W3CDTF">2023-05-26T09:55:00Z</dcterms:modified>
  <dc:title>深圳市住房和建设局关于《建筑工程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