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7E95B" w14:textId="77777777" w:rsidR="000B2FA0" w:rsidRDefault="000B2FA0" w:rsidP="000B2FA0">
      <w:pPr>
        <w:ind w:firstLineChars="0" w:firstLine="0"/>
        <w:rPr>
          <w:rFonts w:ascii="黑体" w:eastAsia="黑体" w:hAnsi="黑体" w:cs="黑体" w:hint="eastAsia"/>
        </w:rPr>
      </w:pPr>
      <w:r>
        <w:rPr>
          <w:rFonts w:ascii="黑体" w:eastAsia="黑体" w:hAnsi="黑体" w:cs="黑体" w:hint="eastAsia"/>
        </w:rPr>
        <w:t>附件</w:t>
      </w:r>
    </w:p>
    <w:p w14:paraId="14700BCC" w14:textId="77777777" w:rsidR="000B2FA0" w:rsidRDefault="000B2FA0" w:rsidP="000B2FA0">
      <w:pPr>
        <w:rPr>
          <w:rFonts w:hint="eastAsia"/>
        </w:rPr>
      </w:pPr>
    </w:p>
    <w:p w14:paraId="29814C61" w14:textId="77777777" w:rsidR="000B2FA0" w:rsidRDefault="000B2FA0" w:rsidP="000B2FA0">
      <w:pPr>
        <w:pStyle w:val="Heading1"/>
        <w:ind w:firstLineChars="0" w:firstLine="0"/>
        <w:jc w:val="center"/>
        <w:rPr>
          <w:rFonts w:ascii="宋体" w:eastAsia="宋体" w:hAnsi="宋体" w:cs="宋体" w:hint="eastAsia"/>
          <w:b/>
          <w:bCs/>
          <w:sz w:val="44"/>
          <w:szCs w:val="36"/>
        </w:rPr>
      </w:pPr>
      <w:r>
        <w:rPr>
          <w:rFonts w:ascii="宋体" w:eastAsia="宋体" w:hAnsi="宋体" w:cs="宋体" w:hint="eastAsia"/>
          <w:b/>
          <w:bCs/>
          <w:sz w:val="44"/>
          <w:szCs w:val="36"/>
        </w:rPr>
        <w:t>《关于开展住房租赁资金监管的通知（征求意见稿）》主要意见采纳情况</w:t>
      </w:r>
    </w:p>
    <w:p w14:paraId="605BF2B6" w14:textId="77777777" w:rsidR="000B2FA0" w:rsidRDefault="000B2FA0" w:rsidP="000B2FA0">
      <w:pPr>
        <w:pStyle w:val="Heading1"/>
        <w:ind w:firstLine="880"/>
        <w:rPr>
          <w:rFonts w:ascii="宋体" w:eastAsia="宋体" w:hAnsi="宋体" w:cs="宋体" w:hint="eastAsia"/>
          <w:sz w:val="44"/>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888"/>
        <w:gridCol w:w="1118"/>
        <w:gridCol w:w="5093"/>
      </w:tblGrid>
      <w:tr w:rsidR="000B2FA0" w14:paraId="6B88AAF5" w14:textId="77777777" w:rsidTr="00934AE7">
        <w:trPr>
          <w:trHeight w:val="454"/>
          <w:tblHeader/>
          <w:jc w:val="center"/>
        </w:trPr>
        <w:tc>
          <w:tcPr>
            <w:tcW w:w="720" w:type="dxa"/>
            <w:shd w:val="clear" w:color="auto" w:fill="D7D7D7"/>
            <w:vAlign w:val="center"/>
          </w:tcPr>
          <w:p w14:paraId="427B2947" w14:textId="77777777" w:rsidR="000B2FA0" w:rsidRDefault="000B2FA0" w:rsidP="00934AE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7888" w:type="dxa"/>
            <w:shd w:val="clear" w:color="auto" w:fill="D7D7D7"/>
            <w:vAlign w:val="center"/>
          </w:tcPr>
          <w:p w14:paraId="09EB579F" w14:textId="77777777" w:rsidR="000B2FA0" w:rsidRDefault="000B2FA0" w:rsidP="00934AE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具体意见</w:t>
            </w:r>
          </w:p>
        </w:tc>
        <w:tc>
          <w:tcPr>
            <w:tcW w:w="1118" w:type="dxa"/>
            <w:shd w:val="clear" w:color="auto" w:fill="D7D7D7"/>
            <w:vAlign w:val="center"/>
          </w:tcPr>
          <w:p w14:paraId="248D2589" w14:textId="77777777" w:rsidR="000B2FA0" w:rsidRDefault="000B2FA0" w:rsidP="00934AE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采纳情况</w:t>
            </w:r>
          </w:p>
        </w:tc>
        <w:tc>
          <w:tcPr>
            <w:tcW w:w="5093" w:type="dxa"/>
            <w:shd w:val="clear" w:color="auto" w:fill="D7D7D7"/>
            <w:vAlign w:val="center"/>
          </w:tcPr>
          <w:p w14:paraId="55E5CA24" w14:textId="77777777" w:rsidR="000B2FA0" w:rsidRDefault="000B2FA0" w:rsidP="00934AE7">
            <w:pPr>
              <w:ind w:firstLineChars="0" w:firstLine="0"/>
              <w:jc w:val="center"/>
              <w:rPr>
                <w:rFonts w:ascii="宋体" w:eastAsia="宋体" w:hAnsi="宋体" w:cs="宋体"/>
                <w:b/>
                <w:bCs/>
                <w:sz w:val="21"/>
                <w:szCs w:val="21"/>
              </w:rPr>
            </w:pPr>
            <w:r>
              <w:rPr>
                <w:rFonts w:ascii="宋体" w:eastAsia="宋体" w:hAnsi="宋体" w:cs="宋体" w:hint="eastAsia"/>
                <w:b/>
                <w:bCs/>
                <w:sz w:val="21"/>
                <w:szCs w:val="21"/>
              </w:rPr>
              <w:t>说明</w:t>
            </w:r>
          </w:p>
        </w:tc>
      </w:tr>
      <w:tr w:rsidR="000B2FA0" w14:paraId="1F8D08EA" w14:textId="77777777" w:rsidTr="00934AE7">
        <w:trPr>
          <w:trHeight w:val="2271"/>
          <w:jc w:val="center"/>
        </w:trPr>
        <w:tc>
          <w:tcPr>
            <w:tcW w:w="720" w:type="dxa"/>
            <w:vAlign w:val="center"/>
          </w:tcPr>
          <w:p w14:paraId="751357B6" w14:textId="77777777" w:rsidR="000B2FA0" w:rsidRDefault="000B2FA0" w:rsidP="00934AE7">
            <w:pPr>
              <w:tabs>
                <w:tab w:val="left" w:pos="420"/>
              </w:tabs>
              <w:ind w:firstLineChars="0" w:firstLine="0"/>
              <w:jc w:val="center"/>
              <w:rPr>
                <w:rFonts w:ascii="宋体" w:eastAsia="宋体" w:hAnsi="宋体" w:cs="宋体"/>
                <w:sz w:val="21"/>
                <w:szCs w:val="21"/>
              </w:rPr>
            </w:pPr>
            <w:r>
              <w:rPr>
                <w:rFonts w:ascii="宋体" w:eastAsia="宋体" w:hAnsi="宋体" w:cs="宋体" w:hint="eastAsia"/>
                <w:sz w:val="21"/>
                <w:szCs w:val="21"/>
              </w:rPr>
              <w:t>1</w:t>
            </w:r>
          </w:p>
        </w:tc>
        <w:tc>
          <w:tcPr>
            <w:tcW w:w="7888" w:type="dxa"/>
            <w:vAlign w:val="center"/>
          </w:tcPr>
          <w:p w14:paraId="0218D1BD" w14:textId="77777777" w:rsidR="000B2FA0" w:rsidRDefault="000B2FA0" w:rsidP="00934AE7">
            <w:pPr>
              <w:ind w:firstLineChars="0" w:firstLine="0"/>
              <w:rPr>
                <w:rFonts w:ascii="宋体" w:eastAsia="宋体" w:hAnsi="宋体" w:cs="宋体"/>
                <w:sz w:val="21"/>
                <w:szCs w:val="21"/>
              </w:rPr>
            </w:pPr>
            <w:r>
              <w:rPr>
                <w:rFonts w:ascii="宋体" w:eastAsia="宋体" w:hAnsi="宋体" w:cs="宋体" w:hint="eastAsia"/>
                <w:sz w:val="21"/>
                <w:szCs w:val="21"/>
              </w:rPr>
              <w:t>若公寓经营企业所有经营收入（</w:t>
            </w:r>
            <w:proofErr w:type="gramStart"/>
            <w:r>
              <w:rPr>
                <w:rFonts w:ascii="宋体" w:eastAsia="宋体" w:hAnsi="宋体" w:cs="宋体" w:hint="eastAsia"/>
                <w:sz w:val="21"/>
                <w:szCs w:val="21"/>
              </w:rPr>
              <w:t>含住房</w:t>
            </w:r>
            <w:proofErr w:type="gramEnd"/>
            <w:r>
              <w:rPr>
                <w:rFonts w:ascii="宋体" w:eastAsia="宋体" w:hAnsi="宋体" w:cs="宋体" w:hint="eastAsia"/>
                <w:sz w:val="21"/>
                <w:szCs w:val="21"/>
              </w:rPr>
              <w:t>租金、物业费、水电费、多经收入、商铺租赁租金等）都是进入到同一个银行账户，按照监管协议对资金实施监管时，需明确对于非监管范围内的经营收入将如何释放给到企业。</w:t>
            </w:r>
          </w:p>
        </w:tc>
        <w:tc>
          <w:tcPr>
            <w:tcW w:w="1118" w:type="dxa"/>
            <w:vAlign w:val="center"/>
          </w:tcPr>
          <w:p w14:paraId="0D32F370"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采纳</w:t>
            </w:r>
          </w:p>
        </w:tc>
        <w:tc>
          <w:tcPr>
            <w:tcW w:w="5093" w:type="dxa"/>
            <w:vAlign w:val="center"/>
          </w:tcPr>
          <w:p w14:paraId="76B1D6DE"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《通知》已明确市住房租赁平台、租赁企业自有系统、银行监管系统进行对接，并通过全市统一的房屋编码，实现信息流和资金流的清分和监管，可以区分需监管资金。</w:t>
            </w:r>
          </w:p>
        </w:tc>
      </w:tr>
      <w:tr w:rsidR="000B2FA0" w14:paraId="16FCFDD1" w14:textId="77777777" w:rsidTr="00934AE7">
        <w:trPr>
          <w:trHeight w:val="454"/>
          <w:jc w:val="center"/>
        </w:trPr>
        <w:tc>
          <w:tcPr>
            <w:tcW w:w="720" w:type="dxa"/>
            <w:vAlign w:val="center"/>
          </w:tcPr>
          <w:p w14:paraId="009BB089"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2</w:t>
            </w:r>
          </w:p>
        </w:tc>
        <w:tc>
          <w:tcPr>
            <w:tcW w:w="7888" w:type="dxa"/>
            <w:vAlign w:val="center"/>
          </w:tcPr>
          <w:p w14:paraId="6FD01BBC" w14:textId="77777777" w:rsidR="000B2FA0" w:rsidRDefault="000B2FA0" w:rsidP="00934AE7">
            <w:pPr>
              <w:ind w:firstLineChars="0" w:firstLine="0"/>
              <w:rPr>
                <w:rFonts w:ascii="宋体" w:eastAsia="宋体" w:hAnsi="宋体" w:cs="宋体"/>
                <w:sz w:val="21"/>
                <w:szCs w:val="21"/>
              </w:rPr>
            </w:pPr>
            <w:r>
              <w:rPr>
                <w:rFonts w:ascii="宋体" w:eastAsia="宋体" w:hAnsi="宋体" w:cs="宋体" w:hint="eastAsia"/>
                <w:sz w:val="21"/>
                <w:szCs w:val="21"/>
              </w:rPr>
              <w:t>建议允许企业租赁系统打通与政府租赁平台的连接。承租人可在合</w:t>
            </w:r>
            <w:proofErr w:type="gramStart"/>
            <w:r>
              <w:rPr>
                <w:rFonts w:ascii="宋体" w:eastAsia="宋体" w:hAnsi="宋体" w:cs="宋体" w:hint="eastAsia"/>
                <w:sz w:val="21"/>
                <w:szCs w:val="21"/>
              </w:rPr>
              <w:t>规</w:t>
            </w:r>
            <w:proofErr w:type="gramEnd"/>
            <w:r>
              <w:rPr>
                <w:rFonts w:ascii="宋体" w:eastAsia="宋体" w:hAnsi="宋体" w:cs="宋体" w:hint="eastAsia"/>
                <w:sz w:val="21"/>
                <w:szCs w:val="21"/>
              </w:rPr>
              <w:t>的企业租赁系统上直接签约，企业确保数据通过接口及时传递至政府租赁系统；相关账户也可通过</w:t>
            </w:r>
            <w:proofErr w:type="gramStart"/>
            <w:r>
              <w:rPr>
                <w:rFonts w:ascii="宋体" w:eastAsia="宋体" w:hAnsi="宋体" w:cs="宋体" w:hint="eastAsia"/>
                <w:sz w:val="21"/>
                <w:szCs w:val="21"/>
              </w:rPr>
              <w:t>银企直联</w:t>
            </w:r>
            <w:proofErr w:type="gramEnd"/>
            <w:r>
              <w:rPr>
                <w:rFonts w:ascii="宋体" w:eastAsia="宋体" w:hAnsi="宋体" w:cs="宋体" w:hint="eastAsia"/>
                <w:sz w:val="21"/>
                <w:szCs w:val="21"/>
              </w:rPr>
              <w:t>方式拉通数据、提升管理效率。避免客户在双系统上重复操作的不佳体验，以及客户收缴、欠款情况企业难以实时掌握的问题。</w:t>
            </w:r>
          </w:p>
        </w:tc>
        <w:tc>
          <w:tcPr>
            <w:tcW w:w="1118" w:type="dxa"/>
            <w:vAlign w:val="center"/>
          </w:tcPr>
          <w:p w14:paraId="1DC4DC55"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采纳</w:t>
            </w:r>
          </w:p>
        </w:tc>
        <w:tc>
          <w:tcPr>
            <w:tcW w:w="5093" w:type="dxa"/>
            <w:vAlign w:val="center"/>
          </w:tcPr>
          <w:p w14:paraId="24457096"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《通知》已经明确住房租赁企业通过自有或者第三方信息平台进行住房租赁交易的，应当与市租赁平台系统对接并提供住房租赁相关信息。</w:t>
            </w:r>
          </w:p>
        </w:tc>
      </w:tr>
      <w:tr w:rsidR="000B2FA0" w14:paraId="643F1F21" w14:textId="77777777" w:rsidTr="00934AE7">
        <w:trPr>
          <w:trHeight w:val="454"/>
          <w:jc w:val="center"/>
        </w:trPr>
        <w:tc>
          <w:tcPr>
            <w:tcW w:w="720" w:type="dxa"/>
            <w:vAlign w:val="center"/>
          </w:tcPr>
          <w:p w14:paraId="02A1EDCE"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3</w:t>
            </w:r>
          </w:p>
        </w:tc>
        <w:tc>
          <w:tcPr>
            <w:tcW w:w="7888" w:type="dxa"/>
            <w:vAlign w:val="center"/>
          </w:tcPr>
          <w:p w14:paraId="192CB821" w14:textId="77777777" w:rsidR="000B2FA0" w:rsidRDefault="000B2FA0" w:rsidP="00934AE7">
            <w:pPr>
              <w:ind w:firstLineChars="0" w:firstLine="0"/>
              <w:rPr>
                <w:rFonts w:ascii="宋体" w:eastAsia="宋体" w:hAnsi="宋体" w:cs="宋体"/>
                <w:sz w:val="21"/>
                <w:szCs w:val="21"/>
              </w:rPr>
            </w:pPr>
            <w:r>
              <w:rPr>
                <w:rFonts w:ascii="宋体" w:eastAsia="宋体" w:hAnsi="宋体" w:cs="宋体" w:hint="eastAsia"/>
                <w:sz w:val="21"/>
                <w:szCs w:val="21"/>
              </w:rPr>
              <w:t>在居住类物业租赁中，对于</w:t>
            </w:r>
            <w:proofErr w:type="gramStart"/>
            <w:r>
              <w:rPr>
                <w:rFonts w:ascii="宋体" w:eastAsia="宋体" w:hAnsi="宋体" w:cs="宋体" w:hint="eastAsia"/>
                <w:sz w:val="21"/>
                <w:szCs w:val="21"/>
              </w:rPr>
              <w:t>自持</w:t>
            </w:r>
            <w:proofErr w:type="gramEnd"/>
            <w:r>
              <w:rPr>
                <w:rFonts w:ascii="宋体" w:eastAsia="宋体" w:hAnsi="宋体" w:cs="宋体" w:hint="eastAsia"/>
                <w:sz w:val="21"/>
                <w:szCs w:val="21"/>
              </w:rPr>
              <w:t>物业的租赁（含租给关联方公司管理），资金监管势必影响企业的正常经营，应该明确不属于监管范围。</w:t>
            </w:r>
          </w:p>
        </w:tc>
        <w:tc>
          <w:tcPr>
            <w:tcW w:w="1118" w:type="dxa"/>
            <w:vAlign w:val="center"/>
          </w:tcPr>
          <w:p w14:paraId="63A0779F"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采纳</w:t>
            </w:r>
          </w:p>
        </w:tc>
        <w:tc>
          <w:tcPr>
            <w:tcW w:w="5093" w:type="dxa"/>
            <w:vAlign w:val="center"/>
          </w:tcPr>
          <w:p w14:paraId="1E19F0FF"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《通知》已明确对于通过受托经营、转租方式开展业务的住房租赁企业收取的承租人押金及单个支付周期租金合计超过四个月租金数额的,对于超过部分的资金进行监管，或由企业提供相应价值的保函。对于</w:t>
            </w:r>
            <w:proofErr w:type="gramStart"/>
            <w:r>
              <w:rPr>
                <w:rFonts w:ascii="宋体" w:eastAsia="宋体" w:hAnsi="宋体" w:cs="宋体" w:hint="eastAsia"/>
                <w:sz w:val="21"/>
                <w:szCs w:val="21"/>
              </w:rPr>
              <w:t>自持</w:t>
            </w:r>
            <w:proofErr w:type="gramEnd"/>
            <w:r>
              <w:rPr>
                <w:rFonts w:ascii="宋体" w:eastAsia="宋体" w:hAnsi="宋体" w:cs="宋体" w:hint="eastAsia"/>
                <w:sz w:val="21"/>
                <w:szCs w:val="21"/>
              </w:rPr>
              <w:t>物业经营租赁的住房租赁企业，只需确立住房租赁资金专用账户收取承租人押金及预付租金，不涉及资金监管。</w:t>
            </w:r>
          </w:p>
        </w:tc>
      </w:tr>
      <w:tr w:rsidR="000B2FA0" w14:paraId="126DF096" w14:textId="77777777" w:rsidTr="00934AE7">
        <w:trPr>
          <w:trHeight w:val="454"/>
          <w:jc w:val="center"/>
        </w:trPr>
        <w:tc>
          <w:tcPr>
            <w:tcW w:w="720" w:type="dxa"/>
            <w:vAlign w:val="center"/>
          </w:tcPr>
          <w:p w14:paraId="649A338A"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4</w:t>
            </w:r>
          </w:p>
        </w:tc>
        <w:tc>
          <w:tcPr>
            <w:tcW w:w="7888" w:type="dxa"/>
            <w:vAlign w:val="center"/>
          </w:tcPr>
          <w:p w14:paraId="0AB82D52" w14:textId="77777777" w:rsidR="000B2FA0" w:rsidRDefault="000B2FA0" w:rsidP="00934AE7">
            <w:pPr>
              <w:ind w:firstLineChars="0" w:firstLine="0"/>
              <w:rPr>
                <w:rFonts w:ascii="宋体" w:eastAsia="宋体" w:hAnsi="宋体" w:cs="宋体"/>
                <w:sz w:val="21"/>
                <w:szCs w:val="21"/>
              </w:rPr>
            </w:pPr>
            <w:r>
              <w:rPr>
                <w:rFonts w:ascii="宋体" w:eastAsia="宋体" w:hAnsi="宋体" w:cs="宋体" w:hint="eastAsia"/>
                <w:sz w:val="21"/>
                <w:szCs w:val="21"/>
              </w:rPr>
              <w:t>除银行保函外，建议增加保险方式，</w:t>
            </w:r>
            <w:proofErr w:type="gramStart"/>
            <w:r>
              <w:rPr>
                <w:rFonts w:ascii="宋体" w:eastAsia="宋体" w:hAnsi="宋体" w:cs="宋体" w:hint="eastAsia"/>
                <w:sz w:val="21"/>
                <w:szCs w:val="21"/>
              </w:rPr>
              <w:t>且保险</w:t>
            </w:r>
            <w:proofErr w:type="gramEnd"/>
            <w:r>
              <w:rPr>
                <w:rFonts w:ascii="宋体" w:eastAsia="宋体" w:hAnsi="宋体" w:cs="宋体" w:hint="eastAsia"/>
                <w:sz w:val="21"/>
                <w:szCs w:val="21"/>
              </w:rPr>
              <w:t>还可以解决意外事故导致承租人员伤亡、第三者的财产损失或人员伤亡等风险。涉及到民生利益，建议增加保险机制的研究。</w:t>
            </w:r>
          </w:p>
        </w:tc>
        <w:tc>
          <w:tcPr>
            <w:tcW w:w="1118" w:type="dxa"/>
            <w:vAlign w:val="center"/>
          </w:tcPr>
          <w:p w14:paraId="56AF63C0"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采纳</w:t>
            </w:r>
          </w:p>
        </w:tc>
        <w:tc>
          <w:tcPr>
            <w:tcW w:w="5093" w:type="dxa"/>
            <w:vAlign w:val="center"/>
          </w:tcPr>
          <w:p w14:paraId="2192A919"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目前保险机构没有针对该类情形的保险产品，新保险产品的研发尚需较长的研究审核过程，后续将进一步研究。</w:t>
            </w:r>
          </w:p>
        </w:tc>
      </w:tr>
      <w:tr w:rsidR="000B2FA0" w14:paraId="5EF6D324" w14:textId="77777777" w:rsidTr="00934AE7">
        <w:trPr>
          <w:trHeight w:val="454"/>
          <w:jc w:val="center"/>
        </w:trPr>
        <w:tc>
          <w:tcPr>
            <w:tcW w:w="720" w:type="dxa"/>
            <w:vAlign w:val="center"/>
          </w:tcPr>
          <w:p w14:paraId="1EB36F6E"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lastRenderedPageBreak/>
              <w:t>5</w:t>
            </w:r>
          </w:p>
        </w:tc>
        <w:tc>
          <w:tcPr>
            <w:tcW w:w="7888" w:type="dxa"/>
            <w:vAlign w:val="center"/>
          </w:tcPr>
          <w:p w14:paraId="64C686A1" w14:textId="77777777" w:rsidR="000B2FA0" w:rsidRDefault="000B2FA0" w:rsidP="00934AE7">
            <w:pPr>
              <w:ind w:firstLineChars="0" w:firstLine="0"/>
              <w:rPr>
                <w:rFonts w:ascii="宋体" w:eastAsia="宋体" w:hAnsi="宋体" w:cs="宋体"/>
                <w:sz w:val="21"/>
                <w:szCs w:val="21"/>
              </w:rPr>
            </w:pPr>
            <w:r>
              <w:rPr>
                <w:rFonts w:ascii="宋体" w:eastAsia="宋体" w:hAnsi="宋体" w:cs="宋体"/>
                <w:sz w:val="21"/>
                <w:szCs w:val="21"/>
              </w:rPr>
              <w:t>当监管资金被法院执行时，监管账户内存量租赁押金应优先考虑退还合法租户，以免侵害租户的合法权益。</w:t>
            </w:r>
          </w:p>
        </w:tc>
        <w:tc>
          <w:tcPr>
            <w:tcW w:w="1118" w:type="dxa"/>
            <w:vAlign w:val="center"/>
          </w:tcPr>
          <w:p w14:paraId="2F27CD1E"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采纳</w:t>
            </w:r>
          </w:p>
        </w:tc>
        <w:tc>
          <w:tcPr>
            <w:tcW w:w="5093" w:type="dxa"/>
            <w:vAlign w:val="center"/>
          </w:tcPr>
          <w:p w14:paraId="24F4D0B1"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住房租赁企业被法院强制执行，应依据《民法典》《民事诉讼法》等相关法律保护承租人的合法权益。</w:t>
            </w:r>
          </w:p>
        </w:tc>
      </w:tr>
      <w:tr w:rsidR="000B2FA0" w14:paraId="0A33918B" w14:textId="77777777" w:rsidTr="00934AE7">
        <w:trPr>
          <w:trHeight w:val="454"/>
          <w:jc w:val="center"/>
        </w:trPr>
        <w:tc>
          <w:tcPr>
            <w:tcW w:w="720" w:type="dxa"/>
            <w:vAlign w:val="center"/>
          </w:tcPr>
          <w:p w14:paraId="3E0EF8CD" w14:textId="77777777" w:rsidR="000B2FA0" w:rsidRDefault="000B2FA0" w:rsidP="00934AE7">
            <w:pPr>
              <w:tabs>
                <w:tab w:val="left" w:pos="420"/>
              </w:tabs>
              <w:ind w:firstLineChars="0" w:firstLine="0"/>
              <w:jc w:val="center"/>
              <w:rPr>
                <w:rFonts w:ascii="宋体" w:eastAsia="宋体" w:hAnsi="宋体" w:cs="宋体"/>
                <w:sz w:val="21"/>
                <w:szCs w:val="21"/>
              </w:rPr>
            </w:pPr>
            <w:r>
              <w:rPr>
                <w:rFonts w:ascii="宋体" w:eastAsia="宋体" w:hAnsi="宋体" w:cs="宋体" w:hint="eastAsia"/>
                <w:sz w:val="21"/>
                <w:szCs w:val="21"/>
              </w:rPr>
              <w:t>6</w:t>
            </w:r>
          </w:p>
        </w:tc>
        <w:tc>
          <w:tcPr>
            <w:tcW w:w="7888" w:type="dxa"/>
            <w:vAlign w:val="center"/>
          </w:tcPr>
          <w:p w14:paraId="5F6B9974" w14:textId="77777777" w:rsidR="000B2FA0" w:rsidRDefault="000B2FA0" w:rsidP="00934AE7">
            <w:pPr>
              <w:ind w:firstLineChars="0" w:firstLine="0"/>
              <w:rPr>
                <w:rFonts w:ascii="宋体" w:eastAsia="宋体" w:hAnsi="宋体" w:cs="宋体"/>
                <w:sz w:val="21"/>
                <w:szCs w:val="21"/>
              </w:rPr>
            </w:pPr>
            <w:r>
              <w:rPr>
                <w:rFonts w:ascii="宋体" w:eastAsia="宋体" w:hAnsi="宋体" w:cs="宋体"/>
                <w:sz w:val="21"/>
                <w:szCs w:val="21"/>
              </w:rPr>
              <w:t>建议建立租赁企业信用体系，对于未采用租金贷模式、无一次性缴纳三个月以上住房租金、能够提供承租租金支付凭证的高信用等级企业，纳入监管白名单，开通审批绿色通道，对于采用月度付款模式的租金免审批直接放款，允许采用</w:t>
            </w:r>
            <w:proofErr w:type="gramStart"/>
            <w:r>
              <w:rPr>
                <w:rFonts w:ascii="宋体" w:eastAsia="宋体" w:hAnsi="宋体" w:cs="宋体"/>
                <w:sz w:val="21"/>
                <w:szCs w:val="21"/>
              </w:rPr>
              <w:t>押二付一</w:t>
            </w:r>
            <w:proofErr w:type="gramEnd"/>
            <w:r>
              <w:rPr>
                <w:rFonts w:ascii="宋体" w:eastAsia="宋体" w:hAnsi="宋体" w:cs="宋体"/>
                <w:sz w:val="21"/>
                <w:szCs w:val="21"/>
              </w:rPr>
              <w:t>模式，允许企业客户采用季度付款模式。租赁企业承租房屋的租金，业主方往往要求提前三个月、半年甚至一年支付。承租租金与出租租金之间的时间性差异，将造成租赁企业现金</w:t>
            </w:r>
            <w:proofErr w:type="gramStart"/>
            <w:r>
              <w:rPr>
                <w:rFonts w:ascii="宋体" w:eastAsia="宋体" w:hAnsi="宋体" w:cs="宋体"/>
                <w:sz w:val="21"/>
                <w:szCs w:val="21"/>
              </w:rPr>
              <w:t>流长期</w:t>
            </w:r>
            <w:proofErr w:type="gramEnd"/>
            <w:r>
              <w:rPr>
                <w:rFonts w:ascii="宋体" w:eastAsia="宋体" w:hAnsi="宋体" w:cs="宋体"/>
                <w:sz w:val="21"/>
                <w:szCs w:val="21"/>
              </w:rPr>
              <w:t>严重倒挂，加剧企业经营负担。因此建议对信用良好、未采用租金贷模式、经营风险相对较低的租赁企业放宽租金监管政策，以帮助企业更好地稳健经营、服务租户。</w:t>
            </w:r>
          </w:p>
        </w:tc>
        <w:tc>
          <w:tcPr>
            <w:tcW w:w="1118" w:type="dxa"/>
            <w:vAlign w:val="center"/>
          </w:tcPr>
          <w:p w14:paraId="3DEACDD5" w14:textId="77777777" w:rsidR="000B2FA0" w:rsidRDefault="000B2FA0" w:rsidP="00934AE7">
            <w:pPr>
              <w:ind w:firstLineChars="0" w:firstLine="0"/>
              <w:jc w:val="center"/>
              <w:rPr>
                <w:rFonts w:ascii="宋体" w:eastAsia="宋体" w:hAnsi="宋体" w:cs="宋体"/>
                <w:sz w:val="21"/>
                <w:szCs w:val="21"/>
              </w:rPr>
            </w:pPr>
            <w:r>
              <w:rPr>
                <w:rFonts w:ascii="宋体" w:eastAsia="宋体" w:hAnsi="宋体" w:cs="宋体" w:hint="eastAsia"/>
                <w:sz w:val="21"/>
                <w:szCs w:val="21"/>
              </w:rPr>
              <w:t>部分采纳</w:t>
            </w:r>
          </w:p>
        </w:tc>
        <w:tc>
          <w:tcPr>
            <w:tcW w:w="5093" w:type="dxa"/>
            <w:vAlign w:val="center"/>
          </w:tcPr>
          <w:p w14:paraId="73E74449"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租赁行业企业信用评价管理政策正在研究制定中，后续将研究结合信用评价结果优化资金监管机制。</w:t>
            </w:r>
          </w:p>
        </w:tc>
      </w:tr>
      <w:tr w:rsidR="000B2FA0" w14:paraId="27CC1387" w14:textId="77777777" w:rsidTr="00934AE7">
        <w:trPr>
          <w:trHeight w:val="454"/>
          <w:jc w:val="center"/>
        </w:trPr>
        <w:tc>
          <w:tcPr>
            <w:tcW w:w="720" w:type="dxa"/>
            <w:vAlign w:val="center"/>
          </w:tcPr>
          <w:p w14:paraId="7763400F"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7</w:t>
            </w:r>
          </w:p>
        </w:tc>
        <w:tc>
          <w:tcPr>
            <w:tcW w:w="7888" w:type="dxa"/>
            <w:vAlign w:val="center"/>
          </w:tcPr>
          <w:p w14:paraId="359D72FD"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建议住建局提供制式合同，包括门店及住房，合同要网上可查，租户与房东所有交易应受监管，尤其门店索要合同外的喝茶</w:t>
            </w:r>
            <w:proofErr w:type="gramStart"/>
            <w:r>
              <w:rPr>
                <w:rFonts w:ascii="宋体" w:eastAsia="宋体" w:hAnsi="宋体" w:cs="宋体" w:hint="eastAsia"/>
                <w:sz w:val="21"/>
                <w:szCs w:val="21"/>
              </w:rPr>
              <w:t>费属于</w:t>
            </w:r>
            <w:proofErr w:type="gramEnd"/>
            <w:r>
              <w:rPr>
                <w:rFonts w:ascii="宋体" w:eastAsia="宋体" w:hAnsi="宋体" w:cs="宋体" w:hint="eastAsia"/>
                <w:sz w:val="21"/>
                <w:szCs w:val="21"/>
              </w:rPr>
              <w:t>黑恶势力，即使法律认为私下协议，但也因门市合同房东都故意签约很短，刚装修好没回本不给喝茶费就不给续签，明显敲诈。</w:t>
            </w:r>
          </w:p>
        </w:tc>
        <w:tc>
          <w:tcPr>
            <w:tcW w:w="1118" w:type="dxa"/>
            <w:vAlign w:val="center"/>
          </w:tcPr>
          <w:p w14:paraId="74513158"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部分采纳</w:t>
            </w:r>
          </w:p>
        </w:tc>
        <w:tc>
          <w:tcPr>
            <w:tcW w:w="5093" w:type="dxa"/>
            <w:vAlign w:val="center"/>
          </w:tcPr>
          <w:p w14:paraId="69DEEA36" w14:textId="77777777" w:rsidR="000B2FA0" w:rsidRDefault="000B2FA0" w:rsidP="00934AE7">
            <w:pPr>
              <w:ind w:firstLineChars="0" w:firstLine="0"/>
              <w:rPr>
                <w:rFonts w:ascii="宋体" w:eastAsia="宋体" w:hAnsi="宋体" w:cs="宋体"/>
                <w:sz w:val="21"/>
                <w:szCs w:val="21"/>
              </w:rPr>
            </w:pPr>
            <w:r>
              <w:rPr>
                <w:rFonts w:ascii="宋体" w:eastAsia="宋体" w:hAnsi="宋体" w:cs="宋体"/>
                <w:sz w:val="21"/>
                <w:szCs w:val="21"/>
              </w:rPr>
              <w:t>我市已于2019年制定发布全市统一的住房租赁合同示范文本，供租赁当事人选用。租赁当事人也可通过市租赁平台进行租赁合同网签。房屋租赁活动中出租人存在违法违规行为的，承租人可向有关部门举报。</w:t>
            </w:r>
          </w:p>
        </w:tc>
      </w:tr>
      <w:tr w:rsidR="000B2FA0" w14:paraId="35742047" w14:textId="77777777" w:rsidTr="00934AE7">
        <w:trPr>
          <w:trHeight w:val="2181"/>
          <w:jc w:val="center"/>
        </w:trPr>
        <w:tc>
          <w:tcPr>
            <w:tcW w:w="720" w:type="dxa"/>
            <w:vAlign w:val="center"/>
          </w:tcPr>
          <w:p w14:paraId="5B15E9D3"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8</w:t>
            </w:r>
          </w:p>
        </w:tc>
        <w:tc>
          <w:tcPr>
            <w:tcW w:w="7888" w:type="dxa"/>
            <w:vAlign w:val="center"/>
          </w:tcPr>
          <w:p w14:paraId="72B81DF0"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承租人因个人原因提前退租的情形在实际运营中发生的比例占比约5%-10%，如住房租赁企业需凭借书面协议向监管银行进行申请释放监管资金，将会产生较多的申请及审核工作，建议改为可根据合</w:t>
            </w:r>
            <w:proofErr w:type="gramStart"/>
            <w:r>
              <w:rPr>
                <w:rFonts w:ascii="宋体" w:eastAsia="宋体" w:hAnsi="宋体" w:cs="宋体" w:hint="eastAsia"/>
                <w:sz w:val="21"/>
                <w:szCs w:val="21"/>
              </w:rPr>
              <w:t>规</w:t>
            </w:r>
            <w:proofErr w:type="gramEnd"/>
            <w:r>
              <w:rPr>
                <w:rFonts w:ascii="宋体" w:eastAsia="宋体" w:hAnsi="宋体" w:cs="宋体" w:hint="eastAsia"/>
                <w:sz w:val="21"/>
                <w:szCs w:val="21"/>
              </w:rPr>
              <w:t>系统中的租赁合同状态自动释放资金。</w:t>
            </w:r>
          </w:p>
        </w:tc>
        <w:tc>
          <w:tcPr>
            <w:tcW w:w="1118" w:type="dxa"/>
            <w:vAlign w:val="center"/>
          </w:tcPr>
          <w:p w14:paraId="1C617BAC"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解释</w:t>
            </w:r>
          </w:p>
        </w:tc>
        <w:tc>
          <w:tcPr>
            <w:tcW w:w="5093" w:type="dxa"/>
            <w:vAlign w:val="center"/>
          </w:tcPr>
          <w:p w14:paraId="62D23625"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《通知》规定租赁当事人双方或单方提前解除租赁关系需双方达成有法律效力的书面协议，明确资金释放的时间、方式、金额等内容，银行根据协议内容释放资金；若无书面协议，银行释放资金于法无据。</w:t>
            </w:r>
          </w:p>
        </w:tc>
      </w:tr>
      <w:tr w:rsidR="000B2FA0" w14:paraId="01B30375" w14:textId="77777777" w:rsidTr="00934AE7">
        <w:trPr>
          <w:trHeight w:val="454"/>
          <w:jc w:val="center"/>
        </w:trPr>
        <w:tc>
          <w:tcPr>
            <w:tcW w:w="720" w:type="dxa"/>
            <w:vAlign w:val="center"/>
          </w:tcPr>
          <w:p w14:paraId="430720C7" w14:textId="77777777" w:rsidR="000B2FA0" w:rsidRDefault="000B2FA0" w:rsidP="00934AE7">
            <w:pPr>
              <w:tabs>
                <w:tab w:val="left" w:pos="420"/>
              </w:tabs>
              <w:ind w:firstLineChars="0" w:firstLine="0"/>
              <w:jc w:val="center"/>
              <w:rPr>
                <w:rFonts w:ascii="宋体" w:eastAsia="宋体" w:hAnsi="宋体" w:cs="宋体" w:hint="eastAsia"/>
                <w:sz w:val="21"/>
                <w:szCs w:val="21"/>
              </w:rPr>
            </w:pPr>
            <w:r>
              <w:rPr>
                <w:rFonts w:ascii="宋体" w:eastAsia="宋体" w:hAnsi="宋体" w:cs="宋体" w:hint="eastAsia"/>
                <w:sz w:val="21"/>
                <w:szCs w:val="21"/>
              </w:rPr>
              <w:t>9</w:t>
            </w:r>
          </w:p>
        </w:tc>
        <w:tc>
          <w:tcPr>
            <w:tcW w:w="7888" w:type="dxa"/>
            <w:vAlign w:val="center"/>
          </w:tcPr>
          <w:p w14:paraId="03815C19"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对于通过“受托经营”、“转租方式”出租的，不管收取的押金和租金是否超过4个月租金数额，经营收入建议全部由银行监管或由企业提供银行保函担保（保函作为合同附件）。</w:t>
            </w:r>
          </w:p>
        </w:tc>
        <w:tc>
          <w:tcPr>
            <w:tcW w:w="1118" w:type="dxa"/>
            <w:vAlign w:val="center"/>
          </w:tcPr>
          <w:p w14:paraId="14B6CA7B" w14:textId="77777777" w:rsidR="000B2FA0" w:rsidRDefault="000B2FA0" w:rsidP="00934AE7">
            <w:pPr>
              <w:ind w:firstLineChars="0" w:firstLine="0"/>
              <w:jc w:val="center"/>
              <w:rPr>
                <w:rFonts w:ascii="宋体" w:eastAsia="宋体" w:hAnsi="宋体" w:cs="宋体" w:hint="eastAsia"/>
                <w:sz w:val="21"/>
                <w:szCs w:val="21"/>
              </w:rPr>
            </w:pPr>
            <w:r>
              <w:rPr>
                <w:rFonts w:ascii="宋体" w:eastAsia="宋体" w:hAnsi="宋体" w:cs="宋体" w:hint="eastAsia"/>
                <w:sz w:val="21"/>
                <w:szCs w:val="21"/>
              </w:rPr>
              <w:t>解释</w:t>
            </w:r>
          </w:p>
        </w:tc>
        <w:tc>
          <w:tcPr>
            <w:tcW w:w="5093" w:type="dxa"/>
            <w:vAlign w:val="center"/>
          </w:tcPr>
          <w:p w14:paraId="43828848" w14:textId="77777777" w:rsidR="000B2FA0" w:rsidRDefault="000B2FA0" w:rsidP="00934AE7">
            <w:pPr>
              <w:ind w:firstLineChars="0" w:firstLine="0"/>
              <w:rPr>
                <w:rFonts w:ascii="宋体" w:eastAsia="宋体" w:hAnsi="宋体" w:cs="宋体" w:hint="eastAsia"/>
                <w:sz w:val="21"/>
                <w:szCs w:val="21"/>
              </w:rPr>
            </w:pPr>
            <w:r>
              <w:rPr>
                <w:rFonts w:ascii="宋体" w:eastAsia="宋体" w:hAnsi="宋体" w:cs="宋体" w:hint="eastAsia"/>
                <w:sz w:val="21"/>
                <w:szCs w:val="21"/>
              </w:rPr>
              <w:t>对住房租赁企业进行资金监管，既要防范不良企业的“爆雷、跑路”风险，又避免将企业“管死”，影响行业正常发展。</w:t>
            </w:r>
          </w:p>
        </w:tc>
      </w:tr>
    </w:tbl>
    <w:p w14:paraId="2A9F53FB" w14:textId="77777777" w:rsidR="00115B24" w:rsidRDefault="00115B24"/>
    <w:sectPr w:rsidR="00115B24" w:rsidSect="000B2FA0">
      <w:pgSz w:w="16838" w:h="11906" w:orient="landscape"/>
      <w:pgMar w:top="1440" w:right="1440" w:bottom="1440" w:left="1440" w:header="708" w:footer="708"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F823F" w14:textId="77777777" w:rsidR="00067498" w:rsidRDefault="00067498" w:rsidP="000B2FA0">
      <w:r>
        <w:separator/>
      </w:r>
    </w:p>
  </w:endnote>
  <w:endnote w:type="continuationSeparator" w:id="0">
    <w:p w14:paraId="4BFE019F" w14:textId="77777777" w:rsidR="00067498" w:rsidRDefault="00067498" w:rsidP="000B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1A666" w14:textId="77777777" w:rsidR="00067498" w:rsidRDefault="00067498" w:rsidP="000B2FA0">
      <w:r>
        <w:separator/>
      </w:r>
    </w:p>
  </w:footnote>
  <w:footnote w:type="continuationSeparator" w:id="0">
    <w:p w14:paraId="26D2B7F7" w14:textId="77777777" w:rsidR="00067498" w:rsidRDefault="00067498" w:rsidP="000B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F5"/>
    <w:rsid w:val="00067498"/>
    <w:rsid w:val="000B2FA0"/>
    <w:rsid w:val="00115B24"/>
    <w:rsid w:val="00657BF5"/>
    <w:rsid w:val="00AC715F"/>
    <w:rsid w:val="00BE08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80446-35A8-4DC7-BB38-D36E7871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FA0"/>
    <w:pPr>
      <w:widowControl w:val="0"/>
      <w:spacing w:after="0" w:line="240" w:lineRule="auto"/>
      <w:ind w:firstLineChars="200" w:firstLine="640"/>
      <w:jc w:val="both"/>
    </w:pPr>
    <w:rPr>
      <w:rFonts w:ascii="仿宋_GB2312" w:eastAsia="仿宋_GB2312" w:hAnsi="仿宋_GB2312" w:cs="Times New Roman"/>
      <w:kern w:val="2"/>
      <w:sz w:val="32"/>
      <w:szCs w:val="24"/>
      <w:lang w:val="en-US"/>
    </w:rPr>
  </w:style>
  <w:style w:type="paragraph" w:styleId="Heading1">
    <w:name w:val="heading 1"/>
    <w:next w:val="Normal"/>
    <w:link w:val="Heading1Char"/>
    <w:qFormat/>
    <w:rsid w:val="000B2FA0"/>
    <w:pPr>
      <w:spacing w:after="0" w:line="240" w:lineRule="auto"/>
      <w:ind w:firstLineChars="200" w:firstLine="883"/>
      <w:jc w:val="both"/>
      <w:outlineLvl w:val="0"/>
    </w:pPr>
    <w:rPr>
      <w:rFonts w:ascii="黑体" w:eastAsia="黑体" w:hAnsi="黑体" w:cs="Times New Roman"/>
      <w:kern w:val="2"/>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FA0"/>
    <w:pPr>
      <w:widowControl/>
      <w:tabs>
        <w:tab w:val="center" w:pos="4320"/>
        <w:tab w:val="right" w:pos="8640"/>
      </w:tabs>
      <w:ind w:firstLineChars="0" w:firstLine="0"/>
      <w:jc w:val="left"/>
    </w:pPr>
    <w:rPr>
      <w:rFonts w:asciiTheme="minorHAnsi" w:eastAsiaTheme="minorEastAsia" w:hAnsiTheme="minorHAnsi" w:cstheme="minorBidi"/>
      <w:kern w:val="0"/>
      <w:sz w:val="22"/>
      <w:szCs w:val="22"/>
      <w:lang w:val="en-GB"/>
    </w:rPr>
  </w:style>
  <w:style w:type="character" w:customStyle="1" w:styleId="HeaderChar">
    <w:name w:val="Header Char"/>
    <w:basedOn w:val="DefaultParagraphFont"/>
    <w:link w:val="Header"/>
    <w:uiPriority w:val="99"/>
    <w:rsid w:val="000B2FA0"/>
  </w:style>
  <w:style w:type="paragraph" w:styleId="Footer">
    <w:name w:val="footer"/>
    <w:basedOn w:val="Normal"/>
    <w:link w:val="FooterChar"/>
    <w:uiPriority w:val="99"/>
    <w:unhideWhenUsed/>
    <w:rsid w:val="000B2FA0"/>
    <w:pPr>
      <w:widowControl/>
      <w:tabs>
        <w:tab w:val="center" w:pos="4320"/>
        <w:tab w:val="right" w:pos="8640"/>
      </w:tabs>
      <w:ind w:firstLineChars="0" w:firstLine="0"/>
      <w:jc w:val="left"/>
    </w:pPr>
    <w:rPr>
      <w:rFonts w:asciiTheme="minorHAnsi" w:eastAsiaTheme="minorEastAsia" w:hAnsiTheme="minorHAnsi" w:cstheme="minorBidi"/>
      <w:kern w:val="0"/>
      <w:sz w:val="22"/>
      <w:szCs w:val="22"/>
      <w:lang w:val="en-GB"/>
    </w:rPr>
  </w:style>
  <w:style w:type="character" w:customStyle="1" w:styleId="FooterChar">
    <w:name w:val="Footer Char"/>
    <w:basedOn w:val="DefaultParagraphFont"/>
    <w:link w:val="Footer"/>
    <w:uiPriority w:val="99"/>
    <w:rsid w:val="000B2FA0"/>
  </w:style>
  <w:style w:type="character" w:customStyle="1" w:styleId="Heading1Char">
    <w:name w:val="Heading 1 Char"/>
    <w:basedOn w:val="DefaultParagraphFont"/>
    <w:link w:val="Heading1"/>
    <w:qFormat/>
    <w:rsid w:val="000B2FA0"/>
    <w:rPr>
      <w:rFonts w:ascii="黑体" w:eastAsia="黑体" w:hAnsi="黑体" w:cs="Times New Roman"/>
      <w:kern w:val="2"/>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Chou</dc:creator>
  <cp:keywords/>
  <dc:description/>
  <cp:lastModifiedBy>Desmond Chou</cp:lastModifiedBy>
  <cp:revision>2</cp:revision>
  <dcterms:created xsi:type="dcterms:W3CDTF">2021-03-01T21:26:00Z</dcterms:created>
  <dcterms:modified xsi:type="dcterms:W3CDTF">2021-03-01T21:27:00Z</dcterms:modified>
</cp:coreProperties>
</file>