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60" w:lineRule="exac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topLinePunct/>
        <w:adjustRightInd w:val="0"/>
        <w:snapToGrid w:val="0"/>
        <w:jc w:val="center"/>
        <w:rPr>
          <w:rFonts w:hint="default" w:ascii="方正小标宋简体" w:hAnsi="方正小标宋简体" w:eastAsia="方正小标宋简体" w:cs="方正小标宋简体"/>
          <w:b w:val="0"/>
          <w:bCs w:val="0"/>
          <w:color w:val="000000"/>
          <w:kern w:val="2"/>
          <w:sz w:val="44"/>
          <w:szCs w:val="44"/>
          <w:lang w:val="en-US" w:eastAsia="zh-CN" w:bidi="ar-SA"/>
        </w:rPr>
      </w:pPr>
      <w:r>
        <w:rPr>
          <w:rFonts w:hint="eastAsia" w:ascii="方正小标宋简体" w:hAnsi="方正小标宋简体" w:eastAsia="方正小标宋简体" w:cs="方正小标宋简体"/>
          <w:b w:val="0"/>
          <w:bCs w:val="0"/>
          <w:color w:val="000000"/>
          <w:kern w:val="2"/>
          <w:sz w:val="44"/>
          <w:szCs w:val="44"/>
          <w:lang w:val="en-US" w:eastAsia="zh-CN" w:bidi="ar-SA"/>
        </w:rPr>
        <w:t>《深圳市装配式建筑项目建设管理办法</w:t>
      </w:r>
      <w:r>
        <w:rPr>
          <w:rFonts w:hint="default" w:ascii="方正小标宋简体" w:hAnsi="方正小标宋简体" w:eastAsia="方正小标宋简体" w:cs="方正小标宋简体"/>
          <w:b w:val="0"/>
          <w:bCs w:val="0"/>
          <w:color w:val="000000"/>
          <w:kern w:val="2"/>
          <w:sz w:val="44"/>
          <w:szCs w:val="44"/>
          <w:lang w:val="en-US" w:eastAsia="zh-CN" w:bidi="ar-SA"/>
        </w:rPr>
        <w:t>（</w:t>
      </w:r>
      <w:r>
        <w:rPr>
          <w:rFonts w:hint="eastAsia" w:ascii="方正小标宋简体" w:hAnsi="方正小标宋简体" w:eastAsia="方正小标宋简体" w:cs="方正小标宋简体"/>
          <w:b w:val="0"/>
          <w:bCs w:val="0"/>
          <w:color w:val="000000"/>
          <w:kern w:val="2"/>
          <w:sz w:val="44"/>
          <w:szCs w:val="44"/>
          <w:lang w:val="en-US" w:eastAsia="zh-CN" w:bidi="ar-SA"/>
        </w:rPr>
        <w:t>征求意见</w:t>
      </w:r>
      <w:r>
        <w:rPr>
          <w:rFonts w:hint="default" w:ascii="方正小标宋简体" w:hAnsi="方正小标宋简体" w:eastAsia="方正小标宋简体" w:cs="方正小标宋简体"/>
          <w:b w:val="0"/>
          <w:bCs w:val="0"/>
          <w:color w:val="000000"/>
          <w:kern w:val="2"/>
          <w:sz w:val="44"/>
          <w:szCs w:val="44"/>
          <w:lang w:val="en-US" w:eastAsia="zh-CN" w:bidi="ar-SA"/>
        </w:rPr>
        <w:t>稿）</w:t>
      </w:r>
      <w:r>
        <w:rPr>
          <w:rFonts w:hint="eastAsia" w:ascii="方正小标宋简体" w:hAnsi="方正小标宋简体" w:eastAsia="方正小标宋简体" w:cs="方正小标宋简体"/>
          <w:b w:val="0"/>
          <w:bCs w:val="0"/>
          <w:color w:val="000000"/>
          <w:kern w:val="2"/>
          <w:sz w:val="44"/>
          <w:szCs w:val="44"/>
          <w:lang w:val="en-US" w:eastAsia="zh-CN" w:bidi="ar-SA"/>
        </w:rPr>
        <w:t>》</w:t>
      </w:r>
    </w:p>
    <w:p>
      <w:pPr>
        <w:pStyle w:val="2"/>
        <w:ind w:left="0" w:leftChars="0" w:firstLine="0" w:firstLineChars="0"/>
        <w:jc w:val="center"/>
        <w:rPr>
          <w:rFonts w:hint="eastAsia" w:ascii="方正小标宋简体" w:hAnsi="方正小标宋简体" w:eastAsia="方正小标宋简体" w:cs="方正小标宋简体"/>
          <w:b w:val="0"/>
          <w:bCs w:val="0"/>
          <w:color w:val="000000"/>
          <w:kern w:val="2"/>
          <w:sz w:val="44"/>
          <w:szCs w:val="44"/>
          <w:lang w:val="en-US" w:eastAsia="zh-CN" w:bidi="ar-SA"/>
        </w:rPr>
      </w:pPr>
      <w:r>
        <w:rPr>
          <w:rFonts w:hint="eastAsia" w:ascii="方正小标宋简体" w:hAnsi="方正小标宋简体" w:eastAsia="方正小标宋简体" w:cs="方正小标宋简体"/>
          <w:b w:val="0"/>
          <w:bCs w:val="0"/>
          <w:color w:val="000000"/>
          <w:kern w:val="2"/>
          <w:sz w:val="44"/>
          <w:szCs w:val="44"/>
          <w:lang w:val="en-US" w:eastAsia="zh-CN" w:bidi="ar-SA"/>
        </w:rPr>
        <w:t>意见及采纳情况汇总表</w:t>
      </w:r>
    </w:p>
    <w:p>
      <w:pPr>
        <w:pStyle w:val="2"/>
        <w:spacing w:line="560" w:lineRule="exact"/>
        <w:ind w:left="0" w:leftChars="0" w:firstLine="0" w:firstLineChars="0"/>
      </w:pPr>
      <w:r>
        <w:rPr>
          <w:rFonts w:hint="eastAsia" w:ascii="仿宋_GB2312" w:hAnsi="仿宋_GB2312" w:eastAsia="仿宋_GB2312" w:cs="仿宋_GB2312"/>
          <w:sz w:val="28"/>
          <w:szCs w:val="28"/>
          <w:lang w:val="en-US" w:eastAsia="zh-CN"/>
        </w:rPr>
        <w:t>经广泛征求社会大众和各企业意见，本次征求意见截至5月24日，共收到8条意见，其中采纳5条，解释说明</w:t>
      </w:r>
      <w:r>
        <w:rPr>
          <w:rFonts w:hint="default" w:ascii="仿宋_GB2312" w:hAnsi="仿宋_GB2312" w:eastAsia="仿宋_GB2312" w:cs="仿宋_GB2312"/>
          <w:sz w:val="28"/>
          <w:szCs w:val="28"/>
          <w:lang w:val="en" w:eastAsia="zh-CN"/>
        </w:rPr>
        <w:t>3</w:t>
      </w:r>
      <w:r>
        <w:rPr>
          <w:rFonts w:hint="eastAsia" w:ascii="仿宋_GB2312" w:hAnsi="仿宋_GB2312" w:eastAsia="仿宋_GB2312" w:cs="仿宋_GB2312"/>
          <w:sz w:val="28"/>
          <w:szCs w:val="28"/>
          <w:lang w:val="en-US" w:eastAsia="zh-CN"/>
        </w:rPr>
        <w:t>条。</w:t>
      </w:r>
      <w:bookmarkStart w:id="0" w:name="_GoBack"/>
      <w:bookmarkEnd w:id="0"/>
    </w:p>
    <w:tbl>
      <w:tblPr>
        <w:tblStyle w:val="5"/>
        <w:tblpPr w:leftFromText="180" w:rightFromText="180" w:vertAnchor="text" w:horzAnchor="page" w:tblpXSpec="center" w:tblpY="158"/>
        <w:tblW w:w="141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583"/>
        <w:gridCol w:w="6650"/>
        <w:gridCol w:w="1413"/>
        <w:gridCol w:w="37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94" w:type="dxa"/>
            <w:noWrap w:val="0"/>
            <w:vAlign w:val="center"/>
          </w:tcPr>
          <w:p>
            <w:pPr>
              <w:spacing w:line="400" w:lineRule="exact"/>
              <w:jc w:val="center"/>
              <w:rPr>
                <w:rFonts w:hint="eastAsia" w:ascii="宋体" w:hAnsi="宋体" w:cs="宋体"/>
                <w:b/>
                <w:bCs/>
                <w:sz w:val="28"/>
                <w:szCs w:val="28"/>
              </w:rPr>
            </w:pPr>
            <w:r>
              <w:rPr>
                <w:rFonts w:hint="eastAsia" w:ascii="宋体" w:hAnsi="宋体" w:cs="宋体"/>
                <w:b/>
                <w:bCs/>
                <w:sz w:val="28"/>
                <w:szCs w:val="28"/>
              </w:rPr>
              <w:t>序号</w:t>
            </w:r>
          </w:p>
        </w:tc>
        <w:tc>
          <w:tcPr>
            <w:tcW w:w="1583" w:type="dxa"/>
            <w:noWrap w:val="0"/>
            <w:vAlign w:val="center"/>
          </w:tcPr>
          <w:p>
            <w:pPr>
              <w:spacing w:line="400" w:lineRule="exact"/>
              <w:jc w:val="center"/>
              <w:rPr>
                <w:rFonts w:hint="eastAsia" w:ascii="宋体" w:hAnsi="宋体" w:cs="宋体"/>
                <w:b/>
                <w:bCs/>
                <w:sz w:val="28"/>
                <w:szCs w:val="28"/>
              </w:rPr>
            </w:pPr>
            <w:r>
              <w:rPr>
                <w:rFonts w:hint="eastAsia" w:ascii="宋体" w:hAnsi="宋体" w:cs="宋体"/>
                <w:b/>
                <w:bCs/>
                <w:sz w:val="28"/>
                <w:szCs w:val="28"/>
              </w:rPr>
              <w:t>条文内容</w:t>
            </w:r>
          </w:p>
        </w:tc>
        <w:tc>
          <w:tcPr>
            <w:tcW w:w="6650" w:type="dxa"/>
            <w:noWrap w:val="0"/>
            <w:vAlign w:val="center"/>
          </w:tcPr>
          <w:p>
            <w:pPr>
              <w:spacing w:line="400" w:lineRule="exact"/>
              <w:jc w:val="center"/>
              <w:rPr>
                <w:rFonts w:hint="eastAsia" w:ascii="宋体" w:hAnsi="宋体" w:cs="宋体"/>
                <w:b/>
                <w:bCs/>
                <w:sz w:val="28"/>
                <w:szCs w:val="28"/>
              </w:rPr>
            </w:pPr>
            <w:r>
              <w:rPr>
                <w:rFonts w:hint="eastAsia" w:ascii="宋体" w:hAnsi="宋体" w:cs="宋体"/>
                <w:b/>
                <w:bCs/>
                <w:sz w:val="28"/>
                <w:szCs w:val="28"/>
              </w:rPr>
              <w:t>提出的意见或建议</w:t>
            </w:r>
          </w:p>
        </w:tc>
        <w:tc>
          <w:tcPr>
            <w:tcW w:w="1413" w:type="dxa"/>
            <w:noWrap w:val="0"/>
            <w:vAlign w:val="center"/>
          </w:tcPr>
          <w:p>
            <w:pPr>
              <w:spacing w:line="400" w:lineRule="exact"/>
              <w:jc w:val="center"/>
              <w:rPr>
                <w:rFonts w:hint="eastAsia" w:ascii="宋体" w:hAnsi="宋体" w:cs="宋体"/>
                <w:b/>
                <w:bCs/>
                <w:sz w:val="28"/>
                <w:szCs w:val="28"/>
              </w:rPr>
            </w:pPr>
            <w:r>
              <w:rPr>
                <w:rFonts w:hint="eastAsia" w:ascii="宋体" w:hAnsi="宋体" w:cs="宋体"/>
                <w:b/>
                <w:bCs/>
                <w:sz w:val="28"/>
                <w:szCs w:val="28"/>
              </w:rPr>
              <w:t>是否采纳</w:t>
            </w:r>
          </w:p>
        </w:tc>
        <w:tc>
          <w:tcPr>
            <w:tcW w:w="3702" w:type="dxa"/>
            <w:noWrap w:val="0"/>
            <w:vAlign w:val="center"/>
          </w:tcPr>
          <w:p>
            <w:pPr>
              <w:spacing w:line="400" w:lineRule="exact"/>
              <w:jc w:val="center"/>
              <w:rPr>
                <w:rFonts w:hint="eastAsia" w:ascii="宋体" w:hAnsi="宋体" w:cs="宋体"/>
                <w:b/>
                <w:bCs/>
                <w:sz w:val="28"/>
                <w:szCs w:val="28"/>
              </w:rPr>
            </w:pPr>
            <w:r>
              <w:rPr>
                <w:rFonts w:hint="eastAsia" w:ascii="宋体" w:hAnsi="宋体" w:cs="宋体"/>
                <w:b/>
                <w:bCs/>
                <w:sz w:val="28"/>
                <w:szCs w:val="28"/>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rPr>
            </w:pPr>
            <w:r>
              <w:rPr>
                <w:rFonts w:hint="eastAsia" w:ascii="仿宋_GB2312" w:hAnsi="仿宋_GB2312" w:eastAsia="仿宋_GB2312" w:cs="仿宋_GB2312"/>
                <w:b/>
                <w:sz w:val="24"/>
              </w:rPr>
              <w:t>1</w:t>
            </w:r>
          </w:p>
        </w:tc>
        <w:tc>
          <w:tcPr>
            <w:tcW w:w="1583" w:type="dxa"/>
            <w:noWrap w:val="0"/>
            <w:vAlign w:val="center"/>
          </w:tcPr>
          <w:p>
            <w:pPr>
              <w:jc w:val="center"/>
              <w:rPr>
                <w:rFonts w:hint="default" w:ascii="仿宋_GB2312" w:hAnsi="仿宋_GB2312" w:eastAsia="仿宋_GB2312" w:cs="仿宋_GB2312"/>
                <w:sz w:val="24"/>
                <w:lang w:val="en-US" w:eastAsia="zh-CN"/>
              </w:rPr>
            </w:pPr>
            <w:r>
              <w:rPr>
                <w:rFonts w:hint="eastAsia" w:ascii="宋体" w:hAnsi="宋体" w:eastAsia="宋体" w:cs="宋体"/>
                <w:b/>
                <w:bCs/>
                <w:szCs w:val="21"/>
                <w:lang w:val="en-US" w:eastAsia="zh-CN"/>
              </w:rPr>
              <w:t>第二条</w:t>
            </w:r>
          </w:p>
        </w:tc>
        <w:tc>
          <w:tcPr>
            <w:tcW w:w="6650" w:type="dxa"/>
            <w:noWrap w:val="0"/>
            <w:vAlign w:val="center"/>
          </w:tcPr>
          <w:p>
            <w:pPr>
              <w:ind w:firstLine="420" w:firstLineChars="200"/>
              <w:rPr>
                <w:rFonts w:hint="eastAsia" w:ascii="Calibri" w:hAnsi="Calibri" w:eastAsia="宋体" w:cs="Times New Roman"/>
                <w:szCs w:val="21"/>
                <w:lang w:val="en" w:eastAsia="zh-CN"/>
              </w:rPr>
            </w:pPr>
            <w:r>
              <w:rPr>
                <w:rFonts w:hint="default" w:ascii="Calibri" w:hAnsi="Calibri" w:eastAsia="宋体" w:cs="Times New Roman"/>
                <w:szCs w:val="21"/>
                <w:lang w:val="en" w:eastAsia="zh-CN"/>
              </w:rPr>
              <w:t>本办法所称装配式建筑是指结构系统、外围护系统、设备与管线系统、内装系统的主要部分采用工厂化生产的部品部件集成，并满足</w:t>
            </w:r>
            <w:r>
              <w:rPr>
                <w:rFonts w:hint="eastAsia" w:ascii="Calibri" w:hAnsi="Calibri" w:eastAsia="宋体" w:cs="Times New Roman"/>
                <w:szCs w:val="21"/>
                <w:lang w:val="en" w:eastAsia="zh-CN"/>
              </w:rPr>
              <w:t>深圳市装配式建筑</w:t>
            </w:r>
            <w:r>
              <w:rPr>
                <w:rFonts w:hint="default" w:ascii="Calibri" w:hAnsi="Calibri" w:eastAsia="宋体" w:cs="Times New Roman"/>
                <w:szCs w:val="21"/>
                <w:lang w:val="en" w:eastAsia="zh-CN"/>
              </w:rPr>
              <w:t>技术</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建议增加“评价”</w:t>
            </w:r>
            <w:r>
              <w:rPr>
                <w:rFonts w:hint="eastAsia" w:ascii="Calibri" w:hAnsi="Calibri" w:eastAsia="宋体" w:cs="Times New Roman"/>
                <w:szCs w:val="21"/>
                <w:lang w:val="en" w:eastAsia="zh-CN"/>
              </w:rPr>
              <w:t>】</w:t>
            </w:r>
            <w:r>
              <w:rPr>
                <w:rFonts w:hint="default" w:ascii="Calibri" w:hAnsi="Calibri" w:eastAsia="宋体" w:cs="Times New Roman"/>
                <w:szCs w:val="21"/>
                <w:lang w:val="en" w:eastAsia="zh-CN"/>
              </w:rPr>
              <w:t>要求的建筑</w:t>
            </w:r>
            <w:r>
              <w:rPr>
                <w:rFonts w:hint="eastAsia" w:ascii="Calibri" w:hAnsi="Calibri" w:eastAsia="宋体" w:cs="Times New Roman"/>
                <w:szCs w:val="21"/>
                <w:lang w:val="en" w:eastAsia="zh-CN"/>
              </w:rPr>
              <w:t>。</w:t>
            </w:r>
          </w:p>
          <w:p>
            <w:pPr>
              <w:ind w:firstLine="420" w:firstLineChars="200"/>
              <w:rPr>
                <w:rFonts w:hint="default" w:ascii="Calibri" w:hAnsi="Calibri" w:eastAsia="宋体" w:cs="Times New Roman"/>
                <w:szCs w:val="21"/>
                <w:lang w:val="en-US" w:eastAsia="zh-CN"/>
              </w:rPr>
            </w:pPr>
            <w:r>
              <w:rPr>
                <w:rFonts w:hint="eastAsia" w:ascii="Calibri" w:hAnsi="Calibri" w:eastAsia="宋体" w:cs="Times New Roman"/>
                <w:szCs w:val="21"/>
                <w:lang w:val="en-US" w:eastAsia="zh-CN"/>
              </w:rPr>
              <w:t>修改理由：</w:t>
            </w:r>
            <w:r>
              <w:rPr>
                <w:rFonts w:hint="eastAsia" w:ascii="Calibri" w:hAnsi="Calibri" w:eastAsia="宋体" w:cs="Times New Roman"/>
                <w:szCs w:val="21"/>
                <w:lang w:val="en" w:eastAsia="zh-CN"/>
              </w:rPr>
              <w:t>“技术要求”涵盖范围广，包括各相关专业、各阶段的技术要求，建议以现行本市装配式建筑“评分规则”或者国家、省装配式建筑“评价标准”的形式</w:t>
            </w:r>
            <w:r>
              <w:rPr>
                <w:rFonts w:hint="eastAsia" w:ascii="Calibri" w:hAnsi="Calibri" w:eastAsia="宋体" w:cs="Times New Roman"/>
                <w:szCs w:val="21"/>
                <w:lang w:val="en-US" w:eastAsia="zh-CN"/>
              </w:rPr>
              <w:t>比较</w:t>
            </w:r>
            <w:r>
              <w:rPr>
                <w:rFonts w:hint="eastAsia" w:ascii="Calibri" w:hAnsi="Calibri" w:eastAsia="宋体" w:cs="Times New Roman"/>
                <w:szCs w:val="21"/>
                <w:lang w:val="en" w:eastAsia="zh-CN"/>
              </w:rPr>
              <w:t>适合】</w:t>
            </w:r>
          </w:p>
        </w:tc>
        <w:tc>
          <w:tcPr>
            <w:tcW w:w="1413" w:type="dxa"/>
            <w:noWrap w:val="0"/>
            <w:vAlign w:val="center"/>
          </w:tcPr>
          <w:p>
            <w:pPr>
              <w:jc w:val="center"/>
              <w:rPr>
                <w:rFonts w:hint="default" w:ascii="Calibri" w:hAnsi="Calibri" w:eastAsia="宋体" w:cs="Times New Roman"/>
                <w:szCs w:val="21"/>
                <w:lang w:val="en-US" w:eastAsia="zh-CN"/>
              </w:rPr>
            </w:pPr>
            <w:r>
              <w:rPr>
                <w:rFonts w:hint="eastAsia" w:ascii="Calibri" w:hAnsi="Calibri" w:eastAsia="宋体" w:cs="Times New Roman"/>
                <w:szCs w:val="21"/>
                <w:lang w:val="en-US" w:eastAsia="zh-CN"/>
              </w:rPr>
              <w:t>解释说明</w:t>
            </w:r>
          </w:p>
        </w:tc>
        <w:tc>
          <w:tcPr>
            <w:tcW w:w="3702" w:type="dxa"/>
            <w:noWrap w:val="0"/>
            <w:vAlign w:val="center"/>
          </w:tcPr>
          <w:p>
            <w:pPr>
              <w:ind w:firstLine="420" w:firstLineChars="200"/>
              <w:rPr>
                <w:rFonts w:hint="default" w:ascii="Calibri" w:hAnsi="Calibri" w:eastAsia="宋体" w:cs="Times New Roman"/>
                <w:szCs w:val="21"/>
                <w:lang w:val="en-US" w:eastAsia="zh-CN"/>
              </w:rPr>
            </w:pPr>
            <w:r>
              <w:rPr>
                <w:rFonts w:hint="eastAsia" w:ascii="Calibri" w:hAnsi="Calibri" w:eastAsia="宋体" w:cs="Times New Roman"/>
                <w:szCs w:val="21"/>
                <w:lang w:val="en-US" w:eastAsia="zh-CN"/>
              </w:rPr>
              <w:t>“技术要求”的内涵及外延较为宽广，包含装配式建筑项目开发建设、设计、生产、施工、检测、运输等全过程的技术实施及技术指标项的要求，大力发展装配式建筑，不仅要求项目满足我市评分规则，同时鼓励在评分规则基础上探索创新，积极推广新技术、新工艺、新设备和新材料的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rPr>
            </w:pPr>
            <w:r>
              <w:rPr>
                <w:rFonts w:hint="eastAsia" w:ascii="仿宋_GB2312" w:hAnsi="仿宋_GB2312" w:eastAsia="仿宋_GB2312" w:cs="仿宋_GB2312"/>
                <w:b/>
                <w:sz w:val="24"/>
              </w:rPr>
              <w:t>2</w:t>
            </w:r>
          </w:p>
        </w:tc>
        <w:tc>
          <w:tcPr>
            <w:tcW w:w="1583" w:type="dxa"/>
            <w:noWrap w:val="0"/>
            <w:vAlign w:val="center"/>
          </w:tcPr>
          <w:p>
            <w:pPr>
              <w:jc w:val="center"/>
              <w:rPr>
                <w:rFonts w:hint="eastAsia" w:ascii="宋体" w:hAnsi="宋体" w:cs="宋体"/>
                <w:sz w:val="18"/>
                <w:szCs w:val="18"/>
                <w:highlight w:val="none"/>
              </w:rPr>
            </w:pPr>
            <w:r>
              <w:rPr>
                <w:rFonts w:hint="eastAsia" w:ascii="宋体" w:hAnsi="宋体" w:eastAsia="宋体" w:cs="宋体"/>
                <w:b/>
                <w:bCs/>
                <w:szCs w:val="21"/>
                <w:lang w:val="en-US" w:eastAsia="zh-CN"/>
              </w:rPr>
              <w:t>第四条</w:t>
            </w:r>
          </w:p>
        </w:tc>
        <w:tc>
          <w:tcPr>
            <w:tcW w:w="6650" w:type="dxa"/>
            <w:noWrap w:val="0"/>
            <w:vAlign w:val="center"/>
          </w:tcPr>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市住房建设主管部门（以下简称“市主管部门”）负责全市装配式建筑项目建设统筹工作，建立深圳市装配式建筑项目管理服务系统，指导和督促各区住房建设主管部门落实辖区内装配式建筑项目。【建议增加“制定全市装配式建筑发展专项规划，建立完善本市装配式建筑政策体系和标准体系”】</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US" w:eastAsia="zh-CN"/>
              </w:rPr>
              <w:t>修改理由：</w:t>
            </w:r>
            <w:r>
              <w:rPr>
                <w:rFonts w:hint="eastAsia" w:ascii="Calibri" w:hAnsi="Calibri" w:eastAsia="宋体" w:cs="Times New Roman"/>
                <w:szCs w:val="21"/>
                <w:lang w:val="en" w:eastAsia="zh-CN"/>
              </w:rPr>
              <w:t>推进装配式建筑发展，需要有相关发展规划、配套政策文件和技术标准体系，根据《深圳经济特区绿色建筑条例》上述相关事项属于市主管部门权限】</w:t>
            </w:r>
          </w:p>
        </w:tc>
        <w:tc>
          <w:tcPr>
            <w:tcW w:w="1413" w:type="dxa"/>
            <w:noWrap w:val="0"/>
            <w:vAlign w:val="center"/>
          </w:tcPr>
          <w:p>
            <w:pPr>
              <w:jc w:val="center"/>
              <w:rPr>
                <w:rFonts w:hint="default" w:ascii="Calibri" w:hAnsi="Calibri" w:eastAsia="宋体" w:cs="Times New Roman"/>
                <w:szCs w:val="21"/>
                <w:lang w:val="en-US" w:eastAsia="zh-CN"/>
              </w:rPr>
            </w:pPr>
            <w:r>
              <w:rPr>
                <w:rFonts w:hint="eastAsia" w:ascii="Calibri" w:hAnsi="Calibri" w:eastAsia="宋体" w:cs="Times New Roman"/>
                <w:szCs w:val="21"/>
                <w:lang w:val="en-US" w:eastAsia="zh-CN"/>
              </w:rPr>
              <w:t>解释说明</w:t>
            </w:r>
          </w:p>
        </w:tc>
        <w:tc>
          <w:tcPr>
            <w:tcW w:w="3702" w:type="dxa"/>
            <w:noWrap w:val="0"/>
            <w:vAlign w:val="center"/>
          </w:tcPr>
          <w:p>
            <w:pPr>
              <w:ind w:firstLine="420" w:firstLineChars="200"/>
              <w:rPr>
                <w:rFonts w:hint="default" w:ascii="Calibri" w:hAnsi="Calibri" w:eastAsia="宋体" w:cs="Times New Roman"/>
                <w:szCs w:val="21"/>
                <w:lang w:val="en-US" w:eastAsia="zh-CN"/>
              </w:rPr>
            </w:pPr>
            <w:r>
              <w:rPr>
                <w:rFonts w:hint="eastAsia" w:ascii="Calibri" w:hAnsi="Calibri" w:eastAsia="宋体" w:cs="Times New Roman"/>
                <w:szCs w:val="21"/>
                <w:lang w:val="en-US" w:eastAsia="zh-CN"/>
              </w:rPr>
              <w:t>深圳市住房和建设局已于2022年10月28日发布《深圳市推进新型建筑工业化发展行动方案（2023-2025）》，进一步构建和</w:t>
            </w:r>
            <w:r>
              <w:rPr>
                <w:rFonts w:hint="eastAsia" w:ascii="Calibri" w:hAnsi="Calibri" w:eastAsia="宋体" w:cs="Times New Roman"/>
                <w:szCs w:val="21"/>
                <w:lang w:val="en" w:eastAsia="zh-CN"/>
              </w:rPr>
              <w:t>完善</w:t>
            </w:r>
            <w:r>
              <w:rPr>
                <w:rFonts w:hint="eastAsia" w:ascii="Calibri" w:hAnsi="Calibri" w:eastAsia="宋体" w:cs="Times New Roman"/>
                <w:szCs w:val="21"/>
                <w:lang w:val="en-US" w:eastAsia="zh-CN"/>
              </w:rPr>
              <w:t>新阶段我市</w:t>
            </w:r>
            <w:r>
              <w:rPr>
                <w:rFonts w:hint="eastAsia" w:ascii="Calibri" w:hAnsi="Calibri" w:eastAsia="宋体" w:cs="Times New Roman"/>
                <w:szCs w:val="21"/>
                <w:lang w:val="en" w:eastAsia="zh-CN"/>
              </w:rPr>
              <w:t>装配式建筑政策体系，</w:t>
            </w:r>
            <w:r>
              <w:rPr>
                <w:rFonts w:hint="eastAsia" w:ascii="Calibri" w:hAnsi="Calibri" w:eastAsia="宋体" w:cs="Times New Roman"/>
                <w:szCs w:val="21"/>
                <w:lang w:val="en-US" w:eastAsia="zh-CN"/>
              </w:rPr>
              <w:t>同时明确了持续深化</w:t>
            </w:r>
            <w:r>
              <w:rPr>
                <w:rFonts w:hint="eastAsia" w:ascii="Calibri" w:hAnsi="Calibri" w:eastAsia="宋体" w:cs="Times New Roman"/>
                <w:szCs w:val="21"/>
                <w:lang w:val="en" w:eastAsia="zh-CN"/>
              </w:rPr>
              <w:t>标准体系</w:t>
            </w:r>
            <w:r>
              <w:rPr>
                <w:rFonts w:hint="eastAsia" w:ascii="Calibri" w:hAnsi="Calibri" w:eastAsia="宋体" w:cs="Times New Roman"/>
                <w:szCs w:val="21"/>
                <w:lang w:val="en-US" w:eastAsia="zh-CN"/>
              </w:rPr>
              <w:t>建设的具体任务</w:t>
            </w:r>
            <w:r>
              <w:rPr>
                <w:rFonts w:hint="eastAsia" w:ascii="Calibri" w:hAnsi="Calibri" w:eastAsia="宋体" w:cs="Times New Roman"/>
                <w:szCs w:val="21"/>
                <w:lang w:val="e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rPr>
            </w:pPr>
            <w:r>
              <w:rPr>
                <w:rFonts w:hint="eastAsia" w:ascii="仿宋_GB2312" w:hAnsi="仿宋_GB2312" w:eastAsia="仿宋_GB2312" w:cs="仿宋_GB2312"/>
                <w:b/>
                <w:sz w:val="24"/>
              </w:rPr>
              <w:t>3</w:t>
            </w:r>
          </w:p>
        </w:tc>
        <w:tc>
          <w:tcPr>
            <w:tcW w:w="1583" w:type="dxa"/>
            <w:noWrap w:val="0"/>
            <w:vAlign w:val="center"/>
          </w:tcPr>
          <w:p>
            <w:pPr>
              <w:jc w:val="center"/>
              <w:rPr>
                <w:rFonts w:hint="default" w:ascii="仿宋_GB2312" w:hAnsi="仿宋_GB2312" w:eastAsia="仿宋_GB2312" w:cs="仿宋_GB2312"/>
                <w:sz w:val="24"/>
                <w:lang w:val="en-US" w:eastAsia="zh-CN"/>
              </w:rPr>
            </w:pPr>
            <w:r>
              <w:rPr>
                <w:rFonts w:hint="eastAsia" w:ascii="宋体" w:hAnsi="宋体" w:eastAsia="宋体" w:cs="宋体"/>
                <w:b/>
                <w:bCs/>
                <w:szCs w:val="21"/>
                <w:lang w:val="en-US" w:eastAsia="zh-CN"/>
              </w:rPr>
              <w:t>第六条</w:t>
            </w:r>
          </w:p>
        </w:tc>
        <w:tc>
          <w:tcPr>
            <w:tcW w:w="6650" w:type="dxa"/>
            <w:noWrap w:val="0"/>
            <w:vAlign w:val="center"/>
          </w:tcPr>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建设单位应当依法对装配式建筑工程质量承担全面责任。</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建议增加第（一）款关于项目前期策划、立项（备案）、建设资金保障要求的内容：建设单位在项目立项（项目建议书、可行性研究报告）、方案设计阶段应当设置绿色专篇，根据有关法规政策规定并结合项目策划定位，明确装配式等新型建筑工业化建造方式的要求等，并将相关费用纳入工程投资概预算】</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【修改理由：实施装配式建筑，关键要在立项、规划等源头做好引导和把控，根据《深圳经济特区绿色建筑条例》有关内容进行表述】</w:t>
            </w:r>
          </w:p>
        </w:tc>
        <w:tc>
          <w:tcPr>
            <w:tcW w:w="1413" w:type="dxa"/>
            <w:noWrap w:val="0"/>
            <w:vAlign w:val="center"/>
          </w:tcPr>
          <w:p>
            <w:pPr>
              <w:ind w:firstLine="420" w:firstLineChars="200"/>
              <w:rPr>
                <w:rFonts w:hint="eastAsia" w:ascii="Calibri" w:hAnsi="Calibri" w:eastAsia="宋体" w:cs="Times New Roman"/>
                <w:szCs w:val="21"/>
                <w:lang w:val="en-US" w:eastAsia="zh-CN"/>
              </w:rPr>
            </w:pPr>
            <w:r>
              <w:rPr>
                <w:rFonts w:hint="eastAsia" w:ascii="Calibri" w:hAnsi="Calibri" w:eastAsia="宋体" w:cs="Times New Roman"/>
                <w:szCs w:val="21"/>
                <w:lang w:val="en-US" w:eastAsia="zh-CN"/>
              </w:rPr>
              <w:t>采纳</w:t>
            </w:r>
          </w:p>
        </w:tc>
        <w:tc>
          <w:tcPr>
            <w:tcW w:w="3702" w:type="dxa"/>
            <w:noWrap w:val="0"/>
            <w:vAlign w:val="center"/>
          </w:tcPr>
          <w:p>
            <w:pPr>
              <w:ind w:firstLine="420" w:firstLineChars="200"/>
              <w:rPr>
                <w:rFonts w:hint="default" w:ascii="Calibri" w:hAnsi="Calibri" w:eastAsia="宋体" w:cs="Times New Roman"/>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rPr>
            </w:pPr>
            <w:r>
              <w:rPr>
                <w:rFonts w:hint="eastAsia" w:ascii="仿宋_GB2312" w:hAnsi="仿宋_GB2312" w:eastAsia="仿宋_GB2312" w:cs="仿宋_GB2312"/>
                <w:b/>
                <w:sz w:val="24"/>
              </w:rPr>
              <w:t>4</w:t>
            </w:r>
          </w:p>
        </w:tc>
        <w:tc>
          <w:tcPr>
            <w:tcW w:w="1583" w:type="dxa"/>
            <w:noWrap w:val="0"/>
            <w:vAlign w:val="center"/>
          </w:tcPr>
          <w:p>
            <w:pPr>
              <w:jc w:val="center"/>
              <w:rPr>
                <w:rFonts w:hint="eastAsia" w:ascii="黑体" w:hAnsi="黑体" w:eastAsia="黑体" w:cs="黑体"/>
                <w:kern w:val="2"/>
                <w:sz w:val="21"/>
                <w:szCs w:val="21"/>
                <w:lang w:val="en" w:eastAsia="zh-CN" w:bidi="ar-SA"/>
              </w:rPr>
            </w:pPr>
            <w:r>
              <w:rPr>
                <w:rFonts w:hint="eastAsia" w:ascii="宋体" w:hAnsi="宋体" w:eastAsia="宋体" w:cs="宋体"/>
                <w:b/>
                <w:bCs/>
                <w:szCs w:val="21"/>
                <w:lang w:val="en" w:eastAsia="zh-CN"/>
              </w:rPr>
              <w:t>第六条</w:t>
            </w:r>
          </w:p>
        </w:tc>
        <w:tc>
          <w:tcPr>
            <w:tcW w:w="6650" w:type="dxa"/>
            <w:noWrap w:val="0"/>
            <w:vAlign w:val="center"/>
          </w:tcPr>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二】（一）建设单位（可委托代建单位、【建议增加“IPMT、”】EPC工程总承包单位，下同）在进行设计招标或委托设计时，应当按照建设用地规划条件、用地规划许可证要求以及国家、省、市有关文件规定，组织建设工程项目实施装配式建筑。</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【修改理由：智能建造方面的政策倡导鼓励实施“IPMT（项目建设联合管理团队）+EPC(设计、采购、施工工程总承包)+监理”模式试点】</w:t>
            </w:r>
          </w:p>
        </w:tc>
        <w:tc>
          <w:tcPr>
            <w:tcW w:w="1413" w:type="dxa"/>
            <w:noWrap w:val="0"/>
            <w:vAlign w:val="center"/>
          </w:tcPr>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US" w:eastAsia="zh-CN"/>
              </w:rPr>
              <w:t>采纳</w:t>
            </w:r>
          </w:p>
        </w:tc>
        <w:tc>
          <w:tcPr>
            <w:tcW w:w="3702" w:type="dxa"/>
            <w:noWrap w:val="0"/>
            <w:vAlign w:val="center"/>
          </w:tcPr>
          <w:p>
            <w:pPr>
              <w:ind w:firstLine="420" w:firstLineChars="200"/>
              <w:rPr>
                <w:rFonts w:hint="default" w:ascii="Calibri" w:hAnsi="Calibri" w:eastAsia="宋体" w:cs="Times New Roman"/>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lang w:eastAsia="zh-CN"/>
              </w:rPr>
            </w:pPr>
            <w:r>
              <w:rPr>
                <w:rFonts w:hint="eastAsia" w:ascii="仿宋_GB2312" w:hAnsi="仿宋_GB2312" w:eastAsia="仿宋_GB2312" w:cs="仿宋_GB2312"/>
                <w:b/>
                <w:sz w:val="24"/>
                <w:lang w:val="en-US" w:eastAsia="zh-CN"/>
              </w:rPr>
              <w:t>5</w:t>
            </w:r>
          </w:p>
        </w:tc>
        <w:tc>
          <w:tcPr>
            <w:tcW w:w="1583" w:type="dxa"/>
            <w:noWrap w:val="0"/>
            <w:vAlign w:val="center"/>
          </w:tcPr>
          <w:p>
            <w:pPr>
              <w:jc w:val="center"/>
              <w:rPr>
                <w:rFonts w:hint="eastAsia" w:ascii="仿宋_GB2312" w:hAnsi="仿宋_GB2312" w:eastAsia="仿宋_GB2312" w:cs="仿宋_GB2312"/>
                <w:sz w:val="24"/>
                <w:lang w:val="en-US" w:eastAsia="zh-CN"/>
              </w:rPr>
            </w:pPr>
            <w:r>
              <w:rPr>
                <w:rFonts w:hint="eastAsia" w:ascii="宋体" w:hAnsi="宋体" w:eastAsia="宋体" w:cs="宋体"/>
                <w:b/>
                <w:bCs/>
                <w:szCs w:val="21"/>
                <w:lang w:val="en-US" w:eastAsia="zh-CN"/>
              </w:rPr>
              <w:t>第七条</w:t>
            </w:r>
          </w:p>
        </w:tc>
        <w:tc>
          <w:tcPr>
            <w:tcW w:w="6650" w:type="dxa"/>
            <w:noWrap w:val="0"/>
            <w:vAlign w:val="center"/>
          </w:tcPr>
          <w:p>
            <w:pPr>
              <w:ind w:firstLine="420" w:firstLineChars="200"/>
              <w:rPr>
                <w:rFonts w:hint="eastAsia" w:ascii="Calibri" w:hAnsi="Calibri" w:eastAsia="宋体" w:cs="Times New Roman"/>
                <w:szCs w:val="21"/>
                <w:lang w:val="en-US" w:eastAsia="zh-CN"/>
              </w:rPr>
            </w:pPr>
            <w:r>
              <w:rPr>
                <w:rFonts w:hint="eastAsia" w:ascii="Calibri" w:hAnsi="Calibri" w:eastAsia="宋体" w:cs="Times New Roman"/>
                <w:szCs w:val="21"/>
                <w:lang w:val="en-US" w:eastAsia="zh-CN"/>
              </w:rPr>
              <w:t>设计单位应当依据建设用地规划条件、用地规划许可证要求以及国家、省、市有关文件规定，按照相关设计规范、技术标准进行装配式建筑设计，在设计文件的绿色专篇中对装配式建筑技术应用进行说明，并落实到各专业施工图</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建议增加“和建筑信息模型(BIM)”</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中。</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修改理由：根据《深圳市人民政府办公厅关于印发加快推进建筑信息模型（BIM）技术应用的实施意见（试行）的通知》（深府办函〔2021〕103号），2023年1月1日起，全市新建工程项目全过程全面实施BIM技术应用 ，建设单位应提供与施工图设计文件一致的BIM模型，上传至市勘察设计管理系统</w:t>
            </w:r>
            <w:r>
              <w:rPr>
                <w:rFonts w:hint="eastAsia" w:ascii="Calibri" w:hAnsi="Calibri" w:eastAsia="宋体" w:cs="Times New Roman"/>
                <w:szCs w:val="21"/>
                <w:lang w:val="en" w:eastAsia="zh-CN"/>
              </w:rPr>
              <w:t>】</w:t>
            </w:r>
          </w:p>
        </w:tc>
        <w:tc>
          <w:tcPr>
            <w:tcW w:w="1413" w:type="dxa"/>
            <w:noWrap w:val="0"/>
            <w:vAlign w:val="center"/>
          </w:tcPr>
          <w:p>
            <w:pPr>
              <w:jc w:val="center"/>
              <w:rPr>
                <w:rFonts w:hint="default" w:ascii="Calibri" w:hAnsi="Calibri" w:eastAsia="宋体" w:cs="Times New Roman"/>
                <w:szCs w:val="21"/>
                <w:lang w:val="en" w:eastAsia="zh-CN"/>
              </w:rPr>
            </w:pPr>
            <w:r>
              <w:rPr>
                <w:rFonts w:hint="eastAsia" w:ascii="Calibri" w:hAnsi="Calibri" w:eastAsia="宋体" w:cs="Times New Roman"/>
                <w:szCs w:val="21"/>
                <w:lang w:val="en-US" w:eastAsia="zh-CN"/>
              </w:rPr>
              <w:t>解释说明</w:t>
            </w:r>
          </w:p>
        </w:tc>
        <w:tc>
          <w:tcPr>
            <w:tcW w:w="3702" w:type="dxa"/>
            <w:noWrap w:val="0"/>
            <w:vAlign w:val="center"/>
          </w:tcPr>
          <w:p>
            <w:pPr>
              <w:ind w:firstLine="420" w:firstLineChars="200"/>
              <w:rPr>
                <w:rFonts w:hint="default" w:ascii="Calibri" w:hAnsi="Calibri" w:eastAsia="宋体" w:cs="Times New Roman"/>
                <w:szCs w:val="21"/>
                <w:lang w:val="en-US" w:eastAsia="zh-CN"/>
              </w:rPr>
            </w:pPr>
            <w:r>
              <w:rPr>
                <w:rFonts w:hint="eastAsia" w:ascii="Calibri" w:hAnsi="Calibri" w:eastAsia="宋体" w:cs="Times New Roman"/>
                <w:szCs w:val="21"/>
                <w:lang w:val="en-US" w:eastAsia="zh-CN"/>
              </w:rPr>
              <w:t>市住房和建设局已发布深圳市工程建设项目绿色专篇模板文件的通知，对绿色专篇的其他内容作了详细说明。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lang w:eastAsia="zh-CN"/>
              </w:rPr>
            </w:pPr>
            <w:r>
              <w:rPr>
                <w:rFonts w:hint="eastAsia" w:ascii="仿宋_GB2312" w:hAnsi="仿宋_GB2312" w:eastAsia="仿宋_GB2312" w:cs="仿宋_GB2312"/>
                <w:b/>
                <w:sz w:val="24"/>
                <w:lang w:val="en-US" w:eastAsia="zh-CN"/>
              </w:rPr>
              <w:t>6</w:t>
            </w:r>
          </w:p>
        </w:tc>
        <w:tc>
          <w:tcPr>
            <w:tcW w:w="1583" w:type="dxa"/>
            <w:noWrap w:val="0"/>
            <w:vAlign w:val="center"/>
          </w:tcPr>
          <w:p>
            <w:pPr>
              <w:jc w:val="center"/>
              <w:rPr>
                <w:rFonts w:hint="eastAsia" w:ascii="仿宋_GB2312" w:hAnsi="仿宋_GB2312" w:eastAsia="仿宋_GB2312" w:cs="仿宋_GB2312"/>
                <w:sz w:val="24"/>
                <w:highlight w:val="none"/>
                <w:lang w:val="en-US" w:eastAsia="zh-CN"/>
              </w:rPr>
            </w:pPr>
            <w:r>
              <w:rPr>
                <w:rFonts w:hint="eastAsia" w:ascii="宋体" w:hAnsi="宋体" w:eastAsia="宋体" w:cs="宋体"/>
                <w:b/>
                <w:bCs/>
                <w:szCs w:val="21"/>
                <w:lang w:val="en-US" w:eastAsia="zh-CN"/>
              </w:rPr>
              <w:t>第八条</w:t>
            </w:r>
          </w:p>
        </w:tc>
        <w:tc>
          <w:tcPr>
            <w:tcW w:w="6650" w:type="dxa"/>
            <w:noWrap w:val="0"/>
            <w:vAlign w:val="center"/>
          </w:tcPr>
          <w:p>
            <w:pPr>
              <w:ind w:firstLine="420" w:firstLineChars="200"/>
              <w:rPr>
                <w:rFonts w:hint="eastAsia" w:ascii="Calibri" w:hAnsi="Calibri" w:eastAsia="宋体" w:cs="Times New Roman"/>
                <w:szCs w:val="21"/>
                <w:lang w:val="en-US" w:eastAsia="zh-CN"/>
              </w:rPr>
            </w:pPr>
            <w:r>
              <w:rPr>
                <w:rFonts w:hint="eastAsia" w:ascii="Calibri" w:hAnsi="Calibri" w:eastAsia="宋体" w:cs="Times New Roman"/>
                <w:szCs w:val="21"/>
                <w:lang w:val="en-US" w:eastAsia="zh-CN"/>
              </w:rPr>
              <w:t>政府投资的装配式建筑项目，应结合施工现场对作业人员岗位需求，组织工人参加预制构件吊装安装、灌浆等关键岗位专项技能职业训练，确保施工质量。</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建议增加“鼓励社会投资项目总承包单位组织相关关键岗位工人参加专项技能职业训练”</w:t>
            </w:r>
            <w:r>
              <w:rPr>
                <w:rFonts w:hint="eastAsia" w:ascii="Calibri" w:hAnsi="Calibri" w:eastAsia="宋体" w:cs="Times New Roman"/>
                <w:szCs w:val="21"/>
                <w:lang w:val="en" w:eastAsia="zh-CN"/>
              </w:rPr>
              <w:t>】</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修改理由：社会投资项目量大面广，同样需要重视关键岗位专项技能职业训练，提升装配式施工作业技能水平</w:t>
            </w:r>
            <w:r>
              <w:rPr>
                <w:rFonts w:hint="eastAsia" w:ascii="Calibri" w:hAnsi="Calibri" w:eastAsia="宋体" w:cs="Times New Roman"/>
                <w:szCs w:val="21"/>
                <w:lang w:val="en" w:eastAsia="zh-CN"/>
              </w:rPr>
              <w:t>】</w:t>
            </w:r>
          </w:p>
        </w:tc>
        <w:tc>
          <w:tcPr>
            <w:tcW w:w="1413" w:type="dxa"/>
            <w:noWrap w:val="0"/>
            <w:vAlign w:val="center"/>
          </w:tcPr>
          <w:p>
            <w:pPr>
              <w:ind w:firstLine="420" w:firstLineChars="200"/>
              <w:rPr>
                <w:rFonts w:hint="default" w:ascii="Calibri" w:hAnsi="Calibri" w:eastAsia="宋体" w:cs="Times New Roman"/>
                <w:szCs w:val="21"/>
                <w:lang w:val="en-US" w:eastAsia="zh-CN"/>
              </w:rPr>
            </w:pPr>
            <w:r>
              <w:rPr>
                <w:rFonts w:hint="eastAsia" w:ascii="Calibri" w:hAnsi="Calibri" w:eastAsia="宋体" w:cs="Times New Roman"/>
                <w:szCs w:val="21"/>
                <w:lang w:val="en-US" w:eastAsia="zh-CN"/>
              </w:rPr>
              <w:t>采纳</w:t>
            </w:r>
          </w:p>
        </w:tc>
        <w:tc>
          <w:tcPr>
            <w:tcW w:w="3702" w:type="dxa"/>
            <w:noWrap w:val="0"/>
            <w:vAlign w:val="center"/>
          </w:tcPr>
          <w:p>
            <w:pPr>
              <w:ind w:firstLine="420" w:firstLineChars="200"/>
              <w:rPr>
                <w:rFonts w:hint="eastAsia" w:ascii="Calibri" w:hAnsi="Calibri" w:eastAsia="宋体" w:cs="Times New Roman"/>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lang w:eastAsia="zh-CN"/>
              </w:rPr>
            </w:pPr>
            <w:r>
              <w:rPr>
                <w:rFonts w:hint="eastAsia" w:ascii="仿宋_GB2312" w:hAnsi="仿宋_GB2312" w:eastAsia="仿宋_GB2312" w:cs="仿宋_GB2312"/>
                <w:b/>
                <w:sz w:val="24"/>
                <w:lang w:val="en-US" w:eastAsia="zh-CN"/>
              </w:rPr>
              <w:t>7</w:t>
            </w:r>
          </w:p>
        </w:tc>
        <w:tc>
          <w:tcPr>
            <w:tcW w:w="1583" w:type="dxa"/>
            <w:noWrap w:val="0"/>
            <w:vAlign w:val="center"/>
          </w:tcPr>
          <w:p>
            <w:pPr>
              <w:jc w:val="center"/>
              <w:rPr>
                <w:rFonts w:hint="eastAsia" w:ascii="仿宋_GB2312" w:hAnsi="仿宋_GB2312" w:eastAsia="仿宋_GB2312" w:cs="仿宋_GB2312"/>
                <w:sz w:val="24"/>
                <w:lang w:val="en-US" w:eastAsia="zh-CN"/>
              </w:rPr>
            </w:pPr>
            <w:r>
              <w:rPr>
                <w:rFonts w:hint="eastAsia" w:ascii="宋体" w:hAnsi="宋体" w:eastAsia="宋体" w:cs="宋体"/>
                <w:b/>
                <w:bCs/>
                <w:szCs w:val="21"/>
                <w:lang w:val="en-US" w:eastAsia="zh-CN"/>
              </w:rPr>
              <w:t>第九条</w:t>
            </w:r>
          </w:p>
        </w:tc>
        <w:tc>
          <w:tcPr>
            <w:tcW w:w="6650" w:type="dxa"/>
            <w:noWrap w:val="0"/>
            <w:vAlign w:val="center"/>
          </w:tcPr>
          <w:p>
            <w:pPr>
              <w:ind w:firstLine="420" w:firstLineChars="200"/>
              <w:rPr>
                <w:rFonts w:hint="eastAsia" w:ascii="Calibri" w:hAnsi="Calibri" w:eastAsia="宋体" w:cs="Times New Roman"/>
                <w:szCs w:val="21"/>
                <w:lang w:val="en-US" w:eastAsia="zh-CN"/>
              </w:rPr>
            </w:pPr>
            <w:r>
              <w:rPr>
                <w:rFonts w:hint="eastAsia" w:ascii="Calibri" w:hAnsi="Calibri" w:eastAsia="宋体" w:cs="Times New Roman"/>
                <w:szCs w:val="21"/>
                <w:lang w:val="en-US" w:eastAsia="zh-CN"/>
              </w:rPr>
              <w:t>监理单位应当根据施工图设计文件和评审资料，结合装配式建筑施工方案，编制装配式建筑监理规划、专项监理细则，</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建议增加“对装配式建筑工程建设施工过程实施监理，并”</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对预制构件生产质量实施驻厂监造，加强对工厂生产环节涉及的原材料、构配件和成品预制构件的监理检查力度。</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修改理由：对项目工程建设施工实施监理，是监理单位的首要责任，不可或缺</w:t>
            </w:r>
            <w:r>
              <w:rPr>
                <w:rFonts w:hint="eastAsia" w:ascii="Calibri" w:hAnsi="Calibri" w:eastAsia="宋体" w:cs="Times New Roman"/>
                <w:szCs w:val="21"/>
                <w:lang w:val="en" w:eastAsia="zh-CN"/>
              </w:rPr>
              <w:t>】</w:t>
            </w:r>
          </w:p>
        </w:tc>
        <w:tc>
          <w:tcPr>
            <w:tcW w:w="1413" w:type="dxa"/>
            <w:noWrap w:val="0"/>
            <w:vAlign w:val="center"/>
          </w:tcPr>
          <w:p>
            <w:pPr>
              <w:jc w:val="center"/>
              <w:rPr>
                <w:rFonts w:hint="eastAsia" w:ascii="Calibri" w:hAnsi="Calibri" w:eastAsia="宋体" w:cs="Times New Roman"/>
                <w:szCs w:val="21"/>
                <w:lang w:val="en" w:eastAsia="zh-CN"/>
              </w:rPr>
            </w:pPr>
            <w:r>
              <w:rPr>
                <w:rFonts w:hint="eastAsia" w:ascii="Calibri" w:hAnsi="Calibri" w:eastAsia="宋体" w:cs="Times New Roman"/>
                <w:szCs w:val="21"/>
                <w:lang w:val="en-US" w:eastAsia="zh-CN"/>
              </w:rPr>
              <w:t>采纳</w:t>
            </w:r>
          </w:p>
        </w:tc>
        <w:tc>
          <w:tcPr>
            <w:tcW w:w="3702" w:type="dxa"/>
            <w:noWrap w:val="0"/>
            <w:vAlign w:val="center"/>
          </w:tcPr>
          <w:p>
            <w:pPr>
              <w:ind w:firstLine="420" w:firstLineChars="200"/>
              <w:rPr>
                <w:rFonts w:hint="default" w:ascii="Calibri" w:hAnsi="Calibri" w:eastAsia="宋体" w:cs="Times New Roman"/>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94" w:type="dxa"/>
            <w:noWrap w:val="0"/>
            <w:vAlign w:val="center"/>
          </w:tcPr>
          <w:p>
            <w:pPr>
              <w:spacing w:line="400" w:lineRule="exact"/>
              <w:jc w:val="center"/>
              <w:rPr>
                <w:rFonts w:hint="eastAsia" w:ascii="仿宋_GB2312" w:hAnsi="仿宋_GB2312" w:eastAsia="仿宋_GB2312" w:cs="仿宋_GB2312"/>
                <w:b/>
                <w:sz w:val="24"/>
                <w:lang w:eastAsia="zh-CN"/>
              </w:rPr>
            </w:pPr>
            <w:r>
              <w:rPr>
                <w:rFonts w:hint="eastAsia" w:ascii="仿宋_GB2312" w:hAnsi="仿宋_GB2312" w:eastAsia="仿宋_GB2312" w:cs="仿宋_GB2312"/>
                <w:b/>
                <w:sz w:val="24"/>
                <w:lang w:val="en-US" w:eastAsia="zh-CN"/>
              </w:rPr>
              <w:t>8</w:t>
            </w:r>
          </w:p>
        </w:tc>
        <w:tc>
          <w:tcPr>
            <w:tcW w:w="1583" w:type="dxa"/>
            <w:noWrap w:val="0"/>
            <w:vAlign w:val="center"/>
          </w:tcPr>
          <w:p>
            <w:pPr>
              <w:jc w:val="center"/>
              <w:rPr>
                <w:rFonts w:hint="eastAsia" w:ascii="仿宋_GB2312" w:hAnsi="仿宋_GB2312" w:eastAsia="仿宋_GB2312" w:cs="仿宋_GB2312"/>
                <w:sz w:val="24"/>
                <w:lang w:val="en-US" w:eastAsia="zh-CN"/>
              </w:rPr>
            </w:pPr>
            <w:r>
              <w:rPr>
                <w:rFonts w:hint="eastAsia" w:ascii="宋体" w:hAnsi="宋体" w:eastAsia="宋体" w:cs="宋体"/>
                <w:b/>
                <w:bCs/>
                <w:szCs w:val="21"/>
                <w:lang w:val="en-US" w:eastAsia="zh-CN"/>
              </w:rPr>
              <w:t>第十条</w:t>
            </w:r>
          </w:p>
        </w:tc>
        <w:tc>
          <w:tcPr>
            <w:tcW w:w="6650" w:type="dxa"/>
            <w:noWrap w:val="0"/>
            <w:vAlign w:val="center"/>
          </w:tcPr>
          <w:p>
            <w:pPr>
              <w:ind w:firstLine="420" w:firstLineChars="200"/>
              <w:rPr>
                <w:rFonts w:hint="eastAsia" w:ascii="Calibri" w:hAnsi="Calibri" w:eastAsia="宋体" w:cs="Times New Roman"/>
                <w:szCs w:val="21"/>
                <w:lang w:val="en-US" w:eastAsia="zh-CN"/>
              </w:rPr>
            </w:pPr>
            <w:r>
              <w:rPr>
                <w:rFonts w:hint="eastAsia" w:ascii="Calibri" w:hAnsi="Calibri" w:eastAsia="宋体" w:cs="Times New Roman"/>
                <w:szCs w:val="21"/>
                <w:lang w:val="en-US" w:eastAsia="zh-CN"/>
              </w:rPr>
              <w:t>预制构件生产企业应当编制预制构件生产及运输方案，建立全过程可追溯的质量管理制度，</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建议增加“严格落实预制构件质量管控，”</w:t>
            </w: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并按现行标准规范要求提供质量证明文件。</w:t>
            </w:r>
          </w:p>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 w:eastAsia="zh-CN"/>
              </w:rPr>
              <w:t>【</w:t>
            </w:r>
            <w:r>
              <w:rPr>
                <w:rFonts w:hint="eastAsia" w:ascii="Calibri" w:hAnsi="Calibri" w:eastAsia="宋体" w:cs="Times New Roman"/>
                <w:szCs w:val="21"/>
                <w:lang w:val="en-US" w:eastAsia="zh-CN"/>
              </w:rPr>
              <w:t>修改理由：预制构件质量对工程主体结构质量安全具有决定性作用，预制构件生产企业必须严格确保预制构件质量验收合格才能出厂，预制构件生产企业作为工程质量安全责任各方主体之一，质量管控责任不可或缺</w:t>
            </w:r>
            <w:r>
              <w:rPr>
                <w:rFonts w:hint="eastAsia" w:ascii="Calibri" w:hAnsi="Calibri" w:eastAsia="宋体" w:cs="Times New Roman"/>
                <w:szCs w:val="21"/>
                <w:lang w:val="en" w:eastAsia="zh-CN"/>
              </w:rPr>
              <w:t>】</w:t>
            </w:r>
          </w:p>
        </w:tc>
        <w:tc>
          <w:tcPr>
            <w:tcW w:w="1413" w:type="dxa"/>
            <w:noWrap w:val="0"/>
            <w:vAlign w:val="center"/>
          </w:tcPr>
          <w:p>
            <w:pPr>
              <w:ind w:firstLine="420" w:firstLineChars="200"/>
              <w:rPr>
                <w:rFonts w:hint="eastAsia" w:ascii="Calibri" w:hAnsi="Calibri" w:eastAsia="宋体" w:cs="Times New Roman"/>
                <w:szCs w:val="21"/>
                <w:lang w:val="en" w:eastAsia="zh-CN"/>
              </w:rPr>
            </w:pPr>
            <w:r>
              <w:rPr>
                <w:rFonts w:hint="eastAsia" w:ascii="Calibri" w:hAnsi="Calibri" w:eastAsia="宋体" w:cs="Times New Roman"/>
                <w:szCs w:val="21"/>
                <w:lang w:val="en-US" w:eastAsia="zh-CN"/>
              </w:rPr>
              <w:t>采纳</w:t>
            </w:r>
          </w:p>
        </w:tc>
        <w:tc>
          <w:tcPr>
            <w:tcW w:w="3702" w:type="dxa"/>
            <w:noWrap w:val="0"/>
            <w:vAlign w:val="center"/>
          </w:tcPr>
          <w:p>
            <w:pPr>
              <w:ind w:firstLine="420" w:firstLineChars="200"/>
              <w:rPr>
                <w:rFonts w:hint="eastAsia" w:ascii="Calibri" w:hAnsi="Calibri" w:eastAsia="宋体" w:cs="Times New Roman"/>
                <w:szCs w:val="21"/>
                <w:lang w:val="en-US" w:eastAsia="zh-CN"/>
              </w:rPr>
            </w:pPr>
          </w:p>
        </w:tc>
      </w:tr>
    </w:tbl>
    <w:p>
      <w:pPr>
        <w:pStyle w:val="2"/>
        <w:rPr>
          <w:rFonts w:hint="default"/>
          <w:lang w:val="en" w:eastAsia="zh-CN"/>
        </w:rPr>
      </w:pPr>
    </w:p>
    <w:p>
      <w:pPr>
        <w:bidi w:val="0"/>
        <w:rPr>
          <w:rFonts w:hint="default"/>
          <w:lang w:val="en" w:eastAsia="zh-CN"/>
        </w:rPr>
      </w:pPr>
    </w:p>
    <w:p>
      <w:pPr>
        <w:bidi w:val="0"/>
        <w:rPr>
          <w:rFonts w:hint="default"/>
          <w:lang w:val="en" w:eastAsia="zh-CN"/>
        </w:rPr>
      </w:pPr>
    </w:p>
    <w:p>
      <w:pPr>
        <w:bidi w:val="0"/>
        <w:rPr>
          <w:rFonts w:hint="default"/>
          <w:lang w:val="en" w:eastAsia="zh-CN"/>
        </w:rPr>
      </w:pPr>
    </w:p>
    <w:p>
      <w:pPr>
        <w:bidi w:val="0"/>
        <w:rPr>
          <w:rFonts w:hint="default"/>
          <w:lang w:val="en" w:eastAsia="zh-CN"/>
        </w:rPr>
      </w:pPr>
    </w:p>
    <w:p>
      <w:pPr>
        <w:bidi w:val="0"/>
        <w:jc w:val="both"/>
        <w:rPr>
          <w:rFonts w:hint="default"/>
          <w:lang w:val="en"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CESI仿宋-GB2312">
    <w:panose1 w:val="02000500000000000000"/>
    <w:charset w:val="86"/>
    <w:family w:val="auto"/>
    <w:pitch w:val="default"/>
    <w:sig w:usb0="800002AF" w:usb1="084F6CF8" w:usb2="00000010" w:usb3="00000000" w:csb0="0004000F" w:csb1="00000000"/>
  </w:font>
  <w:font w:name="仿宋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false"/>
  <w:bordersDoNotSurroundFooter w:val="false"/>
  <w:documentProtection w:enforcement="0"/>
  <w:defaultTabStop w:val="420"/>
  <w:drawingGridVerticalSpacing w:val="159"/>
  <w:displayHorizontalDrawingGridEvery w:val="1"/>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BAFB9F3"/>
    <w:rsid w:val="3F4E259A"/>
    <w:rsid w:val="5FEB744B"/>
    <w:rsid w:val="6EFF8B77"/>
    <w:rsid w:val="78BB901C"/>
    <w:rsid w:val="7F3F46FF"/>
    <w:rsid w:val="7FBA5FD9"/>
    <w:rsid w:val="7FFC2345"/>
    <w:rsid w:val="BFB71D0B"/>
    <w:rsid w:val="C1DD7A79"/>
    <w:rsid w:val="C7FE7B4E"/>
    <w:rsid w:val="F26F6652"/>
    <w:rsid w:val="F5F6EA23"/>
    <w:rsid w:val="FF9B73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next w:val="3"/>
    <w:unhideWhenUsed/>
    <w:qFormat/>
    <w:uiPriority w:val="99"/>
    <w:pPr>
      <w:widowControl w:val="0"/>
      <w:ind w:firstLine="420" w:firstLineChars="200"/>
      <w:jc w:val="both"/>
    </w:pPr>
    <w:rPr>
      <w:kern w:val="2"/>
      <w:sz w:val="21"/>
      <w:szCs w:val="24"/>
      <w:lang w:val="en-US" w:eastAsia="zh-CN" w:bidi="ar-SA"/>
    </w:rPr>
  </w:style>
  <w:style w:type="paragraph" w:styleId="3">
    <w:name w:val="Body Text"/>
    <w:basedOn w:val="1"/>
    <w:next w:val="1"/>
    <w:qFormat/>
    <w:uiPriority w:val="99"/>
    <w:pPr>
      <w:autoSpaceDE w:val="0"/>
      <w:autoSpaceDN w:val="0"/>
      <w:adjustRightInd w:val="0"/>
      <w:ind w:left="377"/>
      <w:jc w:val="left"/>
    </w:pPr>
    <w:rPr>
      <w:rFonts w:ascii="宋体"/>
      <w:kern w:val="0"/>
      <w:sz w:val="29"/>
      <w:szCs w:val="29"/>
    </w:rPr>
  </w:style>
  <w:style w:type="paragraph" w:styleId="4">
    <w:name w:val="Normal (Web)"/>
    <w:qFormat/>
    <w:uiPriority w:val="0"/>
    <w:pPr>
      <w:widowControl w:val="0"/>
      <w:spacing w:before="0" w:beforeAutospacing="1" w:after="0" w:afterAutospacing="1"/>
      <w:ind w:left="0" w:right="0"/>
      <w:jc w:val="left"/>
    </w:pPr>
    <w:rPr>
      <w:rFonts w:ascii="Calibri" w:hAnsi="Calibri" w:eastAsia="宋体" w:cs="Times New Roman"/>
      <w:kern w:val="0"/>
      <w:sz w:val="24"/>
      <w:szCs w:val="24"/>
      <w:lang w:val="en-US" w:eastAsia="zh-CN" w:bidi="ar"/>
    </w:rPr>
  </w:style>
  <w:style w:type="character" w:styleId="7">
    <w:name w:val="Strong"/>
    <w:qFormat/>
    <w:uiPriority w:val="0"/>
    <w:rPr>
      <w:b/>
    </w:rPr>
  </w:style>
  <w:style w:type="character" w:styleId="8">
    <w:name w:val="Hyperlink"/>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2023-04-22T22:38:00Z</dcterms:created>
  <dc:creator>nielu</dc:creator>
  <cp:lastModifiedBy>nielu</cp:lastModifiedBy>
  <dcterms:modified xsi:type="dcterms:W3CDTF">2023-06-08T10:34:53Z</dcterms:modified>
  <dc:title>深圳市住房和建设局关于征求《酒店建筑装配式装修技术标准（征求意见稿）》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