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after="0" w:line="240" w:lineRule="auto"/>
        <w:ind w:right="0" w:rightChars="0"/>
        <w:textAlignment w:val="auto"/>
        <w:rPr>
          <w:rFonts w:ascii="黑体" w:hAnsi="黑体" w:eastAsia="黑体" w:cs="黑体"/>
          <w:sz w:val="32"/>
          <w:szCs w:val="32"/>
          <w:shd w:val="clear" w:color="050000" w:fill="auto"/>
        </w:rPr>
      </w:pPr>
      <w:r>
        <w:rPr>
          <w:rFonts w:hint="eastAsia" w:ascii="黑体" w:hAnsi="黑体" w:eastAsia="黑体" w:cs="黑体"/>
          <w:sz w:val="32"/>
          <w:szCs w:val="32"/>
          <w:shd w:val="clear" w:color="050000" w:fill="auto"/>
        </w:rPr>
        <w:t>附件</w:t>
      </w:r>
    </w:p>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rPr>
          <w:rFonts w:hint="eastAsia" w:ascii="方正小标宋简体" w:hAnsi="方正小标宋简体" w:eastAsia="方正小标宋简体" w:cs="方正小标宋简体"/>
          <w:kern w:val="0"/>
          <w:sz w:val="44"/>
          <w:szCs w:val="44"/>
          <w:lang w:eastAsia="zh-CN" w:bidi="ar"/>
        </w:rPr>
      </w:pPr>
      <w:r>
        <w:rPr>
          <w:rFonts w:hint="eastAsia" w:ascii="方正小标宋简体" w:hAnsi="方正小标宋简体" w:eastAsia="方正小标宋简体" w:cs="方正小标宋简体"/>
          <w:kern w:val="0"/>
          <w:sz w:val="44"/>
          <w:szCs w:val="44"/>
          <w:lang w:bidi="ar"/>
        </w:rPr>
        <w:t>《建筑幕墙防火设计与施工技术标准（征求意见稿）》公开征求意见</w:t>
      </w:r>
      <w:r>
        <w:rPr>
          <w:rFonts w:hint="eastAsia" w:ascii="方正小标宋简体" w:hAnsi="方正小标宋简体" w:eastAsia="方正小标宋简体" w:cs="方正小标宋简体"/>
          <w:kern w:val="0"/>
          <w:sz w:val="44"/>
          <w:szCs w:val="44"/>
          <w:lang w:eastAsia="zh-CN" w:bidi="ar"/>
        </w:rPr>
        <w:t>及</w:t>
      </w:r>
    </w:p>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rPr>
          <w:rFonts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采纳情况汇总表</w:t>
      </w:r>
      <w:bookmarkStart w:id="0" w:name="_GoBack"/>
      <w:bookmarkEnd w:id="0"/>
    </w:p>
    <w:p>
      <w:pPr>
        <w:keepNext w:val="0"/>
        <w:keepLines w:val="0"/>
        <w:pageBreakBefore w:val="0"/>
        <w:kinsoku/>
        <w:wordWrap/>
        <w:overflowPunct/>
        <w:topLinePunct w:val="0"/>
        <w:autoSpaceDE/>
        <w:autoSpaceDN/>
        <w:bidi w:val="0"/>
        <w:adjustRightInd w:val="0"/>
        <w:snapToGrid w:val="0"/>
        <w:spacing w:after="0" w:line="240" w:lineRule="auto"/>
        <w:ind w:right="0" w:rightChars="0" w:firstLine="560"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本次征求意见共收</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17</w:t>
      </w:r>
      <w:r>
        <w:rPr>
          <w:rFonts w:hint="eastAsia" w:ascii="仿宋_GB2312" w:hAnsi="仿宋_GB2312" w:eastAsia="仿宋_GB2312" w:cs="仿宋_GB2312"/>
          <w:color w:val="000000" w:themeColor="text1"/>
          <w:sz w:val="28"/>
          <w:szCs w:val="28"/>
          <w14:textFill>
            <w14:solidFill>
              <w14:schemeClr w14:val="tx1"/>
            </w14:solidFill>
          </w14:textFill>
        </w:rPr>
        <w:t>条有效意见。经认真研究，采纳</w:t>
      </w: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条，部分采纳</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条，不采纳</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条，解释说明</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条。</w:t>
      </w:r>
    </w:p>
    <w:tbl>
      <w:tblPr>
        <w:tblStyle w:val="10"/>
        <w:tblW w:w="150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1041"/>
        <w:gridCol w:w="4700"/>
        <w:gridCol w:w="3878"/>
        <w:gridCol w:w="1160"/>
        <w:gridCol w:w="3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66"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center"/>
              <w:rPr>
                <w:rFonts w:hint="eastAsia" w:ascii="仿宋_GB2312" w:hAnsi="仿宋_GB2312" w:eastAsia="仿宋_GB2312" w:cs="仿宋_GB2312"/>
                <w:b/>
                <w:sz w:val="21"/>
                <w:szCs w:val="21"/>
              </w:rPr>
            </w:pPr>
            <w:r>
              <w:rPr>
                <w:rFonts w:hint="eastAsia" w:ascii="仿宋_GB2312" w:hAnsi="仿宋_GB2312" w:eastAsia="仿宋_GB2312" w:cs="仿宋_GB2312"/>
                <w:b/>
                <w:kern w:val="0"/>
                <w:sz w:val="21"/>
                <w:szCs w:val="21"/>
                <w:lang w:bidi="ar"/>
              </w:rPr>
              <w:t>序号</w:t>
            </w:r>
          </w:p>
        </w:tc>
        <w:tc>
          <w:tcPr>
            <w:tcW w:w="1041"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center"/>
              <w:rPr>
                <w:rFonts w:hint="eastAsia" w:ascii="仿宋_GB2312" w:hAnsi="仿宋_GB2312" w:eastAsia="仿宋_GB2312" w:cs="仿宋_GB2312"/>
                <w:b/>
                <w:sz w:val="21"/>
                <w:szCs w:val="21"/>
              </w:rPr>
            </w:pPr>
            <w:r>
              <w:rPr>
                <w:rFonts w:hint="eastAsia" w:ascii="仿宋_GB2312" w:hAnsi="仿宋_GB2312" w:eastAsia="仿宋_GB2312" w:cs="仿宋_GB2312"/>
                <w:b/>
                <w:kern w:val="0"/>
                <w:sz w:val="21"/>
                <w:szCs w:val="21"/>
                <w:lang w:bidi="ar"/>
              </w:rPr>
              <w:t>条文号</w:t>
            </w:r>
          </w:p>
        </w:tc>
        <w:tc>
          <w:tcPr>
            <w:tcW w:w="470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center"/>
              <w:rPr>
                <w:rFonts w:hint="eastAsia" w:ascii="仿宋_GB2312" w:hAnsi="仿宋_GB2312" w:eastAsia="仿宋_GB2312" w:cs="仿宋_GB2312"/>
                <w:b/>
                <w:sz w:val="21"/>
                <w:szCs w:val="21"/>
              </w:rPr>
            </w:pPr>
            <w:r>
              <w:rPr>
                <w:rFonts w:hint="eastAsia" w:ascii="仿宋_GB2312" w:hAnsi="仿宋_GB2312" w:eastAsia="仿宋_GB2312" w:cs="仿宋_GB2312"/>
                <w:b/>
                <w:kern w:val="0"/>
                <w:sz w:val="21"/>
                <w:szCs w:val="21"/>
                <w:lang w:bidi="ar"/>
              </w:rPr>
              <w:t>原文</w:t>
            </w:r>
          </w:p>
        </w:tc>
        <w:tc>
          <w:tcPr>
            <w:tcW w:w="3878"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center"/>
              <w:rPr>
                <w:rFonts w:hint="eastAsia" w:ascii="仿宋_GB2312" w:hAnsi="仿宋_GB2312" w:eastAsia="仿宋_GB2312" w:cs="仿宋_GB2312"/>
                <w:b/>
                <w:sz w:val="21"/>
                <w:szCs w:val="21"/>
              </w:rPr>
            </w:pPr>
            <w:r>
              <w:rPr>
                <w:rFonts w:hint="eastAsia" w:ascii="仿宋_GB2312" w:hAnsi="仿宋_GB2312" w:eastAsia="仿宋_GB2312" w:cs="仿宋_GB2312"/>
                <w:b/>
                <w:kern w:val="0"/>
                <w:sz w:val="21"/>
                <w:szCs w:val="21"/>
                <w:lang w:bidi="ar"/>
              </w:rPr>
              <w:t>修改意见</w:t>
            </w:r>
          </w:p>
        </w:tc>
        <w:tc>
          <w:tcPr>
            <w:tcW w:w="116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center"/>
              <w:rPr>
                <w:rFonts w:hint="eastAsia" w:ascii="仿宋_GB2312" w:hAnsi="仿宋_GB2312" w:eastAsia="仿宋_GB2312" w:cs="仿宋_GB2312"/>
                <w:b/>
                <w:sz w:val="21"/>
                <w:szCs w:val="21"/>
              </w:rPr>
            </w:pPr>
            <w:r>
              <w:rPr>
                <w:rFonts w:hint="eastAsia" w:ascii="仿宋_GB2312" w:hAnsi="仿宋_GB2312" w:eastAsia="仿宋_GB2312" w:cs="仿宋_GB2312"/>
                <w:b/>
                <w:kern w:val="0"/>
                <w:sz w:val="21"/>
                <w:szCs w:val="21"/>
                <w:lang w:bidi="ar"/>
              </w:rPr>
              <w:t>是否采纳</w:t>
            </w:r>
          </w:p>
        </w:tc>
        <w:tc>
          <w:tcPr>
            <w:tcW w:w="3702"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center"/>
              <w:rPr>
                <w:rFonts w:hint="eastAsia" w:ascii="仿宋_GB2312" w:hAnsi="仿宋_GB2312" w:eastAsia="仿宋_GB2312" w:cs="仿宋_GB2312"/>
                <w:b/>
                <w:sz w:val="21"/>
                <w:szCs w:val="21"/>
              </w:rPr>
            </w:pPr>
            <w:r>
              <w:rPr>
                <w:rFonts w:hint="eastAsia" w:ascii="仿宋_GB2312" w:hAnsi="仿宋_GB2312" w:eastAsia="仿宋_GB2312" w:cs="仿宋_GB2312"/>
                <w:b/>
                <w:kern w:val="0"/>
                <w:sz w:val="21"/>
                <w:szCs w:val="21"/>
                <w:lang w:bidi="ar"/>
              </w:rPr>
              <w:t>理由或说明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6"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1</w:t>
            </w:r>
          </w:p>
        </w:tc>
        <w:tc>
          <w:tcPr>
            <w:tcW w:w="1041"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b w:val="0"/>
                <w:bCs w:val="0"/>
                <w:color w:val="000000"/>
                <w:kern w:val="0"/>
                <w:sz w:val="21"/>
                <w:szCs w:val="21"/>
                <w:lang w:val="en-US" w:eastAsia="zh-CN"/>
              </w:rPr>
              <w:t>标准名称</w:t>
            </w:r>
          </w:p>
        </w:tc>
        <w:tc>
          <w:tcPr>
            <w:tcW w:w="4700" w:type="dxa"/>
            <w:shd w:val="clear" w:color="auto" w:fill="auto"/>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after="0" w:line="240" w:lineRule="auto"/>
              <w:ind w:right="0" w:rightChars="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color w:val="000000"/>
                <w:kern w:val="0"/>
                <w:sz w:val="21"/>
                <w:szCs w:val="21"/>
                <w:lang w:val="en-US" w:eastAsia="zh-CN"/>
              </w:rPr>
              <w:t>《建筑幕墙防火设计与施工技术标准》。</w:t>
            </w:r>
          </w:p>
        </w:tc>
        <w:tc>
          <w:tcPr>
            <w:tcW w:w="3878" w:type="dxa"/>
            <w:shd w:val="clear" w:color="auto" w:fill="auto"/>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after="0" w:line="240" w:lineRule="auto"/>
              <w:ind w:right="0" w:right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建筑幕墙防火设计与施工技术标准（征求意见稿）》中主要内容为建筑幕墙构造做法，对幕墙防火设计并无成体系的规定内容。因此，经与主要起草人员沟通形成意见如下：标准名称调整为《建筑幕墙防火构造与施工技术标准》。同时，第四章“防火设计”调整为“防火构造”。</w:t>
            </w:r>
          </w:p>
        </w:tc>
        <w:tc>
          <w:tcPr>
            <w:tcW w:w="116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采纳</w:t>
            </w:r>
          </w:p>
        </w:tc>
        <w:tc>
          <w:tcPr>
            <w:tcW w:w="3702"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left"/>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6"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2</w:t>
            </w:r>
          </w:p>
        </w:tc>
        <w:tc>
          <w:tcPr>
            <w:tcW w:w="1041"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sz w:val="21"/>
                <w:szCs w:val="21"/>
                <w:lang w:val="en-US" w:eastAsia="zh-CN"/>
              </w:rPr>
              <w:t>2.0.3</w:t>
            </w:r>
          </w:p>
        </w:tc>
        <w:tc>
          <w:tcPr>
            <w:tcW w:w="470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2.0.3 防火构件 fire-resistant element位于建筑上下层开口部位，独立固定于主体结构上，且满足规定耐火极限时间要求的竖向或横向非承重构件。</w:t>
            </w:r>
          </w:p>
        </w:tc>
        <w:tc>
          <w:tcPr>
            <w:tcW w:w="3878" w:type="dxa"/>
            <w:shd w:val="clear" w:color="auto" w:fill="auto"/>
            <w:tcMar>
              <w:top w:w="0" w:type="dxa"/>
              <w:left w:w="57" w:type="dxa"/>
              <w:bottom w:w="0" w:type="dxa"/>
              <w:right w:w="57" w:type="dxa"/>
            </w:tcMar>
            <w:vAlign w:val="center"/>
          </w:tcPr>
          <w:p>
            <w:pPr>
              <w:pStyle w:val="19"/>
              <w:keepNext w:val="0"/>
              <w:keepLines w:val="0"/>
              <w:pageBreakBefore w:val="0"/>
              <w:kinsoku/>
              <w:wordWrap/>
              <w:overflowPunct/>
              <w:topLinePunct w:val="0"/>
              <w:autoSpaceDE/>
              <w:autoSpaceDN/>
              <w:bidi w:val="0"/>
              <w:adjustRightInd w:val="0"/>
              <w:snapToGrid w:val="0"/>
              <w:spacing w:after="0" w:line="240" w:lineRule="auto"/>
              <w:ind w:right="0" w:rightChars="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color w:val="000000"/>
                <w:kern w:val="0"/>
                <w:sz w:val="21"/>
                <w:szCs w:val="21"/>
                <w:lang w:val="en-US" w:eastAsia="zh-CN"/>
              </w:rPr>
              <w:t>1.将“耐火极限时间”修改为“耐火极限”（文中多处出现“耐火极限时间”用词，建议统一修改）。理由：耐火极限本身即是用时间衡量。2.建议将“非承重”修改为“防火封堵或防火分隔构件”。理由：描述更为准确。</w:t>
            </w:r>
          </w:p>
        </w:tc>
        <w:tc>
          <w:tcPr>
            <w:tcW w:w="1160" w:type="dxa"/>
            <w:shd w:val="clear" w:color="auto" w:fill="auto"/>
            <w:tcMar>
              <w:top w:w="0" w:type="dxa"/>
              <w:left w:w="57" w:type="dxa"/>
              <w:bottom w:w="0" w:type="dxa"/>
              <w:right w:w="57"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right="0" w:rightChars="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部分采纳</w:t>
            </w:r>
            <w:r>
              <w:rPr>
                <w:rFonts w:hint="eastAsia" w:ascii="仿宋_GB2312" w:hAnsi="仿宋_GB2312" w:eastAsia="仿宋_GB2312" w:cs="仿宋_GB2312"/>
                <w:sz w:val="21"/>
                <w:szCs w:val="21"/>
                <w:lang w:val="en-US" w:eastAsia="zh-CN"/>
              </w:rPr>
              <w:br w:type="textWrapping"/>
            </w:r>
            <w:r>
              <w:rPr>
                <w:rFonts w:hint="eastAsia" w:ascii="仿宋_GB2312" w:hAnsi="仿宋_GB2312" w:eastAsia="仿宋_GB2312" w:cs="仿宋_GB2312"/>
                <w:sz w:val="21"/>
                <w:szCs w:val="21"/>
                <w:lang w:val="en-US" w:eastAsia="zh-CN"/>
              </w:rPr>
              <w:t>1.采纳</w:t>
            </w:r>
            <w:r>
              <w:rPr>
                <w:rFonts w:hint="eastAsia" w:ascii="仿宋_GB2312" w:hAnsi="仿宋_GB2312" w:eastAsia="仿宋_GB2312" w:cs="仿宋_GB2312"/>
                <w:sz w:val="21"/>
                <w:szCs w:val="21"/>
                <w:lang w:val="en-US" w:eastAsia="zh-CN"/>
              </w:rPr>
              <w:br w:type="textWrapping"/>
            </w:r>
            <w:r>
              <w:rPr>
                <w:rFonts w:hint="eastAsia" w:ascii="仿宋_GB2312" w:hAnsi="仿宋_GB2312" w:eastAsia="仿宋_GB2312" w:cs="仿宋_GB2312"/>
                <w:sz w:val="21"/>
                <w:szCs w:val="21"/>
                <w:lang w:val="en-US" w:eastAsia="zh-CN"/>
              </w:rPr>
              <w:t>2.不采纳</w:t>
            </w:r>
          </w:p>
        </w:tc>
        <w:tc>
          <w:tcPr>
            <w:tcW w:w="3702"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left"/>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b w:val="0"/>
                <w:bCs w:val="0"/>
                <w:color w:val="000000"/>
                <w:kern w:val="0"/>
                <w:sz w:val="21"/>
                <w:szCs w:val="21"/>
                <w:lang w:val="en-US" w:eastAsia="zh-CN"/>
              </w:rPr>
              <w:t>用“防火封堵或防火分隔构件”去解释“防火构件”不合适。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6"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w:t>
            </w:r>
          </w:p>
        </w:tc>
        <w:tc>
          <w:tcPr>
            <w:tcW w:w="1041"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2.0.4</w:t>
            </w:r>
          </w:p>
        </w:tc>
        <w:tc>
          <w:tcPr>
            <w:tcW w:w="470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2.0.4 防火幕墙 fire-resistant curtain wall</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在规定时间内，同时满足耐火完整性和耐火隔热性要求或只满足耐火完整性要求的建筑幕墙，前者称为隔热性防火幕墙，后者称为非隔热性防火幕墙。</w:t>
            </w:r>
          </w:p>
        </w:tc>
        <w:tc>
          <w:tcPr>
            <w:tcW w:w="3878"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建议：隔热性改为隔热型，非隔热性改为非隔热型。</w:t>
            </w:r>
          </w:p>
        </w:tc>
        <w:tc>
          <w:tcPr>
            <w:tcW w:w="116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采纳</w:t>
            </w:r>
          </w:p>
        </w:tc>
        <w:tc>
          <w:tcPr>
            <w:tcW w:w="3702"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采用现行国家标准《防火窗》GB 16809、《防火门》GB 12955的用语，修改为“前者称为隔热防火幕墙，后者称为非隔热防火幕墙”。删除“性”和“型”的描述。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6"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w:t>
            </w:r>
          </w:p>
        </w:tc>
        <w:tc>
          <w:tcPr>
            <w:tcW w:w="1041"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2.0.6</w:t>
            </w:r>
          </w:p>
        </w:tc>
        <w:tc>
          <w:tcPr>
            <w:tcW w:w="470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2.0.6 防火玻璃墙 fire-resistant glass wall</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在规定时间内，同时满足耐火完整性和耐火隔热性要求或只满足耐火完整性要求的层间玻璃隔墙，前者称为隔热性防火玻璃墙，后者称为非隔热性防火玻璃墙。</w:t>
            </w:r>
          </w:p>
        </w:tc>
        <w:tc>
          <w:tcPr>
            <w:tcW w:w="3878"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建议：隔热性改为隔热型，非隔热性改为非隔热型。</w:t>
            </w:r>
          </w:p>
        </w:tc>
        <w:tc>
          <w:tcPr>
            <w:tcW w:w="116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采纳</w:t>
            </w:r>
          </w:p>
        </w:tc>
        <w:tc>
          <w:tcPr>
            <w:tcW w:w="3702"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left"/>
              <w:textAlignment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6"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1041"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3.5.3</w:t>
            </w:r>
          </w:p>
        </w:tc>
        <w:tc>
          <w:tcPr>
            <w:tcW w:w="470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3.5.3 非隔热性防火幕墙、防火玻璃墙可采用硼硅酸盐单片防火玻璃、无机硅复合部分隔热型防火玻璃及其制品。防火采光顶可采用由硼硅酸盐单片防火玻璃制成的夹层玻璃或无机硅复合部分隔热型防火玻璃。丙烯酰胺复合隔热型防火玻璃宜用于室内环境，建筑室外用隔热性防火幕墙、防火玻璃墙应采用无机硅复合隔热型防火玻璃。</w:t>
            </w:r>
          </w:p>
        </w:tc>
        <w:tc>
          <w:tcPr>
            <w:tcW w:w="3878"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b w:val="0"/>
                <w:bCs w:val="0"/>
                <w:color w:val="000000"/>
                <w:kern w:val="0"/>
                <w:sz w:val="21"/>
                <w:szCs w:val="21"/>
                <w:lang w:val="en-US" w:eastAsia="zh-CN"/>
              </w:rPr>
              <w:t>建议：1.部分隔热型防火玻璃现行国家规范是否已经取消；2.非隔热性和非隔热型等要统一。</w:t>
            </w:r>
          </w:p>
        </w:tc>
        <w:tc>
          <w:tcPr>
            <w:tcW w:w="1160" w:type="dxa"/>
            <w:shd w:val="clear" w:color="auto" w:fill="auto"/>
            <w:tcMar>
              <w:top w:w="0" w:type="dxa"/>
              <w:left w:w="57" w:type="dxa"/>
              <w:bottom w:w="0" w:type="dxa"/>
              <w:right w:w="57"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right="0" w:rightChars="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采纳</w:t>
            </w:r>
          </w:p>
        </w:tc>
        <w:tc>
          <w:tcPr>
            <w:tcW w:w="3702"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left"/>
              <w:textAlignment w:val="center"/>
              <w:rPr>
                <w:rFonts w:hint="eastAsia" w:ascii="仿宋_GB2312" w:hAnsi="仿宋_GB2312" w:eastAsia="仿宋_GB2312"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6"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w:t>
            </w:r>
          </w:p>
        </w:tc>
        <w:tc>
          <w:tcPr>
            <w:tcW w:w="1041"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4.1.2</w:t>
            </w:r>
          </w:p>
        </w:tc>
        <w:tc>
          <w:tcPr>
            <w:tcW w:w="470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4.1.2 建筑幕墙支承框架、装饰层、保温层材料的燃烧性能应符合下列规定：</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xml:space="preserve">1 </w:t>
            </w:r>
            <w:r>
              <w:rPr>
                <w:rFonts w:hint="eastAsia" w:ascii="仿宋_GB2312" w:hAnsi="仿宋_GB2312" w:eastAsia="仿宋_GB2312" w:cs="仿宋_GB2312"/>
                <w:spacing w:val="-11"/>
                <w:sz w:val="21"/>
                <w:szCs w:val="21"/>
              </w:rPr>
              <w:t>幕墙装饰层、保温层材料的燃烧性能不应低于B1级；</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2 建筑高度大于10m时，幕墙支承框架材料的燃烧性能应为A级；</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3 建筑高度大于24m时，幕墙保温层材料的燃烧性能应为A级；</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4 建筑高度大于50m时，幕墙装饰层材料的燃烧性能应为A级；</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5 建筑内设置人员密集场所时，幕墙保温层材料的燃烧性能应为A级。</w:t>
            </w:r>
          </w:p>
        </w:tc>
        <w:tc>
          <w:tcPr>
            <w:tcW w:w="3878"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“幕墙装饰层、保温层材料的燃烧性能不应低于B1级”，建议增加“人员密集场所幕墙装饰层、保温层材料的燃烧性能不应低于A级”的备注。</w:t>
            </w:r>
            <w:r>
              <w:rPr>
                <w:rFonts w:hint="eastAsia" w:ascii="仿宋_GB2312" w:hAnsi="仿宋_GB2312" w:eastAsia="仿宋_GB2312" w:cs="仿宋_GB2312"/>
                <w:sz w:val="21"/>
                <w:szCs w:val="21"/>
                <w:lang w:val="en-US" w:eastAsia="zh-CN"/>
              </w:rPr>
              <w:br w:type="textWrapping"/>
            </w:r>
            <w:r>
              <w:rPr>
                <w:rFonts w:hint="eastAsia" w:ascii="仿宋_GB2312" w:hAnsi="仿宋_GB2312" w:eastAsia="仿宋_GB2312" w:cs="仿宋_GB2312"/>
                <w:sz w:val="21"/>
                <w:szCs w:val="21"/>
                <w:lang w:val="en-US" w:eastAsia="zh-CN"/>
              </w:rPr>
              <w:t>理由：《建筑设计防火规范》GB 50016第6.7.4条要求：“设置人员密集场所的建筑，其外墙外保温材料的燃烧性能应为A级”，虽然该条随着《建筑防火通用规范》GB 55037出台已废止强制性，但据悉该条文内容很可能还会在修订版中保留。</w:t>
            </w:r>
          </w:p>
        </w:tc>
        <w:tc>
          <w:tcPr>
            <w:tcW w:w="116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采纳</w:t>
            </w:r>
          </w:p>
        </w:tc>
        <w:tc>
          <w:tcPr>
            <w:tcW w:w="3702"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left"/>
              <w:textAlignment w:val="center"/>
              <w:rPr>
                <w:rFonts w:hint="eastAsia" w:ascii="仿宋_GB2312" w:hAnsi="仿宋_GB2312" w:eastAsia="仿宋_GB2312"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6"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7</w:t>
            </w:r>
          </w:p>
        </w:tc>
        <w:tc>
          <w:tcPr>
            <w:tcW w:w="1041"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4.1.5</w:t>
            </w:r>
          </w:p>
        </w:tc>
        <w:tc>
          <w:tcPr>
            <w:tcW w:w="4700" w:type="dxa"/>
            <w:shd w:val="clear" w:color="auto" w:fill="auto"/>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after="0" w:line="240" w:lineRule="auto"/>
              <w:ind w:right="0" w:right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4.1.5 在建筑幕墙与防火墙的交接处，当防火墙两侧未设置总宽度不小于2.0m的不燃性墙体时，防火墙两侧总宽度不小于2.0m的范围内应采用耐火极限不低于1.00h的隔热性防火幕墙。</w:t>
            </w:r>
          </w:p>
        </w:tc>
        <w:tc>
          <w:tcPr>
            <w:tcW w:w="3878" w:type="dxa"/>
            <w:shd w:val="clear" w:color="auto" w:fill="auto"/>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after="0" w:line="240" w:lineRule="auto"/>
              <w:ind w:right="0" w:right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建议将结尾中“应采用耐火极限不低于1.00h的隔热性防火幕墙”，调整为“应采用耐火极限不低于1.00h的防火幕墙”。</w:t>
            </w:r>
            <w:r>
              <w:rPr>
                <w:rFonts w:hint="eastAsia" w:ascii="仿宋_GB2312" w:hAnsi="仿宋_GB2312" w:eastAsia="仿宋_GB2312" w:cs="仿宋_GB2312"/>
                <w:sz w:val="21"/>
                <w:szCs w:val="21"/>
                <w:lang w:val="en-US" w:eastAsia="zh-CN"/>
              </w:rPr>
              <w:br w:type="textWrapping"/>
            </w:r>
            <w:r>
              <w:rPr>
                <w:rFonts w:hint="eastAsia" w:ascii="仿宋_GB2312" w:hAnsi="仿宋_GB2312" w:eastAsia="仿宋_GB2312" w:cs="仿宋_GB2312"/>
                <w:sz w:val="21"/>
                <w:szCs w:val="21"/>
                <w:lang w:val="en-US" w:eastAsia="zh-CN"/>
              </w:rPr>
              <w:t>理由：与4.1.6、4.1.7条描述保持一致。</w:t>
            </w:r>
          </w:p>
        </w:tc>
        <w:tc>
          <w:tcPr>
            <w:tcW w:w="116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采纳</w:t>
            </w:r>
          </w:p>
        </w:tc>
        <w:tc>
          <w:tcPr>
            <w:tcW w:w="3702"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left"/>
              <w:textAlignment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6"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8</w:t>
            </w:r>
          </w:p>
        </w:tc>
        <w:tc>
          <w:tcPr>
            <w:tcW w:w="1041"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4.1.9</w:t>
            </w:r>
          </w:p>
        </w:tc>
        <w:tc>
          <w:tcPr>
            <w:tcW w:w="4700" w:type="dxa"/>
            <w:shd w:val="clear" w:color="auto" w:fill="auto"/>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after="0" w:line="240" w:lineRule="auto"/>
              <w:ind w:right="0" w:right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4.1.9 当采光顶与邻近建筑外墙门、窗洞口之间最近边缘的直线距离小于6.0m时，应采用耐火完整性不低于1.00h的防火采光顶，或者在建筑外墙设置耐火等级不低于乙级的防火门、防火窗。</w:t>
            </w:r>
          </w:p>
        </w:tc>
        <w:tc>
          <w:tcPr>
            <w:tcW w:w="3878" w:type="dxa"/>
            <w:shd w:val="clear" w:color="auto" w:fill="auto"/>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after="0" w:line="240" w:lineRule="auto"/>
              <w:ind w:right="0" w:rightChars="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建议：此条表述不全面且与《深圳市建设工程消防设计疑难解析》第1.3.2-2条相矛盾，建议调整。</w:t>
            </w:r>
          </w:p>
        </w:tc>
        <w:tc>
          <w:tcPr>
            <w:tcW w:w="116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采纳</w:t>
            </w:r>
          </w:p>
        </w:tc>
        <w:tc>
          <w:tcPr>
            <w:tcW w:w="3702" w:type="dxa"/>
            <w:shd w:val="clear" w:color="auto" w:fill="auto"/>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after="0" w:line="240" w:lineRule="auto"/>
              <w:ind w:right="0" w:rightChars="0"/>
              <w:jc w:val="left"/>
              <w:rPr>
                <w:rFonts w:hint="eastAsia" w:ascii="仿宋_GB2312" w:hAnsi="仿宋_GB2312" w:eastAsia="仿宋_GB2312"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6"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9</w:t>
            </w:r>
          </w:p>
        </w:tc>
        <w:tc>
          <w:tcPr>
            <w:tcW w:w="1041"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4.1.11</w:t>
            </w:r>
          </w:p>
        </w:tc>
        <w:tc>
          <w:tcPr>
            <w:tcW w:w="4700" w:type="dxa"/>
            <w:shd w:val="clear" w:color="auto" w:fill="auto"/>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after="0" w:line="240" w:lineRule="auto"/>
              <w:ind w:right="0" w:right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4.1.11 建筑幕墙应按照建筑设计的要求设置可供消防救援人员进入的消防救援口。</w:t>
            </w:r>
          </w:p>
        </w:tc>
        <w:tc>
          <w:tcPr>
            <w:tcW w:w="3878" w:type="dxa"/>
            <w:shd w:val="clear" w:color="auto" w:fill="auto"/>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after="0" w:line="240" w:lineRule="auto"/>
              <w:ind w:right="0" w:right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建议调整该条内容，即“建筑幕墙应按照建筑设计的要求设置可供消防救援人员进入的消防救援口”的要求。</w:t>
            </w:r>
            <w:r>
              <w:rPr>
                <w:rFonts w:hint="eastAsia" w:ascii="仿宋_GB2312" w:hAnsi="仿宋_GB2312" w:eastAsia="仿宋_GB2312" w:cs="仿宋_GB2312"/>
                <w:sz w:val="21"/>
                <w:szCs w:val="21"/>
                <w:lang w:val="en-US" w:eastAsia="zh-CN"/>
              </w:rPr>
              <w:br w:type="textWrapping"/>
            </w:r>
            <w:r>
              <w:rPr>
                <w:rFonts w:hint="eastAsia" w:ascii="仿宋_GB2312" w:hAnsi="仿宋_GB2312" w:eastAsia="仿宋_GB2312" w:cs="仿宋_GB2312"/>
                <w:sz w:val="21"/>
                <w:szCs w:val="21"/>
                <w:lang w:val="en-US" w:eastAsia="zh-CN"/>
              </w:rPr>
              <w:t>理由：如其他部位已经设置了满足要求的救援窗口，建筑幕墙可不设置。</w:t>
            </w:r>
          </w:p>
        </w:tc>
        <w:tc>
          <w:tcPr>
            <w:tcW w:w="116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采纳</w:t>
            </w:r>
          </w:p>
        </w:tc>
        <w:tc>
          <w:tcPr>
            <w:tcW w:w="3702"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left"/>
              <w:textAlignment w:val="center"/>
              <w:rPr>
                <w:rFonts w:hint="eastAsia" w:ascii="仿宋_GB2312" w:hAnsi="仿宋_GB2312" w:eastAsia="仿宋_GB2312" w:cs="仿宋_GB2312"/>
                <w:sz w:val="21"/>
                <w:szCs w:val="21"/>
              </w:rPr>
            </w:pPr>
          </w:p>
          <w:p>
            <w:pPr>
              <w:pStyle w:val="9"/>
              <w:keepNext w:val="0"/>
              <w:keepLines w:val="0"/>
              <w:pageBreakBefore w:val="0"/>
              <w:kinsoku/>
              <w:wordWrap/>
              <w:overflowPunct/>
              <w:topLinePunct w:val="0"/>
              <w:autoSpaceDE/>
              <w:autoSpaceDN/>
              <w:bidi w:val="0"/>
              <w:adjustRightInd w:val="0"/>
              <w:snapToGrid w:val="0"/>
              <w:spacing w:before="0" w:beforeLines="0" w:after="0" w:afterLines="0" w:line="240" w:lineRule="auto"/>
              <w:ind w:right="0" w:rightChars="0"/>
              <w:jc w:val="left"/>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6"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w:t>
            </w:r>
          </w:p>
        </w:tc>
        <w:tc>
          <w:tcPr>
            <w:tcW w:w="1041"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4.1.13</w:t>
            </w:r>
          </w:p>
        </w:tc>
        <w:tc>
          <w:tcPr>
            <w:tcW w:w="4700" w:type="dxa"/>
            <w:shd w:val="clear" w:color="auto" w:fill="auto"/>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after="0" w:line="240" w:lineRule="auto"/>
              <w:ind w:right="0" w:rightChars="0"/>
              <w:jc w:val="left"/>
              <w:rPr>
                <w:rFonts w:hint="eastAsia" w:ascii="仿宋_GB2312" w:hAnsi="仿宋_GB2312" w:eastAsia="仿宋_GB2312" w:cs="仿宋_GB2312"/>
                <w:b w:val="0"/>
                <w:kern w:val="2"/>
                <w:sz w:val="21"/>
                <w:szCs w:val="21"/>
                <w:lang w:val="en-US" w:eastAsia="zh-CN" w:bidi="ar-SA"/>
              </w:rPr>
            </w:pPr>
            <w:r>
              <w:rPr>
                <w:rFonts w:hint="eastAsia" w:ascii="仿宋_GB2312" w:hAnsi="仿宋_GB2312" w:eastAsia="仿宋_GB2312" w:cs="仿宋_GB2312"/>
                <w:sz w:val="21"/>
                <w:szCs w:val="21"/>
                <w:lang w:val="en-US" w:eastAsia="zh-CN"/>
              </w:rPr>
              <w:t>4.1.13 建筑幕墙首层外疏散门的净宽度应符合表4.1.13的规定。建筑幕墙室内疏散门的净宽度应符合现行国家标准《建筑设计防火规范》GB50016的有关规定。</w:t>
            </w:r>
            <w:r>
              <w:rPr>
                <w:rFonts w:hint="eastAsia" w:ascii="仿宋_GB2312" w:hAnsi="仿宋_GB2312" w:eastAsia="仿宋_GB2312" w:cs="仿宋_GB2312"/>
                <w:sz w:val="21"/>
                <w:szCs w:val="21"/>
                <w:lang w:val="en-US" w:eastAsia="zh-CN"/>
              </w:rPr>
              <w:br w:type="textWrapping"/>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b w:val="0"/>
                <w:kern w:val="2"/>
                <w:sz w:val="21"/>
                <w:szCs w:val="21"/>
                <w:lang w:val="en-US" w:eastAsia="zh-CN" w:bidi="ar-SA"/>
              </w:rPr>
              <w:t>表4.1.13 建筑幕墙首层外疏散门的净宽度</w:t>
            </w:r>
          </w:p>
          <w:tbl>
            <w:tblPr>
              <w:tblStyle w:val="11"/>
              <w:tblW w:w="4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747"/>
              <w:gridCol w:w="747"/>
              <w:gridCol w:w="747"/>
              <w:gridCol w:w="748"/>
              <w:gridCol w:w="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Pr>
                <w:p>
                  <w:pPr>
                    <w:pStyle w:val="9"/>
                    <w:keepNext w:val="0"/>
                    <w:keepLines w:val="0"/>
                    <w:pageBreakBefore w:val="0"/>
                    <w:kinsoku/>
                    <w:wordWrap/>
                    <w:overflowPunct/>
                    <w:topLinePunct w:val="0"/>
                    <w:autoSpaceDE/>
                    <w:autoSpaceDN/>
                    <w:bidi w:val="0"/>
                    <w:adjustRightInd w:val="0"/>
                    <w:snapToGrid w:val="0"/>
                    <w:spacing w:before="0" w:beforeLines="0" w:after="0" w:afterLines="0" w:line="240" w:lineRule="auto"/>
                    <w:ind w:right="0" w:rightChars="0"/>
                    <w:jc w:val="left"/>
                    <w:rPr>
                      <w:rFonts w:hint="eastAsia" w:ascii="仿宋_GB2312" w:hAnsi="仿宋_GB2312" w:eastAsia="仿宋_GB2312" w:cs="仿宋_GB2312"/>
                      <w:b w:val="0"/>
                      <w:bCs/>
                      <w:kern w:val="2"/>
                      <w:sz w:val="21"/>
                      <w:szCs w:val="21"/>
                      <w:vertAlign w:val="baseline"/>
                      <w:lang w:val="en-US" w:eastAsia="zh-CN" w:bidi="ar-SA"/>
                    </w:rPr>
                  </w:pPr>
                  <w:r>
                    <w:rPr>
                      <w:rFonts w:hint="eastAsia" w:ascii="仿宋_GB2312" w:hAnsi="仿宋_GB2312" w:eastAsia="仿宋_GB2312" w:cs="仿宋_GB2312"/>
                      <w:b w:val="0"/>
                      <w:bCs/>
                      <w:sz w:val="21"/>
                      <w:szCs w:val="21"/>
                    </w:rPr>
                    <w:t>建筑类别</w:t>
                  </w:r>
                </w:p>
              </w:tc>
              <w:tc>
                <w:tcPr>
                  <w:tcW w:w="747" w:type="dxa"/>
                </w:tcPr>
                <w:p>
                  <w:pPr>
                    <w:pStyle w:val="9"/>
                    <w:keepNext w:val="0"/>
                    <w:keepLines w:val="0"/>
                    <w:pageBreakBefore w:val="0"/>
                    <w:kinsoku/>
                    <w:wordWrap/>
                    <w:overflowPunct/>
                    <w:topLinePunct w:val="0"/>
                    <w:autoSpaceDE/>
                    <w:autoSpaceDN/>
                    <w:bidi w:val="0"/>
                    <w:adjustRightInd w:val="0"/>
                    <w:snapToGrid w:val="0"/>
                    <w:spacing w:before="0" w:beforeLines="0" w:after="0" w:afterLines="0" w:line="240" w:lineRule="auto"/>
                    <w:ind w:right="0" w:rightChars="0"/>
                    <w:jc w:val="left"/>
                    <w:rPr>
                      <w:rFonts w:hint="eastAsia" w:ascii="仿宋_GB2312" w:hAnsi="仿宋_GB2312" w:eastAsia="仿宋_GB2312" w:cs="仿宋_GB2312"/>
                      <w:b w:val="0"/>
                      <w:bCs/>
                      <w:kern w:val="2"/>
                      <w:sz w:val="21"/>
                      <w:szCs w:val="21"/>
                      <w:vertAlign w:val="baseline"/>
                      <w:lang w:val="en-US" w:eastAsia="zh-CN" w:bidi="ar-SA"/>
                    </w:rPr>
                  </w:pPr>
                  <w:r>
                    <w:rPr>
                      <w:rFonts w:hint="eastAsia" w:ascii="仿宋_GB2312" w:hAnsi="仿宋_GB2312" w:eastAsia="仿宋_GB2312" w:cs="仿宋_GB2312"/>
                      <w:b w:val="0"/>
                      <w:bCs/>
                      <w:sz w:val="21"/>
                      <w:szCs w:val="21"/>
                    </w:rPr>
                    <w:t>厂房</w:t>
                  </w:r>
                </w:p>
              </w:tc>
              <w:tc>
                <w:tcPr>
                  <w:tcW w:w="747" w:type="dxa"/>
                </w:tcPr>
                <w:p>
                  <w:pPr>
                    <w:pStyle w:val="9"/>
                    <w:keepNext w:val="0"/>
                    <w:keepLines w:val="0"/>
                    <w:pageBreakBefore w:val="0"/>
                    <w:kinsoku/>
                    <w:wordWrap/>
                    <w:overflowPunct/>
                    <w:topLinePunct w:val="0"/>
                    <w:autoSpaceDE/>
                    <w:autoSpaceDN/>
                    <w:bidi w:val="0"/>
                    <w:adjustRightInd w:val="0"/>
                    <w:snapToGrid w:val="0"/>
                    <w:spacing w:before="0" w:beforeLines="0" w:after="0" w:afterLines="0" w:line="240" w:lineRule="auto"/>
                    <w:ind w:right="0" w:rightChars="0"/>
                    <w:jc w:val="left"/>
                    <w:rPr>
                      <w:rFonts w:hint="eastAsia" w:ascii="仿宋_GB2312" w:hAnsi="仿宋_GB2312" w:eastAsia="仿宋_GB2312" w:cs="仿宋_GB2312"/>
                      <w:b w:val="0"/>
                      <w:bCs/>
                      <w:kern w:val="2"/>
                      <w:sz w:val="21"/>
                      <w:szCs w:val="21"/>
                      <w:vertAlign w:val="baseline"/>
                      <w:lang w:val="en-US" w:eastAsia="zh-CN" w:bidi="ar-SA"/>
                    </w:rPr>
                  </w:pPr>
                  <w:r>
                    <w:rPr>
                      <w:rFonts w:hint="eastAsia" w:ascii="仿宋_GB2312" w:hAnsi="仿宋_GB2312" w:eastAsia="仿宋_GB2312" w:cs="仿宋_GB2312"/>
                      <w:b w:val="0"/>
                      <w:bCs/>
                      <w:sz w:val="21"/>
                      <w:szCs w:val="21"/>
                    </w:rPr>
                    <w:t>公共建筑</w:t>
                  </w:r>
                </w:p>
              </w:tc>
              <w:tc>
                <w:tcPr>
                  <w:tcW w:w="747" w:type="dxa"/>
                </w:tcPr>
                <w:p>
                  <w:pPr>
                    <w:pStyle w:val="9"/>
                    <w:keepNext w:val="0"/>
                    <w:keepLines w:val="0"/>
                    <w:pageBreakBefore w:val="0"/>
                    <w:kinsoku/>
                    <w:wordWrap/>
                    <w:overflowPunct/>
                    <w:topLinePunct w:val="0"/>
                    <w:autoSpaceDE/>
                    <w:autoSpaceDN/>
                    <w:bidi w:val="0"/>
                    <w:adjustRightInd w:val="0"/>
                    <w:snapToGrid w:val="0"/>
                    <w:spacing w:before="0" w:beforeLines="0" w:after="0" w:afterLines="0" w:line="240" w:lineRule="auto"/>
                    <w:ind w:right="0" w:rightChars="0"/>
                    <w:jc w:val="left"/>
                    <w:rPr>
                      <w:rFonts w:hint="eastAsia" w:ascii="仿宋_GB2312" w:hAnsi="仿宋_GB2312" w:eastAsia="仿宋_GB2312" w:cs="仿宋_GB2312"/>
                      <w:b w:val="0"/>
                      <w:bCs/>
                      <w:kern w:val="2"/>
                      <w:sz w:val="21"/>
                      <w:szCs w:val="21"/>
                      <w:vertAlign w:val="baseline"/>
                      <w:lang w:val="en-US" w:eastAsia="zh-CN" w:bidi="ar-SA"/>
                    </w:rPr>
                  </w:pPr>
                  <w:r>
                    <w:rPr>
                      <w:rFonts w:hint="eastAsia" w:ascii="仿宋_GB2312" w:hAnsi="仿宋_GB2312" w:eastAsia="仿宋_GB2312" w:cs="仿宋_GB2312"/>
                      <w:b w:val="0"/>
                      <w:bCs/>
                      <w:sz w:val="21"/>
                      <w:szCs w:val="21"/>
                    </w:rPr>
                    <w:t>高层公共建筑</w:t>
                  </w:r>
                </w:p>
              </w:tc>
              <w:tc>
                <w:tcPr>
                  <w:tcW w:w="748" w:type="dxa"/>
                </w:tcPr>
                <w:p>
                  <w:pPr>
                    <w:pStyle w:val="9"/>
                    <w:keepNext w:val="0"/>
                    <w:keepLines w:val="0"/>
                    <w:pageBreakBefore w:val="0"/>
                    <w:kinsoku/>
                    <w:wordWrap/>
                    <w:overflowPunct/>
                    <w:topLinePunct w:val="0"/>
                    <w:autoSpaceDE/>
                    <w:autoSpaceDN/>
                    <w:bidi w:val="0"/>
                    <w:adjustRightInd w:val="0"/>
                    <w:snapToGrid w:val="0"/>
                    <w:spacing w:before="0" w:beforeLines="0" w:after="0" w:afterLines="0" w:line="240" w:lineRule="auto"/>
                    <w:ind w:right="0" w:rightChars="0"/>
                    <w:jc w:val="left"/>
                    <w:rPr>
                      <w:rFonts w:hint="eastAsia" w:ascii="仿宋_GB2312" w:hAnsi="仿宋_GB2312" w:eastAsia="仿宋_GB2312" w:cs="仿宋_GB2312"/>
                      <w:b w:val="0"/>
                      <w:bCs/>
                      <w:kern w:val="2"/>
                      <w:sz w:val="21"/>
                      <w:szCs w:val="21"/>
                      <w:vertAlign w:val="baseline"/>
                      <w:lang w:val="en-US" w:eastAsia="zh-CN" w:bidi="ar-SA"/>
                    </w:rPr>
                  </w:pPr>
                  <w:r>
                    <w:rPr>
                      <w:rFonts w:hint="eastAsia" w:ascii="仿宋_GB2312" w:hAnsi="仿宋_GB2312" w:eastAsia="仿宋_GB2312" w:cs="仿宋_GB2312"/>
                      <w:b w:val="0"/>
                      <w:bCs/>
                      <w:sz w:val="21"/>
                      <w:szCs w:val="21"/>
                    </w:rPr>
                    <w:t>高层医疗建筑</w:t>
                  </w:r>
                </w:p>
              </w:tc>
              <w:tc>
                <w:tcPr>
                  <w:tcW w:w="748" w:type="dxa"/>
                </w:tcPr>
                <w:p>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53" w:leftChars="-25" w:right="-53" w:rightChars="-25"/>
                    <w:jc w:val="left"/>
                    <w:textAlignment w:val="auto"/>
                    <w:rPr>
                      <w:rFonts w:hint="eastAsia" w:ascii="仿宋_GB2312" w:hAnsi="仿宋_GB2312" w:eastAsia="仿宋_GB2312" w:cs="仿宋_GB2312"/>
                      <w:b w:val="0"/>
                      <w:bCs/>
                      <w:kern w:val="2"/>
                      <w:sz w:val="21"/>
                      <w:szCs w:val="21"/>
                      <w:vertAlign w:val="baseline"/>
                      <w:lang w:val="en-US" w:eastAsia="zh-CN" w:bidi="ar-SA"/>
                    </w:rPr>
                  </w:pPr>
                  <w:r>
                    <w:rPr>
                      <w:rFonts w:hint="eastAsia" w:ascii="仿宋_GB2312" w:hAnsi="仿宋_GB2312" w:eastAsia="仿宋_GB2312" w:cs="仿宋_GB2312"/>
                      <w:b w:val="0"/>
                      <w:bCs/>
                      <w:sz w:val="21"/>
                      <w:szCs w:val="21"/>
                    </w:rPr>
                    <w:t>人员密集公共场所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Pr>
                <w:p>
                  <w:pPr>
                    <w:pStyle w:val="9"/>
                    <w:keepNext w:val="0"/>
                    <w:keepLines w:val="0"/>
                    <w:pageBreakBefore w:val="0"/>
                    <w:kinsoku/>
                    <w:wordWrap/>
                    <w:overflowPunct/>
                    <w:topLinePunct w:val="0"/>
                    <w:autoSpaceDE/>
                    <w:autoSpaceDN/>
                    <w:bidi w:val="0"/>
                    <w:adjustRightInd w:val="0"/>
                    <w:snapToGrid w:val="0"/>
                    <w:spacing w:before="0" w:beforeLines="0" w:after="0" w:afterLines="0" w:line="240" w:lineRule="auto"/>
                    <w:ind w:right="0" w:rightChars="0"/>
                    <w:jc w:val="left"/>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门的净宽度（m）</w:t>
                  </w:r>
                </w:p>
              </w:tc>
              <w:tc>
                <w:tcPr>
                  <w:tcW w:w="747" w:type="dxa"/>
                </w:tcPr>
                <w:p>
                  <w:pPr>
                    <w:pStyle w:val="9"/>
                    <w:keepNext w:val="0"/>
                    <w:keepLines w:val="0"/>
                    <w:pageBreakBefore w:val="0"/>
                    <w:kinsoku/>
                    <w:wordWrap/>
                    <w:overflowPunct/>
                    <w:topLinePunct w:val="0"/>
                    <w:autoSpaceDE/>
                    <w:autoSpaceDN/>
                    <w:bidi w:val="0"/>
                    <w:adjustRightInd w:val="0"/>
                    <w:snapToGrid w:val="0"/>
                    <w:spacing w:before="0" w:beforeLines="0" w:after="0" w:afterLines="0" w:line="240" w:lineRule="auto"/>
                    <w:ind w:right="0" w:rightChars="0"/>
                    <w:jc w:val="left"/>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≥1.20</w:t>
                  </w:r>
                </w:p>
              </w:tc>
              <w:tc>
                <w:tcPr>
                  <w:tcW w:w="747" w:type="dxa"/>
                </w:tcPr>
                <w:p>
                  <w:pPr>
                    <w:pStyle w:val="9"/>
                    <w:keepNext w:val="0"/>
                    <w:keepLines w:val="0"/>
                    <w:pageBreakBefore w:val="0"/>
                    <w:kinsoku/>
                    <w:wordWrap/>
                    <w:overflowPunct/>
                    <w:topLinePunct w:val="0"/>
                    <w:autoSpaceDE/>
                    <w:autoSpaceDN/>
                    <w:bidi w:val="0"/>
                    <w:adjustRightInd w:val="0"/>
                    <w:snapToGrid w:val="0"/>
                    <w:spacing w:before="0" w:beforeLines="0" w:after="0" w:afterLines="0" w:line="240" w:lineRule="auto"/>
                    <w:ind w:right="0" w:rightChars="0"/>
                    <w:jc w:val="left"/>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w:t>
                  </w:r>
                  <w:r>
                    <w:rPr>
                      <w:rFonts w:hint="eastAsia" w:ascii="仿宋_GB2312" w:hAnsi="仿宋_GB2312" w:eastAsia="仿宋_GB2312" w:cs="仿宋_GB2312"/>
                      <w:b w:val="0"/>
                      <w:bCs/>
                      <w:sz w:val="21"/>
                      <w:szCs w:val="21"/>
                      <w:lang w:val="en-US" w:eastAsia="zh-CN"/>
                    </w:rPr>
                    <w:t>0</w:t>
                  </w:r>
                  <w:r>
                    <w:rPr>
                      <w:rFonts w:hint="eastAsia" w:ascii="仿宋_GB2312" w:hAnsi="仿宋_GB2312" w:eastAsia="仿宋_GB2312" w:cs="仿宋_GB2312"/>
                      <w:b w:val="0"/>
                      <w:bCs/>
                      <w:sz w:val="21"/>
                      <w:szCs w:val="21"/>
                    </w:rPr>
                    <w:t>.</w:t>
                  </w:r>
                  <w:r>
                    <w:rPr>
                      <w:rFonts w:hint="eastAsia" w:ascii="仿宋_GB2312" w:hAnsi="仿宋_GB2312" w:eastAsia="仿宋_GB2312" w:cs="仿宋_GB2312"/>
                      <w:b w:val="0"/>
                      <w:bCs/>
                      <w:sz w:val="21"/>
                      <w:szCs w:val="21"/>
                      <w:lang w:val="en-US" w:eastAsia="zh-CN"/>
                    </w:rPr>
                    <w:t>9</w:t>
                  </w:r>
                  <w:r>
                    <w:rPr>
                      <w:rFonts w:hint="eastAsia" w:ascii="仿宋_GB2312" w:hAnsi="仿宋_GB2312" w:eastAsia="仿宋_GB2312" w:cs="仿宋_GB2312"/>
                      <w:b w:val="0"/>
                      <w:bCs/>
                      <w:sz w:val="21"/>
                      <w:szCs w:val="21"/>
                    </w:rPr>
                    <w:t>0</w:t>
                  </w:r>
                </w:p>
              </w:tc>
              <w:tc>
                <w:tcPr>
                  <w:tcW w:w="747" w:type="dxa"/>
                </w:tcPr>
                <w:p>
                  <w:pPr>
                    <w:pStyle w:val="9"/>
                    <w:keepNext w:val="0"/>
                    <w:keepLines w:val="0"/>
                    <w:pageBreakBefore w:val="0"/>
                    <w:kinsoku/>
                    <w:wordWrap/>
                    <w:overflowPunct/>
                    <w:topLinePunct w:val="0"/>
                    <w:autoSpaceDE/>
                    <w:autoSpaceDN/>
                    <w:bidi w:val="0"/>
                    <w:adjustRightInd w:val="0"/>
                    <w:snapToGrid w:val="0"/>
                    <w:spacing w:before="0" w:beforeLines="0" w:after="0" w:afterLines="0" w:line="240" w:lineRule="auto"/>
                    <w:ind w:right="0" w:rightChars="0"/>
                    <w:jc w:val="left"/>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≥1.20</w:t>
                  </w:r>
                </w:p>
              </w:tc>
              <w:tc>
                <w:tcPr>
                  <w:tcW w:w="748" w:type="dxa"/>
                </w:tcPr>
                <w:p>
                  <w:pPr>
                    <w:pStyle w:val="9"/>
                    <w:keepNext w:val="0"/>
                    <w:keepLines w:val="0"/>
                    <w:pageBreakBefore w:val="0"/>
                    <w:kinsoku/>
                    <w:wordWrap/>
                    <w:overflowPunct/>
                    <w:topLinePunct w:val="0"/>
                    <w:autoSpaceDE/>
                    <w:autoSpaceDN/>
                    <w:bidi w:val="0"/>
                    <w:adjustRightInd w:val="0"/>
                    <w:snapToGrid w:val="0"/>
                    <w:spacing w:before="0" w:beforeLines="0" w:after="0" w:afterLines="0" w:line="240" w:lineRule="auto"/>
                    <w:ind w:right="0" w:rightChars="0"/>
                    <w:jc w:val="left"/>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≥1.</w:t>
                  </w:r>
                  <w:r>
                    <w:rPr>
                      <w:rFonts w:hint="eastAsia" w:ascii="仿宋_GB2312" w:hAnsi="仿宋_GB2312" w:eastAsia="仿宋_GB2312" w:cs="仿宋_GB2312"/>
                      <w:b w:val="0"/>
                      <w:bCs/>
                      <w:sz w:val="21"/>
                      <w:szCs w:val="21"/>
                      <w:lang w:val="en-US" w:eastAsia="zh-CN"/>
                    </w:rPr>
                    <w:t>3</w:t>
                  </w:r>
                  <w:r>
                    <w:rPr>
                      <w:rFonts w:hint="eastAsia" w:ascii="仿宋_GB2312" w:hAnsi="仿宋_GB2312" w:eastAsia="仿宋_GB2312" w:cs="仿宋_GB2312"/>
                      <w:b w:val="0"/>
                      <w:bCs/>
                      <w:sz w:val="21"/>
                      <w:szCs w:val="21"/>
                    </w:rPr>
                    <w:t>0</w:t>
                  </w:r>
                </w:p>
              </w:tc>
              <w:tc>
                <w:tcPr>
                  <w:tcW w:w="748" w:type="dxa"/>
                </w:tcPr>
                <w:p>
                  <w:pPr>
                    <w:pStyle w:val="9"/>
                    <w:keepNext w:val="0"/>
                    <w:keepLines w:val="0"/>
                    <w:pageBreakBefore w:val="0"/>
                    <w:kinsoku/>
                    <w:wordWrap/>
                    <w:overflowPunct/>
                    <w:topLinePunct w:val="0"/>
                    <w:autoSpaceDE/>
                    <w:autoSpaceDN/>
                    <w:bidi w:val="0"/>
                    <w:adjustRightInd w:val="0"/>
                    <w:snapToGrid w:val="0"/>
                    <w:spacing w:before="0" w:beforeLines="0" w:after="0" w:afterLines="0" w:line="240" w:lineRule="auto"/>
                    <w:ind w:right="0" w:rightChars="0"/>
                    <w:jc w:val="left"/>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≥1.</w:t>
                  </w:r>
                  <w:r>
                    <w:rPr>
                      <w:rFonts w:hint="eastAsia" w:ascii="仿宋_GB2312" w:hAnsi="仿宋_GB2312" w:eastAsia="仿宋_GB2312" w:cs="仿宋_GB2312"/>
                      <w:b w:val="0"/>
                      <w:bCs/>
                      <w:sz w:val="21"/>
                      <w:szCs w:val="21"/>
                      <w:lang w:val="en-US" w:eastAsia="zh-CN"/>
                    </w:rPr>
                    <w:t>4</w:t>
                  </w:r>
                  <w:r>
                    <w:rPr>
                      <w:rFonts w:hint="eastAsia" w:ascii="仿宋_GB2312" w:hAnsi="仿宋_GB2312" w:eastAsia="仿宋_GB2312" w:cs="仿宋_GB2312"/>
                      <w:b w:val="0"/>
                      <w:bCs/>
                      <w:sz w:val="21"/>
                      <w:szCs w:val="21"/>
                    </w:rPr>
                    <w:t>0</w:t>
                  </w:r>
                </w:p>
              </w:tc>
            </w:tr>
          </w:tbl>
          <w:p>
            <w:pPr>
              <w:pStyle w:val="9"/>
              <w:keepNext w:val="0"/>
              <w:keepLines w:val="0"/>
              <w:pageBreakBefore w:val="0"/>
              <w:kinsoku/>
              <w:wordWrap/>
              <w:overflowPunct/>
              <w:topLinePunct w:val="0"/>
              <w:autoSpaceDE/>
              <w:autoSpaceDN/>
              <w:bidi w:val="0"/>
              <w:adjustRightInd w:val="0"/>
              <w:snapToGrid w:val="0"/>
              <w:spacing w:before="0" w:beforeLines="0" w:after="0" w:afterLines="0" w:line="240" w:lineRule="auto"/>
              <w:ind w:right="0" w:rightChars="0"/>
              <w:jc w:val="left"/>
              <w:rPr>
                <w:rFonts w:hint="eastAsia" w:ascii="仿宋_GB2312" w:hAnsi="仿宋_GB2312" w:eastAsia="仿宋_GB2312" w:cs="仿宋_GB2312"/>
                <w:b w:val="0"/>
                <w:kern w:val="2"/>
                <w:sz w:val="21"/>
                <w:szCs w:val="21"/>
                <w:lang w:val="en-US" w:eastAsia="zh-CN" w:bidi="ar-SA"/>
              </w:rPr>
            </w:pPr>
          </w:p>
        </w:tc>
        <w:tc>
          <w:tcPr>
            <w:tcW w:w="3878"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表4.1.13中，公共建筑门的净宽度应由“≥0.90”改为“≥1.1”。</w:t>
            </w:r>
            <w:r>
              <w:rPr>
                <w:rFonts w:hint="eastAsia" w:ascii="仿宋_GB2312" w:hAnsi="仿宋_GB2312" w:eastAsia="仿宋_GB2312" w:cs="仿宋_GB2312"/>
                <w:sz w:val="21"/>
                <w:szCs w:val="21"/>
                <w:lang w:val="en-US" w:eastAsia="zh-CN"/>
              </w:rPr>
              <w:br w:type="textWrapping"/>
            </w:r>
            <w:r>
              <w:rPr>
                <w:rFonts w:hint="eastAsia" w:ascii="仿宋_GB2312" w:hAnsi="仿宋_GB2312" w:eastAsia="仿宋_GB2312" w:cs="仿宋_GB2312"/>
                <w:sz w:val="21"/>
                <w:szCs w:val="21"/>
                <w:lang w:val="en-US" w:eastAsia="zh-CN"/>
              </w:rPr>
              <w:t>理由：《建筑防火通用规范》第7.1.4条第3项要求：“疏散走道、首层疏散外门、公共建筑中的室内疏散楼梯的净宽度均不应小于1.1m”。</w:t>
            </w:r>
            <w:r>
              <w:rPr>
                <w:rFonts w:hint="eastAsia" w:ascii="仿宋_GB2312" w:hAnsi="仿宋_GB2312" w:eastAsia="仿宋_GB2312" w:cs="仿宋_GB2312"/>
                <w:sz w:val="21"/>
                <w:szCs w:val="21"/>
                <w:lang w:val="en-US" w:eastAsia="zh-CN"/>
              </w:rPr>
              <w:br w:type="textWrapping"/>
            </w:r>
            <w:r>
              <w:rPr>
                <w:rFonts w:hint="eastAsia" w:ascii="仿宋_GB2312" w:hAnsi="仿宋_GB2312" w:eastAsia="仿宋_GB2312" w:cs="仿宋_GB2312"/>
                <w:sz w:val="21"/>
                <w:szCs w:val="21"/>
                <w:lang w:val="en-US" w:eastAsia="zh-CN"/>
              </w:rPr>
              <w:t>另外，“首层外疏散门”修改为“首层疏散外门”</w:t>
            </w:r>
          </w:p>
        </w:tc>
        <w:tc>
          <w:tcPr>
            <w:tcW w:w="116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采纳</w:t>
            </w:r>
          </w:p>
        </w:tc>
        <w:tc>
          <w:tcPr>
            <w:tcW w:w="3702" w:type="dxa"/>
            <w:shd w:val="clear" w:color="auto" w:fill="auto"/>
            <w:tcMar>
              <w:top w:w="0" w:type="dxa"/>
              <w:left w:w="57" w:type="dxa"/>
              <w:bottom w:w="0" w:type="dxa"/>
              <w:right w:w="57" w:type="dxa"/>
            </w:tcMar>
            <w:vAlign w:val="center"/>
          </w:tcPr>
          <w:p>
            <w:pPr>
              <w:pStyle w:val="9"/>
              <w:keepNext w:val="0"/>
              <w:keepLines w:val="0"/>
              <w:pageBreakBefore w:val="0"/>
              <w:kinsoku/>
              <w:wordWrap/>
              <w:overflowPunct/>
              <w:topLinePunct w:val="0"/>
              <w:autoSpaceDE/>
              <w:autoSpaceDN/>
              <w:bidi w:val="0"/>
              <w:adjustRightInd w:val="0"/>
              <w:snapToGrid w:val="0"/>
              <w:spacing w:before="0" w:beforeLines="0" w:after="0" w:afterLines="0" w:line="240" w:lineRule="auto"/>
              <w:ind w:right="0" w:rightChars="0"/>
              <w:jc w:val="left"/>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6"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11</w:t>
            </w:r>
          </w:p>
        </w:tc>
        <w:tc>
          <w:tcPr>
            <w:tcW w:w="1041"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4.3.3</w:t>
            </w:r>
          </w:p>
        </w:tc>
        <w:tc>
          <w:tcPr>
            <w:tcW w:w="4700" w:type="dxa"/>
            <w:shd w:val="clear" w:color="auto" w:fill="auto"/>
            <w:tcMar>
              <w:top w:w="0" w:type="dxa"/>
              <w:left w:w="57" w:type="dxa"/>
              <w:bottom w:w="0" w:type="dxa"/>
              <w:right w:w="57" w:type="dxa"/>
            </w:tcMar>
            <w:vAlign w:val="center"/>
          </w:tcPr>
          <w:p>
            <w:pPr>
              <w:keepNext w:val="0"/>
              <w:keepLines w:val="0"/>
              <w:pageBreakBefore w:val="0"/>
              <w:numPr>
                <w:ilvl w:val="0"/>
                <w:numId w:val="0"/>
              </w:numPr>
              <w:kinsoku/>
              <w:wordWrap/>
              <w:overflowPunct/>
              <w:topLinePunct w:val="0"/>
              <w:autoSpaceDE/>
              <w:autoSpaceDN/>
              <w:bidi w:val="0"/>
              <w:adjustRightInd w:val="0"/>
              <w:snapToGrid w:val="0"/>
              <w:spacing w:after="0" w:line="240" w:lineRule="auto"/>
              <w:ind w:right="0" w:right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4.3.3 水平防火封堵构造采用连续密封的通长承托板时，应符合下列规定：</w:t>
            </w:r>
            <w:r>
              <w:rPr>
                <w:rFonts w:hint="eastAsia" w:ascii="仿宋_GB2312" w:hAnsi="仿宋_GB2312" w:eastAsia="仿宋_GB2312" w:cs="仿宋_GB2312"/>
                <w:sz w:val="21"/>
                <w:szCs w:val="21"/>
                <w:lang w:val="en-US" w:eastAsia="zh-CN"/>
              </w:rPr>
              <w:br w:type="textWrapping"/>
            </w:r>
            <w:r>
              <w:rPr>
                <w:rFonts w:hint="eastAsia" w:ascii="仿宋_GB2312" w:hAnsi="仿宋_GB2312" w:eastAsia="仿宋_GB2312" w:cs="仿宋_GB2312"/>
                <w:sz w:val="21"/>
                <w:szCs w:val="21"/>
                <w:lang w:val="en-US" w:eastAsia="zh-CN"/>
              </w:rPr>
              <w:t>1 采用钢承托板时，应采用厚度不小于1.5mm的镀锌钢板，钢承托板应与主体结构或防 火构件可靠连接。承托板采用防火板材时，承托板应固定在与主体结构或防火构件可靠连接的钢支承构件上，钢支承构件应具备承受自重的能力；</w:t>
            </w:r>
            <w:r>
              <w:rPr>
                <w:rFonts w:hint="eastAsia" w:ascii="仿宋_GB2312" w:hAnsi="仿宋_GB2312" w:eastAsia="仿宋_GB2312" w:cs="仿宋_GB2312"/>
                <w:sz w:val="21"/>
                <w:szCs w:val="21"/>
                <w:lang w:val="en-US" w:eastAsia="zh-CN"/>
              </w:rPr>
              <w:br w:type="textWrapping"/>
            </w:r>
            <w:r>
              <w:rPr>
                <w:rFonts w:hint="eastAsia" w:ascii="仿宋_GB2312" w:hAnsi="仿宋_GB2312" w:eastAsia="仿宋_GB2312" w:cs="仿宋_GB2312"/>
                <w:sz w:val="21"/>
                <w:szCs w:val="21"/>
                <w:lang w:val="en-US" w:eastAsia="zh-CN"/>
              </w:rPr>
              <w:t>2 上沿填充岩棉的厚度宜不小于200mm，且不应小于100mm；下沿不应小于100mm。岩棉应填塞密实，不得存在空隙；</w:t>
            </w:r>
            <w:r>
              <w:rPr>
                <w:rFonts w:hint="eastAsia" w:ascii="仿宋_GB2312" w:hAnsi="仿宋_GB2312" w:eastAsia="仿宋_GB2312" w:cs="仿宋_GB2312"/>
                <w:sz w:val="21"/>
                <w:szCs w:val="21"/>
                <w:lang w:val="en-US" w:eastAsia="zh-CN"/>
              </w:rPr>
              <w:br w:type="textWrapping"/>
            </w:r>
            <w:r>
              <w:rPr>
                <w:rFonts w:hint="eastAsia" w:ascii="仿宋_GB2312" w:hAnsi="仿宋_GB2312" w:eastAsia="仿宋_GB2312" w:cs="仿宋_GB2312"/>
                <w:sz w:val="21"/>
                <w:szCs w:val="21"/>
                <w:lang w:val="en-US" w:eastAsia="zh-CN"/>
              </w:rPr>
              <w:t>3 上沿顶部宜采用厚度不小于1.0mm的镀锌钢板或具有弹性的防火封堵材料覆盖层作封闭处理。</w:t>
            </w:r>
          </w:p>
        </w:tc>
        <w:tc>
          <w:tcPr>
            <w:tcW w:w="3878" w:type="dxa"/>
            <w:shd w:val="clear" w:color="000000" w:fill="auto"/>
            <w:tcMar>
              <w:top w:w="0" w:type="dxa"/>
              <w:left w:w="57" w:type="dxa"/>
              <w:bottom w:w="0" w:type="dxa"/>
              <w:right w:w="57" w:type="dxa"/>
            </w:tcMar>
            <w:vAlign w:val="center"/>
          </w:tcPr>
          <w:p>
            <w:pPr>
              <w:keepNext w:val="0"/>
              <w:keepLines w:val="0"/>
              <w:pageBreakBefore w:val="0"/>
              <w:numPr>
                <w:ilvl w:val="0"/>
                <w:numId w:val="0"/>
              </w:numPr>
              <w:kinsoku/>
              <w:wordWrap/>
              <w:overflowPunct/>
              <w:topLinePunct w:val="0"/>
              <w:autoSpaceDE/>
              <w:autoSpaceDN/>
              <w:bidi w:val="0"/>
              <w:adjustRightInd w:val="0"/>
              <w:snapToGrid w:val="0"/>
              <w:spacing w:after="0" w:line="240" w:lineRule="auto"/>
              <w:ind w:right="0" w:rightChars="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1.建议将上下沿填充矿物棉的高度调整为“均不应小于200mm”，与《建筑防火封堵应用技术标准》要求相对应。</w:t>
            </w:r>
            <w:r>
              <w:rPr>
                <w:rFonts w:hint="eastAsia" w:ascii="仿宋_GB2312" w:hAnsi="仿宋_GB2312" w:eastAsia="仿宋_GB2312" w:cs="仿宋_GB2312"/>
                <w:sz w:val="21"/>
                <w:szCs w:val="21"/>
                <w:lang w:val="en-US" w:eastAsia="zh-CN"/>
              </w:rPr>
              <w:br w:type="textWrapping"/>
            </w:r>
            <w:r>
              <w:rPr>
                <w:rFonts w:hint="eastAsia" w:ascii="仿宋_GB2312" w:hAnsi="仿宋_GB2312" w:eastAsia="仿宋_GB2312" w:cs="仿宋_GB2312"/>
                <w:sz w:val="21"/>
                <w:szCs w:val="21"/>
                <w:lang w:val="en-US" w:eastAsia="zh-CN"/>
              </w:rPr>
              <w:t>理由：《建筑防火封堵应用技术标准》GB/T 51410-2020第4.0.3条第1款要求：“幕墙与建筑窗槛墙之间的空腔应在建筑缝隙上、下沿处分别采用矿物棉等背衬材料填塞且填塞高度均不应小于200mm”。</w:t>
            </w:r>
            <w:r>
              <w:rPr>
                <w:rFonts w:hint="eastAsia" w:ascii="仿宋_GB2312" w:hAnsi="仿宋_GB2312" w:eastAsia="仿宋_GB2312" w:cs="仿宋_GB2312"/>
                <w:sz w:val="21"/>
                <w:szCs w:val="21"/>
                <w:lang w:val="en-US" w:eastAsia="zh-CN"/>
              </w:rPr>
              <w:br w:type="textWrapping"/>
            </w:r>
            <w:r>
              <w:rPr>
                <w:rFonts w:hint="eastAsia" w:ascii="仿宋_GB2312" w:hAnsi="仿宋_GB2312" w:eastAsia="仿宋_GB2312" w:cs="仿宋_GB2312"/>
                <w:sz w:val="21"/>
                <w:szCs w:val="21"/>
                <w:lang w:val="en-US" w:eastAsia="zh-CN"/>
              </w:rPr>
              <w:t>2.建议将第2款中的“岩棉”改为“矿物棉”。</w:t>
            </w:r>
            <w:r>
              <w:rPr>
                <w:rFonts w:hint="eastAsia" w:ascii="仿宋_GB2312" w:hAnsi="仿宋_GB2312" w:eastAsia="仿宋_GB2312" w:cs="仿宋_GB2312"/>
                <w:sz w:val="21"/>
                <w:szCs w:val="21"/>
                <w:lang w:val="en-US" w:eastAsia="zh-CN"/>
              </w:rPr>
              <w:br w:type="textWrapping"/>
            </w:r>
            <w:r>
              <w:rPr>
                <w:rFonts w:hint="eastAsia" w:ascii="仿宋_GB2312" w:hAnsi="仿宋_GB2312" w:eastAsia="仿宋_GB2312" w:cs="仿宋_GB2312"/>
                <w:sz w:val="21"/>
                <w:szCs w:val="21"/>
                <w:lang w:val="en-US" w:eastAsia="zh-CN"/>
              </w:rPr>
              <w:t>理由：填塞材料不一定使用岩棉。</w:t>
            </w:r>
          </w:p>
        </w:tc>
        <w:tc>
          <w:tcPr>
            <w:tcW w:w="1160" w:type="dxa"/>
            <w:shd w:val="clear" w:color="auto" w:fill="auto"/>
            <w:tcMar>
              <w:top w:w="0" w:type="dxa"/>
              <w:left w:w="57" w:type="dxa"/>
              <w:bottom w:w="0" w:type="dxa"/>
              <w:right w:w="57"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right="0" w:right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不采纳</w:t>
            </w:r>
          </w:p>
        </w:tc>
        <w:tc>
          <w:tcPr>
            <w:tcW w:w="3702" w:type="dxa"/>
            <w:shd w:val="clear" w:color="auto" w:fill="auto"/>
            <w:tcMar>
              <w:top w:w="0" w:type="dxa"/>
              <w:left w:w="57" w:type="dxa"/>
              <w:bottom w:w="0" w:type="dxa"/>
              <w:right w:w="57" w:type="dxa"/>
            </w:tcMar>
            <w:vAlign w:val="center"/>
          </w:tcPr>
          <w:p>
            <w:pPr>
              <w:pStyle w:val="20"/>
              <w:keepNext w:val="0"/>
              <w:keepLines w:val="0"/>
              <w:pageBreakBefore w:val="0"/>
              <w:numPr>
                <w:ilvl w:val="0"/>
                <w:numId w:val="0"/>
              </w:numPr>
              <w:kinsoku/>
              <w:wordWrap/>
              <w:overflowPunct/>
              <w:topLinePunct w:val="0"/>
              <w:autoSpaceDE/>
              <w:autoSpaceDN/>
              <w:bidi w:val="0"/>
              <w:adjustRightInd w:val="0"/>
              <w:snapToGrid w:val="0"/>
              <w:spacing w:after="0" w:line="240" w:lineRule="auto"/>
              <w:ind w:right="0" w:rightChars="0"/>
              <w:jc w:val="left"/>
              <w:rPr>
                <w:rFonts w:hint="eastAsia" w:ascii="仿宋_GB2312" w:hAnsi="仿宋_GB2312" w:eastAsia="仿宋_GB2312" w:cs="仿宋_GB2312"/>
                <w:b w:val="0"/>
                <w:kern w:val="2"/>
                <w:sz w:val="21"/>
                <w:szCs w:val="21"/>
                <w:lang w:val="en-US" w:eastAsia="zh-CN" w:bidi="ar-SA"/>
              </w:rPr>
            </w:pPr>
            <w:r>
              <w:rPr>
                <w:rFonts w:hint="eastAsia" w:ascii="仿宋_GB2312" w:hAnsi="仿宋_GB2312" w:eastAsia="仿宋_GB2312" w:cs="仿宋_GB2312"/>
                <w:b w:val="0"/>
                <w:kern w:val="2"/>
                <w:sz w:val="21"/>
                <w:szCs w:val="21"/>
                <w:lang w:val="en-US" w:eastAsia="zh-CN" w:bidi="ar-SA"/>
              </w:rPr>
              <w:t>1.理由如下：</w:t>
            </w:r>
            <w:r>
              <w:rPr>
                <w:rFonts w:hint="eastAsia" w:ascii="仿宋_GB2312" w:hAnsi="仿宋_GB2312" w:eastAsia="仿宋_GB2312" w:cs="仿宋_GB2312"/>
                <w:b w:val="0"/>
                <w:kern w:val="2"/>
                <w:sz w:val="21"/>
                <w:szCs w:val="21"/>
                <w:lang w:val="en-US" w:eastAsia="zh-CN" w:bidi="ar-SA"/>
              </w:rPr>
              <w:br w:type="textWrapping"/>
            </w:r>
            <w:r>
              <w:rPr>
                <w:rFonts w:hint="eastAsia" w:ascii="仿宋_GB2312" w:hAnsi="仿宋_GB2312" w:eastAsia="仿宋_GB2312" w:cs="仿宋_GB2312"/>
                <w:b w:val="0"/>
                <w:kern w:val="2"/>
                <w:sz w:val="21"/>
                <w:szCs w:val="21"/>
                <w:lang w:val="en-US" w:eastAsia="zh-CN" w:bidi="ar-SA"/>
              </w:rPr>
              <w:t>1）一旦着火，层间幕墙面板会很块被火烧坏破损，火势会绕过幕墙下沿的防火封堵，直接烧到幕墙上沿防火封堵层，所以，上沿层更为关键；</w:t>
            </w:r>
            <w:r>
              <w:rPr>
                <w:rFonts w:hint="eastAsia" w:ascii="仿宋_GB2312" w:hAnsi="仿宋_GB2312" w:eastAsia="仿宋_GB2312" w:cs="仿宋_GB2312"/>
                <w:b w:val="0"/>
                <w:kern w:val="2"/>
                <w:sz w:val="21"/>
                <w:szCs w:val="21"/>
                <w:lang w:val="en-US" w:eastAsia="zh-CN" w:bidi="ar-SA"/>
              </w:rPr>
              <w:br w:type="textWrapping"/>
            </w:r>
            <w:r>
              <w:rPr>
                <w:rFonts w:hint="eastAsia" w:ascii="仿宋_GB2312" w:hAnsi="仿宋_GB2312" w:eastAsia="仿宋_GB2312" w:cs="仿宋_GB2312"/>
                <w:b w:val="0"/>
                <w:kern w:val="2"/>
                <w:sz w:val="21"/>
                <w:szCs w:val="21"/>
                <w:lang w:val="en-US" w:eastAsia="zh-CN" w:bidi="ar-SA"/>
              </w:rPr>
              <w:t>2）防火封堵层的主要功能是防烟窜入上一楼层，只需防火封堵层的完整性满足要求，所以填塞高度可适当降低；</w:t>
            </w:r>
            <w:r>
              <w:rPr>
                <w:rFonts w:hint="eastAsia" w:ascii="仿宋_GB2312" w:hAnsi="仿宋_GB2312" w:eastAsia="仿宋_GB2312" w:cs="仿宋_GB2312"/>
                <w:b w:val="0"/>
                <w:kern w:val="2"/>
                <w:sz w:val="21"/>
                <w:szCs w:val="21"/>
                <w:lang w:val="en-US" w:eastAsia="zh-CN" w:bidi="ar-SA"/>
              </w:rPr>
              <w:br w:type="textWrapping"/>
            </w:r>
            <w:r>
              <w:rPr>
                <w:rFonts w:hint="eastAsia" w:ascii="仿宋_GB2312" w:hAnsi="仿宋_GB2312" w:eastAsia="仿宋_GB2312" w:cs="仿宋_GB2312"/>
                <w:sz w:val="21"/>
                <w:szCs w:val="21"/>
                <w:lang w:val="en-US" w:eastAsia="zh-CN"/>
              </w:rPr>
              <w:t>3）暂不采纳，送审时征询评审专家意见。</w:t>
            </w:r>
            <w:r>
              <w:rPr>
                <w:rFonts w:hint="eastAsia" w:ascii="仿宋_GB2312" w:hAnsi="仿宋_GB2312" w:eastAsia="仿宋_GB2312" w:cs="仿宋_GB2312"/>
                <w:b w:val="0"/>
                <w:kern w:val="2"/>
                <w:sz w:val="21"/>
                <w:szCs w:val="21"/>
                <w:lang w:val="en-US" w:eastAsia="zh-CN" w:bidi="ar-SA"/>
              </w:rPr>
              <w:br w:type="textWrapping"/>
            </w:r>
            <w:r>
              <w:rPr>
                <w:rFonts w:hint="eastAsia" w:ascii="仿宋_GB2312" w:hAnsi="仿宋_GB2312" w:eastAsia="仿宋_GB2312" w:cs="仿宋_GB2312"/>
                <w:b w:val="0"/>
                <w:kern w:val="2"/>
                <w:sz w:val="21"/>
                <w:szCs w:val="21"/>
                <w:lang w:val="en-US" w:eastAsia="zh-CN" w:bidi="ar-SA"/>
              </w:rPr>
              <w:t>2.理由：现行的岩棉产品国家标准有两个，《绝热用岩棉、矿渣棉及其制品》GB/T 11835-2016和《建筑用岩棉绝热制品》GB/T 19686-2015。但GB/T 11835-2016不适用于建筑物围护结构，GB/T 19686-2005的名称为《建筑用岩棉、矿渣棉绝热制品》，但2015年修订版的名称已改为《建筑用岩棉绝热制品》，删除了“矿渣棉”。因此，目前建筑幕墙防火封堵用的填充材料基本上都是岩棉，矿物棉无适用的产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6"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12</w:t>
            </w:r>
          </w:p>
        </w:tc>
        <w:tc>
          <w:tcPr>
            <w:tcW w:w="1041"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4.3.5</w:t>
            </w:r>
          </w:p>
        </w:tc>
        <w:tc>
          <w:tcPr>
            <w:tcW w:w="4700" w:type="dxa"/>
            <w:shd w:val="clear" w:color="auto" w:fill="auto"/>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after="0" w:line="240" w:lineRule="auto"/>
              <w:ind w:right="0" w:right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4.3.5 幕墙与分隔墙交接处的间隙应设置竖向防火封堵构造。竖向防火封堵构造的厚度不宜小 于100mm，两侧应采用厚度不小于1.5mm的镀锌钢板或防火板材进行封闭，空隙内应采用岩 棉填塞密实。</w:t>
            </w:r>
          </w:p>
        </w:tc>
        <w:tc>
          <w:tcPr>
            <w:tcW w:w="3878" w:type="dxa"/>
            <w:shd w:val="clear" w:color="auto" w:fill="auto"/>
            <w:tcMar>
              <w:top w:w="0" w:type="dxa"/>
              <w:left w:w="57" w:type="dxa"/>
              <w:bottom w:w="0" w:type="dxa"/>
              <w:right w:w="57" w:type="dxa"/>
            </w:tcMar>
            <w:vAlign w:val="center"/>
          </w:tcPr>
          <w:p>
            <w:pPr>
              <w:keepNext w:val="0"/>
              <w:keepLines w:val="0"/>
              <w:pageBreakBefore w:val="0"/>
              <w:numPr>
                <w:ilvl w:val="0"/>
                <w:numId w:val="0"/>
              </w:numPr>
              <w:kinsoku/>
              <w:wordWrap/>
              <w:overflowPunct/>
              <w:topLinePunct w:val="0"/>
              <w:autoSpaceDE/>
              <w:autoSpaceDN/>
              <w:bidi w:val="0"/>
              <w:adjustRightInd w:val="0"/>
              <w:snapToGrid w:val="0"/>
              <w:spacing w:after="0" w:line="240" w:lineRule="auto"/>
              <w:ind w:left="0" w:leftChars="0" w:right="0" w:rightChars="0" w:firstLine="0" w:firstLineChars="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建议调整为“幕墙与防火隔墙或防火墙交接处的间隙应设置竖向防火封堵构造……空隙内应采用矿物棉填塞密实”。</w:t>
            </w:r>
            <w:r>
              <w:rPr>
                <w:rFonts w:hint="eastAsia" w:ascii="仿宋_GB2312" w:hAnsi="仿宋_GB2312" w:eastAsia="仿宋_GB2312" w:cs="仿宋_GB2312"/>
                <w:sz w:val="21"/>
                <w:szCs w:val="21"/>
                <w:lang w:val="en-US" w:eastAsia="zh-CN"/>
              </w:rPr>
              <w:br w:type="textWrapping"/>
            </w:r>
            <w:r>
              <w:rPr>
                <w:rFonts w:hint="eastAsia" w:ascii="仿宋_GB2312" w:hAnsi="仿宋_GB2312" w:eastAsia="仿宋_GB2312" w:cs="仿宋_GB2312"/>
                <w:sz w:val="21"/>
                <w:szCs w:val="21"/>
                <w:lang w:val="en-US" w:eastAsia="zh-CN"/>
              </w:rPr>
              <w:t>理由：不是所有墙体都需要进行防火封堵，填塞材料不需要限制仅使用岩棉。</w:t>
            </w:r>
          </w:p>
        </w:tc>
        <w:tc>
          <w:tcPr>
            <w:tcW w:w="116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val="en-US" w:eastAsia="zh-CN" w:bidi="ar"/>
              </w:rPr>
              <w:t>不</w:t>
            </w:r>
            <w:r>
              <w:rPr>
                <w:rFonts w:hint="eastAsia" w:ascii="仿宋_GB2312" w:hAnsi="仿宋_GB2312" w:eastAsia="仿宋_GB2312" w:cs="仿宋_GB2312"/>
                <w:kern w:val="0"/>
                <w:sz w:val="21"/>
                <w:szCs w:val="21"/>
                <w:lang w:bidi="ar"/>
              </w:rPr>
              <w:t>采纳</w:t>
            </w:r>
          </w:p>
        </w:tc>
        <w:tc>
          <w:tcPr>
            <w:tcW w:w="3702" w:type="dxa"/>
            <w:shd w:val="clear" w:color="auto" w:fill="auto"/>
            <w:tcMar>
              <w:top w:w="0" w:type="dxa"/>
              <w:left w:w="57" w:type="dxa"/>
              <w:bottom w:w="0" w:type="dxa"/>
              <w:right w:w="57" w:type="dxa"/>
            </w:tcMar>
            <w:vAlign w:val="center"/>
          </w:tcPr>
          <w:p>
            <w:pPr>
              <w:keepNext w:val="0"/>
              <w:keepLines w:val="0"/>
              <w:pageBreakBefore w:val="0"/>
              <w:numPr>
                <w:ilvl w:val="0"/>
                <w:numId w:val="0"/>
              </w:numPr>
              <w:kinsoku/>
              <w:wordWrap/>
              <w:overflowPunct/>
              <w:topLinePunct w:val="0"/>
              <w:autoSpaceDE/>
              <w:autoSpaceDN/>
              <w:bidi w:val="0"/>
              <w:adjustRightInd w:val="0"/>
              <w:snapToGrid w:val="0"/>
              <w:spacing w:after="0" w:line="240" w:lineRule="auto"/>
              <w:ind w:leftChars="0" w:right="0" w:rightChars="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1.根据行业标准《玻璃幕墙工程技术规范》JGJ 102-2003第4.4.7条的规定，幕墙与分隔墙交接处的间隙应设置竖向防火封堵构造，一但一侧起火，可以在一定的时间内（可能是20-30分钟）阻止火焰和烟气蔓延至另一侧。</w:t>
            </w:r>
            <w:r>
              <w:rPr>
                <w:rFonts w:hint="eastAsia" w:ascii="仿宋_GB2312" w:hAnsi="仿宋_GB2312" w:eastAsia="仿宋_GB2312" w:cs="仿宋_GB2312"/>
                <w:sz w:val="21"/>
                <w:szCs w:val="21"/>
                <w:lang w:val="en-US" w:eastAsia="zh-CN"/>
              </w:rPr>
              <w:br w:type="textWrapping"/>
            </w:r>
            <w:r>
              <w:rPr>
                <w:rFonts w:hint="eastAsia" w:ascii="仿宋_GB2312" w:hAnsi="仿宋_GB2312" w:eastAsia="仿宋_GB2312" w:cs="仿宋_GB2312"/>
                <w:sz w:val="21"/>
                <w:szCs w:val="21"/>
                <w:lang w:val="en-US" w:eastAsia="zh-CN"/>
              </w:rPr>
              <w:t>2.与防火隔墙或防火墙交接的不是普通幕墙，而应该是防火幕墙。本标准第4.4.14对防火幕墙与防火隔墙或防火墙交接处的封堵有专门的规定。</w:t>
            </w:r>
            <w:r>
              <w:rPr>
                <w:rFonts w:hint="eastAsia" w:ascii="仿宋_GB2312" w:hAnsi="仿宋_GB2312" w:eastAsia="仿宋_GB2312" w:cs="仿宋_GB2312"/>
                <w:sz w:val="21"/>
                <w:szCs w:val="21"/>
                <w:lang w:val="en-US" w:eastAsia="zh-CN"/>
              </w:rPr>
              <w:br w:type="textWrapping"/>
            </w:r>
            <w:r>
              <w:rPr>
                <w:rFonts w:hint="eastAsia" w:ascii="仿宋_GB2312" w:hAnsi="仿宋_GB2312" w:eastAsia="仿宋_GB2312" w:cs="仿宋_GB2312"/>
                <w:sz w:val="21"/>
                <w:szCs w:val="21"/>
                <w:lang w:val="en-US" w:eastAsia="zh-CN"/>
              </w:rPr>
              <w:t>3.目前建筑幕墙防火封堵用的填充材料基本上都是岩棉，矿物棉无适用的产品标准。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6"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13</w:t>
            </w:r>
          </w:p>
        </w:tc>
        <w:tc>
          <w:tcPr>
            <w:tcW w:w="1041"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4.3.6-1</w:t>
            </w:r>
          </w:p>
        </w:tc>
        <w:tc>
          <w:tcPr>
            <w:tcW w:w="4700" w:type="dxa"/>
            <w:shd w:val="clear" w:color="auto" w:fill="auto"/>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after="0" w:line="240" w:lineRule="auto"/>
              <w:ind w:right="0" w:rightChars="0" w:firstLine="420"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 当幕墙支承框架、装饰层、保温层材料的燃烧性能均为A级，且幕墙立面上无连通室内 的开口时，可每隔3层（且不大于10m）设置一道水平防火封堵构造；</w:t>
            </w:r>
          </w:p>
        </w:tc>
        <w:tc>
          <w:tcPr>
            <w:tcW w:w="3878" w:type="dxa"/>
            <w:shd w:val="clear" w:color="auto" w:fill="auto"/>
            <w:tcMar>
              <w:top w:w="0" w:type="dxa"/>
              <w:left w:w="57" w:type="dxa"/>
              <w:bottom w:w="0" w:type="dxa"/>
              <w:right w:w="57" w:type="dxa"/>
            </w:tcMar>
            <w:vAlign w:val="center"/>
          </w:tcPr>
          <w:p>
            <w:pPr>
              <w:keepNext w:val="0"/>
              <w:keepLines w:val="0"/>
              <w:pageBreakBefore w:val="0"/>
              <w:numPr>
                <w:ilvl w:val="0"/>
                <w:numId w:val="0"/>
              </w:numPr>
              <w:kinsoku/>
              <w:wordWrap/>
              <w:overflowPunct/>
              <w:topLinePunct w:val="0"/>
              <w:autoSpaceDE/>
              <w:autoSpaceDN/>
              <w:bidi w:val="0"/>
              <w:adjustRightInd w:val="0"/>
              <w:snapToGrid w:val="0"/>
              <w:spacing w:after="0" w:line="240" w:lineRule="auto"/>
              <w:ind w:left="0" w:leftChars="0" w:right="0" w:rightChars="0" w:firstLine="0" w:firstLineChars="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对“幕墙支承框架及装饰层材料的燃烧性能作出细分和规定”非常赞，由于幕墙多用于公建，公建层高一般都在5.4米左右或建议“每隔 3层（且不大于10m）”可适当放宽至“每隔 3层（且不大于15米或18米）”。</w:t>
            </w:r>
          </w:p>
        </w:tc>
        <w:tc>
          <w:tcPr>
            <w:tcW w:w="116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采纳</w:t>
            </w:r>
          </w:p>
        </w:tc>
        <w:tc>
          <w:tcPr>
            <w:tcW w:w="3702" w:type="dxa"/>
            <w:shd w:val="clear" w:color="auto" w:fill="auto"/>
            <w:tcMar>
              <w:top w:w="0" w:type="dxa"/>
              <w:left w:w="57" w:type="dxa"/>
              <w:bottom w:w="0" w:type="dxa"/>
              <w:right w:w="57" w:type="dxa"/>
            </w:tcMar>
            <w:vAlign w:val="center"/>
          </w:tcPr>
          <w:p>
            <w:pPr>
              <w:keepNext w:val="0"/>
              <w:keepLines w:val="0"/>
              <w:pageBreakBefore w:val="0"/>
              <w:numPr>
                <w:ilvl w:val="0"/>
                <w:numId w:val="0"/>
              </w:numPr>
              <w:kinsoku/>
              <w:wordWrap/>
              <w:overflowPunct/>
              <w:topLinePunct w:val="0"/>
              <w:autoSpaceDE/>
              <w:autoSpaceDN/>
              <w:bidi w:val="0"/>
              <w:adjustRightInd w:val="0"/>
              <w:snapToGrid w:val="0"/>
              <w:spacing w:after="0" w:line="240" w:lineRule="auto"/>
              <w:ind w:leftChars="0" w:right="0" w:rightChars="0"/>
              <w:jc w:val="left"/>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6"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14</w:t>
            </w:r>
          </w:p>
        </w:tc>
        <w:tc>
          <w:tcPr>
            <w:tcW w:w="1041"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4.4.8</w:t>
            </w:r>
          </w:p>
        </w:tc>
        <w:tc>
          <w:tcPr>
            <w:tcW w:w="4700" w:type="dxa"/>
            <w:shd w:val="clear" w:color="auto" w:fill="auto"/>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after="0" w:line="240" w:lineRule="auto"/>
              <w:ind w:right="0" w:rightChars="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4.4.8 防火幕墙、防火玻璃墙有热工要求时应采用中空防火玻璃。在室外环境下，有耐火隔热性要求的防火玻璃宜采用无机硅复合防火玻璃。防火玻璃的长边边长不宜大于4.2m，短边边长不宜大于1.5m。</w:t>
            </w:r>
          </w:p>
        </w:tc>
        <w:tc>
          <w:tcPr>
            <w:tcW w:w="3878" w:type="dxa"/>
            <w:shd w:val="clear" w:color="auto" w:fill="auto"/>
            <w:tcMar>
              <w:top w:w="0" w:type="dxa"/>
              <w:left w:w="57" w:type="dxa"/>
              <w:bottom w:w="0" w:type="dxa"/>
              <w:right w:w="57" w:type="dxa"/>
            </w:tcMar>
            <w:vAlign w:val="center"/>
          </w:tcPr>
          <w:p>
            <w:pPr>
              <w:keepNext w:val="0"/>
              <w:keepLines w:val="0"/>
              <w:pageBreakBefore w:val="0"/>
              <w:numPr>
                <w:ilvl w:val="0"/>
                <w:numId w:val="0"/>
              </w:numPr>
              <w:kinsoku/>
              <w:wordWrap/>
              <w:overflowPunct/>
              <w:topLinePunct w:val="0"/>
              <w:autoSpaceDE/>
              <w:autoSpaceDN/>
              <w:bidi w:val="0"/>
              <w:adjustRightInd w:val="0"/>
              <w:snapToGrid w:val="0"/>
              <w:spacing w:after="0" w:line="240" w:lineRule="auto"/>
              <w:ind w:left="0" w:leftChars="0" w:right="0" w:rightChars="0" w:firstLine="0" w:firstLineChars="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建议“在室外环境下，有耐火隔热性要求的防火玻璃宜采用无机硅复合防火玻璃。” 将“宜采用”改为“应采用”，因为丙烯酰胺材料属有机物，在深圳地区受强紫外线照射，在实际使用中，1～2年便会发生发泡、发白、发黄、起雾的现象，对防火功能会产生一定影响，其透光率也大幅下降，直接影响外立面视觉效果。深圳音乐厅的观光电梯幕墙就是一个典型案例。</w:t>
            </w:r>
          </w:p>
        </w:tc>
        <w:tc>
          <w:tcPr>
            <w:tcW w:w="116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采纳</w:t>
            </w:r>
          </w:p>
        </w:tc>
        <w:tc>
          <w:tcPr>
            <w:tcW w:w="3702" w:type="dxa"/>
            <w:shd w:val="clear" w:color="auto" w:fill="auto"/>
            <w:tcMar>
              <w:top w:w="0" w:type="dxa"/>
              <w:left w:w="57" w:type="dxa"/>
              <w:bottom w:w="0" w:type="dxa"/>
              <w:right w:w="57" w:type="dxa"/>
            </w:tcMar>
            <w:vAlign w:val="center"/>
          </w:tcPr>
          <w:p>
            <w:pPr>
              <w:keepNext w:val="0"/>
              <w:keepLines w:val="0"/>
              <w:pageBreakBefore w:val="0"/>
              <w:numPr>
                <w:ilvl w:val="0"/>
                <w:numId w:val="0"/>
              </w:numPr>
              <w:kinsoku/>
              <w:wordWrap/>
              <w:overflowPunct/>
              <w:topLinePunct w:val="0"/>
              <w:autoSpaceDE/>
              <w:autoSpaceDN/>
              <w:bidi w:val="0"/>
              <w:adjustRightInd w:val="0"/>
              <w:snapToGrid w:val="0"/>
              <w:spacing w:after="0" w:line="240" w:lineRule="auto"/>
              <w:ind w:leftChars="0" w:right="0" w:rightChars="0"/>
              <w:jc w:val="left"/>
              <w:rPr>
                <w:rFonts w:hint="eastAsia" w:ascii="仿宋_GB2312" w:hAnsi="仿宋_GB2312" w:eastAsia="仿宋_GB2312"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6"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15</w:t>
            </w:r>
          </w:p>
        </w:tc>
        <w:tc>
          <w:tcPr>
            <w:tcW w:w="1041"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4.6防烟与排烟</w:t>
            </w:r>
          </w:p>
        </w:tc>
        <w:tc>
          <w:tcPr>
            <w:tcW w:w="4700" w:type="dxa"/>
            <w:shd w:val="clear" w:color="auto" w:fill="auto"/>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after="0" w:line="240" w:lineRule="auto"/>
              <w:ind w:right="0" w:rightChars="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（略）</w:t>
            </w:r>
          </w:p>
        </w:tc>
        <w:tc>
          <w:tcPr>
            <w:tcW w:w="3878" w:type="dxa"/>
            <w:shd w:val="clear" w:color="auto" w:fill="auto"/>
            <w:tcMar>
              <w:top w:w="0" w:type="dxa"/>
              <w:left w:w="57" w:type="dxa"/>
              <w:bottom w:w="0" w:type="dxa"/>
              <w:right w:w="57" w:type="dxa"/>
            </w:tcMar>
            <w:vAlign w:val="center"/>
          </w:tcPr>
          <w:p>
            <w:pPr>
              <w:keepNext w:val="0"/>
              <w:keepLines w:val="0"/>
              <w:pageBreakBefore w:val="0"/>
              <w:numPr>
                <w:ilvl w:val="0"/>
                <w:numId w:val="0"/>
              </w:numPr>
              <w:kinsoku/>
              <w:wordWrap/>
              <w:overflowPunct/>
              <w:topLinePunct w:val="0"/>
              <w:autoSpaceDE/>
              <w:autoSpaceDN/>
              <w:bidi w:val="0"/>
              <w:adjustRightInd w:val="0"/>
              <w:snapToGrid w:val="0"/>
              <w:spacing w:after="0" w:line="240" w:lineRule="auto"/>
              <w:ind w:left="0" w:leftChars="0" w:right="0" w:rightChars="0" w:firstLine="0" w:firstLineChars="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无防烟内容（主要指楼梯间、前室、避难层等），是否需要增加自然通风窗的相关表述。</w:t>
            </w:r>
          </w:p>
        </w:tc>
        <w:tc>
          <w:tcPr>
            <w:tcW w:w="116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采纳</w:t>
            </w:r>
          </w:p>
        </w:tc>
        <w:tc>
          <w:tcPr>
            <w:tcW w:w="3702" w:type="dxa"/>
            <w:shd w:val="clear" w:color="auto" w:fill="auto"/>
            <w:tcMar>
              <w:top w:w="0" w:type="dxa"/>
              <w:left w:w="57" w:type="dxa"/>
              <w:bottom w:w="0" w:type="dxa"/>
              <w:right w:w="57" w:type="dxa"/>
            </w:tcMar>
            <w:vAlign w:val="center"/>
          </w:tcPr>
          <w:p>
            <w:pPr>
              <w:keepNext w:val="0"/>
              <w:keepLines w:val="0"/>
              <w:pageBreakBefore w:val="0"/>
              <w:numPr>
                <w:ilvl w:val="0"/>
                <w:numId w:val="0"/>
              </w:numPr>
              <w:kinsoku/>
              <w:wordWrap/>
              <w:overflowPunct/>
              <w:topLinePunct w:val="0"/>
              <w:autoSpaceDE/>
              <w:autoSpaceDN/>
              <w:bidi w:val="0"/>
              <w:adjustRightInd w:val="0"/>
              <w:snapToGrid w:val="0"/>
              <w:spacing w:after="0" w:line="240" w:lineRule="auto"/>
              <w:ind w:leftChars="0" w:right="0" w:rightChars="0"/>
              <w:jc w:val="left"/>
              <w:rPr>
                <w:rFonts w:hint="eastAsia" w:ascii="仿宋_GB2312" w:hAnsi="仿宋_GB2312" w:eastAsia="仿宋_GB2312"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6"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16</w:t>
            </w:r>
          </w:p>
        </w:tc>
        <w:tc>
          <w:tcPr>
            <w:tcW w:w="1041"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6.3.8</w:t>
            </w:r>
          </w:p>
        </w:tc>
        <w:tc>
          <w:tcPr>
            <w:tcW w:w="4700" w:type="dxa"/>
            <w:shd w:val="clear" w:color="auto" w:fill="auto"/>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after="0" w:line="240" w:lineRule="auto"/>
              <w:ind w:right="0" w:rightChars="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6.3.8 幕墙上的自然排烟窗的设置位置、开启方向、有效开启面积应满足设计要求。</w:t>
            </w:r>
            <w:r>
              <w:rPr>
                <w:rFonts w:hint="eastAsia" w:ascii="仿宋_GB2312" w:hAnsi="仿宋_GB2312" w:eastAsia="仿宋_GB2312" w:cs="仿宋_GB2312"/>
                <w:sz w:val="21"/>
                <w:szCs w:val="21"/>
                <w:lang w:val="en-US" w:eastAsia="zh-CN"/>
              </w:rPr>
              <w:br w:type="textWrapping"/>
            </w:r>
            <w:r>
              <w:rPr>
                <w:rFonts w:hint="eastAsia" w:ascii="仿宋_GB2312" w:hAnsi="仿宋_GB2312" w:eastAsia="仿宋_GB2312" w:cs="仿宋_GB2312"/>
                <w:sz w:val="21"/>
                <w:szCs w:val="21"/>
                <w:lang w:val="en-US" w:eastAsia="zh-CN"/>
              </w:rPr>
              <w:t>检查数量：全数检查。</w:t>
            </w:r>
            <w:r>
              <w:rPr>
                <w:rFonts w:hint="eastAsia" w:ascii="仿宋_GB2312" w:hAnsi="仿宋_GB2312" w:eastAsia="仿宋_GB2312" w:cs="仿宋_GB2312"/>
                <w:sz w:val="21"/>
                <w:szCs w:val="21"/>
                <w:lang w:val="en-US" w:eastAsia="zh-CN"/>
              </w:rPr>
              <w:br w:type="textWrapping"/>
            </w:r>
            <w:r>
              <w:rPr>
                <w:rFonts w:hint="eastAsia" w:ascii="仿宋_GB2312" w:hAnsi="仿宋_GB2312" w:eastAsia="仿宋_GB2312" w:cs="仿宋_GB2312"/>
                <w:sz w:val="21"/>
                <w:szCs w:val="21"/>
                <w:lang w:val="en-US" w:eastAsia="zh-CN"/>
              </w:rPr>
              <w:t>检查方法：观察检查，尺量检查。</w:t>
            </w:r>
          </w:p>
        </w:tc>
        <w:tc>
          <w:tcPr>
            <w:tcW w:w="3878" w:type="dxa"/>
            <w:shd w:val="clear" w:color="auto" w:fill="auto"/>
            <w:tcMar>
              <w:top w:w="0" w:type="dxa"/>
              <w:left w:w="57" w:type="dxa"/>
              <w:bottom w:w="0" w:type="dxa"/>
              <w:right w:w="57" w:type="dxa"/>
            </w:tcMar>
            <w:vAlign w:val="center"/>
          </w:tcPr>
          <w:p>
            <w:pPr>
              <w:keepNext w:val="0"/>
              <w:keepLines w:val="0"/>
              <w:pageBreakBefore w:val="0"/>
              <w:numPr>
                <w:ilvl w:val="0"/>
                <w:numId w:val="0"/>
              </w:numPr>
              <w:kinsoku/>
              <w:wordWrap/>
              <w:overflowPunct/>
              <w:topLinePunct w:val="0"/>
              <w:autoSpaceDE/>
              <w:autoSpaceDN/>
              <w:bidi w:val="0"/>
              <w:adjustRightInd w:val="0"/>
              <w:snapToGrid w:val="0"/>
              <w:spacing w:after="0" w:line="240" w:lineRule="auto"/>
              <w:ind w:left="0" w:leftChars="0" w:right="0" w:rightChars="0" w:firstLine="0" w:firstLineChars="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是否需要增加：自然通风窗</w:t>
            </w:r>
          </w:p>
        </w:tc>
        <w:tc>
          <w:tcPr>
            <w:tcW w:w="116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采纳</w:t>
            </w:r>
          </w:p>
        </w:tc>
        <w:tc>
          <w:tcPr>
            <w:tcW w:w="3702" w:type="dxa"/>
            <w:shd w:val="clear" w:color="auto" w:fill="auto"/>
            <w:tcMar>
              <w:top w:w="0" w:type="dxa"/>
              <w:left w:w="57" w:type="dxa"/>
              <w:bottom w:w="0" w:type="dxa"/>
              <w:right w:w="57" w:type="dxa"/>
            </w:tcMar>
            <w:vAlign w:val="center"/>
          </w:tcPr>
          <w:p>
            <w:pPr>
              <w:keepNext w:val="0"/>
              <w:keepLines w:val="0"/>
              <w:pageBreakBefore w:val="0"/>
              <w:numPr>
                <w:ilvl w:val="0"/>
                <w:numId w:val="0"/>
              </w:numPr>
              <w:kinsoku/>
              <w:wordWrap/>
              <w:overflowPunct/>
              <w:topLinePunct w:val="0"/>
              <w:autoSpaceDE/>
              <w:autoSpaceDN/>
              <w:bidi w:val="0"/>
              <w:adjustRightInd w:val="0"/>
              <w:snapToGrid w:val="0"/>
              <w:spacing w:after="0" w:line="240" w:lineRule="auto"/>
              <w:ind w:leftChars="0" w:right="0" w:rightChars="0"/>
              <w:jc w:val="left"/>
              <w:rPr>
                <w:rFonts w:hint="eastAsia" w:ascii="仿宋_GB2312" w:hAnsi="仿宋_GB2312" w:eastAsia="仿宋_GB2312"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6"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17</w:t>
            </w:r>
          </w:p>
        </w:tc>
        <w:tc>
          <w:tcPr>
            <w:tcW w:w="1041"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6.3.9</w:t>
            </w:r>
          </w:p>
        </w:tc>
        <w:tc>
          <w:tcPr>
            <w:tcW w:w="4700" w:type="dxa"/>
            <w:shd w:val="clear" w:color="auto" w:fill="auto"/>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after="0" w:line="240" w:lineRule="auto"/>
              <w:ind w:right="0" w:rightChars="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6.3.9 幕墙上的首层外疏散门安装完成后可供人员通行的净宽度应满足设计要求，尺寸偏差允许值为-5mm。</w:t>
            </w:r>
            <w:r>
              <w:rPr>
                <w:rFonts w:hint="eastAsia" w:ascii="仿宋_GB2312" w:hAnsi="仿宋_GB2312" w:eastAsia="仿宋_GB2312" w:cs="仿宋_GB2312"/>
                <w:sz w:val="21"/>
                <w:szCs w:val="21"/>
                <w:lang w:val="en-US" w:eastAsia="zh-CN"/>
              </w:rPr>
              <w:br w:type="textWrapping"/>
            </w:r>
            <w:r>
              <w:rPr>
                <w:rFonts w:hint="eastAsia" w:ascii="仿宋_GB2312" w:hAnsi="仿宋_GB2312" w:eastAsia="仿宋_GB2312" w:cs="仿宋_GB2312"/>
                <w:sz w:val="21"/>
                <w:szCs w:val="21"/>
                <w:lang w:val="en-US" w:eastAsia="zh-CN"/>
              </w:rPr>
              <w:t>检查数量：全数检查。</w:t>
            </w:r>
            <w:r>
              <w:rPr>
                <w:rFonts w:hint="eastAsia" w:ascii="仿宋_GB2312" w:hAnsi="仿宋_GB2312" w:eastAsia="仿宋_GB2312" w:cs="仿宋_GB2312"/>
                <w:sz w:val="21"/>
                <w:szCs w:val="21"/>
                <w:lang w:val="en-US" w:eastAsia="zh-CN"/>
              </w:rPr>
              <w:br w:type="textWrapping"/>
            </w:r>
            <w:r>
              <w:rPr>
                <w:rFonts w:hint="eastAsia" w:ascii="仿宋_GB2312" w:hAnsi="仿宋_GB2312" w:eastAsia="仿宋_GB2312" w:cs="仿宋_GB2312"/>
                <w:sz w:val="21"/>
                <w:szCs w:val="21"/>
                <w:lang w:val="en-US" w:eastAsia="zh-CN"/>
              </w:rPr>
              <w:t>检查方法：尺量检查。</w:t>
            </w:r>
          </w:p>
        </w:tc>
        <w:tc>
          <w:tcPr>
            <w:tcW w:w="3878" w:type="dxa"/>
            <w:shd w:val="clear" w:color="auto" w:fill="auto"/>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after="0" w:line="240" w:lineRule="auto"/>
              <w:ind w:right="0" w:rightChars="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建议将“幕墙上的首层外疏散门安装完成后可供人员通行的净宽度应满足设计要求，尺寸偏差允许值为-5mm”调整为“幕墙上的首层外疏散门安装完成后可供人员通行的净宽度应满足设计要求，尺寸负偏差不超过5%。</w:t>
            </w:r>
            <w:r>
              <w:rPr>
                <w:rFonts w:hint="eastAsia" w:ascii="仿宋_GB2312" w:hAnsi="仿宋_GB2312" w:eastAsia="仿宋_GB2312" w:cs="仿宋_GB2312"/>
                <w:sz w:val="21"/>
                <w:szCs w:val="21"/>
                <w:lang w:val="en-US" w:eastAsia="zh-CN"/>
              </w:rPr>
              <w:br w:type="textWrapping"/>
            </w:r>
            <w:r>
              <w:rPr>
                <w:rFonts w:hint="eastAsia" w:ascii="仿宋_GB2312" w:hAnsi="仿宋_GB2312" w:eastAsia="仿宋_GB2312" w:cs="仿宋_GB2312"/>
                <w:sz w:val="21"/>
                <w:szCs w:val="21"/>
                <w:lang w:val="en-US" w:eastAsia="zh-CN"/>
              </w:rPr>
              <w:t>理由：若疏散门尺寸偏差允许值为-5mm，可能实际工程中难以保证。《建设工程消防设计审查验收工作细则》（《住房城乡建设部关于修改&lt;建设工程消防设计审查验收工作细则&gt;并印发建设工程消防验收备案凭证、告知承诺文书式样的通知》附件）第十九条（二）中要求：“有距离、高度、宽度、长度、面积、厚度等要求的内容，其与设计图纸标示的数值误差满足国家工程建设消防技术标准的要求；国家工程建设消防技术标准没有数值误差要求的，误差不超过 5%,且不影响正常使用功能和消防安全”，建议与上述该要求保持一致。</w:t>
            </w:r>
          </w:p>
        </w:tc>
        <w:tc>
          <w:tcPr>
            <w:tcW w:w="1160" w:type="dxa"/>
            <w:shd w:val="clear" w:color="auto" w:fill="auto"/>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val="en-US" w:eastAsia="zh-CN" w:bidi="ar"/>
              </w:rPr>
              <w:t>不</w:t>
            </w:r>
            <w:r>
              <w:rPr>
                <w:rFonts w:hint="eastAsia" w:ascii="仿宋_GB2312" w:hAnsi="仿宋_GB2312" w:eastAsia="仿宋_GB2312" w:cs="仿宋_GB2312"/>
                <w:kern w:val="0"/>
                <w:sz w:val="21"/>
                <w:szCs w:val="21"/>
                <w:lang w:bidi="ar"/>
              </w:rPr>
              <w:t>采纳</w:t>
            </w:r>
          </w:p>
        </w:tc>
        <w:tc>
          <w:tcPr>
            <w:tcW w:w="3702" w:type="dxa"/>
            <w:shd w:val="clear" w:color="auto" w:fill="auto"/>
            <w:tcMar>
              <w:top w:w="0" w:type="dxa"/>
              <w:left w:w="57" w:type="dxa"/>
              <w:bottom w:w="0" w:type="dxa"/>
              <w:right w:w="57" w:type="dxa"/>
            </w:tcMar>
            <w:vAlign w:val="center"/>
          </w:tcPr>
          <w:p>
            <w:pPr>
              <w:keepNext w:val="0"/>
              <w:keepLines w:val="0"/>
              <w:pageBreakBefore w:val="0"/>
              <w:numPr>
                <w:ilvl w:val="0"/>
                <w:numId w:val="0"/>
              </w:numPr>
              <w:kinsoku/>
              <w:wordWrap/>
              <w:overflowPunct/>
              <w:topLinePunct w:val="0"/>
              <w:autoSpaceDE/>
              <w:autoSpaceDN/>
              <w:bidi w:val="0"/>
              <w:adjustRightInd w:val="0"/>
              <w:snapToGrid w:val="0"/>
              <w:spacing w:after="0" w:line="240" w:lineRule="auto"/>
              <w:ind w:leftChars="0" w:right="0" w:rightChars="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广东省标准《建筑工程消防施工质量验收规范》DBJ/T15-248-2022第4.2.1条规定：</w:t>
            </w:r>
            <w:r>
              <w:rPr>
                <w:rFonts w:hint="eastAsia" w:ascii="仿宋_GB2312" w:hAnsi="仿宋_GB2312" w:eastAsia="仿宋_GB2312" w:cs="仿宋_GB2312"/>
                <w:sz w:val="21"/>
                <w:szCs w:val="21"/>
                <w:lang w:val="en-US" w:eastAsia="zh-CN"/>
              </w:rPr>
              <w:br w:type="textWrapping"/>
            </w:r>
            <w:r>
              <w:rPr>
                <w:rFonts w:hint="eastAsia" w:ascii="仿宋_GB2312" w:hAnsi="仿宋_GB2312" w:eastAsia="仿宋_GB2312" w:cs="仿宋_GB2312"/>
                <w:sz w:val="21"/>
                <w:szCs w:val="21"/>
                <w:lang w:val="en-US" w:eastAsia="zh-CN"/>
              </w:rPr>
              <w:t>疏散门、安全岀口等洞口的预留宽度应确保安装门框和门扇后可供人员疏散的净宽度符合有关消防技术标准的规定，其偏差允许值为-5mm。</w:t>
            </w:r>
            <w:r>
              <w:rPr>
                <w:rFonts w:hint="eastAsia" w:ascii="仿宋_GB2312" w:hAnsi="仿宋_GB2312" w:eastAsia="仿宋_GB2312" w:cs="仿宋_GB2312"/>
                <w:sz w:val="21"/>
                <w:szCs w:val="21"/>
                <w:lang w:val="en-US" w:eastAsia="zh-CN"/>
              </w:rPr>
              <w:br w:type="textWrapping"/>
            </w:r>
            <w:r>
              <w:rPr>
                <w:rFonts w:hint="eastAsia" w:ascii="仿宋_GB2312" w:hAnsi="仿宋_GB2312" w:eastAsia="仿宋_GB2312" w:cs="仿宋_GB2312"/>
                <w:sz w:val="21"/>
                <w:szCs w:val="21"/>
                <w:lang w:val="en-US" w:eastAsia="zh-CN"/>
              </w:rPr>
              <w:t>检查数量：全数检查。</w:t>
            </w:r>
            <w:r>
              <w:rPr>
                <w:rFonts w:hint="eastAsia" w:ascii="仿宋_GB2312" w:hAnsi="仿宋_GB2312" w:eastAsia="仿宋_GB2312" w:cs="仿宋_GB2312"/>
                <w:sz w:val="21"/>
                <w:szCs w:val="21"/>
                <w:lang w:val="en-US" w:eastAsia="zh-CN"/>
              </w:rPr>
              <w:br w:type="textWrapping"/>
            </w:r>
            <w:r>
              <w:rPr>
                <w:rFonts w:hint="eastAsia" w:ascii="仿宋_GB2312" w:hAnsi="仿宋_GB2312" w:eastAsia="仿宋_GB2312" w:cs="仿宋_GB2312"/>
                <w:sz w:val="21"/>
                <w:szCs w:val="21"/>
                <w:lang w:val="en-US" w:eastAsia="zh-CN"/>
              </w:rPr>
              <w:t>检查方法：尺量检查。</w:t>
            </w:r>
            <w:r>
              <w:rPr>
                <w:rFonts w:hint="eastAsia" w:ascii="仿宋_GB2312" w:hAnsi="仿宋_GB2312" w:eastAsia="仿宋_GB2312" w:cs="仿宋_GB2312"/>
                <w:sz w:val="21"/>
                <w:szCs w:val="21"/>
                <w:lang w:val="en-US" w:eastAsia="zh-CN"/>
              </w:rPr>
              <w:br w:type="textWrapping"/>
            </w:r>
            <w:r>
              <w:rPr>
                <w:rFonts w:hint="eastAsia" w:ascii="仿宋_GB2312" w:hAnsi="仿宋_GB2312" w:eastAsia="仿宋_GB2312" w:cs="仿宋_GB2312"/>
                <w:sz w:val="21"/>
                <w:szCs w:val="21"/>
                <w:lang w:val="en-US" w:eastAsia="zh-CN"/>
              </w:rPr>
              <w:t>另外，国家现行标准中对门的宽度允许偏差规定为±1.5～±5.0（mm），其中《防火门》GB 12955-2008为±3.0，《防盗安全门通用技术条件》GB 17565-2022为±5.0，《铝合金门窗》GB/T 8478-2020±2.5，《钢门窗》GB/T 20909-2017为±3.0，《建筑用塑料门窗》GB/T 28886-2023为±2.0，《木门窗》GB/T 29498-2013为±1.5。</w:t>
            </w:r>
            <w:r>
              <w:rPr>
                <w:rFonts w:hint="eastAsia" w:ascii="仿宋_GB2312" w:hAnsi="仿宋_GB2312" w:eastAsia="仿宋_GB2312" w:cs="仿宋_GB2312"/>
                <w:sz w:val="21"/>
                <w:szCs w:val="21"/>
                <w:lang w:val="en-US" w:eastAsia="zh-CN"/>
              </w:rPr>
              <w:br w:type="textWrapping"/>
            </w:r>
            <w:r>
              <w:rPr>
                <w:rFonts w:hint="eastAsia" w:ascii="仿宋_GB2312" w:hAnsi="仿宋_GB2312" w:eastAsia="仿宋_GB2312" w:cs="仿宋_GB2312"/>
                <w:sz w:val="21"/>
                <w:szCs w:val="21"/>
                <w:lang w:val="en-US" w:eastAsia="zh-CN"/>
              </w:rPr>
              <w:t>因此，偏差允许值为-5mm是具有可操作性的。</w:t>
            </w:r>
          </w:p>
        </w:tc>
      </w:tr>
    </w:tbl>
    <w:p>
      <w:pPr>
        <w:pStyle w:val="2"/>
        <w:keepNext w:val="0"/>
        <w:keepLines w:val="0"/>
        <w:pageBreakBefore w:val="0"/>
        <w:kinsoku/>
        <w:wordWrap/>
        <w:overflowPunct/>
        <w:topLinePunct w:val="0"/>
        <w:autoSpaceDE/>
        <w:autoSpaceDN/>
        <w:bidi w:val="0"/>
        <w:adjustRightInd/>
        <w:snapToGrid/>
        <w:spacing w:line="240" w:lineRule="auto"/>
        <w:ind w:right="0" w:rightChars="0"/>
        <w:rPr>
          <w:rFonts w:hint="default" w:ascii="Times New Roman" w:hAnsi="Times New Roman" w:cs="Times New Roman"/>
          <w:lang w:val="en-US" w:eastAsia="zh-CN"/>
        </w:rPr>
      </w:pPr>
      <w:r>
        <w:rPr>
          <w:rFonts w:hint="eastAsia" w:ascii="宋体" w:hAnsi="宋体" w:eastAsia="宋体" w:cs="宋体"/>
          <w:color w:val="000000" w:themeColor="text1"/>
          <w:sz w:val="21"/>
          <w:szCs w:val="21"/>
          <w:lang w:val="en-US" w:eastAsia="zh-CN"/>
          <w14:textFill>
            <w14:solidFill>
              <w14:schemeClr w14:val="tx1"/>
            </w14:solidFill>
          </w14:textFill>
        </w:rPr>
        <w:t xml:space="preserve"> </w:t>
      </w:r>
    </w:p>
    <w:sectPr>
      <w:footerReference r:id="rId5" w:type="default"/>
      <w:pgSz w:w="16838" w:h="11906" w:orient="landscape"/>
      <w:pgMar w:top="1417" w:right="1134" w:bottom="1134"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T Extra"/>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  \* MERGEFORMAT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1</w:t>
                          </w:r>
                          <w:r>
                            <w:rPr>
                              <w:rFonts w:hint="eastAsia" w:ascii="宋体" w:hAnsi="宋体" w:eastAsia="宋体" w:cs="宋体"/>
                              <w:color w:val="000000"/>
                              <w:sz w:val="21"/>
                              <w:szCs w:val="21"/>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6"/>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  \* MERGEFORMAT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1</w:t>
                    </w:r>
                    <w:r>
                      <w:rPr>
                        <w:rFonts w:hint="eastAsia" w:ascii="宋体" w:hAnsi="宋体" w:eastAsia="宋体" w:cs="宋体"/>
                        <w:color w:val="000000"/>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doNotDisplayPageBoundaries w:val="true"/>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A0783"/>
    <w:rsid w:val="00105D8C"/>
    <w:rsid w:val="00367849"/>
    <w:rsid w:val="00386300"/>
    <w:rsid w:val="00637D4E"/>
    <w:rsid w:val="00B13192"/>
    <w:rsid w:val="00DD2413"/>
    <w:rsid w:val="01087948"/>
    <w:rsid w:val="013660F8"/>
    <w:rsid w:val="017C6D0A"/>
    <w:rsid w:val="020B79C6"/>
    <w:rsid w:val="02EF3E7D"/>
    <w:rsid w:val="033D772D"/>
    <w:rsid w:val="03D964C0"/>
    <w:rsid w:val="041A1B6C"/>
    <w:rsid w:val="04223580"/>
    <w:rsid w:val="043B5AFC"/>
    <w:rsid w:val="04565F0C"/>
    <w:rsid w:val="0482288A"/>
    <w:rsid w:val="055422FD"/>
    <w:rsid w:val="06113AEC"/>
    <w:rsid w:val="07A7031D"/>
    <w:rsid w:val="07E8334B"/>
    <w:rsid w:val="08053EFD"/>
    <w:rsid w:val="081E7E69"/>
    <w:rsid w:val="08C96CD9"/>
    <w:rsid w:val="08CA47FF"/>
    <w:rsid w:val="095E1B17"/>
    <w:rsid w:val="09865008"/>
    <w:rsid w:val="09C556F2"/>
    <w:rsid w:val="09FE0C04"/>
    <w:rsid w:val="0A3458B3"/>
    <w:rsid w:val="0A84735B"/>
    <w:rsid w:val="0ADD7A49"/>
    <w:rsid w:val="0AE33940"/>
    <w:rsid w:val="0C236700"/>
    <w:rsid w:val="0C4D3902"/>
    <w:rsid w:val="0C552D4C"/>
    <w:rsid w:val="0CFD1647"/>
    <w:rsid w:val="0D0B3D64"/>
    <w:rsid w:val="0D1150F2"/>
    <w:rsid w:val="0D1A0783"/>
    <w:rsid w:val="0DE545B5"/>
    <w:rsid w:val="0E122ED0"/>
    <w:rsid w:val="0E355127"/>
    <w:rsid w:val="0F184103"/>
    <w:rsid w:val="110E3E08"/>
    <w:rsid w:val="11AE22DB"/>
    <w:rsid w:val="124500D3"/>
    <w:rsid w:val="12AC38F3"/>
    <w:rsid w:val="13C04D1D"/>
    <w:rsid w:val="147F207F"/>
    <w:rsid w:val="14BA11C1"/>
    <w:rsid w:val="15743CFA"/>
    <w:rsid w:val="157B75AD"/>
    <w:rsid w:val="157C1645"/>
    <w:rsid w:val="15E11197"/>
    <w:rsid w:val="17477FBC"/>
    <w:rsid w:val="17854EC8"/>
    <w:rsid w:val="178A2EE1"/>
    <w:rsid w:val="18411371"/>
    <w:rsid w:val="18702CCD"/>
    <w:rsid w:val="188E4EC1"/>
    <w:rsid w:val="19AD7F51"/>
    <w:rsid w:val="19EC6C78"/>
    <w:rsid w:val="1A134190"/>
    <w:rsid w:val="1A34097B"/>
    <w:rsid w:val="1BDFEE0C"/>
    <w:rsid w:val="1C651A8C"/>
    <w:rsid w:val="1C681D7B"/>
    <w:rsid w:val="1CA57F98"/>
    <w:rsid w:val="1D2F2C78"/>
    <w:rsid w:val="1E5660EB"/>
    <w:rsid w:val="1E7B69F5"/>
    <w:rsid w:val="1F3ED8E8"/>
    <w:rsid w:val="1F642E60"/>
    <w:rsid w:val="1F881244"/>
    <w:rsid w:val="1FF6C103"/>
    <w:rsid w:val="1FFFA303"/>
    <w:rsid w:val="20D83B05"/>
    <w:rsid w:val="210A02A4"/>
    <w:rsid w:val="21371D65"/>
    <w:rsid w:val="22241D69"/>
    <w:rsid w:val="22410EAD"/>
    <w:rsid w:val="22A81F88"/>
    <w:rsid w:val="24501AAF"/>
    <w:rsid w:val="25164BFC"/>
    <w:rsid w:val="255F07E0"/>
    <w:rsid w:val="259C15A5"/>
    <w:rsid w:val="25B96753"/>
    <w:rsid w:val="2604714B"/>
    <w:rsid w:val="268C32D8"/>
    <w:rsid w:val="27BD5803"/>
    <w:rsid w:val="28810596"/>
    <w:rsid w:val="291925F4"/>
    <w:rsid w:val="2A047719"/>
    <w:rsid w:val="2A4D10C0"/>
    <w:rsid w:val="2AEB15F8"/>
    <w:rsid w:val="2B5D3585"/>
    <w:rsid w:val="2B7B94BA"/>
    <w:rsid w:val="2B98280F"/>
    <w:rsid w:val="2BF79DED"/>
    <w:rsid w:val="2C8836E4"/>
    <w:rsid w:val="2D875411"/>
    <w:rsid w:val="2F9E23BE"/>
    <w:rsid w:val="2FE51D9B"/>
    <w:rsid w:val="2FFB1763"/>
    <w:rsid w:val="2FFF2F3A"/>
    <w:rsid w:val="30963095"/>
    <w:rsid w:val="31004AF3"/>
    <w:rsid w:val="317A086B"/>
    <w:rsid w:val="31966F3E"/>
    <w:rsid w:val="319F44BB"/>
    <w:rsid w:val="31B42D54"/>
    <w:rsid w:val="31B45EC9"/>
    <w:rsid w:val="32170F7F"/>
    <w:rsid w:val="32427031"/>
    <w:rsid w:val="32CF5A59"/>
    <w:rsid w:val="332D4131"/>
    <w:rsid w:val="33E74334"/>
    <w:rsid w:val="33FB92C3"/>
    <w:rsid w:val="341C0B67"/>
    <w:rsid w:val="344D6161"/>
    <w:rsid w:val="34E24AFB"/>
    <w:rsid w:val="352E5F92"/>
    <w:rsid w:val="355A755C"/>
    <w:rsid w:val="35BA7547"/>
    <w:rsid w:val="368220F2"/>
    <w:rsid w:val="36FD5D83"/>
    <w:rsid w:val="372D0A23"/>
    <w:rsid w:val="37543B13"/>
    <w:rsid w:val="376842B9"/>
    <w:rsid w:val="37A95DA4"/>
    <w:rsid w:val="37C9251E"/>
    <w:rsid w:val="37F77D1F"/>
    <w:rsid w:val="38794FC3"/>
    <w:rsid w:val="38845534"/>
    <w:rsid w:val="38C66DC5"/>
    <w:rsid w:val="38DB1B44"/>
    <w:rsid w:val="38EA628D"/>
    <w:rsid w:val="39671A73"/>
    <w:rsid w:val="396C8050"/>
    <w:rsid w:val="3986639D"/>
    <w:rsid w:val="39946E87"/>
    <w:rsid w:val="39B051C8"/>
    <w:rsid w:val="39FA5619"/>
    <w:rsid w:val="3A8D5509"/>
    <w:rsid w:val="3AFA6220"/>
    <w:rsid w:val="3B6E71F3"/>
    <w:rsid w:val="3B6F774A"/>
    <w:rsid w:val="3C3720E7"/>
    <w:rsid w:val="3C6F26E0"/>
    <w:rsid w:val="3D143324"/>
    <w:rsid w:val="3D7F2C6F"/>
    <w:rsid w:val="3DA43295"/>
    <w:rsid w:val="3E20CCFD"/>
    <w:rsid w:val="3E9375E1"/>
    <w:rsid w:val="3EFD96EE"/>
    <w:rsid w:val="3F1FAB99"/>
    <w:rsid w:val="3F894EFE"/>
    <w:rsid w:val="3FAE0C50"/>
    <w:rsid w:val="3FDF0FFD"/>
    <w:rsid w:val="3FDFF612"/>
    <w:rsid w:val="3FE70B1C"/>
    <w:rsid w:val="3FEF3F2B"/>
    <w:rsid w:val="404F0EE6"/>
    <w:rsid w:val="41A878F9"/>
    <w:rsid w:val="422F6EA6"/>
    <w:rsid w:val="42D00689"/>
    <w:rsid w:val="43721BC8"/>
    <w:rsid w:val="444D134B"/>
    <w:rsid w:val="44FD4407"/>
    <w:rsid w:val="45171294"/>
    <w:rsid w:val="481753A4"/>
    <w:rsid w:val="48AF2FAE"/>
    <w:rsid w:val="493060AA"/>
    <w:rsid w:val="49EB0E21"/>
    <w:rsid w:val="4A344261"/>
    <w:rsid w:val="4A396D19"/>
    <w:rsid w:val="4A830E92"/>
    <w:rsid w:val="4B0771CB"/>
    <w:rsid w:val="4B5D6832"/>
    <w:rsid w:val="4B751DCD"/>
    <w:rsid w:val="4B9B6C8A"/>
    <w:rsid w:val="4BFE1DA7"/>
    <w:rsid w:val="4C80543E"/>
    <w:rsid w:val="4E163064"/>
    <w:rsid w:val="4E1D5228"/>
    <w:rsid w:val="4E346E10"/>
    <w:rsid w:val="4ED00D27"/>
    <w:rsid w:val="4F811AF9"/>
    <w:rsid w:val="50200DB4"/>
    <w:rsid w:val="50792360"/>
    <w:rsid w:val="50E6470E"/>
    <w:rsid w:val="512C0529"/>
    <w:rsid w:val="51911F10"/>
    <w:rsid w:val="51DB774E"/>
    <w:rsid w:val="523A1889"/>
    <w:rsid w:val="5306230C"/>
    <w:rsid w:val="53532C6B"/>
    <w:rsid w:val="536959A6"/>
    <w:rsid w:val="53DB0C3B"/>
    <w:rsid w:val="53F1387A"/>
    <w:rsid w:val="543826DF"/>
    <w:rsid w:val="54B61F3F"/>
    <w:rsid w:val="554B3544"/>
    <w:rsid w:val="55AE6607"/>
    <w:rsid w:val="560D6F51"/>
    <w:rsid w:val="563E7E71"/>
    <w:rsid w:val="565FEC04"/>
    <w:rsid w:val="573A3ECB"/>
    <w:rsid w:val="57BC2B32"/>
    <w:rsid w:val="57C739B1"/>
    <w:rsid w:val="57D800A1"/>
    <w:rsid w:val="57EF2D17"/>
    <w:rsid w:val="581934E5"/>
    <w:rsid w:val="5837126E"/>
    <w:rsid w:val="586C24F1"/>
    <w:rsid w:val="58F919E4"/>
    <w:rsid w:val="5A7D47FA"/>
    <w:rsid w:val="5AA30013"/>
    <w:rsid w:val="5B2348F0"/>
    <w:rsid w:val="5C566F61"/>
    <w:rsid w:val="5C7040C4"/>
    <w:rsid w:val="5CD94923"/>
    <w:rsid w:val="5D107BA8"/>
    <w:rsid w:val="5DAF3F31"/>
    <w:rsid w:val="5DC34C1A"/>
    <w:rsid w:val="5DFFBDC1"/>
    <w:rsid w:val="5E703FCE"/>
    <w:rsid w:val="5F5B08E5"/>
    <w:rsid w:val="5F9E7C60"/>
    <w:rsid w:val="5FB54431"/>
    <w:rsid w:val="5FF3CAF6"/>
    <w:rsid w:val="5FFF311E"/>
    <w:rsid w:val="605E78A2"/>
    <w:rsid w:val="60A807F2"/>
    <w:rsid w:val="6242717A"/>
    <w:rsid w:val="62456B4E"/>
    <w:rsid w:val="629923ED"/>
    <w:rsid w:val="635B5EDF"/>
    <w:rsid w:val="63DD3A31"/>
    <w:rsid w:val="64314E47"/>
    <w:rsid w:val="644A3F19"/>
    <w:rsid w:val="66860D49"/>
    <w:rsid w:val="66EE9FC2"/>
    <w:rsid w:val="67EC296B"/>
    <w:rsid w:val="67FA392E"/>
    <w:rsid w:val="6852376A"/>
    <w:rsid w:val="6876268E"/>
    <w:rsid w:val="68D128E1"/>
    <w:rsid w:val="69B67D29"/>
    <w:rsid w:val="69BC26F9"/>
    <w:rsid w:val="6BF6265F"/>
    <w:rsid w:val="6C863145"/>
    <w:rsid w:val="6CE72211"/>
    <w:rsid w:val="6D045452"/>
    <w:rsid w:val="6D0D025F"/>
    <w:rsid w:val="6D7D90A7"/>
    <w:rsid w:val="6D855A48"/>
    <w:rsid w:val="6DE9C34B"/>
    <w:rsid w:val="6E56579E"/>
    <w:rsid w:val="6E5FCAD4"/>
    <w:rsid w:val="6E8D72AA"/>
    <w:rsid w:val="6EC151A6"/>
    <w:rsid w:val="6ED57B2E"/>
    <w:rsid w:val="6F590B21"/>
    <w:rsid w:val="6F7264A0"/>
    <w:rsid w:val="6F810491"/>
    <w:rsid w:val="6FFFD5B1"/>
    <w:rsid w:val="704240C4"/>
    <w:rsid w:val="70A40687"/>
    <w:rsid w:val="71637E27"/>
    <w:rsid w:val="719D061C"/>
    <w:rsid w:val="73267CCD"/>
    <w:rsid w:val="737DE0DF"/>
    <w:rsid w:val="73B9DE1F"/>
    <w:rsid w:val="73BA353C"/>
    <w:rsid w:val="73DEF1C0"/>
    <w:rsid w:val="73EBCC90"/>
    <w:rsid w:val="73F15E96"/>
    <w:rsid w:val="73F7370F"/>
    <w:rsid w:val="73FB3A27"/>
    <w:rsid w:val="742026EA"/>
    <w:rsid w:val="74CB355A"/>
    <w:rsid w:val="75B32764"/>
    <w:rsid w:val="75DA004E"/>
    <w:rsid w:val="75DD51F8"/>
    <w:rsid w:val="75F398AF"/>
    <w:rsid w:val="75FFF20A"/>
    <w:rsid w:val="7601057E"/>
    <w:rsid w:val="76B54783"/>
    <w:rsid w:val="76B7CA08"/>
    <w:rsid w:val="76E310F4"/>
    <w:rsid w:val="76F9B508"/>
    <w:rsid w:val="76FB7D71"/>
    <w:rsid w:val="76FF243B"/>
    <w:rsid w:val="76FF89FF"/>
    <w:rsid w:val="7771269A"/>
    <w:rsid w:val="77DC59B4"/>
    <w:rsid w:val="77F3E2DE"/>
    <w:rsid w:val="77FBCBEC"/>
    <w:rsid w:val="78012DA4"/>
    <w:rsid w:val="7866523B"/>
    <w:rsid w:val="79422511"/>
    <w:rsid w:val="79544AAA"/>
    <w:rsid w:val="7977E371"/>
    <w:rsid w:val="79982FA7"/>
    <w:rsid w:val="79CFB3FD"/>
    <w:rsid w:val="79F47D3E"/>
    <w:rsid w:val="7A256345"/>
    <w:rsid w:val="7A2B3810"/>
    <w:rsid w:val="7A4D5B40"/>
    <w:rsid w:val="7AEDE506"/>
    <w:rsid w:val="7AF64429"/>
    <w:rsid w:val="7B3EA2AD"/>
    <w:rsid w:val="7BC810AA"/>
    <w:rsid w:val="7BEF3B4C"/>
    <w:rsid w:val="7BFFDD52"/>
    <w:rsid w:val="7C7F3782"/>
    <w:rsid w:val="7D4B70B3"/>
    <w:rsid w:val="7DC91981"/>
    <w:rsid w:val="7DFFABF4"/>
    <w:rsid w:val="7E100520"/>
    <w:rsid w:val="7E29575D"/>
    <w:rsid w:val="7E2A70A8"/>
    <w:rsid w:val="7E7F0644"/>
    <w:rsid w:val="7E9E6BE9"/>
    <w:rsid w:val="7EAF8C10"/>
    <w:rsid w:val="7EBF9C84"/>
    <w:rsid w:val="7EF65DD8"/>
    <w:rsid w:val="7EFA7A4B"/>
    <w:rsid w:val="7EFD2A1F"/>
    <w:rsid w:val="7EFFDF60"/>
    <w:rsid w:val="7F196975"/>
    <w:rsid w:val="7F27002A"/>
    <w:rsid w:val="7F774684"/>
    <w:rsid w:val="7F7B2285"/>
    <w:rsid w:val="7F820039"/>
    <w:rsid w:val="7FB62B45"/>
    <w:rsid w:val="7FB95345"/>
    <w:rsid w:val="7FBD17F9"/>
    <w:rsid w:val="7FBF6552"/>
    <w:rsid w:val="7FBF786A"/>
    <w:rsid w:val="7FD12699"/>
    <w:rsid w:val="7FDEAEBB"/>
    <w:rsid w:val="7FE9E7EB"/>
    <w:rsid w:val="7FEFB9B0"/>
    <w:rsid w:val="7FFF5FED"/>
    <w:rsid w:val="8E53A1D4"/>
    <w:rsid w:val="9D3292CB"/>
    <w:rsid w:val="9EEE3551"/>
    <w:rsid w:val="9EFD4711"/>
    <w:rsid w:val="ABE9E519"/>
    <w:rsid w:val="AFFF677D"/>
    <w:rsid w:val="AFFFD946"/>
    <w:rsid w:val="B3DD58D9"/>
    <w:rsid w:val="B5FFECB3"/>
    <w:rsid w:val="BA5BA916"/>
    <w:rsid w:val="BA7B23C6"/>
    <w:rsid w:val="BCBD8A14"/>
    <w:rsid w:val="BF3E6507"/>
    <w:rsid w:val="BF913ABC"/>
    <w:rsid w:val="BF9BA8F2"/>
    <w:rsid w:val="BFC531ED"/>
    <w:rsid w:val="BFE56D8F"/>
    <w:rsid w:val="BFFF3D42"/>
    <w:rsid w:val="C5EF4055"/>
    <w:rsid w:val="CCFBE222"/>
    <w:rsid w:val="CD7B68DC"/>
    <w:rsid w:val="CD7FA307"/>
    <w:rsid w:val="D3F72044"/>
    <w:rsid w:val="D7FF8DFE"/>
    <w:rsid w:val="DDBFA354"/>
    <w:rsid w:val="DDEC4CF2"/>
    <w:rsid w:val="DDF73FF6"/>
    <w:rsid w:val="DED5FEB9"/>
    <w:rsid w:val="DF498920"/>
    <w:rsid w:val="DFBC6B7B"/>
    <w:rsid w:val="DFDEEB92"/>
    <w:rsid w:val="DFEFE942"/>
    <w:rsid w:val="DFFE1F2A"/>
    <w:rsid w:val="DFFF41ED"/>
    <w:rsid w:val="DFFF52BA"/>
    <w:rsid w:val="E589BE4F"/>
    <w:rsid w:val="E79F9658"/>
    <w:rsid w:val="EAB66338"/>
    <w:rsid w:val="ED76B637"/>
    <w:rsid w:val="EDF702BF"/>
    <w:rsid w:val="EFDBA5FD"/>
    <w:rsid w:val="EFDF612C"/>
    <w:rsid w:val="EFE9D509"/>
    <w:rsid w:val="EFF7447F"/>
    <w:rsid w:val="EFFAD975"/>
    <w:rsid w:val="EFFBC47F"/>
    <w:rsid w:val="EFFBE9E0"/>
    <w:rsid w:val="F32A1895"/>
    <w:rsid w:val="FB7DCA0C"/>
    <w:rsid w:val="FBE879DE"/>
    <w:rsid w:val="FCB73232"/>
    <w:rsid w:val="FCBE8721"/>
    <w:rsid w:val="FD7AEE57"/>
    <w:rsid w:val="FD7F3A07"/>
    <w:rsid w:val="FDD69018"/>
    <w:rsid w:val="FDEF52D9"/>
    <w:rsid w:val="FDF7586D"/>
    <w:rsid w:val="FDFA3A8C"/>
    <w:rsid w:val="FDFB2180"/>
    <w:rsid w:val="FE3FADE9"/>
    <w:rsid w:val="FE734873"/>
    <w:rsid w:val="FE7F2129"/>
    <w:rsid w:val="FEC6AF01"/>
    <w:rsid w:val="FEEF9672"/>
    <w:rsid w:val="FEEFFF3B"/>
    <w:rsid w:val="FF3E90E0"/>
    <w:rsid w:val="FF76BC02"/>
    <w:rsid w:val="FF788CB9"/>
    <w:rsid w:val="FFB566B0"/>
    <w:rsid w:val="FFD69D4F"/>
    <w:rsid w:val="FFD94E5F"/>
    <w:rsid w:val="FFDF5234"/>
    <w:rsid w:val="FFF739B2"/>
    <w:rsid w:val="FFF770BC"/>
    <w:rsid w:val="FFFE55EF"/>
    <w:rsid w:val="FFFF8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qFormat="1"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qFormat="1" w:unhideWhenUsed="0" w:uiPriority="3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qFormat="1"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qFormat="1"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qFormat="1" w:uiPriority="99" w:name="Body Text"/>
    <w:lsdException w:qFormat="1" w:unhideWhenUsed="0"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9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imes New Roman" w:hAnsi="Times New Roman" w:cs="Times New Roman"/>
    </w:rPr>
  </w:style>
  <w:style w:type="paragraph" w:styleId="4">
    <w:name w:val="Body Text"/>
    <w:basedOn w:val="1"/>
    <w:semiHidden/>
    <w:unhideWhenUsed/>
    <w:qFormat/>
    <w:uiPriority w:val="99"/>
    <w:pPr>
      <w:spacing w:after="120"/>
    </w:pPr>
  </w:style>
  <w:style w:type="paragraph" w:styleId="5">
    <w:name w:val="Body Text Indent"/>
    <w:qFormat/>
    <w:uiPriority w:val="0"/>
    <w:pPr>
      <w:widowControl w:val="0"/>
      <w:tabs>
        <w:tab w:val="left" w:pos="210"/>
      </w:tabs>
      <w:spacing w:after="120" w:line="278" w:lineRule="auto"/>
      <w:ind w:left="420" w:leftChars="200"/>
      <w:jc w:val="both"/>
    </w:pPr>
    <w:rPr>
      <w:rFonts w:ascii="Calibri" w:hAnsi="Calibri" w:eastAsia="宋体" w:cs="Times New Roman"/>
      <w:sz w:val="21"/>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8">
    <w:name w:val="toc 2"/>
    <w:next w:val="1"/>
    <w:qFormat/>
    <w:uiPriority w:val="39"/>
    <w:pPr>
      <w:widowControl w:val="0"/>
      <w:spacing w:after="160" w:line="278" w:lineRule="auto"/>
      <w:ind w:left="420" w:leftChars="200"/>
      <w:jc w:val="both"/>
    </w:pPr>
    <w:rPr>
      <w:rFonts w:ascii="Times New Roman" w:hAnsi="Times New Roman" w:eastAsia="宋体" w:cs="Times New Roman"/>
      <w:kern w:val="2"/>
      <w:sz w:val="21"/>
      <w:szCs w:val="24"/>
      <w:lang w:val="en-US" w:eastAsia="zh-CN" w:bidi="ar-SA"/>
    </w:rPr>
  </w:style>
  <w:style w:type="paragraph" w:styleId="9">
    <w:name w:val="Title"/>
    <w:basedOn w:val="1"/>
    <w:qFormat/>
    <w:uiPriority w:val="99"/>
    <w:pPr>
      <w:spacing w:before="240" w:beforeLines="0" w:beforeAutospacing="0" w:after="60" w:afterLines="0" w:afterAutospacing="0"/>
      <w:jc w:val="center"/>
      <w:outlineLvl w:val="0"/>
    </w:pPr>
    <w:rPr>
      <w:rFonts w:ascii="Arial" w:hAnsi="Arial"/>
      <w:b/>
      <w:sz w:val="32"/>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99"/>
  </w:style>
  <w:style w:type="paragraph" w:customStyle="1" w:styleId="14">
    <w:name w:val="表格文字2"/>
    <w:qFormat/>
    <w:uiPriority w:val="0"/>
    <w:pPr>
      <w:widowControl w:val="0"/>
      <w:tabs>
        <w:tab w:val="left" w:pos="210"/>
      </w:tabs>
      <w:spacing w:before="25" w:after="25" w:line="278" w:lineRule="auto"/>
      <w:ind w:left="420" w:leftChars="200"/>
    </w:pPr>
    <w:rPr>
      <w:rFonts w:ascii="Calibri" w:hAnsi="Calibri" w:eastAsia="宋体" w:cs="Times New Roman"/>
      <w:bCs/>
      <w:spacing w:val="10"/>
      <w:sz w:val="24"/>
      <w:lang w:val="en-US" w:eastAsia="zh-CN" w:bidi="ar-SA"/>
    </w:rPr>
  </w:style>
  <w:style w:type="table" w:customStyle="1" w:styleId="15">
    <w:name w:val="Table Normal"/>
    <w:basedOn w:val="10"/>
    <w:semiHidden/>
    <w:unhideWhenUsed/>
    <w:qFormat/>
    <w:uiPriority w:val="0"/>
    <w:tblPr>
      <w:tblCellMar>
        <w:left w:w="0" w:type="dxa"/>
        <w:right w:w="0" w:type="dxa"/>
      </w:tblCellMar>
    </w:tblPr>
  </w:style>
  <w:style w:type="paragraph" w:customStyle="1" w:styleId="16">
    <w:name w:val="Table Text"/>
    <w:basedOn w:val="1"/>
    <w:semiHidden/>
    <w:qFormat/>
    <w:uiPriority w:val="0"/>
    <w:rPr>
      <w:rFonts w:ascii="宋体" w:hAnsi="宋体" w:eastAsia="宋体" w:cs="宋体"/>
      <w:sz w:val="20"/>
      <w:szCs w:val="20"/>
      <w:lang w:eastAsia="en-US"/>
    </w:rPr>
  </w:style>
  <w:style w:type="character" w:customStyle="1" w:styleId="17">
    <w:name w:val="font21"/>
    <w:basedOn w:val="12"/>
    <w:qFormat/>
    <w:uiPriority w:val="0"/>
    <w:rPr>
      <w:rFonts w:hint="eastAsia" w:ascii="宋体" w:hAnsi="宋体" w:eastAsia="宋体" w:cs="宋体"/>
      <w:color w:val="000000"/>
      <w:sz w:val="21"/>
      <w:szCs w:val="21"/>
      <w:u w:val="none"/>
    </w:rPr>
  </w:style>
  <w:style w:type="character" w:customStyle="1" w:styleId="18">
    <w:name w:val="font01"/>
    <w:basedOn w:val="12"/>
    <w:qFormat/>
    <w:uiPriority w:val="0"/>
    <w:rPr>
      <w:rFonts w:ascii="Calibri" w:hAnsi="Calibri" w:cs="Calibri"/>
      <w:color w:val="000000"/>
      <w:sz w:val="21"/>
      <w:szCs w:val="21"/>
      <w:u w:val="none"/>
    </w:rPr>
  </w:style>
  <w:style w:type="paragraph" w:customStyle="1" w:styleId="19">
    <w:name w:val="说明"/>
    <w:basedOn w:val="1"/>
    <w:qFormat/>
    <w:uiPriority w:val="0"/>
    <w:pPr>
      <w:spacing w:line="400" w:lineRule="atLeast"/>
    </w:pPr>
    <w:rPr>
      <w:rFonts w:ascii="楷体_GB2312" w:eastAsia="楷体_GB2312"/>
      <w:sz w:val="24"/>
    </w:rPr>
  </w:style>
  <w:style w:type="paragraph" w:styleId="20">
    <w:name w:val="List Paragraph"/>
    <w:basedOn w:val="1"/>
    <w:qFormat/>
    <w:uiPriority w:val="99"/>
    <w:pPr>
      <w:ind w:firstLine="420" w:firstLineChars="200"/>
    </w:pPr>
  </w:style>
  <w:style w:type="paragraph" w:customStyle="1" w:styleId="21">
    <w:name w:val="段"/>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true">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883</Words>
  <Characters>5035</Characters>
  <Lines>41</Lines>
  <Paragraphs>11</Paragraphs>
  <TotalTime>7</TotalTime>
  <ScaleCrop>false</ScaleCrop>
  <LinksUpToDate>false</LinksUpToDate>
  <CharactersWithSpaces>5907</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2023-05-15T06:06:00Z</dcterms:created>
  <dc:creator>刘国华</dc:creator>
  <cp:lastModifiedBy>liuqing</cp:lastModifiedBy>
  <dcterms:modified xsi:type="dcterms:W3CDTF">2024-07-16T12:55:36Z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09F53CC602FB454BB5D4B73164CC74C0_13</vt:lpwstr>
  </property>
</Properties>
</file>