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after="157" w:afterLines="50" w:line="560" w:lineRule="exact"/>
        <w:textAlignment w:val="auto"/>
        <w:rPr>
          <w:rFonts w:hint="eastAsia" w:ascii="黑体" w:hAnsi="黑体" w:eastAsia="黑体" w:cs="黑体"/>
          <w:sz w:val="32"/>
          <w:szCs w:val="32"/>
          <w:shd w:val="clear" w:color="050000" w:fill="auto"/>
        </w:rPr>
      </w:pPr>
      <w:r>
        <w:rPr>
          <w:rFonts w:hint="eastAsia" w:ascii="黑体" w:hAnsi="黑体" w:eastAsia="黑体" w:cs="黑体"/>
          <w:sz w:val="32"/>
          <w:szCs w:val="32"/>
          <w:shd w:val="clear" w:color="050000" w:fill="auto"/>
        </w:rPr>
        <w:t>附件</w:t>
      </w:r>
    </w:p>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0"/>
        <w:jc w:val="center"/>
        <w:textAlignment w:val="auto"/>
        <w:rPr>
          <w:rFonts w:hint="eastAsia" w:ascii="方正小标宋简体" w:hAnsi="方正小标宋简体" w:eastAsia="方正小标宋简体" w:cs="方正小标宋简体"/>
          <w:sz w:val="44"/>
          <w:szCs w:val="44"/>
          <w:lang w:bidi="ar"/>
        </w:rPr>
      </w:pPr>
      <w:r>
        <w:rPr>
          <w:rFonts w:hint="eastAsia" w:ascii="方正小标宋简体" w:hAnsi="方正小标宋简体" w:eastAsia="方正小标宋简体" w:cs="方正小标宋简体"/>
          <w:sz w:val="44"/>
          <w:szCs w:val="44"/>
          <w:lang w:bidi="ar"/>
        </w:rPr>
        <w:t>《深圳市</w:t>
      </w:r>
      <w:r>
        <w:rPr>
          <w:rFonts w:hint="eastAsia" w:ascii="方正小标宋简体" w:hAnsi="方正小标宋简体" w:eastAsia="方正小标宋简体" w:cs="方正小标宋简体"/>
          <w:sz w:val="44"/>
          <w:szCs w:val="44"/>
          <w:lang w:eastAsia="zh-CN" w:bidi="ar"/>
        </w:rPr>
        <w:t>深基坑管理规定</w:t>
      </w:r>
      <w:r>
        <w:rPr>
          <w:rFonts w:hint="eastAsia" w:ascii="方正小标宋简体" w:hAnsi="方正小标宋简体" w:eastAsia="方正小标宋简体" w:cs="方正小标宋简体"/>
          <w:sz w:val="44"/>
          <w:szCs w:val="44"/>
          <w:lang w:bidi="ar"/>
        </w:rPr>
        <w:t>》（征求意见稿）</w:t>
      </w:r>
    </w:p>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157" w:afterLines="50" w:afterAutospacing="0" w:line="560" w:lineRule="exact"/>
        <w:ind w:left="0" w:right="0" w:firstLine="0"/>
        <w:jc w:val="center"/>
        <w:textAlignment w:val="auto"/>
        <w:rPr>
          <w:rFonts w:hint="eastAsia" w:ascii="方正小标宋简体" w:hAnsi="方正小标宋简体" w:eastAsia="方正小标宋简体" w:cs="方正小标宋简体"/>
          <w:sz w:val="44"/>
          <w:szCs w:val="44"/>
          <w:lang w:bidi="ar"/>
        </w:rPr>
      </w:pPr>
      <w:r>
        <w:rPr>
          <w:rFonts w:hint="eastAsia" w:ascii="方正小标宋简体" w:hAnsi="方正小标宋简体" w:eastAsia="方正小标宋简体" w:cs="方正小标宋简体"/>
          <w:sz w:val="44"/>
          <w:szCs w:val="44"/>
          <w:lang w:bidi="ar"/>
        </w:rPr>
        <w:t>意见及采纳情况汇</w:t>
      </w:r>
      <w:bookmarkStart w:id="0" w:name="_GoBack"/>
      <w:bookmarkEnd w:id="0"/>
      <w:r>
        <w:rPr>
          <w:rFonts w:hint="eastAsia" w:ascii="方正小标宋简体" w:hAnsi="方正小标宋简体" w:eastAsia="方正小标宋简体" w:cs="方正小标宋简体"/>
          <w:sz w:val="44"/>
          <w:szCs w:val="44"/>
          <w:lang w:bidi="ar"/>
        </w:rPr>
        <w:t>总表</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本次征求意见截至</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12</w:t>
      </w:r>
      <w:r>
        <w:rPr>
          <w:rFonts w:hint="eastAsia" w:ascii="仿宋_GB2312" w:hAnsi="仿宋_GB2312" w:eastAsia="仿宋_GB2312" w:cs="仿宋_GB2312"/>
          <w:color w:val="000000" w:themeColor="text1"/>
          <w:sz w:val="32"/>
          <w:szCs w:val="32"/>
          <w14:textFill>
            <w14:solidFill>
              <w14:schemeClr w14:val="tx1"/>
            </w14:solidFill>
          </w14:textFill>
        </w:rPr>
        <w:t>月</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1</w:t>
      </w:r>
      <w:r>
        <w:rPr>
          <w:rFonts w:hint="eastAsia" w:ascii="仿宋_GB2312" w:hAnsi="仿宋_GB2312" w:eastAsia="仿宋_GB2312" w:cs="仿宋_GB2312"/>
          <w:color w:val="000000" w:themeColor="text1"/>
          <w:sz w:val="32"/>
          <w:szCs w:val="32"/>
          <w14:textFill>
            <w14:solidFill>
              <w14:schemeClr w14:val="tx1"/>
            </w14:solidFill>
          </w14:textFill>
        </w:rPr>
        <w:t>日，共收</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15</w:t>
      </w:r>
      <w:r>
        <w:rPr>
          <w:rFonts w:hint="eastAsia" w:ascii="仿宋_GB2312" w:hAnsi="仿宋_GB2312" w:eastAsia="仿宋_GB2312" w:cs="仿宋_GB2312"/>
          <w:color w:val="000000" w:themeColor="text1"/>
          <w:sz w:val="32"/>
          <w:szCs w:val="32"/>
          <w14:textFill>
            <w14:solidFill>
              <w14:schemeClr w14:val="tx1"/>
            </w14:solidFill>
          </w14:textFill>
        </w:rPr>
        <w:t>条有效意见。经认真研究，采纳</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4</w:t>
      </w:r>
      <w:r>
        <w:rPr>
          <w:rFonts w:hint="eastAsia" w:ascii="仿宋_GB2312" w:hAnsi="仿宋_GB2312" w:eastAsia="仿宋_GB2312" w:cs="仿宋_GB2312"/>
          <w:color w:val="000000" w:themeColor="text1"/>
          <w:sz w:val="32"/>
          <w:szCs w:val="32"/>
          <w14:textFill>
            <w14:solidFill>
              <w14:schemeClr w14:val="tx1"/>
            </w14:solidFill>
          </w14:textFill>
        </w:rPr>
        <w:t>条，部分采纳</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3</w:t>
      </w:r>
      <w:r>
        <w:rPr>
          <w:rFonts w:hint="eastAsia" w:ascii="仿宋_GB2312" w:hAnsi="仿宋_GB2312" w:eastAsia="仿宋_GB2312" w:cs="仿宋_GB2312"/>
          <w:color w:val="000000" w:themeColor="text1"/>
          <w:sz w:val="32"/>
          <w:szCs w:val="32"/>
          <w14:textFill>
            <w14:solidFill>
              <w14:schemeClr w14:val="tx1"/>
            </w14:solidFill>
          </w14:textFill>
        </w:rPr>
        <w:t>条，</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不采纳5条，</w:t>
      </w:r>
      <w:r>
        <w:rPr>
          <w:rFonts w:hint="eastAsia" w:ascii="仿宋_GB2312" w:hAnsi="仿宋_GB2312" w:eastAsia="仿宋_GB2312" w:cs="仿宋_GB2312"/>
          <w:color w:val="000000" w:themeColor="text1"/>
          <w:sz w:val="32"/>
          <w:szCs w:val="32"/>
          <w14:textFill>
            <w14:solidFill>
              <w14:schemeClr w14:val="tx1"/>
            </w14:solidFill>
          </w14:textFill>
        </w:rPr>
        <w:t>解释说明</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3</w:t>
      </w:r>
      <w:r>
        <w:rPr>
          <w:rFonts w:hint="eastAsia" w:ascii="仿宋_GB2312" w:hAnsi="仿宋_GB2312" w:eastAsia="仿宋_GB2312" w:cs="仿宋_GB2312"/>
          <w:color w:val="000000" w:themeColor="text1"/>
          <w:sz w:val="32"/>
          <w:szCs w:val="32"/>
          <w14:textFill>
            <w14:solidFill>
              <w14:schemeClr w14:val="tx1"/>
            </w14:solidFill>
          </w14:textFill>
        </w:rPr>
        <w:t>条。</w:t>
      </w:r>
    </w:p>
    <w:tbl>
      <w:tblPr>
        <w:tblStyle w:val="9"/>
        <w:tblW w:w="13746"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3"/>
        <w:gridCol w:w="1238"/>
        <w:gridCol w:w="5542"/>
        <w:gridCol w:w="1460"/>
        <w:gridCol w:w="459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1" w:hRule="atLeast"/>
          <w:tblHeader/>
          <w:jc w:val="center"/>
        </w:trPr>
        <w:tc>
          <w:tcPr>
            <w:tcW w:w="913" w:type="dxa"/>
            <w:shd w:val="clear" w:color="auto" w:fill="BEBEBE" w:themeFill="background1" w:themeFillShade="BF"/>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ascii="仿宋_GB2312" w:hAnsi="仿宋_GB2312" w:eastAsia="仿宋_GB2312" w:cs="仿宋_GB2312"/>
                <w:b/>
                <w:bCs/>
                <w:kern w:val="0"/>
                <w:sz w:val="24"/>
                <w:szCs w:val="20"/>
              </w:rPr>
            </w:pPr>
            <w:r>
              <w:rPr>
                <w:rFonts w:hint="eastAsia" w:ascii="仿宋_GB2312" w:hAnsi="仿宋_GB2312" w:eastAsia="仿宋_GB2312" w:cs="仿宋_GB2312"/>
                <w:b/>
                <w:bCs/>
                <w:kern w:val="0"/>
                <w:sz w:val="24"/>
                <w:szCs w:val="24"/>
              </w:rPr>
              <w:t>序号</w:t>
            </w:r>
          </w:p>
        </w:tc>
        <w:tc>
          <w:tcPr>
            <w:tcW w:w="1238" w:type="dxa"/>
            <w:shd w:val="clear" w:color="auto" w:fill="BEBEBE" w:themeFill="background1" w:themeFillShade="BF"/>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ascii="仿宋_GB2312" w:hAnsi="仿宋_GB2312" w:eastAsia="仿宋_GB2312" w:cs="仿宋_GB2312"/>
                <w:b/>
                <w:bCs/>
                <w:kern w:val="0"/>
                <w:sz w:val="24"/>
                <w:szCs w:val="20"/>
              </w:rPr>
            </w:pPr>
            <w:r>
              <w:rPr>
                <w:rFonts w:hint="eastAsia" w:ascii="仿宋_GB2312" w:hAnsi="仿宋_GB2312" w:eastAsia="仿宋_GB2312" w:cs="仿宋_GB2312"/>
                <w:b/>
                <w:bCs/>
                <w:kern w:val="0"/>
                <w:sz w:val="24"/>
                <w:szCs w:val="20"/>
              </w:rPr>
              <w:t>条文</w:t>
            </w:r>
          </w:p>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ascii="仿宋_GB2312" w:hAnsi="仿宋_GB2312" w:eastAsia="仿宋_GB2312" w:cs="仿宋_GB2312"/>
                <w:b/>
                <w:bCs/>
                <w:kern w:val="0"/>
                <w:sz w:val="24"/>
                <w:szCs w:val="20"/>
              </w:rPr>
            </w:pPr>
            <w:r>
              <w:rPr>
                <w:rFonts w:hint="eastAsia" w:ascii="仿宋_GB2312" w:hAnsi="仿宋_GB2312" w:eastAsia="仿宋_GB2312" w:cs="仿宋_GB2312"/>
                <w:b/>
                <w:bCs/>
                <w:kern w:val="0"/>
                <w:sz w:val="24"/>
                <w:szCs w:val="20"/>
              </w:rPr>
              <w:t>序号</w:t>
            </w:r>
          </w:p>
        </w:tc>
        <w:tc>
          <w:tcPr>
            <w:tcW w:w="5542" w:type="dxa"/>
            <w:shd w:val="clear" w:color="auto" w:fill="BEBEBE" w:themeFill="background1" w:themeFillShade="BF"/>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ascii="仿宋_GB2312" w:hAnsi="仿宋_GB2312" w:eastAsia="仿宋_GB2312" w:cs="仿宋_GB2312"/>
                <w:b/>
                <w:bCs/>
                <w:kern w:val="0"/>
                <w:sz w:val="24"/>
                <w:szCs w:val="20"/>
              </w:rPr>
            </w:pPr>
            <w:r>
              <w:rPr>
                <w:rFonts w:hint="eastAsia" w:ascii="仿宋_GB2312" w:hAnsi="仿宋_GB2312" w:eastAsia="仿宋_GB2312" w:cs="仿宋_GB2312"/>
                <w:b/>
                <w:bCs/>
                <w:kern w:val="0"/>
                <w:sz w:val="24"/>
                <w:szCs w:val="24"/>
              </w:rPr>
              <w:t>建议修改内容</w:t>
            </w:r>
          </w:p>
        </w:tc>
        <w:tc>
          <w:tcPr>
            <w:tcW w:w="1460" w:type="dxa"/>
            <w:shd w:val="clear" w:color="auto" w:fill="BEBEBE" w:themeFill="background1" w:themeFillShade="BF"/>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eastAsia" w:ascii="仿宋_GB2312" w:hAnsi="仿宋_GB2312" w:eastAsia="仿宋_GB2312" w:cs="仿宋_GB2312"/>
                <w:b/>
                <w:bCs/>
                <w:kern w:val="0"/>
                <w:sz w:val="24"/>
                <w:szCs w:val="24"/>
                <w:lang w:eastAsia="zh-CN"/>
              </w:rPr>
            </w:pPr>
            <w:r>
              <w:rPr>
                <w:rFonts w:hint="eastAsia" w:ascii="仿宋_GB2312" w:hAnsi="仿宋_GB2312" w:eastAsia="仿宋_GB2312" w:cs="仿宋_GB2312"/>
                <w:b/>
                <w:bCs/>
                <w:kern w:val="0"/>
                <w:sz w:val="24"/>
                <w:szCs w:val="24"/>
                <w:lang w:eastAsia="zh-CN"/>
              </w:rPr>
              <w:t>采纳情况</w:t>
            </w:r>
          </w:p>
        </w:tc>
        <w:tc>
          <w:tcPr>
            <w:tcW w:w="4593" w:type="dxa"/>
            <w:shd w:val="clear" w:color="auto" w:fill="BEBEBE" w:themeFill="background1" w:themeFillShade="BF"/>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eastAsia" w:ascii="仿宋_GB2312" w:hAnsi="仿宋_GB2312" w:eastAsia="仿宋_GB2312" w:cs="仿宋_GB2312"/>
                <w:b/>
                <w:bCs/>
                <w:kern w:val="0"/>
                <w:sz w:val="24"/>
                <w:szCs w:val="20"/>
                <w:lang w:eastAsia="zh-CN"/>
              </w:rPr>
            </w:pPr>
            <w:r>
              <w:rPr>
                <w:rFonts w:hint="eastAsia" w:ascii="仿宋_GB2312" w:hAnsi="仿宋_GB2312" w:eastAsia="仿宋_GB2312" w:cs="仿宋_GB2312"/>
                <w:b/>
                <w:bCs/>
                <w:kern w:val="0"/>
                <w:sz w:val="24"/>
                <w:szCs w:val="24"/>
              </w:rPr>
              <w:t>情况</w:t>
            </w:r>
            <w:r>
              <w:rPr>
                <w:rFonts w:hint="eastAsia" w:ascii="仿宋_GB2312" w:hAnsi="仿宋_GB2312" w:eastAsia="仿宋_GB2312" w:cs="仿宋_GB2312"/>
                <w:b/>
                <w:bCs/>
                <w:kern w:val="0"/>
                <w:sz w:val="24"/>
                <w:szCs w:val="24"/>
                <w:lang w:eastAsia="zh-CN"/>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913"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pPr>
            <w: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t>1</w:t>
            </w:r>
          </w:p>
        </w:tc>
        <w:tc>
          <w:tcPr>
            <w:tcW w:w="1238"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eastAsia" w:ascii="仿宋_GB2312" w:eastAsia="仿宋_GB2312"/>
                <w:kern w:val="0"/>
                <w:sz w:val="24"/>
                <w:szCs w:val="24"/>
                <w:lang w:eastAsia="zh-CN"/>
              </w:rPr>
            </w:pPr>
            <w:r>
              <w:rPr>
                <w:rFonts w:hint="eastAsia" w:ascii="仿宋_GB2312" w:eastAsia="仿宋_GB2312"/>
                <w:kern w:val="0"/>
                <w:sz w:val="24"/>
                <w:szCs w:val="24"/>
                <w:lang w:eastAsia="zh-CN"/>
              </w:rPr>
              <w:t>第四条</w:t>
            </w:r>
          </w:p>
        </w:tc>
        <w:tc>
          <w:tcPr>
            <w:tcW w:w="5542"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left"/>
              <w:textAlignment w:val="auto"/>
              <w:rPr>
                <w:rFonts w:hint="eastAsia" w:ascii="仿宋_GB2312" w:hAnsi="仿宋_GB2312" w:eastAsia="仿宋_GB2312" w:cs="仿宋_GB2312"/>
                <w:color w:val="auto"/>
                <w:kern w:val="0"/>
                <w:sz w:val="24"/>
                <w:szCs w:val="20"/>
                <w:lang w:eastAsia="zh-CN"/>
              </w:rPr>
            </w:pPr>
            <w:r>
              <w:rPr>
                <w:rFonts w:hint="eastAsia" w:ascii="仿宋_GB2312" w:hAnsi="仿宋_GB2312" w:eastAsia="仿宋_GB2312" w:cs="仿宋_GB2312"/>
                <w:color w:val="auto"/>
                <w:kern w:val="0"/>
                <w:sz w:val="24"/>
                <w:szCs w:val="20"/>
                <w:lang w:eastAsia="zh-CN"/>
              </w:rPr>
              <w:t>“</w:t>
            </w:r>
            <w:r>
              <w:rPr>
                <w:rFonts w:hint="eastAsia" w:ascii="仿宋_GB2312" w:hAnsi="仿宋_GB2312" w:eastAsia="仿宋_GB2312" w:cs="仿宋_GB2312"/>
                <w:color w:val="auto"/>
                <w:kern w:val="0"/>
                <w:sz w:val="24"/>
                <w:szCs w:val="20"/>
              </w:rPr>
              <w:t>本规定所称岩土工程</w:t>
            </w:r>
            <w:r>
              <w:rPr>
                <w:rFonts w:hint="eastAsia" w:ascii="仿宋_GB2312" w:hAnsi="仿宋_GB2312" w:eastAsia="仿宋_GB2312" w:cs="仿宋_GB2312"/>
                <w:color w:val="auto"/>
                <w:kern w:val="0"/>
                <w:sz w:val="24"/>
                <w:szCs w:val="20"/>
                <w:lang w:val="en-US" w:eastAsia="zh-CN"/>
              </w:rPr>
              <w:t>和工程监测</w:t>
            </w:r>
            <w:r>
              <w:rPr>
                <w:rFonts w:hint="eastAsia" w:ascii="仿宋_GB2312" w:hAnsi="仿宋_GB2312" w:eastAsia="仿宋_GB2312" w:cs="仿宋_GB2312"/>
                <w:color w:val="auto"/>
                <w:kern w:val="0"/>
                <w:sz w:val="24"/>
                <w:szCs w:val="20"/>
              </w:rPr>
              <w:t>专家,是指建设行政主管部门</w:t>
            </w:r>
            <w:r>
              <w:rPr>
                <w:rFonts w:hint="eastAsia" w:ascii="仿宋_GB2312" w:hAnsi="仿宋_GB2312" w:eastAsia="仿宋_GB2312" w:cs="仿宋_GB2312"/>
                <w:color w:val="auto"/>
                <w:kern w:val="0"/>
                <w:sz w:val="24"/>
                <w:szCs w:val="20"/>
                <w:lang w:val="en-US" w:eastAsia="zh-CN"/>
              </w:rPr>
              <w:t>或委托行</w:t>
            </w:r>
            <w:r>
              <w:rPr>
                <w:rFonts w:hint="eastAsia" w:ascii="仿宋_GB2312" w:hAnsi="仿宋_GB2312" w:eastAsia="仿宋_GB2312" w:cs="仿宋_GB2312"/>
                <w:color w:val="auto"/>
                <w:kern w:val="0"/>
                <w:sz w:val="24"/>
                <w:szCs w:val="20"/>
              </w:rPr>
              <w:t>业协会</w:t>
            </w:r>
            <w:r>
              <w:rPr>
                <w:rFonts w:hint="eastAsia" w:ascii="仿宋_GB2312" w:hAnsi="仿宋_GB2312" w:eastAsia="仿宋_GB2312" w:cs="仿宋_GB2312"/>
                <w:color w:val="auto"/>
                <w:kern w:val="0"/>
                <w:sz w:val="24"/>
                <w:szCs w:val="20"/>
                <w:lang w:val="en-US" w:eastAsia="zh-CN"/>
              </w:rPr>
              <w:t>建立并公布的专家，且</w:t>
            </w:r>
            <w:r>
              <w:rPr>
                <w:rFonts w:hint="eastAsia" w:ascii="仿宋_GB2312" w:hAnsi="仿宋_GB2312" w:eastAsia="仿宋_GB2312" w:cs="仿宋_GB2312"/>
                <w:color w:val="auto"/>
                <w:kern w:val="0"/>
                <w:sz w:val="24"/>
                <w:szCs w:val="20"/>
              </w:rPr>
              <w:t>专家</w:t>
            </w:r>
            <w:r>
              <w:rPr>
                <w:rFonts w:hint="eastAsia" w:ascii="仿宋_GB2312" w:hAnsi="仿宋_GB2312" w:eastAsia="仿宋_GB2312" w:cs="仿宋_GB2312"/>
                <w:color w:val="auto"/>
                <w:kern w:val="0"/>
                <w:sz w:val="24"/>
                <w:szCs w:val="20"/>
                <w:lang w:val="en-US" w:eastAsia="zh-CN"/>
              </w:rPr>
              <w:t>工作专业相应为岩土工程、工程测量</w:t>
            </w:r>
            <w:r>
              <w:rPr>
                <w:rFonts w:hint="eastAsia" w:ascii="仿宋_GB2312" w:hAnsi="仿宋_GB2312" w:eastAsia="仿宋_GB2312" w:cs="仿宋_GB2312"/>
                <w:color w:val="auto"/>
                <w:kern w:val="0"/>
                <w:sz w:val="24"/>
                <w:szCs w:val="20"/>
              </w:rPr>
              <w:t>。</w:t>
            </w:r>
            <w:r>
              <w:rPr>
                <w:rFonts w:hint="eastAsia" w:ascii="仿宋_GB2312" w:hAnsi="仿宋_GB2312" w:eastAsia="仿宋_GB2312" w:cs="仿宋_GB2312"/>
                <w:color w:val="auto"/>
                <w:kern w:val="0"/>
                <w:sz w:val="24"/>
                <w:szCs w:val="20"/>
                <w:lang w:eastAsia="zh-CN"/>
              </w:rPr>
              <w:t>”</w:t>
            </w:r>
          </w:p>
          <w:p>
            <w:pPr>
              <w:keepNext w:val="0"/>
              <w:keepLines w:val="0"/>
              <w:pageBreakBefore w:val="0"/>
              <w:widowControl w:val="0"/>
              <w:kinsoku/>
              <w:wordWrap/>
              <w:overflowPunct/>
              <w:topLinePunct w:val="0"/>
              <w:autoSpaceDE/>
              <w:autoSpaceDN/>
              <w:bidi w:val="0"/>
              <w:adjustRightInd/>
              <w:snapToGrid/>
              <w:spacing w:line="380" w:lineRule="exact"/>
              <w:jc w:val="left"/>
              <w:textAlignment w:val="auto"/>
              <w:rPr>
                <w:rFonts w:hint="eastAsia" w:ascii="仿宋_GB2312" w:hAnsi="仿宋_GB2312" w:eastAsia="仿宋_GB2312" w:cs="仿宋_GB2312"/>
                <w:color w:val="auto"/>
                <w:kern w:val="0"/>
                <w:sz w:val="24"/>
                <w:szCs w:val="20"/>
                <w:lang w:val="en" w:eastAsia="zh-CN"/>
              </w:rPr>
            </w:pPr>
            <w:r>
              <w:rPr>
                <w:rFonts w:hint="eastAsia" w:ascii="仿宋_GB2312" w:hAnsi="仿宋_GB2312" w:eastAsia="仿宋_GB2312" w:cs="仿宋_GB2312"/>
                <w:color w:val="auto"/>
                <w:kern w:val="0"/>
                <w:sz w:val="24"/>
                <w:szCs w:val="20"/>
                <w:lang w:eastAsia="zh-CN"/>
              </w:rPr>
              <w:t>建议增加水工环地质及结构工程专业。</w:t>
            </w:r>
          </w:p>
        </w:tc>
        <w:tc>
          <w:tcPr>
            <w:tcW w:w="1460"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eastAsia" w:ascii="仿宋_GB2312" w:hAnsi="仿宋_GB2312" w:eastAsia="仿宋_GB2312" w:cs="仿宋_GB2312"/>
                <w:kern w:val="0"/>
                <w:sz w:val="24"/>
                <w:szCs w:val="20"/>
                <w:lang w:eastAsia="zh-CN"/>
              </w:rPr>
            </w:pPr>
            <w:r>
              <w:rPr>
                <w:rFonts w:hint="eastAsia" w:ascii="仿宋_GB2312" w:hAnsi="仿宋_GB2312" w:eastAsia="仿宋_GB2312" w:cs="仿宋_GB2312"/>
                <w:kern w:val="0"/>
                <w:sz w:val="24"/>
                <w:szCs w:val="20"/>
                <w:lang w:eastAsia="zh-CN"/>
              </w:rPr>
              <w:t>解释说明</w:t>
            </w:r>
          </w:p>
        </w:tc>
        <w:tc>
          <w:tcPr>
            <w:tcW w:w="4593"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left"/>
              <w:textAlignment w:val="auto"/>
              <w:rPr>
                <w:rFonts w:hint="default" w:ascii="仿宋_GB2312" w:hAnsi="仿宋_GB2312" w:eastAsia="仿宋_GB2312" w:cs="仿宋_GB2312"/>
                <w:kern w:val="0"/>
                <w:sz w:val="24"/>
                <w:szCs w:val="20"/>
                <w:lang w:val="en-US" w:eastAsia="zh-CN"/>
              </w:rPr>
            </w:pPr>
            <w:r>
              <w:rPr>
                <w:rFonts w:hint="eastAsia" w:ascii="仿宋_GB2312" w:hAnsi="仿宋_GB2312" w:eastAsia="仿宋_GB2312" w:cs="仿宋_GB2312"/>
                <w:color w:val="auto"/>
                <w:kern w:val="0"/>
                <w:sz w:val="24"/>
                <w:szCs w:val="20"/>
              </w:rPr>
              <w:t>本规定所称岩土工程</w:t>
            </w:r>
            <w:r>
              <w:rPr>
                <w:rFonts w:hint="eastAsia" w:ascii="仿宋_GB2312" w:hAnsi="仿宋_GB2312" w:eastAsia="仿宋_GB2312" w:cs="仿宋_GB2312"/>
                <w:color w:val="auto"/>
                <w:kern w:val="0"/>
                <w:sz w:val="24"/>
                <w:szCs w:val="20"/>
                <w:lang w:val="en-US" w:eastAsia="zh-CN"/>
              </w:rPr>
              <w:t>专家要求工作专业为岩土工程，即职称专业为建筑岩土、岩土工程或</w:t>
            </w:r>
            <w:r>
              <w:rPr>
                <w:rFonts w:hint="eastAsia" w:ascii="仿宋_GB2312" w:hAnsi="仿宋_GB2312" w:eastAsia="仿宋_GB2312" w:cs="仿宋_GB2312"/>
                <w:color w:val="auto"/>
                <w:kern w:val="0"/>
                <w:sz w:val="24"/>
                <w:szCs w:val="20"/>
                <w:lang w:eastAsia="zh-CN"/>
              </w:rPr>
              <w:t>水工环地质。</w:t>
            </w:r>
            <w:r>
              <w:rPr>
                <w:rFonts w:hint="eastAsia" w:ascii="仿宋_GB2312" w:hAnsi="仿宋_GB2312" w:eastAsia="仿宋_GB2312" w:cs="仿宋_GB2312"/>
                <w:color w:val="auto"/>
                <w:kern w:val="0"/>
                <w:sz w:val="24"/>
                <w:szCs w:val="20"/>
                <w:lang w:val="en-US" w:eastAsia="zh-CN"/>
              </w:rPr>
              <w:t>根据实际情况，深基坑评审可邀请结构工程等其它专业专家。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79" w:hRule="atLeast"/>
          <w:jc w:val="center"/>
        </w:trPr>
        <w:tc>
          <w:tcPr>
            <w:tcW w:w="913"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eastAsia" w:ascii="仿宋_GB2312" w:hAnsi="仿宋_GB2312" w:eastAsia="仿宋_GB2312" w:cs="仿宋_GB2312"/>
                <w:color w:val="000000" w:themeColor="text1"/>
                <w:kern w:val="0"/>
                <w:sz w:val="24"/>
                <w:szCs w:val="20"/>
                <w:lang w:eastAsia="zh-CN"/>
                <w14:textFill>
                  <w14:solidFill>
                    <w14:schemeClr w14:val="tx1"/>
                  </w14:solidFill>
                </w14:textFill>
              </w:rPr>
            </w:pPr>
            <w: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t>2</w:t>
            </w:r>
          </w:p>
        </w:tc>
        <w:tc>
          <w:tcPr>
            <w:tcW w:w="1238"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ascii="仿宋_GB2312" w:hAnsi="仿宋_GB2312" w:eastAsia="仿宋_GB2312" w:cs="仿宋_GB2312"/>
                <w:kern w:val="0"/>
                <w:sz w:val="24"/>
                <w:szCs w:val="20"/>
              </w:rPr>
            </w:pPr>
            <w:r>
              <w:rPr>
                <w:rFonts w:hint="eastAsia" w:ascii="仿宋_GB2312" w:eastAsia="仿宋_GB2312"/>
                <w:kern w:val="0"/>
                <w:sz w:val="24"/>
                <w:szCs w:val="24"/>
              </w:rPr>
              <w:t>第</w:t>
            </w:r>
            <w:r>
              <w:rPr>
                <w:rFonts w:hint="eastAsia" w:ascii="仿宋_GB2312" w:eastAsia="仿宋_GB2312"/>
                <w:kern w:val="0"/>
                <w:sz w:val="24"/>
                <w:szCs w:val="24"/>
                <w:lang w:eastAsia="zh-CN"/>
              </w:rPr>
              <w:t>八</w:t>
            </w:r>
            <w:r>
              <w:rPr>
                <w:rFonts w:hint="eastAsia" w:ascii="仿宋_GB2312" w:eastAsia="仿宋_GB2312"/>
                <w:kern w:val="0"/>
                <w:sz w:val="24"/>
                <w:szCs w:val="24"/>
              </w:rPr>
              <w:t>条</w:t>
            </w:r>
          </w:p>
        </w:tc>
        <w:tc>
          <w:tcPr>
            <w:tcW w:w="5542"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left"/>
              <w:textAlignment w:val="auto"/>
              <w:rPr>
                <w:rFonts w:hint="default" w:ascii="仿宋_GB2312" w:hAnsi="仿宋_GB2312" w:eastAsia="仿宋_GB2312" w:cs="仿宋_GB2312"/>
                <w:color w:val="auto"/>
                <w:kern w:val="0"/>
                <w:sz w:val="24"/>
                <w:szCs w:val="20"/>
                <w:lang w:val="en"/>
              </w:rPr>
            </w:pPr>
            <w:r>
              <w:rPr>
                <w:rFonts w:hint="eastAsia" w:ascii="仿宋_GB2312" w:hAnsi="仿宋_GB2312" w:eastAsia="仿宋_GB2312" w:cs="仿宋_GB2312"/>
                <w:color w:val="auto"/>
                <w:kern w:val="0"/>
                <w:sz w:val="24"/>
                <w:szCs w:val="20"/>
                <w:lang w:eastAsia="zh-CN"/>
              </w:rPr>
              <w:t>“</w:t>
            </w:r>
            <w:r>
              <w:rPr>
                <w:rFonts w:hint="default" w:ascii="仿宋_GB2312" w:hAnsi="仿宋_GB2312" w:eastAsia="仿宋_GB2312" w:cs="仿宋_GB2312"/>
                <w:color w:val="auto"/>
                <w:kern w:val="0"/>
                <w:sz w:val="24"/>
                <w:szCs w:val="20"/>
                <w:lang w:val="en" w:eastAsia="zh-CN"/>
              </w:rPr>
              <w:t>... ...</w:t>
            </w:r>
            <w:r>
              <w:rPr>
                <w:rFonts w:hint="eastAsia" w:ascii="仿宋_GB2312" w:hAnsi="仿宋_GB2312" w:eastAsia="仿宋_GB2312" w:cs="仿宋_GB2312"/>
                <w:color w:val="auto"/>
                <w:kern w:val="0"/>
                <w:sz w:val="24"/>
                <w:szCs w:val="20"/>
              </w:rPr>
              <w:t>一般应当自深基坑顶边线起向外延伸3倍深基坑深度或者3倍降水深度的距离。</w:t>
            </w:r>
            <w:r>
              <w:rPr>
                <w:rFonts w:hint="default" w:ascii="仿宋_GB2312" w:hAnsi="仿宋_GB2312" w:eastAsia="仿宋_GB2312" w:cs="仿宋_GB2312"/>
                <w:color w:val="auto"/>
                <w:kern w:val="0"/>
                <w:sz w:val="24"/>
                <w:szCs w:val="20"/>
                <w:lang w:val="en"/>
              </w:rPr>
              <w:t>”</w:t>
            </w:r>
          </w:p>
          <w:p>
            <w:pPr>
              <w:keepNext w:val="0"/>
              <w:keepLines w:val="0"/>
              <w:pageBreakBefore w:val="0"/>
              <w:widowControl w:val="0"/>
              <w:kinsoku/>
              <w:wordWrap/>
              <w:overflowPunct/>
              <w:topLinePunct w:val="0"/>
              <w:autoSpaceDE/>
              <w:autoSpaceDN/>
              <w:bidi w:val="0"/>
              <w:adjustRightInd/>
              <w:snapToGrid/>
              <w:spacing w:line="380" w:lineRule="exact"/>
              <w:jc w:val="left"/>
              <w:textAlignment w:val="auto"/>
              <w:rPr>
                <w:rFonts w:hint="eastAsia" w:ascii="仿宋_GB2312" w:hAnsi="仿宋_GB2312" w:eastAsia="仿宋_GB2312" w:cs="仿宋_GB2312"/>
                <w:color w:val="auto"/>
                <w:kern w:val="0"/>
                <w:sz w:val="24"/>
                <w:szCs w:val="20"/>
              </w:rPr>
            </w:pPr>
            <w:r>
              <w:rPr>
                <w:rFonts w:hint="eastAsia" w:ascii="仿宋_GB2312" w:hAnsi="仿宋_GB2312" w:eastAsia="仿宋_GB2312" w:cs="仿宋_GB2312"/>
                <w:color w:val="auto"/>
                <w:kern w:val="0"/>
                <w:sz w:val="24"/>
                <w:szCs w:val="20"/>
                <w:lang w:val="en" w:eastAsia="zh-CN"/>
              </w:rPr>
              <w:t>建议取消“</w:t>
            </w:r>
            <w:r>
              <w:rPr>
                <w:rFonts w:hint="eastAsia" w:ascii="仿宋_GB2312" w:hAnsi="仿宋_GB2312" w:eastAsia="仿宋_GB2312" w:cs="仿宋_GB2312"/>
                <w:color w:val="auto"/>
                <w:kern w:val="0"/>
                <w:sz w:val="24"/>
                <w:szCs w:val="20"/>
                <w:lang w:val="en-US" w:eastAsia="zh-CN"/>
              </w:rPr>
              <w:t>3倍</w:t>
            </w:r>
            <w:r>
              <w:rPr>
                <w:rFonts w:hint="eastAsia" w:ascii="仿宋_GB2312" w:hAnsi="仿宋_GB2312" w:eastAsia="仿宋_GB2312" w:cs="仿宋_GB2312"/>
                <w:color w:val="auto"/>
                <w:kern w:val="0"/>
                <w:sz w:val="24"/>
                <w:szCs w:val="20"/>
                <w:lang w:val="en" w:eastAsia="zh-CN"/>
              </w:rPr>
              <w:t>降水深度”，修改为：</w:t>
            </w:r>
            <w:r>
              <w:rPr>
                <w:rFonts w:hint="eastAsia" w:ascii="仿宋_GB2312" w:hAnsi="仿宋_GB2312" w:eastAsia="仿宋_GB2312" w:cs="仿宋_GB2312"/>
                <w:color w:val="auto"/>
                <w:kern w:val="0"/>
                <w:sz w:val="24"/>
                <w:szCs w:val="20"/>
                <w:lang w:val="en-US" w:eastAsia="zh-CN"/>
              </w:rPr>
              <w:t>“</w:t>
            </w:r>
            <w:r>
              <w:rPr>
                <w:rFonts w:hint="default" w:ascii="仿宋_GB2312" w:hAnsi="仿宋_GB2312" w:eastAsia="仿宋_GB2312" w:cs="仿宋_GB2312"/>
                <w:color w:val="auto"/>
                <w:kern w:val="0"/>
                <w:sz w:val="24"/>
                <w:szCs w:val="20"/>
                <w:lang w:val="en" w:eastAsia="zh-CN"/>
              </w:rPr>
              <w:t>... ...</w:t>
            </w:r>
            <w:r>
              <w:rPr>
                <w:rFonts w:hint="eastAsia" w:ascii="仿宋_GB2312" w:hAnsi="仿宋_GB2312" w:eastAsia="仿宋_GB2312" w:cs="仿宋_GB2312"/>
                <w:color w:val="auto"/>
                <w:kern w:val="0"/>
                <w:sz w:val="24"/>
                <w:szCs w:val="20"/>
                <w:lang w:val="en-US" w:eastAsia="zh-CN"/>
              </w:rPr>
              <w:t>一般应当自深基坑顶边线起向外延伸3倍深基坑深度的距离。</w:t>
            </w:r>
            <w:r>
              <w:rPr>
                <w:rFonts w:hint="default" w:ascii="仿宋_GB2312" w:hAnsi="仿宋_GB2312" w:eastAsia="仿宋_GB2312" w:cs="仿宋_GB2312"/>
                <w:color w:val="auto"/>
                <w:kern w:val="0"/>
                <w:sz w:val="24"/>
                <w:szCs w:val="20"/>
                <w:lang w:val="en" w:eastAsia="zh-CN"/>
              </w:rPr>
              <w:t>”</w:t>
            </w:r>
          </w:p>
        </w:tc>
        <w:tc>
          <w:tcPr>
            <w:tcW w:w="1460"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eastAsia" w:ascii="仿宋_GB2312" w:hAnsi="仿宋_GB2312" w:eastAsia="仿宋_GB2312" w:cs="仿宋_GB2312"/>
                <w:kern w:val="0"/>
                <w:sz w:val="24"/>
                <w:szCs w:val="20"/>
                <w:lang w:eastAsia="zh-CN"/>
              </w:rPr>
            </w:pPr>
            <w:r>
              <w:rPr>
                <w:rFonts w:hint="eastAsia" w:ascii="仿宋_GB2312" w:hAnsi="仿宋_GB2312" w:eastAsia="仿宋_GB2312" w:cs="仿宋_GB2312"/>
                <w:kern w:val="0"/>
                <w:sz w:val="24"/>
                <w:szCs w:val="20"/>
                <w:lang w:val="en-US" w:eastAsia="zh-CN"/>
              </w:rPr>
              <w:t>不</w:t>
            </w:r>
            <w:r>
              <w:rPr>
                <w:rFonts w:hint="eastAsia" w:ascii="仿宋_GB2312" w:hAnsi="仿宋_GB2312" w:eastAsia="仿宋_GB2312" w:cs="仿宋_GB2312"/>
                <w:kern w:val="0"/>
                <w:sz w:val="24"/>
                <w:szCs w:val="20"/>
                <w:lang w:eastAsia="zh-CN"/>
              </w:rPr>
              <w:t>采纳</w:t>
            </w:r>
          </w:p>
        </w:tc>
        <w:tc>
          <w:tcPr>
            <w:tcW w:w="4593"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left"/>
              <w:textAlignment w:val="auto"/>
              <w:rPr>
                <w:rFonts w:hint="default" w:ascii="仿宋_GB2312" w:hAnsi="仿宋_GB2312" w:eastAsia="仿宋_GB2312" w:cs="仿宋_GB2312"/>
                <w:kern w:val="0"/>
                <w:sz w:val="24"/>
                <w:szCs w:val="20"/>
                <w:lang w:val="en-US" w:eastAsia="zh-CN"/>
              </w:rPr>
            </w:pPr>
            <w:r>
              <w:rPr>
                <w:rFonts w:hint="eastAsia" w:ascii="仿宋_GB2312" w:hAnsi="仿宋_GB2312" w:eastAsia="仿宋_GB2312" w:cs="仿宋_GB2312"/>
                <w:kern w:val="0"/>
                <w:sz w:val="24"/>
                <w:szCs w:val="20"/>
                <w:lang w:val="en-US" w:eastAsia="zh-CN"/>
              </w:rPr>
              <w:t>部分深基坑降水深度大于开挖深度，保留“3倍降水深度”表述可有效保护深基坑周边建（构）筑物安全。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05" w:hRule="atLeast"/>
          <w:jc w:val="center"/>
        </w:trPr>
        <w:tc>
          <w:tcPr>
            <w:tcW w:w="913"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eastAsia" w:ascii="仿宋_GB2312" w:hAnsi="仿宋_GB2312" w:eastAsia="仿宋_GB2312" w:cs="仿宋_GB2312"/>
                <w:color w:val="000000" w:themeColor="text1"/>
                <w:kern w:val="0"/>
                <w:sz w:val="24"/>
                <w:szCs w:val="20"/>
                <w:lang w:eastAsia="zh-CN"/>
                <w14:textFill>
                  <w14:solidFill>
                    <w14:schemeClr w14:val="tx1"/>
                  </w14:solidFill>
                </w14:textFill>
              </w:rPr>
            </w:pPr>
            <w: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t>3</w:t>
            </w:r>
          </w:p>
        </w:tc>
        <w:tc>
          <w:tcPr>
            <w:tcW w:w="1238"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ascii="仿宋_GB2312" w:hAnsi="仿宋_GB2312" w:eastAsia="仿宋_GB2312" w:cs="仿宋_GB2312"/>
                <w:color w:val="000000" w:themeColor="text1"/>
                <w:kern w:val="0"/>
                <w:sz w:val="24"/>
                <w:szCs w:val="20"/>
                <w14:textFill>
                  <w14:solidFill>
                    <w14:schemeClr w14:val="tx1"/>
                  </w14:solidFill>
                </w14:textFill>
              </w:rPr>
            </w:pPr>
            <w:r>
              <w:rPr>
                <w:rFonts w:hint="eastAsia" w:ascii="仿宋_GB2312" w:eastAsia="仿宋_GB2312"/>
                <w:kern w:val="0"/>
                <w:sz w:val="24"/>
                <w:szCs w:val="24"/>
              </w:rPr>
              <w:t>第</w:t>
            </w:r>
            <w:r>
              <w:rPr>
                <w:rFonts w:hint="eastAsia" w:ascii="仿宋_GB2312" w:eastAsia="仿宋_GB2312"/>
                <w:kern w:val="0"/>
                <w:sz w:val="24"/>
                <w:szCs w:val="24"/>
                <w:lang w:eastAsia="zh-CN"/>
              </w:rPr>
              <w:t>九</w:t>
            </w:r>
            <w:r>
              <w:rPr>
                <w:rFonts w:hint="eastAsia" w:ascii="仿宋_GB2312" w:eastAsia="仿宋_GB2312"/>
                <w:kern w:val="0"/>
                <w:sz w:val="24"/>
                <w:szCs w:val="24"/>
              </w:rPr>
              <w:t>条</w:t>
            </w:r>
          </w:p>
        </w:tc>
        <w:tc>
          <w:tcPr>
            <w:tcW w:w="5542"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left"/>
              <w:textAlignment w:val="auto"/>
              <w:rPr>
                <w:rFonts w:hint="eastAsia" w:ascii="仿宋_GB2312" w:hAnsi="仿宋_GB2312" w:eastAsia="仿宋_GB2312" w:cs="仿宋_GB2312"/>
                <w:color w:val="auto"/>
                <w:kern w:val="0"/>
                <w:sz w:val="24"/>
                <w:szCs w:val="20"/>
                <w:lang w:val="en-US" w:eastAsia="zh-CN"/>
              </w:rPr>
            </w:pPr>
            <w:r>
              <w:rPr>
                <w:rFonts w:hint="eastAsia" w:ascii="仿宋_GB2312" w:hAnsi="仿宋_GB2312" w:eastAsia="仿宋_GB2312" w:cs="仿宋_GB2312"/>
                <w:color w:val="auto"/>
                <w:kern w:val="0"/>
                <w:sz w:val="24"/>
                <w:szCs w:val="20"/>
                <w:lang w:val="en-US" w:eastAsia="zh-CN"/>
              </w:rPr>
              <w:t>“</w:t>
            </w:r>
            <w:r>
              <w:rPr>
                <w:rFonts w:hint="default" w:ascii="仿宋_GB2312" w:hAnsi="仿宋_GB2312" w:eastAsia="仿宋_GB2312" w:cs="仿宋_GB2312"/>
                <w:color w:val="auto"/>
                <w:kern w:val="0"/>
                <w:sz w:val="24"/>
                <w:szCs w:val="20"/>
                <w:lang w:val="en" w:eastAsia="zh-CN"/>
              </w:rPr>
              <w:t>... ...</w:t>
            </w:r>
            <w:r>
              <w:rPr>
                <w:rFonts w:hint="eastAsia" w:ascii="仿宋_GB2312" w:hAnsi="仿宋_GB2312" w:eastAsia="仿宋_GB2312" w:cs="仿宋_GB2312"/>
                <w:color w:val="auto"/>
                <w:kern w:val="0"/>
                <w:sz w:val="24"/>
                <w:szCs w:val="20"/>
                <w:lang w:val="en-US" w:eastAsia="zh-CN"/>
              </w:rPr>
              <w:t>委托具备相关资质</w:t>
            </w:r>
            <w:r>
              <w:rPr>
                <w:rFonts w:hint="eastAsia" w:ascii="仿宋_GB2312" w:hAnsi="仿宋_GB2312" w:eastAsia="仿宋_GB2312" w:cs="仿宋_GB2312"/>
                <w:color w:val="auto"/>
                <w:kern w:val="0"/>
                <w:sz w:val="24"/>
                <w:szCs w:val="20"/>
                <w:lang w:eastAsia="zh-CN"/>
              </w:rPr>
              <w:t>的</w:t>
            </w:r>
            <w:r>
              <w:rPr>
                <w:rFonts w:hint="eastAsia" w:ascii="仿宋_GB2312" w:hAnsi="仿宋_GB2312" w:eastAsia="仿宋_GB2312" w:cs="仿宋_GB2312"/>
                <w:color w:val="auto"/>
                <w:kern w:val="0"/>
                <w:sz w:val="24"/>
                <w:szCs w:val="20"/>
                <w:lang w:val="en-US" w:eastAsia="zh-CN"/>
              </w:rPr>
              <w:t>第三方</w:t>
            </w:r>
            <w:r>
              <w:rPr>
                <w:rFonts w:hint="eastAsia" w:ascii="仿宋_GB2312" w:hAnsi="仿宋_GB2312" w:eastAsia="仿宋_GB2312" w:cs="仿宋_GB2312"/>
                <w:color w:val="auto"/>
                <w:kern w:val="0"/>
                <w:sz w:val="24"/>
                <w:szCs w:val="20"/>
              </w:rPr>
              <w:t>检测单位对</w:t>
            </w:r>
            <w:r>
              <w:rPr>
                <w:rFonts w:hint="eastAsia" w:ascii="仿宋_GB2312" w:hAnsi="仿宋_GB2312" w:eastAsia="仿宋_GB2312" w:cs="仿宋_GB2312"/>
                <w:color w:val="auto"/>
                <w:kern w:val="0"/>
                <w:sz w:val="24"/>
                <w:szCs w:val="20"/>
                <w:lang w:val="en-US" w:eastAsia="zh-CN"/>
              </w:rPr>
              <w:t>深</w:t>
            </w:r>
            <w:r>
              <w:rPr>
                <w:rFonts w:hint="default" w:ascii="仿宋_GB2312" w:hAnsi="仿宋_GB2312" w:eastAsia="仿宋_GB2312" w:cs="仿宋_GB2312"/>
                <w:color w:val="auto"/>
                <w:kern w:val="0"/>
                <w:sz w:val="24"/>
                <w:szCs w:val="20"/>
                <w:lang w:val="en-US"/>
              </w:rPr>
              <w:t>基坑边3倍基坑深度或者3倍降水深度范围内的</w:t>
            </w:r>
            <w:r>
              <w:rPr>
                <w:rFonts w:hint="eastAsia" w:ascii="仿宋_GB2312" w:hAnsi="仿宋_GB2312" w:eastAsia="仿宋_GB2312" w:cs="仿宋_GB2312"/>
                <w:color w:val="auto"/>
                <w:kern w:val="0"/>
                <w:sz w:val="24"/>
                <w:szCs w:val="20"/>
                <w:lang w:val="en-US" w:eastAsia="zh-CN"/>
              </w:rPr>
              <w:t>房屋建筑进行安全影响评估，出具安全影响评估报告。”</w:t>
            </w:r>
          </w:p>
          <w:p>
            <w:pPr>
              <w:keepNext w:val="0"/>
              <w:keepLines w:val="0"/>
              <w:pageBreakBefore w:val="0"/>
              <w:widowControl w:val="0"/>
              <w:kinsoku/>
              <w:wordWrap/>
              <w:overflowPunct/>
              <w:topLinePunct w:val="0"/>
              <w:autoSpaceDE/>
              <w:autoSpaceDN/>
              <w:bidi w:val="0"/>
              <w:adjustRightInd/>
              <w:snapToGrid/>
              <w:spacing w:line="380" w:lineRule="exact"/>
              <w:jc w:val="left"/>
              <w:textAlignment w:val="auto"/>
              <w:rPr>
                <w:rFonts w:hint="eastAsia" w:ascii="仿宋_GB2312" w:hAnsi="仿宋_GB2312" w:eastAsia="仿宋_GB2312" w:cs="仿宋_GB2312"/>
                <w:color w:val="auto"/>
                <w:kern w:val="0"/>
                <w:sz w:val="24"/>
                <w:szCs w:val="20"/>
                <w:lang w:eastAsia="zh-CN"/>
              </w:rPr>
            </w:pPr>
            <w:r>
              <w:rPr>
                <w:rFonts w:hint="eastAsia" w:ascii="仿宋_GB2312" w:hAnsi="仿宋_GB2312" w:eastAsia="仿宋_GB2312" w:cs="仿宋_GB2312"/>
                <w:color w:val="auto"/>
                <w:kern w:val="0"/>
                <w:sz w:val="24"/>
                <w:szCs w:val="20"/>
                <w:lang w:eastAsia="zh-CN"/>
              </w:rPr>
              <w:t>基坑周边房屋建筑有桩基是否需要进行安全影响评估？还是先调查，必要时再进行评估。</w:t>
            </w:r>
          </w:p>
        </w:tc>
        <w:tc>
          <w:tcPr>
            <w:tcW w:w="1460"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eastAsia" w:ascii="仿宋_GB2312" w:hAnsi="仿宋_GB2312" w:eastAsia="仿宋_GB2312" w:cs="仿宋_GB2312"/>
                <w:color w:val="000000" w:themeColor="text1"/>
                <w:kern w:val="0"/>
                <w:sz w:val="24"/>
                <w:szCs w:val="20"/>
                <w:lang w:eastAsia="zh-CN"/>
                <w14:textFill>
                  <w14:solidFill>
                    <w14:schemeClr w14:val="tx1"/>
                  </w14:solidFill>
                </w14:textFill>
              </w:rPr>
            </w:pPr>
            <w:r>
              <w:rPr>
                <w:rFonts w:hint="eastAsia" w:ascii="仿宋_GB2312" w:hAnsi="仿宋_GB2312" w:eastAsia="仿宋_GB2312" w:cs="仿宋_GB2312"/>
                <w:kern w:val="0"/>
                <w:sz w:val="24"/>
                <w:szCs w:val="20"/>
                <w:lang w:val="en-US" w:eastAsia="zh-CN"/>
              </w:rPr>
              <w:t>不</w:t>
            </w:r>
            <w:r>
              <w:rPr>
                <w:rFonts w:hint="eastAsia" w:ascii="仿宋_GB2312" w:hAnsi="仿宋_GB2312" w:eastAsia="仿宋_GB2312" w:cs="仿宋_GB2312"/>
                <w:kern w:val="0"/>
                <w:sz w:val="24"/>
                <w:szCs w:val="20"/>
                <w:lang w:eastAsia="zh-CN"/>
              </w:rPr>
              <w:t>采纳</w:t>
            </w:r>
          </w:p>
        </w:tc>
        <w:tc>
          <w:tcPr>
            <w:tcW w:w="4593" w:type="dxa"/>
            <w:vAlign w:val="center"/>
          </w:tcPr>
          <w:p>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ascii="仿宋_GB2312" w:hAnsi="仿宋_GB2312" w:eastAsia="仿宋_GB2312" w:cs="仿宋_GB2312"/>
                <w:color w:val="000000" w:themeColor="text1"/>
                <w:kern w:val="0"/>
                <w:sz w:val="24"/>
                <w:szCs w:val="20"/>
                <w:lang w:val="en-US" w:eastAsia="zh-CN"/>
                <w14:textFill>
                  <w14:solidFill>
                    <w14:schemeClr w14:val="tx1"/>
                  </w14:solidFill>
                </w14:textFill>
              </w:rPr>
            </w:pPr>
            <w:r>
              <w:rPr>
                <w:rFonts w:hint="eastAsia" w:ascii="仿宋_GB2312" w:hAnsi="仿宋_GB2312" w:eastAsia="仿宋_GB2312" w:cs="仿宋_GB2312"/>
                <w:color w:val="000000" w:themeColor="text1"/>
                <w:kern w:val="0"/>
                <w:sz w:val="24"/>
                <w:szCs w:val="20"/>
                <w:lang w:val="en-US" w:eastAsia="zh-CN"/>
                <w14:textFill>
                  <w14:solidFill>
                    <w14:schemeClr w14:val="tx1"/>
                  </w14:solidFill>
                </w14:textFill>
              </w:rPr>
              <w:t>根</w:t>
            </w:r>
            <w:r>
              <w:rPr>
                <w:rFonts w:hint="eastAsia" w:ascii="仿宋_GB2312" w:hAnsi="仿宋_GB2312" w:eastAsia="仿宋_GB2312" w:cs="仿宋_GB2312"/>
                <w:kern w:val="0"/>
                <w:sz w:val="24"/>
                <w:szCs w:val="20"/>
                <w:lang w:val="en-US" w:eastAsia="zh-CN"/>
              </w:rPr>
              <w:t>据《</w:t>
            </w:r>
            <w:r>
              <w:rPr>
                <w:rFonts w:hint="eastAsia" w:ascii="仿宋_GB2312" w:hAnsi="仿宋_GB2312" w:eastAsia="仿宋_GB2312" w:cs="仿宋_GB2312"/>
                <w:kern w:val="0"/>
                <w:sz w:val="24"/>
                <w:szCs w:val="20"/>
                <w:lang w:val="en" w:eastAsia="zh-CN"/>
              </w:rPr>
              <w:t>深圳市房屋安全管理办法</w:t>
            </w:r>
            <w:r>
              <w:rPr>
                <w:rFonts w:hint="eastAsia" w:ascii="仿宋_GB2312" w:hAnsi="仿宋_GB2312" w:eastAsia="仿宋_GB2312" w:cs="仿宋_GB2312"/>
                <w:kern w:val="0"/>
                <w:sz w:val="24"/>
                <w:szCs w:val="20"/>
                <w:lang w:val="en-US" w:eastAsia="zh-CN"/>
              </w:rPr>
              <w:t>》第二十条，施工影响范围内的房屋建筑需要进行安全影响评估，与建筑物的基础形式无关，有桩基的房屋建筑也存在基坑施工影响房屋结构安全的风险。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00" w:hRule="atLeast"/>
          <w:jc w:val="center"/>
        </w:trPr>
        <w:tc>
          <w:tcPr>
            <w:tcW w:w="913"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eastAsia" w:ascii="仿宋_GB2312" w:hAnsi="仿宋_GB2312" w:eastAsia="仿宋_GB2312" w:cs="仿宋_GB2312"/>
                <w:color w:val="000000" w:themeColor="text1"/>
                <w:kern w:val="0"/>
                <w:sz w:val="24"/>
                <w:szCs w:val="24"/>
                <w:lang w:eastAsia="zh-CN"/>
                <w14:textFill>
                  <w14:solidFill>
                    <w14:schemeClr w14:val="tx1"/>
                  </w14:solidFill>
                </w14:textFill>
              </w:rPr>
            </w:pPr>
            <w: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t>4</w:t>
            </w:r>
          </w:p>
        </w:tc>
        <w:tc>
          <w:tcPr>
            <w:tcW w:w="1238"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ascii="仿宋_GB2312" w:hAnsi="仿宋_GB2312" w:eastAsia="仿宋_GB2312" w:cs="仿宋_GB2312"/>
                <w:color w:val="000000" w:themeColor="text1"/>
                <w:kern w:val="0"/>
                <w:sz w:val="24"/>
                <w:szCs w:val="20"/>
                <w14:textFill>
                  <w14:solidFill>
                    <w14:schemeClr w14:val="tx1"/>
                  </w14:solidFill>
                </w14:textFill>
              </w:rPr>
            </w:pPr>
            <w:r>
              <w:rPr>
                <w:rFonts w:hint="eastAsia" w:ascii="仿宋_GB2312" w:eastAsia="仿宋_GB2312"/>
                <w:kern w:val="0"/>
                <w:sz w:val="24"/>
                <w:szCs w:val="24"/>
              </w:rPr>
              <w:t>第</w:t>
            </w:r>
            <w:r>
              <w:rPr>
                <w:rFonts w:hint="eastAsia" w:ascii="仿宋_GB2312" w:eastAsia="仿宋_GB2312"/>
                <w:kern w:val="0"/>
                <w:sz w:val="24"/>
                <w:szCs w:val="24"/>
                <w:lang w:eastAsia="zh-CN"/>
              </w:rPr>
              <w:t>十一</w:t>
            </w:r>
            <w:r>
              <w:rPr>
                <w:rFonts w:hint="eastAsia" w:ascii="仿宋_GB2312" w:eastAsia="仿宋_GB2312"/>
                <w:kern w:val="0"/>
                <w:sz w:val="24"/>
                <w:szCs w:val="24"/>
              </w:rPr>
              <w:t>条</w:t>
            </w:r>
          </w:p>
        </w:tc>
        <w:tc>
          <w:tcPr>
            <w:tcW w:w="5542"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left"/>
              <w:textAlignment w:val="auto"/>
              <w:rPr>
                <w:rFonts w:hint="eastAsia" w:ascii="仿宋_GB2312" w:hAnsi="仿宋_GB2312" w:eastAsia="仿宋_GB2312" w:cs="仿宋_GB2312"/>
                <w:color w:val="auto"/>
                <w:kern w:val="0"/>
                <w:sz w:val="24"/>
                <w:szCs w:val="20"/>
                <w:lang w:val="en-US" w:eastAsia="zh-CN"/>
              </w:rPr>
            </w:pPr>
            <w:r>
              <w:rPr>
                <w:rFonts w:hint="eastAsia" w:ascii="仿宋_GB2312" w:hAnsi="仿宋_GB2312" w:eastAsia="仿宋_GB2312" w:cs="仿宋_GB2312"/>
                <w:color w:val="auto"/>
                <w:kern w:val="0"/>
                <w:sz w:val="24"/>
                <w:szCs w:val="20"/>
                <w:lang w:val="en-US" w:eastAsia="zh-CN"/>
              </w:rPr>
              <w:t>1、“</w:t>
            </w:r>
            <w:r>
              <w:rPr>
                <w:rFonts w:hint="default" w:ascii="仿宋_GB2312" w:hAnsi="仿宋_GB2312" w:eastAsia="仿宋_GB2312" w:cs="仿宋_GB2312"/>
                <w:color w:val="auto"/>
                <w:kern w:val="0"/>
                <w:sz w:val="24"/>
                <w:szCs w:val="20"/>
                <w:lang w:val="en" w:eastAsia="zh-CN"/>
              </w:rPr>
              <w:t>... ...</w:t>
            </w:r>
            <w:r>
              <w:rPr>
                <w:rFonts w:hint="eastAsia" w:ascii="仿宋_GB2312" w:hAnsi="仿宋_GB2312" w:eastAsia="仿宋_GB2312" w:cs="仿宋_GB2312"/>
                <w:color w:val="auto"/>
                <w:kern w:val="0"/>
                <w:sz w:val="24"/>
                <w:szCs w:val="20"/>
                <w:lang w:val="en-US" w:eastAsia="zh-CN"/>
              </w:rPr>
              <w:t>当临时支护结构需进入相邻建（构）筑物红线范围、地铁安保区或者燃气管道（综合管廊）安全保护范围内时，建设单位应当取得相邻建（构）筑物物权人或者地铁建设及管线运营单位的认可。”</w:t>
            </w:r>
          </w:p>
          <w:p>
            <w:pPr>
              <w:keepNext w:val="0"/>
              <w:keepLines w:val="0"/>
              <w:pageBreakBefore w:val="0"/>
              <w:widowControl w:val="0"/>
              <w:kinsoku/>
              <w:wordWrap/>
              <w:overflowPunct/>
              <w:topLinePunct w:val="0"/>
              <w:autoSpaceDE/>
              <w:autoSpaceDN/>
              <w:bidi w:val="0"/>
              <w:adjustRightInd/>
              <w:snapToGrid/>
              <w:spacing w:line="380" w:lineRule="exact"/>
              <w:jc w:val="left"/>
              <w:textAlignment w:val="auto"/>
              <w:rPr>
                <w:rFonts w:hint="eastAsia" w:ascii="仿宋_GB2312" w:hAnsi="仿宋_GB2312" w:eastAsia="仿宋_GB2312" w:cs="仿宋_GB2312"/>
                <w:color w:val="auto"/>
                <w:kern w:val="0"/>
                <w:sz w:val="24"/>
                <w:szCs w:val="20"/>
                <w:lang w:val="en-US" w:eastAsia="zh-CN"/>
              </w:rPr>
            </w:pPr>
            <w:r>
              <w:rPr>
                <w:rFonts w:hint="eastAsia" w:ascii="仿宋_GB2312" w:hAnsi="仿宋_GB2312" w:eastAsia="仿宋_GB2312" w:cs="仿宋_GB2312"/>
                <w:color w:val="auto"/>
                <w:kern w:val="0"/>
                <w:sz w:val="24"/>
                <w:szCs w:val="20"/>
                <w:lang w:val="en-US" w:eastAsia="zh-CN"/>
              </w:rPr>
              <w:t>建议这一段内容纳入到第十条里。</w:t>
            </w:r>
          </w:p>
          <w:p>
            <w:pPr>
              <w:keepNext w:val="0"/>
              <w:keepLines w:val="0"/>
              <w:pageBreakBefore w:val="0"/>
              <w:widowControl w:val="0"/>
              <w:kinsoku/>
              <w:wordWrap/>
              <w:overflowPunct/>
              <w:topLinePunct w:val="0"/>
              <w:autoSpaceDE/>
              <w:autoSpaceDN/>
              <w:bidi w:val="0"/>
              <w:adjustRightInd/>
              <w:snapToGrid/>
              <w:spacing w:line="380" w:lineRule="exact"/>
              <w:jc w:val="left"/>
              <w:textAlignment w:val="auto"/>
              <w:rPr>
                <w:rFonts w:hint="eastAsia" w:ascii="仿宋_GB2312" w:hAnsi="仿宋_GB2312" w:eastAsia="仿宋_GB2312" w:cs="仿宋_GB2312"/>
                <w:color w:val="auto"/>
                <w:kern w:val="0"/>
                <w:sz w:val="24"/>
                <w:szCs w:val="20"/>
                <w:lang w:val="en-US" w:eastAsia="zh-CN"/>
              </w:rPr>
            </w:pPr>
            <w:r>
              <w:rPr>
                <w:rFonts w:hint="eastAsia" w:ascii="仿宋_GB2312" w:hAnsi="仿宋_GB2312" w:eastAsia="仿宋_GB2312" w:cs="仿宋_GB2312"/>
                <w:color w:val="auto"/>
                <w:kern w:val="0"/>
                <w:sz w:val="24"/>
                <w:szCs w:val="20"/>
                <w:lang w:val="en-US" w:eastAsia="zh-CN"/>
              </w:rPr>
              <w:t>2、“深基坑施工图完成后，对于安全等级为一级的深基坑，建设单位应当委托有勘察文件审查资质的施工图审查机构进行施工图审查。”</w:t>
            </w:r>
          </w:p>
          <w:p>
            <w:pPr>
              <w:keepNext w:val="0"/>
              <w:keepLines w:val="0"/>
              <w:pageBreakBefore w:val="0"/>
              <w:widowControl w:val="0"/>
              <w:kinsoku/>
              <w:wordWrap/>
              <w:overflowPunct/>
              <w:topLinePunct w:val="0"/>
              <w:autoSpaceDE/>
              <w:autoSpaceDN/>
              <w:bidi w:val="0"/>
              <w:adjustRightInd/>
              <w:snapToGrid/>
              <w:spacing w:line="380" w:lineRule="exact"/>
              <w:jc w:val="left"/>
              <w:textAlignment w:val="auto"/>
              <w:rPr>
                <w:rFonts w:hint="eastAsia" w:ascii="仿宋_GB2312" w:hAnsi="仿宋_GB2312" w:eastAsia="仿宋_GB2312" w:cs="仿宋_GB2312"/>
                <w:color w:val="auto"/>
                <w:kern w:val="0"/>
                <w:sz w:val="24"/>
                <w:szCs w:val="20"/>
                <w:lang w:val="en-US" w:eastAsia="zh-CN"/>
              </w:rPr>
            </w:pPr>
            <w:r>
              <w:rPr>
                <w:rFonts w:hint="eastAsia" w:ascii="仿宋_GB2312" w:hAnsi="仿宋_GB2312" w:eastAsia="仿宋_GB2312" w:cs="仿宋_GB2312"/>
                <w:color w:val="auto"/>
                <w:kern w:val="0"/>
                <w:sz w:val="24"/>
                <w:szCs w:val="20"/>
                <w:lang w:val="en-US" w:eastAsia="zh-CN"/>
              </w:rPr>
              <w:t>建议对安全等级为一级、二级的深基坑，建设单位均应当委托有勘察文件审查资质的施工图审查机构进行施工图审查。</w:t>
            </w:r>
          </w:p>
          <w:p>
            <w:pPr>
              <w:keepNext w:val="0"/>
              <w:keepLines w:val="0"/>
              <w:pageBreakBefore w:val="0"/>
              <w:widowControl w:val="0"/>
              <w:kinsoku/>
              <w:wordWrap/>
              <w:overflowPunct/>
              <w:topLinePunct w:val="0"/>
              <w:autoSpaceDE/>
              <w:autoSpaceDN/>
              <w:bidi w:val="0"/>
              <w:adjustRightInd/>
              <w:snapToGrid/>
              <w:spacing w:line="380" w:lineRule="exact"/>
              <w:jc w:val="left"/>
              <w:textAlignment w:val="auto"/>
              <w:rPr>
                <w:rFonts w:hint="eastAsia" w:ascii="仿宋_GB2312" w:hAnsi="仿宋_GB2312" w:eastAsia="仿宋_GB2312" w:cs="仿宋_GB2312"/>
                <w:color w:val="auto"/>
                <w:kern w:val="0"/>
                <w:sz w:val="24"/>
                <w:szCs w:val="20"/>
                <w:lang w:val="en-US" w:eastAsia="zh-CN"/>
              </w:rPr>
            </w:pPr>
            <w:r>
              <w:rPr>
                <w:rFonts w:hint="eastAsia" w:ascii="仿宋_GB2312" w:hAnsi="仿宋_GB2312" w:eastAsia="仿宋_GB2312" w:cs="仿宋_GB2312"/>
                <w:color w:val="auto"/>
                <w:kern w:val="0"/>
                <w:sz w:val="24"/>
                <w:szCs w:val="20"/>
                <w:lang w:val="en-US" w:eastAsia="zh-CN"/>
              </w:rPr>
              <w:t>3、“深基坑施工图完成后，对于安全等级为一级的深基坑，建设单位应当委托有勘察文件审查资质的施工图审查机构进行施工图审查。”</w:t>
            </w:r>
          </w:p>
          <w:p>
            <w:pPr>
              <w:keepNext w:val="0"/>
              <w:keepLines w:val="0"/>
              <w:pageBreakBefore w:val="0"/>
              <w:widowControl w:val="0"/>
              <w:kinsoku/>
              <w:wordWrap/>
              <w:overflowPunct/>
              <w:topLinePunct w:val="0"/>
              <w:autoSpaceDE/>
              <w:autoSpaceDN/>
              <w:bidi w:val="0"/>
              <w:adjustRightInd/>
              <w:snapToGrid/>
              <w:spacing w:line="380" w:lineRule="exact"/>
              <w:jc w:val="left"/>
              <w:textAlignment w:val="auto"/>
              <w:rPr>
                <w:rFonts w:hint="eastAsia" w:ascii="仿宋_GB2312" w:hAnsi="仿宋_GB2312" w:eastAsia="仿宋_GB2312" w:cs="仿宋_GB2312"/>
                <w:color w:val="auto"/>
                <w:kern w:val="0"/>
                <w:sz w:val="24"/>
                <w:szCs w:val="20"/>
                <w:lang w:val="en-US" w:eastAsia="zh-CN"/>
              </w:rPr>
            </w:pPr>
            <w:r>
              <w:rPr>
                <w:rFonts w:hint="eastAsia" w:ascii="仿宋_GB2312" w:hAnsi="仿宋_GB2312" w:eastAsia="仿宋_GB2312" w:cs="仿宋_GB2312"/>
                <w:color w:val="auto"/>
                <w:kern w:val="0"/>
                <w:sz w:val="24"/>
                <w:szCs w:val="20"/>
                <w:lang w:val="en-US" w:eastAsia="zh-CN"/>
              </w:rPr>
              <w:t>以上条款与深府令第328号、深府令第329号、深府办函【2019】234号、深建规【2020】9号等相关文件中取消施工图审查的规定相悖。</w:t>
            </w:r>
          </w:p>
          <w:p>
            <w:pPr>
              <w:keepNext w:val="0"/>
              <w:keepLines w:val="0"/>
              <w:pageBreakBefore w:val="0"/>
              <w:widowControl w:val="0"/>
              <w:kinsoku/>
              <w:wordWrap/>
              <w:overflowPunct/>
              <w:topLinePunct w:val="0"/>
              <w:autoSpaceDE/>
              <w:autoSpaceDN/>
              <w:bidi w:val="0"/>
              <w:adjustRightInd/>
              <w:snapToGrid/>
              <w:spacing w:line="380" w:lineRule="exact"/>
              <w:jc w:val="left"/>
              <w:textAlignment w:val="auto"/>
              <w:rPr>
                <w:rFonts w:hint="eastAsia" w:ascii="仿宋_GB2312" w:hAnsi="仿宋_GB2312" w:eastAsia="仿宋_GB2312" w:cs="仿宋_GB2312"/>
                <w:color w:val="auto"/>
                <w:kern w:val="0"/>
                <w:sz w:val="24"/>
                <w:szCs w:val="20"/>
                <w:lang w:val="en-US" w:eastAsia="zh-CN"/>
              </w:rPr>
            </w:pPr>
            <w:r>
              <w:rPr>
                <w:rFonts w:hint="eastAsia" w:ascii="仿宋_GB2312" w:hAnsi="仿宋_GB2312" w:eastAsia="仿宋_GB2312" w:cs="仿宋_GB2312"/>
                <w:color w:val="auto"/>
                <w:kern w:val="0"/>
                <w:sz w:val="24"/>
                <w:szCs w:val="20"/>
                <w:lang w:val="en-US" w:eastAsia="zh-CN"/>
              </w:rPr>
              <w:t>4、“深基坑施工图完成后，对于安全等级为一级的深基坑，建设单位应当委托有勘察文件审查资质的施工图审查机构进行施工图审查。”</w:t>
            </w:r>
          </w:p>
          <w:p>
            <w:pPr>
              <w:keepNext w:val="0"/>
              <w:keepLines w:val="0"/>
              <w:pageBreakBefore w:val="0"/>
              <w:widowControl w:val="0"/>
              <w:kinsoku/>
              <w:wordWrap/>
              <w:overflowPunct/>
              <w:topLinePunct w:val="0"/>
              <w:autoSpaceDE/>
              <w:autoSpaceDN/>
              <w:bidi w:val="0"/>
              <w:adjustRightInd/>
              <w:snapToGrid/>
              <w:spacing w:line="380" w:lineRule="exact"/>
              <w:jc w:val="left"/>
              <w:textAlignment w:val="auto"/>
              <w:rPr>
                <w:rFonts w:hint="default"/>
                <w:lang w:val="en-US" w:eastAsia="zh-CN"/>
              </w:rPr>
            </w:pPr>
            <w:r>
              <w:rPr>
                <w:rFonts w:hint="eastAsia" w:ascii="仿宋_GB2312" w:hAnsi="仿宋_GB2312" w:eastAsia="仿宋_GB2312" w:cs="仿宋_GB2312"/>
                <w:color w:val="auto"/>
                <w:kern w:val="0"/>
                <w:sz w:val="24"/>
                <w:szCs w:val="20"/>
                <w:lang w:val="en-US" w:eastAsia="zh-CN"/>
              </w:rPr>
              <w:t>建议修改为</w:t>
            </w:r>
            <w:r>
              <w:rPr>
                <w:rFonts w:hint="eastAsia" w:ascii="仿宋_GB2312" w:hAnsi="仿宋_GB2312" w:eastAsia="仿宋_GB2312" w:cs="仿宋_GB2312"/>
                <w:color w:val="auto"/>
                <w:kern w:val="0"/>
                <w:sz w:val="24"/>
                <w:szCs w:val="20"/>
                <w:lang w:eastAsia="zh-CN"/>
              </w:rPr>
              <w:t>“深基坑施工图完成后，对于安全等级为一级的深基坑，建设单位应当委托具有专业审查能力的第三方咨询单位（含施工图审查机构）审查合格。”</w:t>
            </w:r>
          </w:p>
        </w:tc>
        <w:tc>
          <w:tcPr>
            <w:tcW w:w="1460"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仿宋_GB2312" w:hAnsi="仿宋_GB2312" w:eastAsia="仿宋_GB2312" w:cs="仿宋_GB2312"/>
                <w:color w:val="000000" w:themeColor="text1"/>
                <w:kern w:val="0"/>
                <w:sz w:val="24"/>
                <w:szCs w:val="20"/>
                <w:lang w:val="en-US" w:eastAsia="zh-CN"/>
                <w14:textFill>
                  <w14:solidFill>
                    <w14:schemeClr w14:val="tx1"/>
                  </w14:solidFill>
                </w14:textFill>
              </w:rPr>
            </w:pPr>
            <w:r>
              <w:rPr>
                <w:rFonts w:hint="eastAsia" w:ascii="仿宋_GB2312" w:hAnsi="仿宋_GB2312" w:eastAsia="仿宋_GB2312" w:cs="仿宋_GB2312"/>
                <w:color w:val="000000" w:themeColor="text1"/>
                <w:kern w:val="0"/>
                <w:sz w:val="24"/>
                <w:szCs w:val="20"/>
                <w:lang w:val="en-US" w:eastAsia="zh-CN"/>
                <w14:textFill>
                  <w14:solidFill>
                    <w14:schemeClr w14:val="tx1"/>
                  </w14:solidFill>
                </w14:textFill>
              </w:rPr>
              <w:t>解释说明</w:t>
            </w:r>
          </w:p>
        </w:tc>
        <w:tc>
          <w:tcPr>
            <w:tcW w:w="4593" w:type="dxa"/>
            <w:vAlign w:val="center"/>
          </w:tcPr>
          <w:p>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ascii="仿宋_GB2312" w:hAnsi="仿宋_GB2312" w:eastAsia="仿宋_GB2312" w:cs="仿宋_GB2312"/>
                <w:color w:val="000000" w:themeColor="text1"/>
                <w:kern w:val="0"/>
                <w:sz w:val="24"/>
                <w:szCs w:val="20"/>
                <w:lang w:val="en-US" w:eastAsia="zh-CN"/>
                <w14:textFill>
                  <w14:solidFill>
                    <w14:schemeClr w14:val="tx1"/>
                  </w14:solidFill>
                </w14:textFill>
              </w:rPr>
            </w:pPr>
            <w:r>
              <w:rPr>
                <w:rFonts w:hint="eastAsia" w:ascii="仿宋_GB2312" w:hAnsi="仿宋_GB2312" w:eastAsia="仿宋_GB2312" w:cs="仿宋_GB2312"/>
                <w:color w:val="000000" w:themeColor="text1"/>
                <w:kern w:val="0"/>
                <w:sz w:val="24"/>
                <w:szCs w:val="20"/>
                <w:lang w:val="en-US" w:eastAsia="zh-CN"/>
                <w14:textFill>
                  <w14:solidFill>
                    <w14:schemeClr w14:val="tx1"/>
                  </w14:solidFill>
                </w14:textFill>
              </w:rPr>
              <w:t>自2020年7月1日起，我市取消施工图强制审查，但在勘察设计质量方面，部分项目的勘察设计质量问题数和违反强条数有所增加。本次修编拟通过第三方单位对重要、复杂、危险的深基坑工程勘察报告和施工图进行审查，旨在从源头上防范化解深基坑工程重大质量安全风险。</w:t>
            </w:r>
          </w:p>
          <w:p>
            <w:pPr>
              <w:keepNext w:val="0"/>
              <w:keepLines w:val="0"/>
              <w:pageBreakBefore w:val="0"/>
              <w:widowControl w:val="0"/>
              <w:kinsoku/>
              <w:wordWrap/>
              <w:overflowPunct/>
              <w:topLinePunct w:val="0"/>
              <w:autoSpaceDE/>
              <w:autoSpaceDN/>
              <w:bidi w:val="0"/>
              <w:adjustRightInd/>
              <w:snapToGrid/>
              <w:spacing w:line="380" w:lineRule="exact"/>
              <w:textAlignment w:val="auto"/>
              <w:rPr>
                <w:rFonts w:ascii="仿宋_GB2312" w:hAnsi="仿宋_GB2312" w:eastAsia="仿宋_GB2312" w:cs="仿宋_GB2312"/>
                <w:color w:val="000000" w:themeColor="text1"/>
                <w:kern w:val="0"/>
                <w:sz w:val="24"/>
                <w:szCs w:val="20"/>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00" w:hRule="atLeast"/>
          <w:jc w:val="center"/>
        </w:trPr>
        <w:tc>
          <w:tcPr>
            <w:tcW w:w="913"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eastAsia" w:ascii="仿宋_GB2312" w:hAnsi="仿宋_GB2312" w:eastAsia="仿宋_GB2312" w:cs="仿宋_GB2312"/>
                <w:color w:val="000000" w:themeColor="text1"/>
                <w:kern w:val="0"/>
                <w:sz w:val="24"/>
                <w:szCs w:val="24"/>
                <w:lang w:eastAsia="zh-CN"/>
                <w14:textFill>
                  <w14:solidFill>
                    <w14:schemeClr w14:val="tx1"/>
                  </w14:solidFill>
                </w14:textFill>
              </w:rPr>
            </w:pPr>
            <w: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t>5</w:t>
            </w:r>
          </w:p>
        </w:tc>
        <w:tc>
          <w:tcPr>
            <w:tcW w:w="1238"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ascii="仿宋_GB2312" w:hAnsi="仿宋_GB2312" w:eastAsia="仿宋_GB2312" w:cs="仿宋_GB2312"/>
                <w:color w:val="000000" w:themeColor="text1"/>
                <w:kern w:val="0"/>
                <w:sz w:val="24"/>
                <w:szCs w:val="20"/>
                <w14:textFill>
                  <w14:solidFill>
                    <w14:schemeClr w14:val="tx1"/>
                  </w14:solidFill>
                </w14:textFill>
              </w:rPr>
            </w:pPr>
            <w:r>
              <w:rPr>
                <w:rFonts w:hint="eastAsia" w:ascii="仿宋_GB2312" w:eastAsia="仿宋_GB2312"/>
                <w:kern w:val="0"/>
                <w:sz w:val="24"/>
                <w:szCs w:val="24"/>
              </w:rPr>
              <w:t>第</w:t>
            </w:r>
            <w:r>
              <w:rPr>
                <w:rFonts w:hint="eastAsia" w:ascii="仿宋_GB2312" w:eastAsia="仿宋_GB2312"/>
                <w:kern w:val="0"/>
                <w:sz w:val="24"/>
                <w:szCs w:val="24"/>
                <w:lang w:eastAsia="zh-CN"/>
              </w:rPr>
              <w:t>十七</w:t>
            </w:r>
            <w:r>
              <w:rPr>
                <w:rFonts w:hint="eastAsia" w:ascii="仿宋_GB2312" w:eastAsia="仿宋_GB2312"/>
                <w:kern w:val="0"/>
                <w:sz w:val="24"/>
                <w:szCs w:val="24"/>
              </w:rPr>
              <w:t>条</w:t>
            </w:r>
          </w:p>
        </w:tc>
        <w:tc>
          <w:tcPr>
            <w:tcW w:w="5542"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left"/>
              <w:textAlignment w:val="auto"/>
              <w:rPr>
                <w:rFonts w:hint="eastAsia" w:ascii="仿宋_GB2312" w:hAnsi="仿宋_GB2312" w:eastAsia="仿宋_GB2312" w:cs="仿宋_GB2312"/>
                <w:color w:val="auto"/>
                <w:kern w:val="0"/>
                <w:sz w:val="24"/>
                <w:szCs w:val="20"/>
                <w:lang w:val="en-US" w:eastAsia="zh-CN"/>
              </w:rPr>
            </w:pPr>
            <w:r>
              <w:rPr>
                <w:rFonts w:hint="eastAsia" w:ascii="仿宋_GB2312" w:hAnsi="仿宋_GB2312" w:eastAsia="仿宋_GB2312" w:cs="仿宋_GB2312"/>
                <w:color w:val="auto"/>
                <w:kern w:val="0"/>
                <w:sz w:val="24"/>
                <w:szCs w:val="20"/>
                <w:lang w:val="en-US" w:eastAsia="zh-CN"/>
              </w:rPr>
              <w:t>1、“岩土工程勘察等级为甲级的勘察成果报告应当经勘察文件审查机构审查合格。”</w:t>
            </w:r>
          </w:p>
          <w:p>
            <w:pPr>
              <w:keepNext w:val="0"/>
              <w:keepLines w:val="0"/>
              <w:pageBreakBefore w:val="0"/>
              <w:widowControl w:val="0"/>
              <w:kinsoku/>
              <w:wordWrap/>
              <w:overflowPunct/>
              <w:topLinePunct w:val="0"/>
              <w:autoSpaceDE/>
              <w:autoSpaceDN/>
              <w:bidi w:val="0"/>
              <w:adjustRightInd/>
              <w:snapToGrid/>
              <w:spacing w:line="380" w:lineRule="exact"/>
              <w:jc w:val="left"/>
              <w:textAlignment w:val="auto"/>
              <w:rPr>
                <w:rFonts w:hint="eastAsia" w:ascii="仿宋_GB2312" w:hAnsi="仿宋_GB2312" w:eastAsia="仿宋_GB2312" w:cs="仿宋_GB2312"/>
                <w:color w:val="auto"/>
                <w:kern w:val="0"/>
                <w:sz w:val="24"/>
                <w:szCs w:val="20"/>
                <w:lang w:val="en-US" w:eastAsia="zh-CN"/>
              </w:rPr>
            </w:pPr>
            <w:r>
              <w:rPr>
                <w:rFonts w:hint="eastAsia" w:ascii="仿宋_GB2312" w:hAnsi="仿宋_GB2312" w:eastAsia="仿宋_GB2312" w:cs="仿宋_GB2312"/>
                <w:color w:val="auto"/>
                <w:kern w:val="0"/>
                <w:sz w:val="24"/>
                <w:szCs w:val="20"/>
                <w:lang w:val="en-US" w:eastAsia="zh-CN"/>
              </w:rPr>
              <w:t>建议对岩土工程勘察等级为甲级、乙级的勘察成果报告均应当经勘察文件审查机构审查合格。</w:t>
            </w:r>
          </w:p>
          <w:p>
            <w:pPr>
              <w:keepNext w:val="0"/>
              <w:keepLines w:val="0"/>
              <w:pageBreakBefore w:val="0"/>
              <w:widowControl w:val="0"/>
              <w:kinsoku/>
              <w:wordWrap/>
              <w:overflowPunct/>
              <w:topLinePunct w:val="0"/>
              <w:autoSpaceDE/>
              <w:autoSpaceDN/>
              <w:bidi w:val="0"/>
              <w:adjustRightInd/>
              <w:snapToGrid/>
              <w:spacing w:line="380" w:lineRule="exact"/>
              <w:jc w:val="left"/>
              <w:textAlignment w:val="auto"/>
              <w:rPr>
                <w:rFonts w:hint="eastAsia" w:ascii="仿宋_GB2312" w:hAnsi="仿宋_GB2312" w:eastAsia="仿宋_GB2312" w:cs="仿宋_GB2312"/>
                <w:color w:val="auto"/>
                <w:kern w:val="0"/>
                <w:sz w:val="24"/>
                <w:szCs w:val="20"/>
                <w:lang w:val="en-US" w:eastAsia="zh-CN"/>
              </w:rPr>
            </w:pPr>
            <w:r>
              <w:rPr>
                <w:rFonts w:hint="eastAsia" w:ascii="仿宋_GB2312" w:hAnsi="仿宋_GB2312" w:eastAsia="仿宋_GB2312" w:cs="仿宋_GB2312"/>
                <w:color w:val="auto"/>
                <w:kern w:val="0"/>
                <w:sz w:val="24"/>
                <w:szCs w:val="20"/>
                <w:lang w:val="en-US" w:eastAsia="zh-CN"/>
              </w:rPr>
              <w:t>2、“岩土工程勘察等级为甲级的勘察成果报告应当经勘察文件审查机构审查合格。”</w:t>
            </w:r>
          </w:p>
          <w:p>
            <w:pPr>
              <w:keepNext w:val="0"/>
              <w:keepLines w:val="0"/>
              <w:pageBreakBefore w:val="0"/>
              <w:widowControl w:val="0"/>
              <w:kinsoku/>
              <w:wordWrap/>
              <w:overflowPunct/>
              <w:topLinePunct w:val="0"/>
              <w:autoSpaceDE/>
              <w:autoSpaceDN/>
              <w:bidi w:val="0"/>
              <w:adjustRightInd/>
              <w:snapToGrid/>
              <w:spacing w:line="380" w:lineRule="exact"/>
              <w:jc w:val="left"/>
              <w:textAlignment w:val="auto"/>
              <w:rPr>
                <w:rFonts w:hint="eastAsia" w:ascii="仿宋_GB2312" w:hAnsi="仿宋_GB2312" w:eastAsia="仿宋_GB2312" w:cs="仿宋_GB2312"/>
                <w:color w:val="auto"/>
                <w:kern w:val="0"/>
                <w:sz w:val="24"/>
                <w:szCs w:val="20"/>
                <w:lang w:val="en-US" w:eastAsia="zh-CN"/>
              </w:rPr>
            </w:pPr>
            <w:r>
              <w:rPr>
                <w:rFonts w:hint="eastAsia" w:ascii="仿宋_GB2312" w:hAnsi="仿宋_GB2312" w:eastAsia="仿宋_GB2312" w:cs="仿宋_GB2312"/>
                <w:color w:val="auto"/>
                <w:kern w:val="0"/>
                <w:sz w:val="24"/>
                <w:szCs w:val="20"/>
                <w:lang w:val="en-US" w:eastAsia="zh-CN"/>
              </w:rPr>
              <w:t>以上条款与深府令第328号、深府令第329号、深府办函【2019】234号、深建规【2020】9号等相关文件中取消施工图审查的规定相悖。</w:t>
            </w:r>
          </w:p>
          <w:p>
            <w:pPr>
              <w:keepNext w:val="0"/>
              <w:keepLines w:val="0"/>
              <w:pageBreakBefore w:val="0"/>
              <w:widowControl w:val="0"/>
              <w:kinsoku/>
              <w:wordWrap/>
              <w:overflowPunct/>
              <w:topLinePunct w:val="0"/>
              <w:autoSpaceDE/>
              <w:autoSpaceDN/>
              <w:bidi w:val="0"/>
              <w:adjustRightInd/>
              <w:snapToGrid/>
              <w:spacing w:line="380" w:lineRule="exact"/>
              <w:jc w:val="left"/>
              <w:textAlignment w:val="auto"/>
              <w:rPr>
                <w:rFonts w:hint="eastAsia" w:ascii="仿宋_GB2312" w:hAnsi="仿宋_GB2312" w:eastAsia="仿宋_GB2312" w:cs="仿宋_GB2312"/>
                <w:color w:val="auto"/>
                <w:kern w:val="0"/>
                <w:sz w:val="24"/>
                <w:szCs w:val="20"/>
                <w:lang w:val="en-US" w:eastAsia="zh-CN"/>
              </w:rPr>
            </w:pPr>
            <w:r>
              <w:rPr>
                <w:rFonts w:hint="eastAsia" w:ascii="仿宋_GB2312" w:hAnsi="仿宋_GB2312" w:eastAsia="仿宋_GB2312" w:cs="仿宋_GB2312"/>
                <w:color w:val="auto"/>
                <w:kern w:val="0"/>
                <w:sz w:val="24"/>
                <w:szCs w:val="20"/>
                <w:lang w:val="en-US" w:eastAsia="zh-CN"/>
              </w:rPr>
              <w:t>3、“岩土工程勘察等级为甲级的勘察成果报告应当经勘察文件审查机构审查合格。”</w:t>
            </w:r>
          </w:p>
          <w:p>
            <w:pPr>
              <w:keepNext w:val="0"/>
              <w:keepLines w:val="0"/>
              <w:pageBreakBefore w:val="0"/>
              <w:widowControl w:val="0"/>
              <w:kinsoku/>
              <w:wordWrap/>
              <w:overflowPunct/>
              <w:topLinePunct w:val="0"/>
              <w:autoSpaceDE/>
              <w:autoSpaceDN/>
              <w:bidi w:val="0"/>
              <w:adjustRightInd/>
              <w:snapToGrid/>
              <w:spacing w:line="380" w:lineRule="exact"/>
              <w:jc w:val="left"/>
              <w:textAlignment w:val="auto"/>
              <w:rPr>
                <w:rFonts w:hint="default" w:ascii="仿宋_GB2312" w:hAnsi="仿宋_GB2312" w:eastAsia="仿宋_GB2312" w:cs="仿宋_GB2312"/>
                <w:color w:val="auto"/>
                <w:kern w:val="0"/>
                <w:sz w:val="24"/>
                <w:szCs w:val="20"/>
                <w:lang w:val="en-US" w:eastAsia="zh-CN"/>
              </w:rPr>
            </w:pPr>
            <w:r>
              <w:rPr>
                <w:rFonts w:hint="default" w:ascii="仿宋_GB2312" w:hAnsi="仿宋_GB2312" w:eastAsia="仿宋_GB2312" w:cs="仿宋_GB2312"/>
                <w:color w:val="auto"/>
                <w:kern w:val="0"/>
                <w:sz w:val="24"/>
                <w:szCs w:val="20"/>
                <w:lang w:val="en-US" w:eastAsia="zh-CN"/>
              </w:rPr>
              <w:t>勘察等级甲级的勘察成果与深基坑并无直接联系，没有深基坑的很多建（构）筑物勘察等级也可能为甲级，而此规定针对的是深基坑管理，即使要求审查，也应该仅对深基坑相关的勘察成果报告提出要求，如有安全等级为一级深基坑的勘察成果进行审查。另外，委托审查机构审查应该为建设单位职责，而不是勘察单位职责，应明确由建设单位委托审查机构审查。</w:t>
            </w:r>
          </w:p>
          <w:p>
            <w:pPr>
              <w:keepNext w:val="0"/>
              <w:keepLines w:val="0"/>
              <w:pageBreakBefore w:val="0"/>
              <w:widowControl w:val="0"/>
              <w:kinsoku/>
              <w:wordWrap/>
              <w:overflowPunct/>
              <w:topLinePunct w:val="0"/>
              <w:autoSpaceDE/>
              <w:autoSpaceDN/>
              <w:bidi w:val="0"/>
              <w:adjustRightInd/>
              <w:snapToGrid/>
              <w:spacing w:line="380" w:lineRule="exact"/>
              <w:jc w:val="left"/>
              <w:textAlignment w:val="auto"/>
              <w:rPr>
                <w:rFonts w:hint="eastAsia" w:ascii="仿宋_GB2312" w:hAnsi="仿宋_GB2312" w:eastAsia="仿宋_GB2312" w:cs="仿宋_GB2312"/>
                <w:color w:val="auto"/>
                <w:kern w:val="0"/>
                <w:sz w:val="24"/>
                <w:szCs w:val="20"/>
                <w:lang w:val="en-US" w:eastAsia="zh-CN"/>
              </w:rPr>
            </w:pPr>
            <w:r>
              <w:rPr>
                <w:rFonts w:hint="eastAsia" w:ascii="仿宋_GB2312" w:hAnsi="仿宋_GB2312" w:eastAsia="仿宋_GB2312" w:cs="仿宋_GB2312"/>
                <w:color w:val="auto"/>
                <w:kern w:val="0"/>
                <w:sz w:val="24"/>
                <w:szCs w:val="20"/>
                <w:lang w:val="en-US" w:eastAsia="zh-CN"/>
              </w:rPr>
              <w:t>4、“岩土工程勘察等级为甲级的勘察成果报告应当经勘察文件审查机构审查合格。”</w:t>
            </w:r>
          </w:p>
          <w:p>
            <w:pPr>
              <w:keepNext w:val="0"/>
              <w:keepLines w:val="0"/>
              <w:pageBreakBefore w:val="0"/>
              <w:widowControl w:val="0"/>
              <w:kinsoku/>
              <w:wordWrap/>
              <w:overflowPunct/>
              <w:topLinePunct w:val="0"/>
              <w:autoSpaceDE/>
              <w:autoSpaceDN/>
              <w:bidi w:val="0"/>
              <w:adjustRightInd/>
              <w:snapToGrid/>
              <w:spacing w:line="380" w:lineRule="exact"/>
              <w:jc w:val="left"/>
              <w:textAlignment w:val="auto"/>
              <w:rPr>
                <w:rFonts w:hint="default"/>
                <w:lang w:val="en-US" w:eastAsia="zh-CN"/>
              </w:rPr>
            </w:pPr>
            <w:r>
              <w:rPr>
                <w:rFonts w:hint="eastAsia" w:ascii="仿宋_GB2312" w:hAnsi="仿宋_GB2312" w:eastAsia="仿宋_GB2312" w:cs="仿宋_GB2312"/>
                <w:color w:val="auto"/>
                <w:kern w:val="0"/>
                <w:sz w:val="24"/>
                <w:szCs w:val="20"/>
                <w:lang w:val="en-US" w:eastAsia="zh-CN"/>
              </w:rPr>
              <w:t>建议修改为“岩土工程勘察等级为甲级的勘察成果报告应当由建设单位委托具有专业审查能力的第三方咨询单位（含施工图审查机构）审查合格。”，并纳入到第二章建设单位职责里。</w:t>
            </w:r>
          </w:p>
        </w:tc>
        <w:tc>
          <w:tcPr>
            <w:tcW w:w="1460"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eastAsia" w:ascii="仿宋_GB2312" w:hAnsi="仿宋_GB2312" w:eastAsia="仿宋_GB2312" w:cs="仿宋_GB2312"/>
                <w:color w:val="000000" w:themeColor="text1"/>
                <w:kern w:val="0"/>
                <w:sz w:val="24"/>
                <w:szCs w:val="20"/>
                <w14:textFill>
                  <w14:solidFill>
                    <w14:schemeClr w14:val="tx1"/>
                  </w14:solidFill>
                </w14:textFill>
              </w:rPr>
            </w:pPr>
            <w:r>
              <w:rPr>
                <w:rFonts w:hint="eastAsia" w:ascii="仿宋_GB2312" w:hAnsi="仿宋_GB2312" w:eastAsia="仿宋_GB2312" w:cs="仿宋_GB2312"/>
                <w:color w:val="000000" w:themeColor="text1"/>
                <w:kern w:val="0"/>
                <w:sz w:val="24"/>
                <w:szCs w:val="20"/>
                <w:lang w:val="en-US" w:eastAsia="zh-CN"/>
                <w14:textFill>
                  <w14:solidFill>
                    <w14:schemeClr w14:val="tx1"/>
                  </w14:solidFill>
                </w14:textFill>
              </w:rPr>
              <w:t>解释说明</w:t>
            </w:r>
          </w:p>
        </w:tc>
        <w:tc>
          <w:tcPr>
            <w:tcW w:w="4593" w:type="dxa"/>
            <w:vAlign w:val="center"/>
          </w:tcPr>
          <w:p>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ascii="仿宋_GB2312" w:hAnsi="仿宋_GB2312" w:eastAsia="仿宋_GB2312" w:cs="仿宋_GB2312"/>
                <w:color w:val="000000" w:themeColor="text1"/>
                <w:kern w:val="0"/>
                <w:sz w:val="24"/>
                <w:szCs w:val="20"/>
                <w:lang w:val="en-US" w:eastAsia="zh-CN"/>
                <w14:textFill>
                  <w14:solidFill>
                    <w14:schemeClr w14:val="tx1"/>
                  </w14:solidFill>
                </w14:textFill>
              </w:rPr>
            </w:pPr>
            <w:r>
              <w:rPr>
                <w:rFonts w:hint="eastAsia" w:ascii="仿宋_GB2312" w:hAnsi="仿宋_GB2312" w:eastAsia="仿宋_GB2312" w:cs="仿宋_GB2312"/>
                <w:color w:val="000000" w:themeColor="text1"/>
                <w:kern w:val="0"/>
                <w:sz w:val="24"/>
                <w:szCs w:val="20"/>
                <w:lang w:val="en-US" w:eastAsia="zh-CN"/>
                <w14:textFill>
                  <w14:solidFill>
                    <w14:schemeClr w14:val="tx1"/>
                  </w14:solidFill>
                </w14:textFill>
              </w:rPr>
              <w:t>自2020年7月1日起，我市取消施工图强制审查，但在勘察设计质量方面，部分项目的勘察设计质量问题数和违反强条数有所增加。本次修编拟通过第三方单位对重要、复杂、危险的深基坑工程勘察报告和施工图进行审查，旨在从源头上防范化解深基坑工程重大质量安全风险。</w:t>
            </w:r>
          </w:p>
          <w:p>
            <w:pPr>
              <w:pStyle w:val="2"/>
              <w:rPr>
                <w:rFonts w:hint="default"/>
                <w:lang w:val="en-US" w:eastAsia="zh-CN"/>
              </w:rPr>
            </w:pPr>
            <w:r>
              <w:rPr>
                <w:rFonts w:hint="eastAsia" w:ascii="仿宋_GB2312" w:hAnsi="仿宋_GB2312" w:eastAsia="仿宋_GB2312" w:cs="仿宋_GB2312"/>
                <w:color w:val="000000" w:themeColor="text1"/>
                <w:kern w:val="0"/>
                <w:sz w:val="24"/>
                <w:szCs w:val="20"/>
                <w:lang w:val="en-US" w:eastAsia="zh-CN"/>
                <w14:textFill>
                  <w14:solidFill>
                    <w14:schemeClr w14:val="tx1"/>
                  </w14:solidFill>
                </w14:textFill>
              </w:rPr>
              <w:t>采纳“勘察报告</w:t>
            </w:r>
            <w:r>
              <w:rPr>
                <w:rFonts w:hint="default" w:ascii="仿宋_GB2312" w:hAnsi="仿宋_GB2312" w:eastAsia="仿宋_GB2312" w:cs="仿宋_GB2312"/>
                <w:color w:val="auto"/>
                <w:kern w:val="0"/>
                <w:sz w:val="24"/>
                <w:szCs w:val="20"/>
                <w:lang w:val="en-US" w:eastAsia="zh-CN"/>
              </w:rPr>
              <w:t>由建设单位委托审查机构审查</w:t>
            </w:r>
            <w:r>
              <w:rPr>
                <w:rFonts w:hint="eastAsia" w:ascii="仿宋_GB2312" w:hAnsi="仿宋_GB2312" w:eastAsia="仿宋_GB2312" w:cs="仿宋_GB2312"/>
                <w:color w:val="000000" w:themeColor="text1"/>
                <w:kern w:val="0"/>
                <w:sz w:val="24"/>
                <w:szCs w:val="20"/>
                <w:lang w:val="en-US" w:eastAsia="zh-CN"/>
                <w14:textFill>
                  <w14:solidFill>
                    <w14:schemeClr w14:val="tx1"/>
                  </w14:solidFill>
                </w14:textFill>
              </w:rPr>
              <w:t>”意见</w:t>
            </w:r>
            <w:r>
              <w:rPr>
                <w:rFonts w:hint="default" w:ascii="仿宋_GB2312" w:hAnsi="仿宋_GB2312" w:eastAsia="仿宋_GB2312" w:cs="仿宋_GB2312"/>
                <w:color w:val="auto"/>
                <w:kern w:val="0"/>
                <w:sz w:val="24"/>
                <w:szCs w:val="20"/>
                <w:lang w:val="en-US" w:eastAsia="zh-CN"/>
              </w:rPr>
              <w:t>。</w:t>
            </w:r>
          </w:p>
          <w:p>
            <w:pPr>
              <w:keepNext w:val="0"/>
              <w:keepLines w:val="0"/>
              <w:pageBreakBefore w:val="0"/>
              <w:widowControl w:val="0"/>
              <w:kinsoku/>
              <w:wordWrap/>
              <w:overflowPunct/>
              <w:topLinePunct w:val="0"/>
              <w:autoSpaceDE/>
              <w:autoSpaceDN/>
              <w:bidi w:val="0"/>
              <w:adjustRightInd/>
              <w:snapToGrid/>
              <w:spacing w:line="380" w:lineRule="exact"/>
              <w:textAlignment w:val="auto"/>
              <w:rPr>
                <w:rFonts w:hint="default" w:ascii="仿宋_GB2312" w:eastAsia="仿宋_GB2312"/>
                <w:kern w:val="0"/>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00" w:hRule="atLeast"/>
          <w:jc w:val="center"/>
        </w:trPr>
        <w:tc>
          <w:tcPr>
            <w:tcW w:w="913"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仿宋_GB2312" w:hAnsi="仿宋_GB2312" w:eastAsia="仿宋_GB2312" w:cs="仿宋_GB2312"/>
                <w:color w:val="000000" w:themeColor="text1"/>
                <w:kern w:val="0"/>
                <w:sz w:val="24"/>
                <w:szCs w:val="24"/>
                <w:lang w:val="en-US" w:eastAsia="zh-CN"/>
                <w14:textFill>
                  <w14:solidFill>
                    <w14:schemeClr w14:val="tx1"/>
                  </w14:solidFill>
                </w14:textFill>
              </w:rPr>
            </w:pPr>
            <w: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t>6</w:t>
            </w:r>
          </w:p>
        </w:tc>
        <w:tc>
          <w:tcPr>
            <w:tcW w:w="1238"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eastAsia" w:ascii="仿宋_GB2312" w:eastAsia="仿宋_GB2312"/>
                <w:kern w:val="0"/>
                <w:sz w:val="24"/>
                <w:szCs w:val="24"/>
                <w:lang w:eastAsia="zh-CN"/>
              </w:rPr>
            </w:pPr>
            <w:r>
              <w:rPr>
                <w:rFonts w:hint="eastAsia" w:ascii="仿宋_GB2312" w:eastAsia="仿宋_GB2312"/>
                <w:kern w:val="0"/>
                <w:sz w:val="24"/>
                <w:szCs w:val="24"/>
                <w:lang w:eastAsia="zh-CN"/>
              </w:rPr>
              <w:t>第十八条</w:t>
            </w:r>
          </w:p>
        </w:tc>
        <w:tc>
          <w:tcPr>
            <w:tcW w:w="5542"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left"/>
              <w:textAlignment w:val="auto"/>
              <w:rPr>
                <w:rFonts w:hint="eastAsia" w:ascii="仿宋_GB2312" w:hAnsi="仿宋_GB2312" w:eastAsia="仿宋_GB2312" w:cs="仿宋_GB2312"/>
                <w:color w:val="auto"/>
                <w:kern w:val="0"/>
                <w:sz w:val="24"/>
                <w:szCs w:val="20"/>
                <w:lang w:val="en-US" w:eastAsia="zh-CN"/>
              </w:rPr>
            </w:pPr>
            <w:r>
              <w:rPr>
                <w:rFonts w:hint="eastAsia" w:ascii="仿宋_GB2312" w:hAnsi="仿宋_GB2312" w:eastAsia="仿宋_GB2312" w:cs="仿宋_GB2312"/>
                <w:color w:val="auto"/>
                <w:kern w:val="0"/>
                <w:sz w:val="24"/>
                <w:szCs w:val="20"/>
                <w:lang w:val="en-US" w:eastAsia="zh-CN"/>
              </w:rPr>
              <w:t>“当发现场地和周边岩溶发育，或者地质条件与勘察报告不相符，或者工程条件发生变更时</w:t>
            </w:r>
            <w:r>
              <w:rPr>
                <w:rFonts w:hint="default" w:ascii="仿宋_GB2312" w:hAnsi="仿宋_GB2312" w:eastAsia="仿宋_GB2312" w:cs="仿宋_GB2312"/>
                <w:color w:val="auto"/>
                <w:kern w:val="0"/>
                <w:sz w:val="24"/>
                <w:szCs w:val="20"/>
                <w:lang w:val="en" w:eastAsia="zh-CN"/>
              </w:rPr>
              <w:t>... ...</w:t>
            </w:r>
            <w:r>
              <w:rPr>
                <w:rFonts w:hint="eastAsia" w:ascii="仿宋_GB2312" w:hAnsi="仿宋_GB2312" w:eastAsia="仿宋_GB2312" w:cs="仿宋_GB2312"/>
                <w:color w:val="auto"/>
                <w:kern w:val="0"/>
                <w:sz w:val="24"/>
                <w:szCs w:val="20"/>
                <w:lang w:val="en-US" w:eastAsia="zh-CN"/>
              </w:rPr>
              <w:t>”</w:t>
            </w:r>
          </w:p>
          <w:p>
            <w:pPr>
              <w:keepNext w:val="0"/>
              <w:keepLines w:val="0"/>
              <w:pageBreakBefore w:val="0"/>
              <w:widowControl w:val="0"/>
              <w:kinsoku/>
              <w:wordWrap/>
              <w:overflowPunct/>
              <w:topLinePunct w:val="0"/>
              <w:autoSpaceDE/>
              <w:autoSpaceDN/>
              <w:bidi w:val="0"/>
              <w:adjustRightInd/>
              <w:snapToGrid/>
              <w:spacing w:line="380" w:lineRule="exact"/>
              <w:jc w:val="left"/>
              <w:textAlignment w:val="auto"/>
              <w:rPr>
                <w:rFonts w:hint="eastAsia" w:ascii="仿宋_GB2312" w:hAnsi="仿宋_GB2312" w:eastAsia="仿宋_GB2312" w:cs="仿宋_GB2312"/>
                <w:color w:val="auto"/>
                <w:kern w:val="0"/>
                <w:sz w:val="24"/>
                <w:szCs w:val="20"/>
                <w:lang w:val="en-US" w:eastAsia="zh-CN"/>
              </w:rPr>
            </w:pPr>
            <w:r>
              <w:rPr>
                <w:rFonts w:hint="eastAsia" w:ascii="仿宋_GB2312" w:hAnsi="仿宋_GB2312" w:eastAsia="仿宋_GB2312" w:cs="仿宋_GB2312"/>
                <w:color w:val="auto"/>
                <w:kern w:val="0"/>
                <w:sz w:val="24"/>
                <w:szCs w:val="20"/>
                <w:lang w:val="en-US" w:eastAsia="zh-CN"/>
              </w:rPr>
              <w:t>建议修改为“当发现实际揭露与勘察报告所反应的地质条件差异较大，或者工程条件发生变更，且有必要进行补充勘察时</w:t>
            </w:r>
            <w:r>
              <w:rPr>
                <w:rFonts w:hint="default" w:ascii="仿宋_GB2312" w:hAnsi="仿宋_GB2312" w:eastAsia="仿宋_GB2312" w:cs="仿宋_GB2312"/>
                <w:color w:val="auto"/>
                <w:kern w:val="0"/>
                <w:sz w:val="24"/>
                <w:szCs w:val="20"/>
                <w:lang w:val="en" w:eastAsia="zh-CN"/>
              </w:rPr>
              <w:t>... ...</w:t>
            </w:r>
            <w:r>
              <w:rPr>
                <w:rFonts w:hint="eastAsia" w:ascii="仿宋_GB2312" w:hAnsi="仿宋_GB2312" w:eastAsia="仿宋_GB2312" w:cs="仿宋_GB2312"/>
                <w:color w:val="auto"/>
                <w:kern w:val="0"/>
                <w:sz w:val="24"/>
                <w:szCs w:val="20"/>
                <w:lang w:val="en-US" w:eastAsia="zh-CN"/>
              </w:rPr>
              <w:t>”</w:t>
            </w:r>
          </w:p>
        </w:tc>
        <w:tc>
          <w:tcPr>
            <w:tcW w:w="1460"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eastAsia" w:ascii="仿宋_GB2312" w:hAnsi="仿宋_GB2312" w:eastAsia="仿宋_GB2312" w:cs="仿宋_GB2312"/>
                <w:color w:val="000000" w:themeColor="text1"/>
                <w:kern w:val="0"/>
                <w:sz w:val="24"/>
                <w:szCs w:val="20"/>
                <w14:textFill>
                  <w14:solidFill>
                    <w14:schemeClr w14:val="tx1"/>
                  </w14:solidFill>
                </w14:textFill>
              </w:rPr>
            </w:pPr>
            <w:r>
              <w:rPr>
                <w:rFonts w:hint="eastAsia" w:ascii="仿宋_GB2312" w:hAnsi="仿宋_GB2312" w:eastAsia="仿宋_GB2312" w:cs="仿宋_GB2312"/>
                <w:color w:val="000000" w:themeColor="text1"/>
                <w:kern w:val="0"/>
                <w:sz w:val="24"/>
                <w:szCs w:val="20"/>
                <w:lang w:val="en-US" w:eastAsia="zh-CN"/>
                <w14:textFill>
                  <w14:solidFill>
                    <w14:schemeClr w14:val="tx1"/>
                  </w14:solidFill>
                </w14:textFill>
              </w:rPr>
              <w:t>部分</w:t>
            </w:r>
            <w:r>
              <w:rPr>
                <w:rFonts w:hint="eastAsia" w:ascii="仿宋_GB2312" w:hAnsi="仿宋_GB2312" w:eastAsia="仿宋_GB2312" w:cs="仿宋_GB2312"/>
                <w:color w:val="000000" w:themeColor="text1"/>
                <w:kern w:val="0"/>
                <w:sz w:val="24"/>
                <w:szCs w:val="20"/>
                <w14:textFill>
                  <w14:solidFill>
                    <w14:schemeClr w14:val="tx1"/>
                  </w14:solidFill>
                </w14:textFill>
              </w:rPr>
              <w:t>采纳</w:t>
            </w:r>
          </w:p>
        </w:tc>
        <w:tc>
          <w:tcPr>
            <w:tcW w:w="4593"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left"/>
              <w:textAlignment w:val="auto"/>
              <w:rPr>
                <w:rFonts w:hint="default" w:ascii="仿宋_GB2312" w:eastAsia="仿宋_GB2312"/>
                <w:kern w:val="0"/>
                <w:sz w:val="24"/>
                <w:szCs w:val="24"/>
                <w:lang w:val="en-US" w:eastAsia="zh-CN"/>
              </w:rPr>
            </w:pPr>
            <w:r>
              <w:rPr>
                <w:rFonts w:hint="eastAsia" w:ascii="仿宋_GB2312" w:hAnsi="仿宋_GB2312" w:eastAsia="仿宋_GB2312" w:cs="仿宋_GB2312"/>
                <w:kern w:val="0"/>
                <w:sz w:val="24"/>
                <w:szCs w:val="20"/>
                <w:lang w:eastAsia="zh-CN"/>
              </w:rPr>
              <w:t>相应条款修改</w:t>
            </w:r>
            <w:r>
              <w:rPr>
                <w:rFonts w:hint="eastAsia" w:ascii="仿宋_GB2312" w:hAnsi="仿宋_GB2312" w:eastAsia="仿宋_GB2312" w:cs="仿宋_GB2312"/>
                <w:kern w:val="0"/>
                <w:sz w:val="24"/>
                <w:szCs w:val="20"/>
                <w:lang w:val="en-US" w:eastAsia="zh-CN"/>
              </w:rPr>
              <w:t>为</w:t>
            </w:r>
            <w:r>
              <w:rPr>
                <w:rFonts w:hint="eastAsia" w:ascii="仿宋_GB2312" w:hAnsi="仿宋_GB2312" w:eastAsia="仿宋_GB2312" w:cs="仿宋_GB2312"/>
                <w:color w:val="auto"/>
                <w:kern w:val="0"/>
                <w:sz w:val="24"/>
                <w:szCs w:val="20"/>
                <w:lang w:val="en-US" w:eastAsia="zh-CN"/>
              </w:rPr>
              <w:t>“当发现场地和周边岩溶发育，或者实际揭露与勘察报告所反应的地质条件不相符，或者工程条件发生变更时</w:t>
            </w:r>
            <w:r>
              <w:rPr>
                <w:rFonts w:hint="default" w:ascii="仿宋_GB2312" w:hAnsi="仿宋_GB2312" w:eastAsia="仿宋_GB2312" w:cs="仿宋_GB2312"/>
                <w:color w:val="auto"/>
                <w:kern w:val="0"/>
                <w:sz w:val="24"/>
                <w:szCs w:val="20"/>
                <w:lang w:val="en" w:eastAsia="zh-CN"/>
              </w:rPr>
              <w:t>... ...</w:t>
            </w:r>
            <w:r>
              <w:rPr>
                <w:rFonts w:hint="eastAsia" w:ascii="仿宋_GB2312" w:hAnsi="仿宋_GB2312" w:eastAsia="仿宋_GB2312" w:cs="仿宋_GB2312"/>
                <w:color w:val="auto"/>
                <w:kern w:val="0"/>
                <w:sz w:val="24"/>
                <w:szCs w:val="20"/>
                <w:lang w:val="en-US" w:eastAsia="zh-CN"/>
              </w:rPr>
              <w:t>”</w:t>
            </w:r>
            <w:r>
              <w:rPr>
                <w:rFonts w:hint="eastAsia" w:ascii="仿宋_GB2312" w:hAnsi="仿宋_GB2312" w:eastAsia="仿宋_GB2312" w:cs="仿宋_GB2312"/>
                <w:kern w:val="0"/>
                <w:sz w:val="24"/>
                <w:szCs w:val="20"/>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00" w:hRule="atLeast"/>
          <w:jc w:val="center"/>
        </w:trPr>
        <w:tc>
          <w:tcPr>
            <w:tcW w:w="913"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eastAsia" w:ascii="仿宋_GB2312" w:hAnsi="仿宋_GB2312" w:eastAsia="仿宋_GB2312" w:cs="仿宋_GB2312"/>
                <w:color w:val="000000" w:themeColor="text1"/>
                <w:kern w:val="0"/>
                <w:sz w:val="24"/>
                <w:szCs w:val="24"/>
                <w:lang w:eastAsia="zh-CN"/>
                <w14:textFill>
                  <w14:solidFill>
                    <w14:schemeClr w14:val="tx1"/>
                  </w14:solidFill>
                </w14:textFill>
              </w:rPr>
            </w:pPr>
            <w: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t>7</w:t>
            </w:r>
          </w:p>
        </w:tc>
        <w:tc>
          <w:tcPr>
            <w:tcW w:w="1238"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ascii="仿宋_GB2312" w:hAnsi="仿宋_GB2312" w:eastAsia="仿宋_GB2312" w:cs="仿宋_GB2312"/>
                <w:color w:val="000000" w:themeColor="text1"/>
                <w:kern w:val="0"/>
                <w:sz w:val="24"/>
                <w:szCs w:val="20"/>
                <w14:textFill>
                  <w14:solidFill>
                    <w14:schemeClr w14:val="tx1"/>
                  </w14:solidFill>
                </w14:textFill>
              </w:rPr>
            </w:pPr>
            <w:r>
              <w:rPr>
                <w:rFonts w:hint="eastAsia" w:ascii="仿宋_GB2312" w:eastAsia="仿宋_GB2312"/>
                <w:kern w:val="0"/>
                <w:sz w:val="24"/>
                <w:szCs w:val="24"/>
              </w:rPr>
              <w:t>第</w:t>
            </w:r>
            <w:r>
              <w:rPr>
                <w:rFonts w:hint="eastAsia" w:ascii="仿宋_GB2312" w:eastAsia="仿宋_GB2312"/>
                <w:kern w:val="0"/>
                <w:sz w:val="24"/>
                <w:szCs w:val="24"/>
                <w:lang w:eastAsia="zh-CN"/>
              </w:rPr>
              <w:t>二十</w:t>
            </w:r>
            <w:r>
              <w:rPr>
                <w:rFonts w:hint="eastAsia" w:ascii="仿宋_GB2312" w:eastAsia="仿宋_GB2312"/>
                <w:kern w:val="0"/>
                <w:sz w:val="24"/>
                <w:szCs w:val="24"/>
              </w:rPr>
              <w:t>条</w:t>
            </w:r>
          </w:p>
        </w:tc>
        <w:tc>
          <w:tcPr>
            <w:tcW w:w="5542"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left"/>
              <w:textAlignment w:val="auto"/>
              <w:rPr>
                <w:rFonts w:hint="eastAsia" w:ascii="仿宋_GB2312" w:hAnsi="仿宋_GB2312" w:eastAsia="仿宋_GB2312" w:cs="仿宋_GB2312"/>
                <w:color w:val="auto"/>
                <w:kern w:val="0"/>
                <w:sz w:val="24"/>
                <w:szCs w:val="20"/>
                <w:lang w:val="en" w:eastAsia="zh-CN"/>
              </w:rPr>
            </w:pPr>
            <w:r>
              <w:rPr>
                <w:rFonts w:hint="eastAsia" w:ascii="仿宋_GB2312" w:hAnsi="仿宋_GB2312" w:eastAsia="仿宋_GB2312" w:cs="仿宋_GB2312"/>
                <w:color w:val="auto"/>
                <w:kern w:val="0"/>
                <w:sz w:val="24"/>
                <w:szCs w:val="20"/>
                <w:lang w:val="en-US" w:eastAsia="zh-CN"/>
              </w:rPr>
              <w:t>1、“设计单位应当根据地质、施工条件和现状调查资料，考虑台风、暴雨、动静荷载及相邻设施既有变形，确定</w:t>
            </w:r>
            <w:r>
              <w:rPr>
                <w:rFonts w:hint="default" w:ascii="仿宋_GB2312" w:hAnsi="仿宋_GB2312" w:eastAsia="仿宋_GB2312" w:cs="仿宋_GB2312"/>
                <w:color w:val="auto"/>
                <w:kern w:val="0"/>
                <w:sz w:val="24"/>
                <w:szCs w:val="20"/>
                <w:lang w:val="en" w:eastAsia="zh-CN"/>
              </w:rPr>
              <w:t>... ...</w:t>
            </w:r>
            <w:r>
              <w:rPr>
                <w:rFonts w:hint="eastAsia" w:ascii="仿宋_GB2312" w:hAnsi="仿宋_GB2312" w:eastAsia="仿宋_GB2312" w:cs="仿宋_GB2312"/>
                <w:color w:val="auto"/>
                <w:kern w:val="0"/>
                <w:sz w:val="24"/>
                <w:szCs w:val="20"/>
                <w:lang w:val="en" w:eastAsia="zh-CN"/>
              </w:rPr>
              <w:t>”</w:t>
            </w:r>
          </w:p>
          <w:p>
            <w:pPr>
              <w:keepNext w:val="0"/>
              <w:keepLines w:val="0"/>
              <w:pageBreakBefore w:val="0"/>
              <w:widowControl w:val="0"/>
              <w:kinsoku/>
              <w:wordWrap/>
              <w:overflowPunct/>
              <w:topLinePunct w:val="0"/>
              <w:autoSpaceDE/>
              <w:autoSpaceDN/>
              <w:bidi w:val="0"/>
              <w:adjustRightInd/>
              <w:snapToGrid/>
              <w:spacing w:line="380" w:lineRule="exact"/>
              <w:jc w:val="left"/>
              <w:textAlignment w:val="auto"/>
              <w:rPr>
                <w:rFonts w:hint="eastAsia" w:ascii="仿宋_GB2312" w:hAnsi="仿宋_GB2312" w:eastAsia="仿宋_GB2312" w:cs="仿宋_GB2312"/>
                <w:color w:val="auto"/>
                <w:kern w:val="0"/>
                <w:sz w:val="24"/>
                <w:szCs w:val="20"/>
                <w:lang w:val="en" w:eastAsia="zh-CN"/>
              </w:rPr>
            </w:pPr>
            <w:r>
              <w:rPr>
                <w:rFonts w:hint="eastAsia" w:ascii="仿宋_GB2312" w:hAnsi="仿宋_GB2312" w:eastAsia="仿宋_GB2312" w:cs="仿宋_GB2312"/>
                <w:color w:val="auto"/>
                <w:kern w:val="0"/>
                <w:sz w:val="24"/>
                <w:szCs w:val="20"/>
                <w:lang w:val="en-US" w:eastAsia="zh-CN"/>
              </w:rPr>
              <w:t>建议修改为“设计单位应当根据地质、施工条件和现状调查资料，考虑台风、暴雨、动静荷载及相邻设施既有安全状态，确定</w:t>
            </w:r>
            <w:r>
              <w:rPr>
                <w:rFonts w:hint="default" w:ascii="仿宋_GB2312" w:hAnsi="仿宋_GB2312" w:eastAsia="仿宋_GB2312" w:cs="仿宋_GB2312"/>
                <w:color w:val="auto"/>
                <w:kern w:val="0"/>
                <w:sz w:val="24"/>
                <w:szCs w:val="20"/>
                <w:lang w:val="en" w:eastAsia="zh-CN"/>
              </w:rPr>
              <w:t>... ...</w:t>
            </w:r>
            <w:r>
              <w:rPr>
                <w:rFonts w:hint="eastAsia" w:ascii="仿宋_GB2312" w:hAnsi="仿宋_GB2312" w:eastAsia="仿宋_GB2312" w:cs="仿宋_GB2312"/>
                <w:color w:val="auto"/>
                <w:kern w:val="0"/>
                <w:sz w:val="24"/>
                <w:szCs w:val="20"/>
                <w:lang w:val="en" w:eastAsia="zh-CN"/>
              </w:rPr>
              <w:t>”</w:t>
            </w:r>
          </w:p>
          <w:p>
            <w:pPr>
              <w:keepNext w:val="0"/>
              <w:keepLines w:val="0"/>
              <w:pageBreakBefore w:val="0"/>
              <w:widowControl w:val="0"/>
              <w:kinsoku/>
              <w:wordWrap/>
              <w:overflowPunct/>
              <w:topLinePunct w:val="0"/>
              <w:autoSpaceDE/>
              <w:autoSpaceDN/>
              <w:bidi w:val="0"/>
              <w:adjustRightInd/>
              <w:snapToGrid/>
              <w:spacing w:line="380" w:lineRule="exact"/>
              <w:jc w:val="left"/>
              <w:textAlignment w:val="auto"/>
              <w:rPr>
                <w:rFonts w:hint="eastAsia" w:ascii="仿宋_GB2312" w:hAnsi="仿宋_GB2312" w:eastAsia="仿宋_GB2312" w:cs="仿宋_GB2312"/>
                <w:color w:val="auto"/>
                <w:kern w:val="0"/>
                <w:sz w:val="24"/>
                <w:szCs w:val="20"/>
                <w:lang w:val="en-US" w:eastAsia="zh-CN"/>
              </w:rPr>
            </w:pPr>
            <w:r>
              <w:rPr>
                <w:rFonts w:hint="eastAsia" w:ascii="仿宋_GB2312" w:hAnsi="仿宋_GB2312" w:eastAsia="仿宋_GB2312" w:cs="仿宋_GB2312"/>
                <w:color w:val="auto"/>
                <w:kern w:val="0"/>
                <w:sz w:val="24"/>
                <w:szCs w:val="20"/>
                <w:lang w:val="en-US" w:eastAsia="zh-CN"/>
              </w:rPr>
              <w:t>2、“设计单位应当对相邻设施采取保护措施。当不能确定周边建（构）筑物基础形式及埋深时，应当按最不利基础条件进行保护。”</w:t>
            </w:r>
          </w:p>
          <w:p>
            <w:pPr>
              <w:keepNext w:val="0"/>
              <w:keepLines w:val="0"/>
              <w:pageBreakBefore w:val="0"/>
              <w:widowControl w:val="0"/>
              <w:kinsoku/>
              <w:wordWrap/>
              <w:overflowPunct/>
              <w:topLinePunct w:val="0"/>
              <w:autoSpaceDE/>
              <w:autoSpaceDN/>
              <w:bidi w:val="0"/>
              <w:adjustRightInd/>
              <w:snapToGrid/>
              <w:spacing w:line="380" w:lineRule="exact"/>
              <w:jc w:val="left"/>
              <w:textAlignment w:val="auto"/>
              <w:rPr>
                <w:rFonts w:hint="default" w:ascii="仿宋_GB2312" w:hAnsi="仿宋_GB2312" w:eastAsia="仿宋_GB2312" w:cs="仿宋_GB2312"/>
                <w:color w:val="auto"/>
                <w:kern w:val="0"/>
                <w:sz w:val="24"/>
                <w:szCs w:val="20"/>
                <w:lang w:val="en-US" w:eastAsia="zh-CN"/>
              </w:rPr>
            </w:pPr>
            <w:r>
              <w:rPr>
                <w:rFonts w:hint="eastAsia" w:ascii="仿宋_GB2312" w:hAnsi="仿宋_GB2312" w:eastAsia="仿宋_GB2312" w:cs="仿宋_GB2312"/>
                <w:color w:val="auto"/>
                <w:kern w:val="0"/>
                <w:sz w:val="24"/>
                <w:szCs w:val="20"/>
                <w:lang w:val="en-US" w:eastAsia="zh-CN"/>
              </w:rPr>
              <w:t>建议修改为“设计文件应当有对相邻设施采取保护的措施。当不能确定周边建（构）筑物基础形式及埋深时，应当按最不利基础条件进行设计。”</w:t>
            </w:r>
          </w:p>
        </w:tc>
        <w:tc>
          <w:tcPr>
            <w:tcW w:w="1460"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eastAsia" w:ascii="仿宋_GB2312" w:hAnsi="仿宋_GB2312" w:eastAsia="仿宋_GB2312" w:cs="仿宋_GB2312"/>
                <w:color w:val="000000" w:themeColor="text1"/>
                <w:kern w:val="0"/>
                <w:sz w:val="24"/>
                <w:szCs w:val="20"/>
                <w14:textFill>
                  <w14:solidFill>
                    <w14:schemeClr w14:val="tx1"/>
                  </w14:solidFill>
                </w14:textFill>
              </w:rPr>
            </w:pPr>
            <w:r>
              <w:rPr>
                <w:rFonts w:hint="eastAsia" w:ascii="仿宋_GB2312" w:hAnsi="仿宋_GB2312" w:eastAsia="仿宋_GB2312" w:cs="仿宋_GB2312"/>
                <w:color w:val="000000" w:themeColor="text1"/>
                <w:kern w:val="0"/>
                <w:sz w:val="24"/>
                <w:szCs w:val="20"/>
                <w14:textFill>
                  <w14:solidFill>
                    <w14:schemeClr w14:val="tx1"/>
                  </w14:solidFill>
                </w14:textFill>
              </w:rPr>
              <w:t>采纳</w:t>
            </w:r>
          </w:p>
        </w:tc>
        <w:tc>
          <w:tcPr>
            <w:tcW w:w="4593" w:type="dxa"/>
            <w:vAlign w:val="center"/>
          </w:tcPr>
          <w:p>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ascii="仿宋_GB2312" w:hAnsi="仿宋_GB2312" w:eastAsia="仿宋_GB2312" w:cs="仿宋_GB2312"/>
                <w:color w:val="000000" w:themeColor="text1"/>
                <w:kern w:val="0"/>
                <w:sz w:val="24"/>
                <w:szCs w:val="20"/>
                <w14:textFill>
                  <w14:solidFill>
                    <w14:schemeClr w14:val="tx1"/>
                  </w14:solidFill>
                </w14:textFill>
              </w:rPr>
            </w:pPr>
            <w:r>
              <w:rPr>
                <w:rFonts w:hint="eastAsia" w:ascii="仿宋_GB2312" w:hAnsi="仿宋_GB2312" w:eastAsia="仿宋_GB2312" w:cs="仿宋_GB2312"/>
                <w:kern w:val="0"/>
                <w:sz w:val="24"/>
                <w:szCs w:val="20"/>
                <w:lang w:eastAsia="zh-CN"/>
              </w:rPr>
              <w:t>对《深圳市深基坑管理规定》相应条款进行修改。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00" w:hRule="atLeast"/>
          <w:jc w:val="center"/>
        </w:trPr>
        <w:tc>
          <w:tcPr>
            <w:tcW w:w="913"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仿宋_GB2312" w:hAnsi="仿宋_GB2312" w:eastAsia="仿宋_GB2312" w:cs="仿宋_GB2312"/>
                <w:color w:val="000000" w:themeColor="text1"/>
                <w:kern w:val="0"/>
                <w:sz w:val="24"/>
                <w:szCs w:val="24"/>
                <w:lang w:val="en-US" w:eastAsia="zh-CN"/>
                <w14:textFill>
                  <w14:solidFill>
                    <w14:schemeClr w14:val="tx1"/>
                  </w14:solidFill>
                </w14:textFill>
              </w:rPr>
            </w:pPr>
            <w: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t>8</w:t>
            </w:r>
          </w:p>
        </w:tc>
        <w:tc>
          <w:tcPr>
            <w:tcW w:w="1238"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eastAsia" w:ascii="仿宋_GB2312" w:eastAsia="仿宋_GB2312"/>
                <w:kern w:val="0"/>
                <w:sz w:val="24"/>
                <w:szCs w:val="24"/>
              </w:rPr>
            </w:pPr>
            <w:r>
              <w:rPr>
                <w:rFonts w:hint="eastAsia" w:ascii="仿宋_GB2312" w:eastAsia="仿宋_GB2312"/>
                <w:kern w:val="0"/>
                <w:sz w:val="24"/>
                <w:szCs w:val="24"/>
              </w:rPr>
              <w:t>第</w:t>
            </w:r>
            <w:r>
              <w:rPr>
                <w:rFonts w:hint="eastAsia" w:ascii="仿宋_GB2312" w:eastAsia="仿宋_GB2312"/>
                <w:kern w:val="0"/>
                <w:sz w:val="24"/>
                <w:szCs w:val="24"/>
                <w:lang w:eastAsia="zh-CN"/>
              </w:rPr>
              <w:t>二十一</w:t>
            </w:r>
            <w:r>
              <w:rPr>
                <w:rFonts w:hint="eastAsia" w:ascii="仿宋_GB2312" w:eastAsia="仿宋_GB2312"/>
                <w:kern w:val="0"/>
                <w:sz w:val="24"/>
                <w:szCs w:val="24"/>
              </w:rPr>
              <w:t>条</w:t>
            </w:r>
          </w:p>
        </w:tc>
        <w:tc>
          <w:tcPr>
            <w:tcW w:w="5542"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left"/>
              <w:textAlignment w:val="auto"/>
              <w:rPr>
                <w:rFonts w:hint="eastAsia" w:ascii="仿宋_GB2312" w:hAnsi="仿宋_GB2312" w:eastAsia="仿宋_GB2312" w:cs="仿宋_GB2312"/>
                <w:color w:val="auto"/>
                <w:kern w:val="0"/>
                <w:sz w:val="24"/>
                <w:szCs w:val="20"/>
                <w:lang w:val="en-US" w:eastAsia="zh-CN"/>
              </w:rPr>
            </w:pPr>
            <w:r>
              <w:rPr>
                <w:rFonts w:hint="eastAsia" w:ascii="仿宋_GB2312" w:hAnsi="仿宋_GB2312" w:eastAsia="仿宋_GB2312" w:cs="仿宋_GB2312"/>
                <w:color w:val="auto"/>
                <w:kern w:val="0"/>
                <w:sz w:val="24"/>
                <w:szCs w:val="20"/>
                <w:lang w:val="en-US" w:eastAsia="zh-CN"/>
              </w:rPr>
              <w:t>“深基坑施工图经审查机构审查后，设计单位应当落实审查机构和评审专家对深基坑评审提出的修改意见</w:t>
            </w:r>
            <w:r>
              <w:rPr>
                <w:rFonts w:hint="default" w:ascii="仿宋_GB2312" w:hAnsi="仿宋_GB2312" w:eastAsia="仿宋_GB2312" w:cs="仿宋_GB2312"/>
                <w:color w:val="auto"/>
                <w:kern w:val="0"/>
                <w:sz w:val="24"/>
                <w:szCs w:val="20"/>
                <w:lang w:val="en" w:eastAsia="zh-CN"/>
              </w:rPr>
              <w:t>... ...</w:t>
            </w:r>
            <w:r>
              <w:rPr>
                <w:rFonts w:hint="eastAsia" w:ascii="仿宋_GB2312" w:hAnsi="仿宋_GB2312" w:eastAsia="仿宋_GB2312" w:cs="仿宋_GB2312"/>
                <w:color w:val="auto"/>
                <w:kern w:val="0"/>
                <w:sz w:val="24"/>
                <w:szCs w:val="20"/>
                <w:lang w:val="en-US" w:eastAsia="zh-CN"/>
              </w:rPr>
              <w:t>”</w:t>
            </w:r>
          </w:p>
          <w:p>
            <w:pPr>
              <w:keepNext w:val="0"/>
              <w:keepLines w:val="0"/>
              <w:pageBreakBefore w:val="0"/>
              <w:widowControl w:val="0"/>
              <w:kinsoku/>
              <w:wordWrap/>
              <w:overflowPunct/>
              <w:topLinePunct w:val="0"/>
              <w:autoSpaceDE/>
              <w:autoSpaceDN/>
              <w:bidi w:val="0"/>
              <w:adjustRightInd/>
              <w:snapToGrid/>
              <w:spacing w:line="380" w:lineRule="exact"/>
              <w:jc w:val="left"/>
              <w:textAlignment w:val="auto"/>
              <w:rPr>
                <w:rFonts w:hint="eastAsia"/>
                <w:lang w:val="en-US" w:eastAsia="zh-CN"/>
              </w:rPr>
            </w:pPr>
            <w:r>
              <w:rPr>
                <w:rFonts w:hint="eastAsia" w:ascii="仿宋_GB2312" w:hAnsi="仿宋_GB2312" w:eastAsia="仿宋_GB2312" w:cs="仿宋_GB2312"/>
                <w:color w:val="auto"/>
                <w:kern w:val="0"/>
                <w:sz w:val="24"/>
                <w:szCs w:val="20"/>
                <w:lang w:val="en-US" w:eastAsia="zh-CN"/>
              </w:rPr>
              <w:t>建议取消“评审专家对深基坑评审”，修改为“深基坑施工图经审查机构审查后，设计单位应当落实审查机构提出的修改意见</w:t>
            </w:r>
            <w:r>
              <w:rPr>
                <w:rFonts w:hint="default" w:ascii="仿宋_GB2312" w:hAnsi="仿宋_GB2312" w:eastAsia="仿宋_GB2312" w:cs="仿宋_GB2312"/>
                <w:color w:val="auto"/>
                <w:kern w:val="0"/>
                <w:sz w:val="24"/>
                <w:szCs w:val="20"/>
                <w:lang w:val="en" w:eastAsia="zh-CN"/>
              </w:rPr>
              <w:t>... ..</w:t>
            </w:r>
            <w:r>
              <w:rPr>
                <w:rFonts w:hint="eastAsia" w:ascii="仿宋_GB2312" w:hAnsi="仿宋_GB2312" w:eastAsia="仿宋_GB2312" w:cs="仿宋_GB2312"/>
                <w:color w:val="auto"/>
                <w:kern w:val="0"/>
                <w:sz w:val="24"/>
                <w:szCs w:val="20"/>
                <w:lang w:val="en-US" w:eastAsia="zh-CN"/>
              </w:rPr>
              <w:t>”</w:t>
            </w:r>
          </w:p>
        </w:tc>
        <w:tc>
          <w:tcPr>
            <w:tcW w:w="1460"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eastAsia" w:ascii="仿宋_GB2312" w:hAnsi="仿宋_GB2312" w:eastAsia="仿宋_GB2312" w:cs="仿宋_GB2312"/>
                <w:color w:val="000000" w:themeColor="text1"/>
                <w:kern w:val="0"/>
                <w:sz w:val="24"/>
                <w:szCs w:val="20"/>
                <w14:textFill>
                  <w14:solidFill>
                    <w14:schemeClr w14:val="tx1"/>
                  </w14:solidFill>
                </w14:textFill>
              </w:rPr>
            </w:pPr>
            <w:r>
              <w:rPr>
                <w:rFonts w:hint="eastAsia" w:ascii="仿宋_GB2312" w:hAnsi="仿宋_GB2312" w:eastAsia="仿宋_GB2312" w:cs="仿宋_GB2312"/>
                <w:color w:val="000000" w:themeColor="text1"/>
                <w:kern w:val="0"/>
                <w:sz w:val="24"/>
                <w:szCs w:val="20"/>
                <w14:textFill>
                  <w14:solidFill>
                    <w14:schemeClr w14:val="tx1"/>
                  </w14:solidFill>
                </w14:textFill>
              </w:rPr>
              <w:t>采纳</w:t>
            </w:r>
          </w:p>
        </w:tc>
        <w:tc>
          <w:tcPr>
            <w:tcW w:w="4593" w:type="dxa"/>
            <w:vAlign w:val="center"/>
          </w:tcPr>
          <w:p>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ascii="仿宋_GB2312" w:hAnsi="仿宋_GB2312" w:eastAsia="仿宋_GB2312" w:cs="仿宋_GB2312"/>
                <w:color w:val="000000" w:themeColor="text1"/>
                <w:kern w:val="0"/>
                <w:sz w:val="24"/>
                <w:szCs w:val="20"/>
                <w14:textFill>
                  <w14:solidFill>
                    <w14:schemeClr w14:val="tx1"/>
                  </w14:solidFill>
                </w14:textFill>
              </w:rPr>
            </w:pPr>
            <w:r>
              <w:rPr>
                <w:rFonts w:hint="eastAsia" w:ascii="仿宋_GB2312" w:hAnsi="仿宋_GB2312" w:eastAsia="仿宋_GB2312" w:cs="仿宋_GB2312"/>
                <w:kern w:val="0"/>
                <w:sz w:val="24"/>
                <w:szCs w:val="20"/>
                <w:lang w:eastAsia="zh-CN"/>
              </w:rPr>
              <w:t>对《深圳市深基坑管理规定》相应条款进行修改。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00" w:hRule="atLeast"/>
          <w:jc w:val="center"/>
        </w:trPr>
        <w:tc>
          <w:tcPr>
            <w:tcW w:w="913"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eastAsia" w:ascii="仿宋_GB2312" w:hAnsi="仿宋_GB2312" w:eastAsia="仿宋_GB2312" w:cs="仿宋_GB2312"/>
                <w:color w:val="000000" w:themeColor="text1"/>
                <w:kern w:val="0"/>
                <w:sz w:val="24"/>
                <w:szCs w:val="24"/>
                <w:lang w:eastAsia="zh-CN"/>
                <w14:textFill>
                  <w14:solidFill>
                    <w14:schemeClr w14:val="tx1"/>
                  </w14:solidFill>
                </w14:textFill>
              </w:rPr>
            </w:pPr>
            <w: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t>9</w:t>
            </w:r>
          </w:p>
        </w:tc>
        <w:tc>
          <w:tcPr>
            <w:tcW w:w="1238"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ascii="仿宋_GB2312" w:eastAsia="仿宋_GB2312"/>
                <w:kern w:val="0"/>
                <w:sz w:val="24"/>
                <w:szCs w:val="24"/>
              </w:rPr>
            </w:pPr>
            <w:r>
              <w:rPr>
                <w:rFonts w:hint="eastAsia" w:ascii="仿宋_GB2312" w:eastAsia="仿宋_GB2312"/>
                <w:kern w:val="0"/>
                <w:sz w:val="24"/>
                <w:szCs w:val="24"/>
              </w:rPr>
              <w:t>第</w:t>
            </w:r>
            <w:r>
              <w:rPr>
                <w:rFonts w:hint="eastAsia" w:ascii="仿宋_GB2312" w:eastAsia="仿宋_GB2312"/>
                <w:kern w:val="0"/>
                <w:sz w:val="24"/>
                <w:szCs w:val="24"/>
                <w:lang w:eastAsia="zh-CN"/>
              </w:rPr>
              <w:t>二十二</w:t>
            </w:r>
            <w:r>
              <w:rPr>
                <w:rFonts w:hint="eastAsia" w:ascii="仿宋_GB2312" w:eastAsia="仿宋_GB2312"/>
                <w:kern w:val="0"/>
                <w:sz w:val="24"/>
                <w:szCs w:val="24"/>
              </w:rPr>
              <w:t>条</w:t>
            </w:r>
          </w:p>
        </w:tc>
        <w:tc>
          <w:tcPr>
            <w:tcW w:w="5542"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left"/>
              <w:textAlignment w:val="auto"/>
              <w:rPr>
                <w:rFonts w:hint="eastAsia" w:ascii="仿宋_GB2312" w:hAnsi="仿宋_GB2312" w:eastAsia="仿宋_GB2312" w:cs="仿宋_GB2312"/>
                <w:color w:val="auto"/>
                <w:kern w:val="0"/>
                <w:sz w:val="24"/>
                <w:szCs w:val="20"/>
                <w:lang w:val="en-US" w:eastAsia="zh-CN"/>
              </w:rPr>
            </w:pPr>
            <w:r>
              <w:rPr>
                <w:rFonts w:hint="eastAsia" w:ascii="仿宋_GB2312" w:hAnsi="仿宋_GB2312" w:eastAsia="仿宋_GB2312" w:cs="仿宋_GB2312"/>
                <w:color w:val="auto"/>
                <w:kern w:val="0"/>
                <w:sz w:val="24"/>
                <w:szCs w:val="20"/>
                <w:lang w:val="en-US" w:eastAsia="zh-CN"/>
              </w:rPr>
              <w:t>“天然地基或者浅基础建（构）筑物基础下，以及其他周边相邻设施对变形控制要求特别严格的地段和部位，禁止采用土钉或者锚杆（索）。”</w:t>
            </w:r>
          </w:p>
          <w:p>
            <w:pPr>
              <w:keepNext w:val="0"/>
              <w:keepLines w:val="0"/>
              <w:pageBreakBefore w:val="0"/>
              <w:widowControl w:val="0"/>
              <w:kinsoku/>
              <w:wordWrap/>
              <w:overflowPunct/>
              <w:topLinePunct w:val="0"/>
              <w:autoSpaceDE/>
              <w:autoSpaceDN/>
              <w:bidi w:val="0"/>
              <w:adjustRightInd/>
              <w:snapToGrid/>
              <w:spacing w:line="380" w:lineRule="exact"/>
              <w:jc w:val="left"/>
              <w:textAlignment w:val="auto"/>
              <w:rPr>
                <w:rFonts w:hint="eastAsia"/>
                <w:lang w:val="en-US" w:eastAsia="zh-CN"/>
              </w:rPr>
            </w:pPr>
            <w:r>
              <w:rPr>
                <w:rFonts w:hint="eastAsia" w:ascii="仿宋_GB2312" w:hAnsi="仿宋_GB2312" w:eastAsia="仿宋_GB2312" w:cs="仿宋_GB2312"/>
                <w:color w:val="auto"/>
                <w:kern w:val="0"/>
                <w:sz w:val="24"/>
                <w:szCs w:val="20"/>
                <w:lang w:val="en-US" w:eastAsia="zh-CN"/>
              </w:rPr>
              <w:t>建议修改为“天然地基或者浅基础建（构）筑物基础下，以及其他周边相邻设施对变形控制要求特别严格的地段和部位，或未取得锚杆（索）进入相邻设施产权单位同意的，禁止采用土钉或者锚杆（索）。”</w:t>
            </w:r>
          </w:p>
        </w:tc>
        <w:tc>
          <w:tcPr>
            <w:tcW w:w="1460"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仿宋_GB2312" w:hAnsi="仿宋_GB2312" w:eastAsia="仿宋_GB2312" w:cs="仿宋_GB2312"/>
                <w:color w:val="000000" w:themeColor="text1"/>
                <w:kern w:val="0"/>
                <w:sz w:val="24"/>
                <w:szCs w:val="20"/>
                <w:lang w:val="en-US" w:eastAsia="zh-CN"/>
                <w14:textFill>
                  <w14:solidFill>
                    <w14:schemeClr w14:val="tx1"/>
                  </w14:solidFill>
                </w14:textFill>
              </w:rPr>
            </w:pPr>
            <w:r>
              <w:rPr>
                <w:rFonts w:hint="eastAsia" w:ascii="仿宋_GB2312" w:hAnsi="仿宋_GB2312" w:eastAsia="仿宋_GB2312" w:cs="仿宋_GB2312"/>
                <w:color w:val="000000" w:themeColor="text1"/>
                <w:kern w:val="0"/>
                <w:sz w:val="24"/>
                <w:szCs w:val="20"/>
                <w:lang w:val="en-US" w:eastAsia="zh-CN"/>
                <w14:textFill>
                  <w14:solidFill>
                    <w14:schemeClr w14:val="tx1"/>
                  </w14:solidFill>
                </w14:textFill>
              </w:rPr>
              <w:t>不采纳</w:t>
            </w:r>
          </w:p>
        </w:tc>
        <w:tc>
          <w:tcPr>
            <w:tcW w:w="4593" w:type="dxa"/>
            <w:vAlign w:val="center"/>
          </w:tcPr>
          <w:p>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ascii="仿宋_GB2312" w:hAnsi="仿宋_GB2312" w:eastAsia="仿宋_GB2312" w:cs="仿宋_GB2312"/>
                <w:color w:val="000000" w:themeColor="text1"/>
                <w:kern w:val="0"/>
                <w:sz w:val="24"/>
                <w:szCs w:val="20"/>
                <w:lang w:eastAsia="zh-CN"/>
                <w14:textFill>
                  <w14:solidFill>
                    <w14:schemeClr w14:val="tx1"/>
                  </w14:solidFill>
                </w14:textFill>
              </w:rPr>
            </w:pPr>
            <w:r>
              <w:rPr>
                <w:rFonts w:hint="eastAsia" w:ascii="仿宋_GB2312" w:hAnsi="仿宋_GB2312" w:eastAsia="仿宋_GB2312" w:cs="仿宋_GB2312"/>
                <w:color w:val="auto"/>
                <w:kern w:val="0"/>
                <w:sz w:val="24"/>
                <w:szCs w:val="20"/>
                <w:lang w:val="en-US" w:eastAsia="zh-CN"/>
              </w:rPr>
              <w:t>天然地基或者浅基础建（构）筑物对地下水变化敏感，锚杆（索）施工易造成地下水土流失、水位下降，对建筑物结构安全影响较大，因此，本《</w:t>
            </w:r>
            <w:r>
              <w:rPr>
                <w:rFonts w:hint="eastAsia" w:ascii="仿宋_GB2312" w:hAnsi="仿宋_GB2312" w:eastAsia="仿宋_GB2312" w:cs="仿宋_GB2312"/>
                <w:kern w:val="0"/>
                <w:sz w:val="24"/>
                <w:szCs w:val="20"/>
                <w:lang w:eastAsia="zh-CN"/>
              </w:rPr>
              <w:t>规定》规定</w:t>
            </w:r>
            <w:r>
              <w:rPr>
                <w:rFonts w:hint="eastAsia" w:ascii="仿宋_GB2312" w:hAnsi="仿宋_GB2312" w:eastAsia="仿宋_GB2312" w:cs="仿宋_GB2312"/>
                <w:color w:val="auto"/>
                <w:kern w:val="0"/>
                <w:sz w:val="24"/>
                <w:szCs w:val="20"/>
                <w:lang w:val="en-US" w:eastAsia="zh-CN"/>
              </w:rPr>
              <w:t>天然地基或者浅基础建（构）筑物基础下，无论是否取得相邻设施产权单位同意，都禁止采用土钉或者锚杆（索）。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00" w:hRule="atLeast"/>
          <w:jc w:val="center"/>
        </w:trPr>
        <w:tc>
          <w:tcPr>
            <w:tcW w:w="913"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仿宋_GB2312" w:hAnsi="仿宋_GB2312" w:eastAsia="仿宋_GB2312" w:cs="仿宋_GB2312"/>
                <w:color w:val="000000" w:themeColor="text1"/>
                <w:kern w:val="0"/>
                <w:sz w:val="24"/>
                <w:szCs w:val="24"/>
                <w:lang w:val="en-US" w:eastAsia="zh-CN"/>
                <w14:textFill>
                  <w14:solidFill>
                    <w14:schemeClr w14:val="tx1"/>
                  </w14:solidFill>
                </w14:textFill>
              </w:rPr>
            </w:pPr>
            <w: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t>10</w:t>
            </w:r>
          </w:p>
        </w:tc>
        <w:tc>
          <w:tcPr>
            <w:tcW w:w="1238"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ascii="仿宋_GB2312" w:hAnsi="仿宋_GB2312" w:eastAsia="仿宋_GB2312" w:cs="仿宋_GB2312"/>
                <w:color w:val="000000" w:themeColor="text1"/>
                <w:kern w:val="0"/>
                <w:sz w:val="24"/>
                <w:szCs w:val="20"/>
                <w14:textFill>
                  <w14:solidFill>
                    <w14:schemeClr w14:val="tx1"/>
                  </w14:solidFill>
                </w14:textFill>
              </w:rPr>
            </w:pPr>
            <w:r>
              <w:rPr>
                <w:rFonts w:hint="eastAsia" w:ascii="仿宋_GB2312" w:eastAsia="仿宋_GB2312"/>
                <w:kern w:val="0"/>
                <w:sz w:val="24"/>
                <w:szCs w:val="24"/>
              </w:rPr>
              <w:t>第</w:t>
            </w:r>
            <w:r>
              <w:rPr>
                <w:rFonts w:hint="eastAsia" w:ascii="仿宋_GB2312" w:eastAsia="仿宋_GB2312"/>
                <w:kern w:val="0"/>
                <w:sz w:val="24"/>
                <w:szCs w:val="24"/>
                <w:lang w:eastAsia="zh-CN"/>
              </w:rPr>
              <w:t>二十三</w:t>
            </w:r>
            <w:r>
              <w:rPr>
                <w:rFonts w:hint="eastAsia" w:ascii="仿宋_GB2312" w:eastAsia="仿宋_GB2312"/>
                <w:kern w:val="0"/>
                <w:sz w:val="24"/>
                <w:szCs w:val="24"/>
              </w:rPr>
              <w:t>条</w:t>
            </w:r>
          </w:p>
        </w:tc>
        <w:tc>
          <w:tcPr>
            <w:tcW w:w="5542"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left"/>
              <w:textAlignment w:val="auto"/>
              <w:rPr>
                <w:rFonts w:hint="eastAsia" w:ascii="仿宋_GB2312" w:hAnsi="仿宋_GB2312" w:eastAsia="仿宋_GB2312" w:cs="仿宋_GB2312"/>
                <w:color w:val="auto"/>
                <w:kern w:val="0"/>
                <w:sz w:val="24"/>
                <w:szCs w:val="20"/>
                <w:lang w:val="en-US" w:eastAsia="zh-CN"/>
              </w:rPr>
            </w:pPr>
            <w:r>
              <w:rPr>
                <w:rFonts w:hint="eastAsia" w:ascii="仿宋_GB2312" w:hAnsi="仿宋_GB2312" w:eastAsia="仿宋_GB2312" w:cs="仿宋_GB2312"/>
                <w:color w:val="auto"/>
                <w:kern w:val="0"/>
                <w:sz w:val="24"/>
                <w:szCs w:val="20"/>
                <w:lang w:val="en-US" w:eastAsia="zh-CN"/>
              </w:rPr>
              <w:t>“</w:t>
            </w:r>
            <w:r>
              <w:rPr>
                <w:rFonts w:hint="default" w:ascii="仿宋_GB2312" w:hAnsi="仿宋_GB2312" w:eastAsia="仿宋_GB2312" w:cs="仿宋_GB2312"/>
                <w:color w:val="auto"/>
                <w:kern w:val="0"/>
                <w:sz w:val="24"/>
                <w:szCs w:val="20"/>
                <w:lang w:val="en" w:eastAsia="zh-CN"/>
              </w:rPr>
              <w:t>... ...</w:t>
            </w:r>
            <w:r>
              <w:rPr>
                <w:rFonts w:hint="eastAsia" w:ascii="仿宋_GB2312" w:hAnsi="仿宋_GB2312" w:eastAsia="仿宋_GB2312" w:cs="仿宋_GB2312"/>
                <w:color w:val="auto"/>
                <w:kern w:val="0"/>
                <w:sz w:val="24"/>
                <w:szCs w:val="20"/>
                <w:lang w:val="en-US" w:eastAsia="zh-CN"/>
              </w:rPr>
              <w:t>采用提高设计安全等级、封闭截水帷幕等措施。当临近地铁或者天然地基基础建筑物时，应当采用混凝土连续墙或者咬合桩等支护形式保证截水效果。”</w:t>
            </w:r>
          </w:p>
          <w:p>
            <w:pPr>
              <w:keepNext w:val="0"/>
              <w:keepLines w:val="0"/>
              <w:pageBreakBefore w:val="0"/>
              <w:widowControl w:val="0"/>
              <w:kinsoku/>
              <w:wordWrap/>
              <w:overflowPunct/>
              <w:topLinePunct w:val="0"/>
              <w:autoSpaceDE/>
              <w:autoSpaceDN/>
              <w:bidi w:val="0"/>
              <w:adjustRightInd/>
              <w:snapToGrid/>
              <w:spacing w:line="380" w:lineRule="exact"/>
              <w:jc w:val="left"/>
              <w:textAlignment w:val="auto"/>
              <w:rPr>
                <w:rFonts w:hint="eastAsia" w:eastAsia="仿宋_GB2312"/>
                <w:lang w:val="en-US" w:eastAsia="zh-CN"/>
              </w:rPr>
            </w:pPr>
            <w:r>
              <w:rPr>
                <w:rFonts w:hint="eastAsia" w:ascii="仿宋_GB2312" w:hAnsi="仿宋_GB2312" w:eastAsia="仿宋_GB2312" w:cs="仿宋_GB2312"/>
                <w:color w:val="auto"/>
                <w:kern w:val="0"/>
                <w:sz w:val="24"/>
                <w:szCs w:val="20"/>
                <w:lang w:val="en-US" w:eastAsia="zh-CN"/>
              </w:rPr>
              <w:t>建议增加“降排水控制”、“提出针对性的监控指标要求”、采取提前加固措施”，修改为“</w:t>
            </w:r>
            <w:r>
              <w:rPr>
                <w:rFonts w:hint="default" w:ascii="仿宋_GB2312" w:hAnsi="仿宋_GB2312" w:eastAsia="仿宋_GB2312" w:cs="仿宋_GB2312"/>
                <w:color w:val="auto"/>
                <w:kern w:val="0"/>
                <w:sz w:val="24"/>
                <w:szCs w:val="20"/>
                <w:lang w:val="en" w:eastAsia="zh-CN"/>
              </w:rPr>
              <w:t>... ...</w:t>
            </w:r>
            <w:r>
              <w:rPr>
                <w:rFonts w:hint="eastAsia" w:ascii="仿宋_GB2312" w:hAnsi="仿宋_GB2312" w:eastAsia="仿宋_GB2312" w:cs="仿宋_GB2312"/>
                <w:color w:val="auto"/>
                <w:kern w:val="0"/>
                <w:sz w:val="24"/>
                <w:szCs w:val="20"/>
                <w:lang w:val="en-US" w:eastAsia="zh-CN"/>
              </w:rPr>
              <w:t>采用提高设计安全等级、封闭截水帷幕、降排水控制等措施，以及提出针对性的监控指标要求。当临近地铁或者天然地基基础建筑物时，应当采用混凝土连续墙或者咬合桩等支护形式保证截水效果，必要时可采取提前加固措施。”</w:t>
            </w:r>
          </w:p>
        </w:tc>
        <w:tc>
          <w:tcPr>
            <w:tcW w:w="1460"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ascii="仿宋_GB2312" w:hAnsi="仿宋_GB2312" w:eastAsia="仿宋_GB2312" w:cs="仿宋_GB2312"/>
                <w:color w:val="000000" w:themeColor="text1"/>
                <w:kern w:val="0"/>
                <w:sz w:val="24"/>
                <w:szCs w:val="20"/>
                <w14:textFill>
                  <w14:solidFill>
                    <w14:schemeClr w14:val="tx1"/>
                  </w14:solidFill>
                </w14:textFill>
              </w:rPr>
            </w:pPr>
            <w:r>
              <w:rPr>
                <w:rFonts w:hint="eastAsia" w:ascii="仿宋_GB2312" w:hAnsi="仿宋_GB2312" w:eastAsia="仿宋_GB2312" w:cs="仿宋_GB2312"/>
                <w:color w:val="000000" w:themeColor="text1"/>
                <w:kern w:val="0"/>
                <w:sz w:val="24"/>
                <w:szCs w:val="20"/>
                <w:lang w:val="en-US" w:eastAsia="zh-CN"/>
                <w14:textFill>
                  <w14:solidFill>
                    <w14:schemeClr w14:val="tx1"/>
                  </w14:solidFill>
                </w14:textFill>
              </w:rPr>
              <w:t>部分</w:t>
            </w:r>
            <w:r>
              <w:rPr>
                <w:rFonts w:hint="eastAsia" w:ascii="仿宋_GB2312" w:hAnsi="仿宋_GB2312" w:eastAsia="仿宋_GB2312" w:cs="仿宋_GB2312"/>
                <w:color w:val="000000" w:themeColor="text1"/>
                <w:kern w:val="0"/>
                <w:sz w:val="24"/>
                <w:szCs w:val="20"/>
                <w14:textFill>
                  <w14:solidFill>
                    <w14:schemeClr w14:val="tx1"/>
                  </w14:solidFill>
                </w14:textFill>
              </w:rPr>
              <w:t>采纳</w:t>
            </w:r>
          </w:p>
        </w:tc>
        <w:tc>
          <w:tcPr>
            <w:tcW w:w="4593" w:type="dxa"/>
            <w:vAlign w:val="center"/>
          </w:tcPr>
          <w:p>
            <w:pPr>
              <w:keepNext w:val="0"/>
              <w:keepLines w:val="0"/>
              <w:pageBreakBefore w:val="0"/>
              <w:widowControl w:val="0"/>
              <w:kinsoku/>
              <w:wordWrap/>
              <w:overflowPunct/>
              <w:topLinePunct w:val="0"/>
              <w:autoSpaceDE/>
              <w:autoSpaceDN/>
              <w:bidi w:val="0"/>
              <w:adjustRightInd/>
              <w:snapToGrid/>
              <w:spacing w:line="380" w:lineRule="exact"/>
              <w:textAlignment w:val="auto"/>
              <w:rPr>
                <w:rFonts w:ascii="仿宋_GB2312" w:hAnsi="仿宋_GB2312" w:eastAsia="仿宋_GB2312" w:cs="仿宋_GB2312"/>
                <w:color w:val="000000" w:themeColor="text1"/>
                <w:kern w:val="0"/>
                <w:sz w:val="24"/>
                <w:szCs w:val="20"/>
                <w14:textFill>
                  <w14:solidFill>
                    <w14:schemeClr w14:val="tx1"/>
                  </w14:solidFill>
                </w14:textFill>
              </w:rPr>
            </w:pPr>
            <w:r>
              <w:rPr>
                <w:rFonts w:hint="eastAsia" w:ascii="仿宋_GB2312" w:hAnsi="仿宋_GB2312" w:eastAsia="仿宋_GB2312" w:cs="仿宋_GB2312"/>
                <w:kern w:val="0"/>
                <w:sz w:val="24"/>
                <w:szCs w:val="20"/>
                <w:lang w:val="en-US" w:eastAsia="zh-CN"/>
              </w:rPr>
              <w:t>相应条款补充</w:t>
            </w:r>
            <w:r>
              <w:rPr>
                <w:rFonts w:hint="eastAsia" w:ascii="仿宋_GB2312" w:hAnsi="仿宋_GB2312" w:eastAsia="仿宋_GB2312" w:cs="仿宋_GB2312"/>
                <w:kern w:val="0"/>
                <w:sz w:val="24"/>
                <w:szCs w:val="20"/>
                <w:lang w:eastAsia="zh-CN"/>
              </w:rPr>
              <w:t>“对</w:t>
            </w:r>
            <w:r>
              <w:rPr>
                <w:rFonts w:hint="eastAsia" w:ascii="仿宋_GB2312" w:hAnsi="仿宋_GB2312" w:eastAsia="仿宋_GB2312" w:cs="仿宋_GB2312"/>
                <w:kern w:val="0"/>
                <w:sz w:val="24"/>
                <w:szCs w:val="20"/>
                <w:lang w:val="en-US" w:eastAsia="zh-CN"/>
              </w:rPr>
              <w:t>周边既有建（构）筑物</w:t>
            </w:r>
            <w:r>
              <w:rPr>
                <w:rFonts w:hint="eastAsia" w:ascii="仿宋_GB2312" w:hAnsi="仿宋_GB2312" w:eastAsia="仿宋_GB2312" w:cs="仿宋_GB2312"/>
                <w:color w:val="auto"/>
                <w:kern w:val="0"/>
                <w:sz w:val="24"/>
                <w:szCs w:val="20"/>
                <w:lang w:val="en-US" w:eastAsia="zh-CN"/>
              </w:rPr>
              <w:t>必要时可采取提前加固措施。”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00" w:hRule="atLeast"/>
          <w:jc w:val="center"/>
        </w:trPr>
        <w:tc>
          <w:tcPr>
            <w:tcW w:w="913"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仿宋_GB2312" w:hAnsi="仿宋_GB2312" w:eastAsia="仿宋_GB2312" w:cs="仿宋_GB2312"/>
                <w:color w:val="000000" w:themeColor="text1"/>
                <w:kern w:val="0"/>
                <w:sz w:val="24"/>
                <w:szCs w:val="24"/>
                <w:lang w:val="en-US" w:eastAsia="zh-CN"/>
                <w14:textFill>
                  <w14:solidFill>
                    <w14:schemeClr w14:val="tx1"/>
                  </w14:solidFill>
                </w14:textFill>
              </w:rPr>
            </w:pPr>
            <w: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t>11</w:t>
            </w:r>
          </w:p>
        </w:tc>
        <w:tc>
          <w:tcPr>
            <w:tcW w:w="1238"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eastAsia" w:ascii="仿宋_GB2312" w:eastAsia="仿宋_GB2312"/>
                <w:kern w:val="0"/>
                <w:sz w:val="24"/>
                <w:szCs w:val="24"/>
              </w:rPr>
            </w:pPr>
            <w:r>
              <w:rPr>
                <w:rFonts w:hint="eastAsia" w:ascii="仿宋_GB2312" w:eastAsia="仿宋_GB2312"/>
                <w:kern w:val="0"/>
                <w:sz w:val="24"/>
                <w:szCs w:val="24"/>
              </w:rPr>
              <w:t>第</w:t>
            </w:r>
            <w:r>
              <w:rPr>
                <w:rFonts w:hint="eastAsia" w:ascii="仿宋_GB2312" w:eastAsia="仿宋_GB2312"/>
                <w:kern w:val="0"/>
                <w:sz w:val="24"/>
                <w:szCs w:val="24"/>
                <w:lang w:eastAsia="zh-CN"/>
              </w:rPr>
              <w:t>三十</w:t>
            </w:r>
            <w:r>
              <w:rPr>
                <w:rFonts w:hint="eastAsia" w:ascii="仿宋_GB2312" w:eastAsia="仿宋_GB2312"/>
                <w:kern w:val="0"/>
                <w:sz w:val="24"/>
                <w:szCs w:val="24"/>
              </w:rPr>
              <w:t>条</w:t>
            </w:r>
          </w:p>
        </w:tc>
        <w:tc>
          <w:tcPr>
            <w:tcW w:w="5542"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left"/>
              <w:textAlignment w:val="auto"/>
              <w:rPr>
                <w:rFonts w:hint="eastAsia" w:ascii="仿宋_GB2312" w:hAnsi="仿宋_GB2312" w:eastAsia="仿宋_GB2312" w:cs="仿宋_GB2312"/>
                <w:color w:val="auto"/>
                <w:kern w:val="0"/>
                <w:sz w:val="24"/>
                <w:szCs w:val="20"/>
                <w:lang w:val="en-US" w:eastAsia="zh-CN"/>
              </w:rPr>
            </w:pPr>
            <w:r>
              <w:rPr>
                <w:rFonts w:hint="eastAsia" w:ascii="仿宋_GB2312" w:hAnsi="仿宋_GB2312" w:eastAsia="仿宋_GB2312" w:cs="仿宋_GB2312"/>
                <w:color w:val="auto"/>
                <w:kern w:val="0"/>
                <w:sz w:val="24"/>
                <w:szCs w:val="20"/>
                <w:lang w:val="en-US" w:eastAsia="zh-CN"/>
              </w:rPr>
              <w:t>“</w:t>
            </w:r>
            <w:r>
              <w:rPr>
                <w:rFonts w:hint="default" w:ascii="仿宋_GB2312" w:hAnsi="仿宋_GB2312" w:eastAsia="仿宋_GB2312" w:cs="仿宋_GB2312"/>
                <w:color w:val="auto"/>
                <w:kern w:val="0"/>
                <w:sz w:val="24"/>
                <w:szCs w:val="20"/>
                <w:lang w:val="en" w:eastAsia="zh-CN"/>
              </w:rPr>
              <w:t>... ...</w:t>
            </w:r>
            <w:r>
              <w:rPr>
                <w:rFonts w:hint="eastAsia" w:ascii="仿宋_GB2312" w:hAnsi="仿宋_GB2312" w:eastAsia="仿宋_GB2312" w:cs="仿宋_GB2312"/>
                <w:color w:val="auto"/>
                <w:kern w:val="0"/>
                <w:sz w:val="24"/>
                <w:szCs w:val="20"/>
                <w:lang w:val="en-US" w:eastAsia="zh-CN"/>
              </w:rPr>
              <w:t>施工单位项目负责人或技术负责人应当具有中级以上岩土工程相关专业技术职称。”</w:t>
            </w:r>
          </w:p>
          <w:p>
            <w:pPr>
              <w:keepNext w:val="0"/>
              <w:keepLines w:val="0"/>
              <w:pageBreakBefore w:val="0"/>
              <w:widowControl w:val="0"/>
              <w:kinsoku/>
              <w:wordWrap/>
              <w:overflowPunct/>
              <w:topLinePunct w:val="0"/>
              <w:autoSpaceDE/>
              <w:autoSpaceDN/>
              <w:bidi w:val="0"/>
              <w:adjustRightInd/>
              <w:snapToGrid/>
              <w:spacing w:line="380" w:lineRule="exact"/>
              <w:jc w:val="left"/>
              <w:textAlignment w:val="auto"/>
              <w:rPr>
                <w:rFonts w:hint="eastAsia"/>
                <w:lang w:val="en-US" w:eastAsia="zh-CN"/>
              </w:rPr>
            </w:pPr>
            <w:r>
              <w:rPr>
                <w:rFonts w:hint="eastAsia" w:ascii="仿宋_GB2312" w:hAnsi="仿宋_GB2312" w:eastAsia="仿宋_GB2312" w:cs="仿宋_GB2312"/>
                <w:color w:val="auto"/>
                <w:kern w:val="0"/>
                <w:sz w:val="24"/>
                <w:szCs w:val="20"/>
                <w:lang w:val="en-US" w:eastAsia="zh-CN"/>
              </w:rPr>
              <w:t>建议取消专业技术职称要求。</w:t>
            </w:r>
          </w:p>
        </w:tc>
        <w:tc>
          <w:tcPr>
            <w:tcW w:w="1460"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仿宋_GB2312" w:hAnsi="仿宋_GB2312" w:eastAsia="仿宋_GB2312" w:cs="仿宋_GB2312"/>
                <w:color w:val="000000" w:themeColor="text1"/>
                <w:kern w:val="0"/>
                <w:sz w:val="24"/>
                <w:szCs w:val="20"/>
                <w:lang w:val="en-US" w:eastAsia="zh-CN"/>
                <w14:textFill>
                  <w14:solidFill>
                    <w14:schemeClr w14:val="tx1"/>
                  </w14:solidFill>
                </w14:textFill>
              </w:rPr>
            </w:pPr>
            <w:r>
              <w:rPr>
                <w:rFonts w:hint="eastAsia" w:ascii="仿宋_GB2312" w:hAnsi="仿宋_GB2312" w:eastAsia="仿宋_GB2312" w:cs="仿宋_GB2312"/>
                <w:color w:val="000000" w:themeColor="text1"/>
                <w:kern w:val="0"/>
                <w:sz w:val="24"/>
                <w:szCs w:val="20"/>
                <w:lang w:val="en-US" w:eastAsia="zh-CN"/>
                <w14:textFill>
                  <w14:solidFill>
                    <w14:schemeClr w14:val="tx1"/>
                  </w14:solidFill>
                </w14:textFill>
              </w:rPr>
              <w:t>不采纳</w:t>
            </w:r>
          </w:p>
        </w:tc>
        <w:tc>
          <w:tcPr>
            <w:tcW w:w="4593" w:type="dxa"/>
            <w:vAlign w:val="center"/>
          </w:tcPr>
          <w:p>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ascii="仿宋_GB2312" w:hAnsi="仿宋_GB2312" w:eastAsia="仿宋_GB2312" w:cs="仿宋_GB2312"/>
                <w:color w:val="000000" w:themeColor="text1"/>
                <w:kern w:val="0"/>
                <w:sz w:val="24"/>
                <w:szCs w:val="20"/>
                <w:lang w:eastAsia="zh-CN"/>
                <w14:textFill>
                  <w14:solidFill>
                    <w14:schemeClr w14:val="tx1"/>
                  </w14:solidFill>
                </w14:textFill>
              </w:rPr>
            </w:pPr>
            <w:r>
              <w:rPr>
                <w:rFonts w:hint="eastAsia" w:ascii="仿宋_GB2312" w:hAnsi="仿宋_GB2312" w:eastAsia="仿宋_GB2312" w:cs="仿宋_GB2312"/>
                <w:color w:val="000000" w:themeColor="text1"/>
                <w:kern w:val="0"/>
                <w:sz w:val="24"/>
                <w:szCs w:val="20"/>
                <w:lang w:eastAsia="zh-CN"/>
                <w14:textFill>
                  <w14:solidFill>
                    <w14:schemeClr w14:val="tx1"/>
                  </w14:solidFill>
                </w14:textFill>
              </w:rPr>
              <w:t>深基坑工程属危大工程，专业性较强，对施工单位相关技术人员提出专业技术职称要求可提高施工现场人员管理水平和专业力量。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00" w:hRule="atLeast"/>
          <w:jc w:val="center"/>
        </w:trPr>
        <w:tc>
          <w:tcPr>
            <w:tcW w:w="913"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仿宋_GB2312" w:hAnsi="仿宋_GB2312" w:eastAsia="仿宋_GB2312" w:cs="仿宋_GB2312"/>
                <w:color w:val="000000" w:themeColor="text1"/>
                <w:kern w:val="0"/>
                <w:sz w:val="24"/>
                <w:szCs w:val="24"/>
                <w:lang w:val="en-US" w:eastAsia="zh-CN"/>
                <w14:textFill>
                  <w14:solidFill>
                    <w14:schemeClr w14:val="tx1"/>
                  </w14:solidFill>
                </w14:textFill>
              </w:rPr>
            </w:pPr>
            <w: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t>12</w:t>
            </w:r>
          </w:p>
        </w:tc>
        <w:tc>
          <w:tcPr>
            <w:tcW w:w="1238"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ascii="仿宋_GB2312" w:hAnsi="仿宋_GB2312" w:eastAsia="仿宋_GB2312" w:cs="仿宋_GB2312"/>
                <w:color w:val="000000" w:themeColor="text1"/>
                <w:kern w:val="0"/>
                <w:sz w:val="24"/>
                <w:szCs w:val="20"/>
                <w14:textFill>
                  <w14:solidFill>
                    <w14:schemeClr w14:val="tx1"/>
                  </w14:solidFill>
                </w14:textFill>
              </w:rPr>
            </w:pPr>
            <w:r>
              <w:rPr>
                <w:rFonts w:hint="eastAsia" w:ascii="仿宋_GB2312" w:eastAsia="仿宋_GB2312"/>
                <w:kern w:val="0"/>
                <w:sz w:val="24"/>
                <w:szCs w:val="24"/>
              </w:rPr>
              <w:t>第</w:t>
            </w:r>
            <w:r>
              <w:rPr>
                <w:rFonts w:hint="eastAsia" w:ascii="仿宋_GB2312" w:eastAsia="仿宋_GB2312"/>
                <w:kern w:val="0"/>
                <w:sz w:val="24"/>
                <w:szCs w:val="24"/>
                <w:lang w:eastAsia="zh-CN"/>
              </w:rPr>
              <w:t>三十四</w:t>
            </w:r>
            <w:r>
              <w:rPr>
                <w:rFonts w:hint="eastAsia" w:ascii="仿宋_GB2312" w:eastAsia="仿宋_GB2312"/>
                <w:kern w:val="0"/>
                <w:sz w:val="24"/>
                <w:szCs w:val="24"/>
              </w:rPr>
              <w:t>条</w:t>
            </w:r>
          </w:p>
        </w:tc>
        <w:tc>
          <w:tcPr>
            <w:tcW w:w="5542"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left"/>
              <w:textAlignment w:val="auto"/>
              <w:rPr>
                <w:rFonts w:hint="eastAsia" w:ascii="仿宋_GB2312" w:hAnsi="仿宋_GB2312" w:eastAsia="仿宋_GB2312" w:cs="仿宋_GB2312"/>
                <w:color w:val="auto"/>
                <w:kern w:val="0"/>
                <w:sz w:val="24"/>
                <w:szCs w:val="20"/>
                <w:lang w:val="en-US" w:eastAsia="zh-CN"/>
              </w:rPr>
            </w:pPr>
            <w:r>
              <w:rPr>
                <w:rFonts w:hint="eastAsia" w:ascii="仿宋_GB2312" w:hAnsi="仿宋_GB2312" w:eastAsia="仿宋_GB2312" w:cs="仿宋_GB2312"/>
                <w:color w:val="auto"/>
                <w:kern w:val="0"/>
                <w:sz w:val="24"/>
                <w:szCs w:val="20"/>
                <w:lang w:val="en-US" w:eastAsia="zh-CN"/>
              </w:rPr>
              <w:t>“</w:t>
            </w:r>
            <w:r>
              <w:rPr>
                <w:rFonts w:hint="default" w:ascii="仿宋_GB2312" w:hAnsi="仿宋_GB2312" w:eastAsia="仿宋_GB2312" w:cs="仿宋_GB2312"/>
                <w:color w:val="auto"/>
                <w:kern w:val="0"/>
                <w:sz w:val="24"/>
                <w:szCs w:val="20"/>
                <w:lang w:val="en" w:eastAsia="zh-CN"/>
              </w:rPr>
              <w:t>... ...</w:t>
            </w:r>
            <w:r>
              <w:rPr>
                <w:rFonts w:hint="eastAsia" w:ascii="仿宋_GB2312" w:hAnsi="仿宋_GB2312" w:eastAsia="仿宋_GB2312" w:cs="仿宋_GB2312"/>
                <w:color w:val="auto"/>
                <w:kern w:val="0"/>
                <w:sz w:val="24"/>
                <w:szCs w:val="20"/>
                <w:lang w:val="en-US" w:eastAsia="zh-CN"/>
              </w:rPr>
              <w:t>施工单位根据现场实际施工、地质及环境条件提出的优化措施，应通过设计单位复核并出具设计变更后方可施工。”</w:t>
            </w:r>
          </w:p>
          <w:p>
            <w:pPr>
              <w:keepNext w:val="0"/>
              <w:keepLines w:val="0"/>
              <w:pageBreakBefore w:val="0"/>
              <w:widowControl w:val="0"/>
              <w:kinsoku/>
              <w:wordWrap/>
              <w:overflowPunct/>
              <w:topLinePunct w:val="0"/>
              <w:autoSpaceDE/>
              <w:autoSpaceDN/>
              <w:bidi w:val="0"/>
              <w:adjustRightInd/>
              <w:snapToGrid/>
              <w:spacing w:line="380" w:lineRule="exact"/>
              <w:jc w:val="left"/>
              <w:textAlignment w:val="auto"/>
              <w:rPr>
                <w:rFonts w:hint="eastAsia" w:ascii="仿宋_GB2312" w:hAnsi="仿宋_GB2312" w:eastAsia="仿宋_GB2312" w:cs="仿宋_GB2312"/>
                <w:color w:val="auto"/>
                <w:kern w:val="0"/>
                <w:sz w:val="24"/>
                <w:szCs w:val="20"/>
                <w:lang w:val="en-US" w:eastAsia="zh-CN"/>
              </w:rPr>
            </w:pPr>
            <w:r>
              <w:rPr>
                <w:rFonts w:hint="eastAsia" w:ascii="仿宋_GB2312" w:hAnsi="仿宋_GB2312" w:eastAsia="仿宋_GB2312" w:cs="仿宋_GB2312"/>
                <w:color w:val="auto"/>
                <w:kern w:val="0"/>
                <w:sz w:val="24"/>
                <w:szCs w:val="20"/>
                <w:lang w:val="en-US" w:eastAsia="zh-CN"/>
              </w:rPr>
              <w:t>建议增加“调整”，修改为“</w:t>
            </w:r>
            <w:r>
              <w:rPr>
                <w:rFonts w:hint="default" w:ascii="仿宋_GB2312" w:hAnsi="仿宋_GB2312" w:eastAsia="仿宋_GB2312" w:cs="仿宋_GB2312"/>
                <w:color w:val="auto"/>
                <w:kern w:val="0"/>
                <w:sz w:val="24"/>
                <w:szCs w:val="20"/>
                <w:lang w:val="en" w:eastAsia="zh-CN"/>
              </w:rPr>
              <w:t>... ...</w:t>
            </w:r>
            <w:r>
              <w:rPr>
                <w:rFonts w:hint="eastAsia" w:ascii="仿宋_GB2312" w:hAnsi="仿宋_GB2312" w:eastAsia="仿宋_GB2312" w:cs="仿宋_GB2312"/>
                <w:color w:val="auto"/>
                <w:kern w:val="0"/>
                <w:sz w:val="24"/>
                <w:szCs w:val="20"/>
                <w:lang w:val="en-US" w:eastAsia="zh-CN"/>
              </w:rPr>
              <w:t>施工单位根据现场实际施工、地质及环境条件提出的优化或调整措施，应通过设计单位复核并出具设计变更后方可施工。”</w:t>
            </w:r>
          </w:p>
        </w:tc>
        <w:tc>
          <w:tcPr>
            <w:tcW w:w="1460"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eastAsia" w:ascii="仿宋_GB2312" w:hAnsi="仿宋_GB2312" w:eastAsia="仿宋_GB2312" w:cs="仿宋_GB2312"/>
                <w:color w:val="000000" w:themeColor="text1"/>
                <w:kern w:val="0"/>
                <w:sz w:val="24"/>
                <w:szCs w:val="20"/>
                <w14:textFill>
                  <w14:solidFill>
                    <w14:schemeClr w14:val="tx1"/>
                  </w14:solidFill>
                </w14:textFill>
              </w:rPr>
            </w:pPr>
            <w:r>
              <w:rPr>
                <w:rFonts w:hint="eastAsia" w:ascii="仿宋_GB2312" w:hAnsi="仿宋_GB2312" w:eastAsia="仿宋_GB2312" w:cs="仿宋_GB2312"/>
                <w:color w:val="000000" w:themeColor="text1"/>
                <w:kern w:val="0"/>
                <w:sz w:val="24"/>
                <w:szCs w:val="20"/>
                <w:lang w:val="en-US" w:eastAsia="zh-CN"/>
                <w14:textFill>
                  <w14:solidFill>
                    <w14:schemeClr w14:val="tx1"/>
                  </w14:solidFill>
                </w14:textFill>
              </w:rPr>
              <w:t>部分</w:t>
            </w:r>
            <w:r>
              <w:rPr>
                <w:rFonts w:hint="eastAsia" w:ascii="仿宋_GB2312" w:hAnsi="仿宋_GB2312" w:eastAsia="仿宋_GB2312" w:cs="仿宋_GB2312"/>
                <w:color w:val="000000" w:themeColor="text1"/>
                <w:kern w:val="0"/>
                <w:sz w:val="24"/>
                <w:szCs w:val="20"/>
                <w14:textFill>
                  <w14:solidFill>
                    <w14:schemeClr w14:val="tx1"/>
                  </w14:solidFill>
                </w14:textFill>
              </w:rPr>
              <w:t>采纳</w:t>
            </w:r>
          </w:p>
        </w:tc>
        <w:tc>
          <w:tcPr>
            <w:tcW w:w="4593" w:type="dxa"/>
            <w:vAlign w:val="center"/>
          </w:tcPr>
          <w:p>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ascii="仿宋_GB2312" w:hAnsi="仿宋_GB2312" w:eastAsia="仿宋_GB2312" w:cs="仿宋_GB2312"/>
                <w:color w:val="000000" w:themeColor="text1"/>
                <w:kern w:val="0"/>
                <w:sz w:val="24"/>
                <w:szCs w:val="20"/>
                <w14:textFill>
                  <w14:solidFill>
                    <w14:schemeClr w14:val="tx1"/>
                  </w14:solidFill>
                </w14:textFill>
              </w:rPr>
            </w:pPr>
            <w:r>
              <w:rPr>
                <w:rFonts w:hint="eastAsia" w:ascii="仿宋_GB2312" w:hAnsi="仿宋_GB2312" w:eastAsia="仿宋_GB2312" w:cs="仿宋_GB2312"/>
                <w:kern w:val="0"/>
                <w:sz w:val="24"/>
                <w:szCs w:val="20"/>
                <w:lang w:val="en-US" w:eastAsia="zh-CN"/>
              </w:rPr>
              <w:t>相应条款“优化措施”修改为</w:t>
            </w:r>
            <w:r>
              <w:rPr>
                <w:rFonts w:hint="eastAsia" w:ascii="仿宋_GB2312" w:hAnsi="仿宋_GB2312" w:eastAsia="仿宋_GB2312" w:cs="仿宋_GB2312"/>
                <w:kern w:val="0"/>
                <w:sz w:val="24"/>
                <w:szCs w:val="20"/>
                <w:lang w:eastAsia="zh-CN"/>
              </w:rPr>
              <w:t>“</w:t>
            </w:r>
            <w:r>
              <w:rPr>
                <w:rFonts w:hint="eastAsia" w:ascii="仿宋_GB2312" w:hAnsi="仿宋_GB2312" w:eastAsia="仿宋_GB2312" w:cs="仿宋_GB2312"/>
                <w:kern w:val="0"/>
                <w:sz w:val="24"/>
                <w:szCs w:val="20"/>
                <w:lang w:val="en-US" w:eastAsia="zh-CN"/>
              </w:rPr>
              <w:t>调整措施</w:t>
            </w:r>
            <w:r>
              <w:rPr>
                <w:rFonts w:hint="eastAsia" w:ascii="仿宋_GB2312" w:hAnsi="仿宋_GB2312" w:eastAsia="仿宋_GB2312" w:cs="仿宋_GB2312"/>
                <w:color w:val="auto"/>
                <w:kern w:val="0"/>
                <w:sz w:val="24"/>
                <w:szCs w:val="20"/>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00" w:hRule="atLeast"/>
          <w:jc w:val="center"/>
        </w:trPr>
        <w:tc>
          <w:tcPr>
            <w:tcW w:w="913"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仿宋_GB2312" w:hAnsi="仿宋_GB2312" w:eastAsia="仿宋_GB2312" w:cs="仿宋_GB2312"/>
                <w:color w:val="000000" w:themeColor="text1"/>
                <w:kern w:val="0"/>
                <w:sz w:val="24"/>
                <w:szCs w:val="24"/>
                <w:lang w:val="en-US" w:eastAsia="zh-CN"/>
                <w14:textFill>
                  <w14:solidFill>
                    <w14:schemeClr w14:val="tx1"/>
                  </w14:solidFill>
                </w14:textFill>
              </w:rPr>
            </w:pPr>
            <w: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t>13</w:t>
            </w:r>
          </w:p>
        </w:tc>
        <w:tc>
          <w:tcPr>
            <w:tcW w:w="1238"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ascii="仿宋_GB2312" w:hAnsi="仿宋_GB2312" w:eastAsia="仿宋_GB2312" w:cs="仿宋_GB2312"/>
                <w:color w:val="000000" w:themeColor="text1"/>
                <w:kern w:val="0"/>
                <w:sz w:val="24"/>
                <w:szCs w:val="20"/>
                <w14:textFill>
                  <w14:solidFill>
                    <w14:schemeClr w14:val="tx1"/>
                  </w14:solidFill>
                </w14:textFill>
              </w:rPr>
            </w:pPr>
            <w:r>
              <w:rPr>
                <w:rFonts w:hint="eastAsia" w:ascii="仿宋_GB2312" w:eastAsia="仿宋_GB2312"/>
                <w:kern w:val="0"/>
                <w:sz w:val="24"/>
                <w:szCs w:val="24"/>
              </w:rPr>
              <w:t>第</w:t>
            </w:r>
            <w:r>
              <w:rPr>
                <w:rFonts w:hint="eastAsia" w:ascii="仿宋_GB2312" w:eastAsia="仿宋_GB2312"/>
                <w:kern w:val="0"/>
                <w:sz w:val="24"/>
                <w:szCs w:val="24"/>
                <w:lang w:eastAsia="zh-CN"/>
              </w:rPr>
              <w:t>三十五</w:t>
            </w:r>
            <w:r>
              <w:rPr>
                <w:rFonts w:hint="eastAsia" w:ascii="仿宋_GB2312" w:eastAsia="仿宋_GB2312"/>
                <w:kern w:val="0"/>
                <w:sz w:val="24"/>
                <w:szCs w:val="24"/>
              </w:rPr>
              <w:t>条</w:t>
            </w:r>
          </w:p>
        </w:tc>
        <w:tc>
          <w:tcPr>
            <w:tcW w:w="5542"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left"/>
              <w:textAlignment w:val="auto"/>
              <w:rPr>
                <w:rFonts w:hint="eastAsia" w:ascii="仿宋_GB2312" w:hAnsi="仿宋_GB2312" w:eastAsia="仿宋_GB2312" w:cs="仿宋_GB2312"/>
                <w:color w:val="auto"/>
                <w:kern w:val="0"/>
                <w:sz w:val="24"/>
                <w:szCs w:val="20"/>
                <w:lang w:val="en-US" w:eastAsia="zh-CN"/>
              </w:rPr>
            </w:pPr>
            <w:r>
              <w:rPr>
                <w:rFonts w:hint="eastAsia" w:ascii="仿宋_GB2312" w:hAnsi="仿宋_GB2312" w:eastAsia="仿宋_GB2312" w:cs="仿宋_GB2312"/>
                <w:color w:val="auto"/>
                <w:kern w:val="0"/>
                <w:sz w:val="24"/>
                <w:szCs w:val="20"/>
                <w:lang w:val="en-US" w:eastAsia="zh-CN"/>
              </w:rPr>
              <w:t>“</w:t>
            </w:r>
            <w:r>
              <w:rPr>
                <w:rFonts w:hint="default" w:ascii="仿宋_GB2312" w:hAnsi="仿宋_GB2312" w:eastAsia="仿宋_GB2312" w:cs="仿宋_GB2312"/>
                <w:color w:val="auto"/>
                <w:kern w:val="0"/>
                <w:sz w:val="24"/>
                <w:szCs w:val="20"/>
                <w:lang w:val="en" w:eastAsia="zh-CN"/>
              </w:rPr>
              <w:t>... ...</w:t>
            </w:r>
            <w:r>
              <w:rPr>
                <w:rFonts w:hint="eastAsia" w:ascii="仿宋_GB2312" w:hAnsi="仿宋_GB2312" w:eastAsia="仿宋_GB2312" w:cs="仿宋_GB2312"/>
                <w:color w:val="auto"/>
                <w:kern w:val="0"/>
                <w:sz w:val="24"/>
                <w:szCs w:val="20"/>
                <w:lang w:val="en-US" w:eastAsia="zh-CN"/>
              </w:rPr>
              <w:t>重点检查深基坑内外排水，深基坑侧壁漏水、支护结构开裂、周边环境沉降裂缝等异常情况，以及深基坑临边堆载超限等情况。”</w:t>
            </w:r>
          </w:p>
          <w:p>
            <w:pPr>
              <w:keepNext w:val="0"/>
              <w:keepLines w:val="0"/>
              <w:pageBreakBefore w:val="0"/>
              <w:widowControl w:val="0"/>
              <w:kinsoku/>
              <w:wordWrap/>
              <w:overflowPunct/>
              <w:topLinePunct w:val="0"/>
              <w:autoSpaceDE/>
              <w:autoSpaceDN/>
              <w:bidi w:val="0"/>
              <w:adjustRightInd/>
              <w:snapToGrid/>
              <w:spacing w:line="380" w:lineRule="exact"/>
              <w:jc w:val="left"/>
              <w:textAlignment w:val="auto"/>
              <w:rPr>
                <w:rFonts w:hint="eastAsia"/>
                <w:lang w:val="en-US" w:eastAsia="zh-CN"/>
              </w:rPr>
            </w:pPr>
            <w:r>
              <w:rPr>
                <w:rFonts w:hint="eastAsia" w:ascii="仿宋_GB2312" w:hAnsi="仿宋_GB2312" w:eastAsia="仿宋_GB2312" w:cs="仿宋_GB2312"/>
                <w:color w:val="auto"/>
                <w:kern w:val="0"/>
                <w:sz w:val="24"/>
                <w:szCs w:val="20"/>
                <w:lang w:val="en-US" w:eastAsia="zh-CN"/>
              </w:rPr>
              <w:t>建议增加“监测测点是否破坏”，修改为“</w:t>
            </w:r>
            <w:r>
              <w:rPr>
                <w:rFonts w:hint="default" w:ascii="仿宋_GB2312" w:hAnsi="仿宋_GB2312" w:eastAsia="仿宋_GB2312" w:cs="仿宋_GB2312"/>
                <w:color w:val="auto"/>
                <w:kern w:val="0"/>
                <w:sz w:val="24"/>
                <w:szCs w:val="20"/>
                <w:lang w:val="en" w:eastAsia="zh-CN"/>
              </w:rPr>
              <w:t>... ...</w:t>
            </w:r>
            <w:r>
              <w:rPr>
                <w:rFonts w:hint="eastAsia" w:ascii="仿宋_GB2312" w:hAnsi="仿宋_GB2312" w:eastAsia="仿宋_GB2312" w:cs="仿宋_GB2312"/>
                <w:color w:val="auto"/>
                <w:kern w:val="0"/>
                <w:sz w:val="24"/>
                <w:szCs w:val="20"/>
                <w:lang w:val="en-US" w:eastAsia="zh-CN"/>
              </w:rPr>
              <w:t>重点检查深基坑内外排水，深基坑侧壁漏水、支护结构开裂、周边环境沉降裂缝等异常情况，以及监测测点是否破坏、深基坑临边堆载超限等情况。”</w:t>
            </w:r>
          </w:p>
        </w:tc>
        <w:tc>
          <w:tcPr>
            <w:tcW w:w="1460"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eastAsia" w:ascii="仿宋_GB2312" w:hAnsi="仿宋_GB2312" w:eastAsia="仿宋_GB2312" w:cs="仿宋_GB2312"/>
                <w:color w:val="000000" w:themeColor="text1"/>
                <w:kern w:val="0"/>
                <w:sz w:val="24"/>
                <w:szCs w:val="20"/>
                <w:highlight w:val="none"/>
                <w14:textFill>
                  <w14:solidFill>
                    <w14:schemeClr w14:val="tx1"/>
                  </w14:solidFill>
                </w14:textFill>
              </w:rPr>
            </w:pPr>
            <w:r>
              <w:rPr>
                <w:rFonts w:hint="eastAsia" w:ascii="仿宋_GB2312" w:hAnsi="仿宋_GB2312" w:eastAsia="仿宋_GB2312" w:cs="仿宋_GB2312"/>
                <w:color w:val="000000" w:themeColor="text1"/>
                <w:kern w:val="0"/>
                <w:sz w:val="24"/>
                <w:szCs w:val="20"/>
                <w14:textFill>
                  <w14:solidFill>
                    <w14:schemeClr w14:val="tx1"/>
                  </w14:solidFill>
                </w14:textFill>
              </w:rPr>
              <w:t>采纳</w:t>
            </w:r>
          </w:p>
        </w:tc>
        <w:tc>
          <w:tcPr>
            <w:tcW w:w="4593" w:type="dxa"/>
            <w:vAlign w:val="center"/>
          </w:tcPr>
          <w:p>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ascii="仿宋_GB2312" w:hAnsi="仿宋_GB2312" w:eastAsia="仿宋_GB2312" w:cs="仿宋_GB2312"/>
                <w:color w:val="000000" w:themeColor="text1"/>
                <w:kern w:val="0"/>
                <w:sz w:val="24"/>
                <w:szCs w:val="20"/>
                <w:highlight w:val="none"/>
                <w14:textFill>
                  <w14:solidFill>
                    <w14:schemeClr w14:val="tx1"/>
                  </w14:solidFill>
                </w14:textFill>
              </w:rPr>
            </w:pPr>
            <w:r>
              <w:rPr>
                <w:rFonts w:hint="eastAsia" w:ascii="仿宋_GB2312" w:hAnsi="仿宋_GB2312" w:eastAsia="仿宋_GB2312" w:cs="仿宋_GB2312"/>
                <w:kern w:val="0"/>
                <w:sz w:val="24"/>
                <w:szCs w:val="20"/>
                <w:lang w:eastAsia="zh-CN"/>
              </w:rPr>
              <w:t>对《深圳市深基坑管理规定》相应条款进行修改。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00" w:hRule="atLeast"/>
          <w:jc w:val="center"/>
        </w:trPr>
        <w:tc>
          <w:tcPr>
            <w:tcW w:w="913" w:type="dxa"/>
            <w:vAlign w:val="center"/>
          </w:tcPr>
          <w:p>
            <w:pPr>
              <w:spacing w:line="380" w:lineRule="exact"/>
              <w:jc w:val="center"/>
              <w:rPr>
                <w:rFonts w:hint="default" w:ascii="仿宋_GB2312" w:hAnsi="仿宋_GB2312" w:eastAsia="仿宋_GB2312" w:cs="仿宋_GB2312"/>
                <w:color w:val="000000" w:themeColor="text1"/>
                <w:kern w:val="0"/>
                <w:sz w:val="24"/>
                <w:szCs w:val="24"/>
                <w:lang w:val="en-US" w:eastAsia="zh-CN"/>
                <w14:textFill>
                  <w14:solidFill>
                    <w14:schemeClr w14:val="tx1"/>
                  </w14:solidFill>
                </w14:textFill>
              </w:rPr>
            </w:pPr>
            <w: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t>14</w:t>
            </w:r>
          </w:p>
        </w:tc>
        <w:tc>
          <w:tcPr>
            <w:tcW w:w="1238" w:type="dxa"/>
            <w:vAlign w:val="center"/>
          </w:tcPr>
          <w:p>
            <w:pPr>
              <w:spacing w:line="380" w:lineRule="exact"/>
              <w:jc w:val="center"/>
              <w:rPr>
                <w:rFonts w:hint="eastAsia" w:ascii="仿宋_GB2312" w:eastAsia="仿宋_GB2312"/>
                <w:kern w:val="0"/>
                <w:sz w:val="24"/>
                <w:szCs w:val="24"/>
              </w:rPr>
            </w:pPr>
            <w:r>
              <w:rPr>
                <w:rFonts w:hint="eastAsia" w:ascii="仿宋_GB2312" w:eastAsia="仿宋_GB2312"/>
                <w:kern w:val="0"/>
                <w:sz w:val="24"/>
                <w:szCs w:val="24"/>
              </w:rPr>
              <w:t>第</w:t>
            </w:r>
            <w:r>
              <w:rPr>
                <w:rFonts w:hint="eastAsia" w:ascii="仿宋_GB2312" w:eastAsia="仿宋_GB2312"/>
                <w:kern w:val="0"/>
                <w:sz w:val="24"/>
                <w:szCs w:val="24"/>
                <w:lang w:eastAsia="zh-CN"/>
              </w:rPr>
              <w:t>三十七</w:t>
            </w:r>
            <w:r>
              <w:rPr>
                <w:rFonts w:hint="eastAsia" w:ascii="仿宋_GB2312" w:eastAsia="仿宋_GB2312"/>
                <w:kern w:val="0"/>
                <w:sz w:val="24"/>
                <w:szCs w:val="24"/>
              </w:rPr>
              <w:t>条</w:t>
            </w:r>
          </w:p>
        </w:tc>
        <w:tc>
          <w:tcPr>
            <w:tcW w:w="5542"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left"/>
              <w:textAlignment w:val="auto"/>
              <w:rPr>
                <w:rFonts w:hint="eastAsia" w:ascii="仿宋_GB2312" w:hAnsi="仿宋_GB2312" w:eastAsia="仿宋_GB2312" w:cs="仿宋_GB2312"/>
                <w:color w:val="auto"/>
                <w:kern w:val="0"/>
                <w:sz w:val="24"/>
                <w:szCs w:val="20"/>
                <w:lang w:val="en-US" w:eastAsia="zh-CN"/>
              </w:rPr>
            </w:pPr>
            <w:r>
              <w:rPr>
                <w:rFonts w:hint="eastAsia" w:ascii="仿宋_GB2312" w:hAnsi="仿宋_GB2312" w:eastAsia="仿宋_GB2312" w:cs="仿宋_GB2312"/>
                <w:color w:val="auto"/>
                <w:kern w:val="0"/>
                <w:sz w:val="24"/>
                <w:szCs w:val="20"/>
                <w:lang w:val="en-US" w:eastAsia="zh-CN"/>
              </w:rPr>
              <w:t>“</w:t>
            </w:r>
            <w:r>
              <w:rPr>
                <w:rFonts w:hint="default" w:ascii="仿宋_GB2312" w:hAnsi="仿宋_GB2312" w:eastAsia="仿宋_GB2312" w:cs="仿宋_GB2312"/>
                <w:color w:val="auto"/>
                <w:kern w:val="0"/>
                <w:sz w:val="24"/>
                <w:szCs w:val="20"/>
                <w:lang w:val="en" w:eastAsia="zh-CN"/>
              </w:rPr>
              <w:t>... ...</w:t>
            </w:r>
            <w:r>
              <w:rPr>
                <w:rFonts w:hint="eastAsia" w:ascii="仿宋_GB2312" w:hAnsi="仿宋_GB2312" w:eastAsia="仿宋_GB2312" w:cs="仿宋_GB2312"/>
                <w:color w:val="auto"/>
                <w:kern w:val="0"/>
                <w:sz w:val="24"/>
                <w:szCs w:val="20"/>
                <w:lang w:val="en-US" w:eastAsia="zh-CN"/>
              </w:rPr>
              <w:t>鼓励采用基坑天幕、</w:t>
            </w:r>
            <w:r>
              <w:rPr>
                <w:rFonts w:hint="default" w:ascii="仿宋_GB2312" w:hAnsi="仿宋_GB2312" w:eastAsia="仿宋_GB2312" w:cs="仿宋_GB2312"/>
                <w:color w:val="auto"/>
                <w:kern w:val="0"/>
                <w:sz w:val="24"/>
                <w:szCs w:val="20"/>
                <w:lang w:val="en-US" w:eastAsia="zh-CN"/>
              </w:rPr>
              <w:t>机械</w:t>
            </w:r>
            <w:r>
              <w:rPr>
                <w:rFonts w:hint="eastAsia" w:ascii="仿宋_GB2312" w:hAnsi="仿宋_GB2312" w:eastAsia="仿宋_GB2312" w:cs="仿宋_GB2312"/>
                <w:color w:val="auto"/>
                <w:kern w:val="0"/>
                <w:sz w:val="24"/>
                <w:szCs w:val="20"/>
                <w:lang w:val="en-US" w:eastAsia="zh-CN"/>
              </w:rPr>
              <w:t>隔音防护罩、基岩切割法开挖、旋挖钻斗顶推式出渣等施工工艺设备。”</w:t>
            </w:r>
          </w:p>
          <w:p>
            <w:pPr>
              <w:keepNext w:val="0"/>
              <w:keepLines w:val="0"/>
              <w:pageBreakBefore w:val="0"/>
              <w:widowControl w:val="0"/>
              <w:kinsoku/>
              <w:wordWrap/>
              <w:overflowPunct/>
              <w:topLinePunct w:val="0"/>
              <w:autoSpaceDE/>
              <w:autoSpaceDN/>
              <w:bidi w:val="0"/>
              <w:adjustRightInd/>
              <w:snapToGrid/>
              <w:spacing w:line="380" w:lineRule="exact"/>
              <w:jc w:val="left"/>
              <w:textAlignment w:val="auto"/>
              <w:rPr>
                <w:rFonts w:hint="eastAsia" w:ascii="仿宋_GB2312" w:eastAsia="仿宋_GB2312"/>
                <w:kern w:val="0"/>
                <w:sz w:val="24"/>
                <w:szCs w:val="24"/>
                <w:highlight w:val="none"/>
              </w:rPr>
            </w:pPr>
            <w:r>
              <w:rPr>
                <w:rFonts w:hint="eastAsia" w:ascii="仿宋_GB2312" w:hAnsi="仿宋_GB2312" w:eastAsia="仿宋_GB2312" w:cs="仿宋_GB2312"/>
                <w:color w:val="auto"/>
                <w:kern w:val="0"/>
                <w:sz w:val="24"/>
                <w:szCs w:val="20"/>
                <w:lang w:val="en-US" w:eastAsia="zh-CN"/>
              </w:rPr>
              <w:t>建议增加“全套管全回转”，修改为“</w:t>
            </w:r>
            <w:r>
              <w:rPr>
                <w:rFonts w:hint="default" w:ascii="仿宋_GB2312" w:hAnsi="仿宋_GB2312" w:eastAsia="仿宋_GB2312" w:cs="仿宋_GB2312"/>
                <w:color w:val="auto"/>
                <w:kern w:val="0"/>
                <w:sz w:val="24"/>
                <w:szCs w:val="20"/>
                <w:lang w:val="en" w:eastAsia="zh-CN"/>
              </w:rPr>
              <w:t>... ...</w:t>
            </w:r>
            <w:r>
              <w:rPr>
                <w:rFonts w:hint="eastAsia" w:ascii="仿宋_GB2312" w:hAnsi="仿宋_GB2312" w:eastAsia="仿宋_GB2312" w:cs="仿宋_GB2312"/>
                <w:color w:val="auto"/>
                <w:kern w:val="0"/>
                <w:sz w:val="24"/>
                <w:szCs w:val="20"/>
                <w:lang w:val="en-US" w:eastAsia="zh-CN"/>
              </w:rPr>
              <w:t>鼓励采用基坑天幕、</w:t>
            </w:r>
            <w:r>
              <w:rPr>
                <w:rFonts w:hint="default" w:ascii="仿宋_GB2312" w:hAnsi="仿宋_GB2312" w:eastAsia="仿宋_GB2312" w:cs="仿宋_GB2312"/>
                <w:color w:val="auto"/>
                <w:kern w:val="0"/>
                <w:sz w:val="24"/>
                <w:szCs w:val="20"/>
                <w:lang w:val="en-US" w:eastAsia="zh-CN"/>
              </w:rPr>
              <w:t>机械</w:t>
            </w:r>
            <w:r>
              <w:rPr>
                <w:rFonts w:hint="eastAsia" w:ascii="仿宋_GB2312" w:hAnsi="仿宋_GB2312" w:eastAsia="仿宋_GB2312" w:cs="仿宋_GB2312"/>
                <w:color w:val="auto"/>
                <w:kern w:val="0"/>
                <w:sz w:val="24"/>
                <w:szCs w:val="20"/>
                <w:lang w:val="en-US" w:eastAsia="zh-CN"/>
              </w:rPr>
              <w:t>隔音防护罩、基岩切割法开挖、全套管全回转、旋挖钻斗顶推式出渣等施工工艺设备。”</w:t>
            </w:r>
          </w:p>
        </w:tc>
        <w:tc>
          <w:tcPr>
            <w:tcW w:w="1460" w:type="dxa"/>
            <w:vAlign w:val="center"/>
          </w:tcPr>
          <w:p>
            <w:pPr>
              <w:spacing w:line="380" w:lineRule="exact"/>
              <w:jc w:val="center"/>
              <w:rPr>
                <w:rFonts w:hint="eastAsia" w:ascii="仿宋_GB2312" w:hAnsi="仿宋_GB2312" w:eastAsia="仿宋_GB2312" w:cs="仿宋_GB2312"/>
                <w:color w:val="000000" w:themeColor="text1"/>
                <w:kern w:val="0"/>
                <w:sz w:val="24"/>
                <w:szCs w:val="20"/>
                <w:highlight w:val="none"/>
                <w14:textFill>
                  <w14:solidFill>
                    <w14:schemeClr w14:val="tx1"/>
                  </w14:solidFill>
                </w14:textFill>
              </w:rPr>
            </w:pPr>
            <w:r>
              <w:rPr>
                <w:rFonts w:hint="eastAsia" w:ascii="仿宋_GB2312" w:hAnsi="仿宋_GB2312" w:eastAsia="仿宋_GB2312" w:cs="仿宋_GB2312"/>
                <w:color w:val="000000" w:themeColor="text1"/>
                <w:kern w:val="0"/>
                <w:sz w:val="24"/>
                <w:szCs w:val="20"/>
                <w14:textFill>
                  <w14:solidFill>
                    <w14:schemeClr w14:val="tx1"/>
                  </w14:solidFill>
                </w14:textFill>
              </w:rPr>
              <w:t>采纳</w:t>
            </w:r>
          </w:p>
        </w:tc>
        <w:tc>
          <w:tcPr>
            <w:tcW w:w="4593" w:type="dxa"/>
            <w:vAlign w:val="center"/>
          </w:tcPr>
          <w:p>
            <w:pPr>
              <w:spacing w:line="380" w:lineRule="exact"/>
              <w:rPr>
                <w:rFonts w:ascii="仿宋_GB2312" w:hAnsi="仿宋_GB2312" w:eastAsia="仿宋_GB2312" w:cs="仿宋_GB2312"/>
                <w:color w:val="000000" w:themeColor="text1"/>
                <w:kern w:val="0"/>
                <w:sz w:val="24"/>
                <w:szCs w:val="20"/>
                <w:highlight w:val="none"/>
                <w14:textFill>
                  <w14:solidFill>
                    <w14:schemeClr w14:val="tx1"/>
                  </w14:solidFill>
                </w14:textFill>
              </w:rPr>
            </w:pPr>
            <w:r>
              <w:rPr>
                <w:rFonts w:hint="eastAsia" w:ascii="仿宋_GB2312" w:hAnsi="仿宋_GB2312" w:eastAsia="仿宋_GB2312" w:cs="仿宋_GB2312"/>
                <w:kern w:val="0"/>
                <w:sz w:val="24"/>
                <w:szCs w:val="20"/>
                <w:lang w:eastAsia="zh-CN"/>
              </w:rPr>
              <w:t>对《深圳市深基坑管理规定》相应条款进行修改。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00" w:hRule="atLeast"/>
          <w:jc w:val="center"/>
        </w:trPr>
        <w:tc>
          <w:tcPr>
            <w:tcW w:w="913" w:type="dxa"/>
            <w:vAlign w:val="center"/>
          </w:tcPr>
          <w:p>
            <w:pPr>
              <w:spacing w:line="380" w:lineRule="exact"/>
              <w:jc w:val="center"/>
              <w:rPr>
                <w:rFonts w:hint="default" w:ascii="仿宋_GB2312" w:hAnsi="仿宋_GB2312" w:eastAsia="仿宋_GB2312" w:cs="仿宋_GB2312"/>
                <w:color w:val="000000" w:themeColor="text1"/>
                <w:kern w:val="0"/>
                <w:sz w:val="24"/>
                <w:szCs w:val="24"/>
                <w:lang w:val="en-US" w:eastAsia="zh-CN"/>
                <w14:textFill>
                  <w14:solidFill>
                    <w14:schemeClr w14:val="tx1"/>
                  </w14:solidFill>
                </w14:textFill>
              </w:rPr>
            </w:pPr>
            <w:r>
              <w:rPr>
                <w:rFonts w:hint="eastAsia" w:ascii="仿宋_GB2312" w:hAnsi="仿宋_GB2312" w:eastAsia="仿宋_GB2312" w:cs="仿宋_GB2312"/>
                <w:color w:val="000000" w:themeColor="text1"/>
                <w:kern w:val="0"/>
                <w:sz w:val="24"/>
                <w:szCs w:val="24"/>
                <w:lang w:val="en-US" w:eastAsia="zh-CN"/>
                <w14:textFill>
                  <w14:solidFill>
                    <w14:schemeClr w14:val="tx1"/>
                  </w14:solidFill>
                </w14:textFill>
              </w:rPr>
              <w:t>15</w:t>
            </w:r>
          </w:p>
        </w:tc>
        <w:tc>
          <w:tcPr>
            <w:tcW w:w="1238" w:type="dxa"/>
            <w:vAlign w:val="center"/>
          </w:tcPr>
          <w:p>
            <w:pPr>
              <w:spacing w:line="380" w:lineRule="exact"/>
              <w:jc w:val="center"/>
              <w:rPr>
                <w:rFonts w:hint="eastAsia" w:ascii="仿宋_GB2312" w:eastAsia="仿宋_GB2312"/>
                <w:kern w:val="0"/>
                <w:sz w:val="24"/>
                <w:szCs w:val="24"/>
              </w:rPr>
            </w:pPr>
            <w:r>
              <w:rPr>
                <w:rFonts w:hint="eastAsia" w:ascii="仿宋_GB2312" w:eastAsia="仿宋_GB2312"/>
                <w:kern w:val="0"/>
                <w:sz w:val="24"/>
                <w:szCs w:val="24"/>
              </w:rPr>
              <w:t>第</w:t>
            </w:r>
            <w:r>
              <w:rPr>
                <w:rFonts w:hint="eastAsia" w:ascii="仿宋_GB2312" w:eastAsia="仿宋_GB2312"/>
                <w:kern w:val="0"/>
                <w:sz w:val="24"/>
                <w:szCs w:val="24"/>
                <w:lang w:eastAsia="zh-CN"/>
              </w:rPr>
              <w:t>四十七</w:t>
            </w:r>
            <w:r>
              <w:rPr>
                <w:rFonts w:hint="eastAsia" w:ascii="仿宋_GB2312" w:eastAsia="仿宋_GB2312"/>
                <w:kern w:val="0"/>
                <w:sz w:val="24"/>
                <w:szCs w:val="24"/>
              </w:rPr>
              <w:t>条</w:t>
            </w:r>
          </w:p>
        </w:tc>
        <w:tc>
          <w:tcPr>
            <w:tcW w:w="5542"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left"/>
              <w:textAlignment w:val="auto"/>
              <w:rPr>
                <w:rFonts w:hint="eastAsia" w:ascii="仿宋_GB2312" w:hAnsi="仿宋_GB2312" w:eastAsia="仿宋_GB2312" w:cs="仿宋_GB2312"/>
                <w:color w:val="auto"/>
                <w:kern w:val="0"/>
                <w:sz w:val="24"/>
                <w:szCs w:val="20"/>
                <w:lang w:val="en-US" w:eastAsia="zh-CN"/>
              </w:rPr>
            </w:pPr>
            <w:r>
              <w:rPr>
                <w:rFonts w:hint="eastAsia" w:ascii="仿宋_GB2312" w:hAnsi="仿宋_GB2312" w:eastAsia="仿宋_GB2312" w:cs="仿宋_GB2312"/>
                <w:color w:val="auto"/>
                <w:kern w:val="0"/>
                <w:sz w:val="24"/>
                <w:szCs w:val="20"/>
                <w:lang w:val="en-US" w:eastAsia="zh-CN"/>
              </w:rPr>
              <w:t>“深基坑工程不能及时完成，暴露时间超过支护设计规定使用期限的，应当根据具体情况制定和实施暴露期间的监测方案。”</w:t>
            </w:r>
          </w:p>
          <w:p>
            <w:pPr>
              <w:keepNext w:val="0"/>
              <w:keepLines w:val="0"/>
              <w:pageBreakBefore w:val="0"/>
              <w:widowControl w:val="0"/>
              <w:kinsoku/>
              <w:wordWrap/>
              <w:overflowPunct/>
              <w:topLinePunct w:val="0"/>
              <w:autoSpaceDE/>
              <w:autoSpaceDN/>
              <w:bidi w:val="0"/>
              <w:adjustRightInd/>
              <w:snapToGrid/>
              <w:spacing w:line="380" w:lineRule="exact"/>
              <w:jc w:val="left"/>
              <w:textAlignment w:val="auto"/>
              <w:rPr>
                <w:rFonts w:hint="eastAsia" w:ascii="仿宋_GB2312" w:hAnsi="仿宋_GB2312" w:eastAsia="仿宋_GB2312" w:cs="仿宋_GB2312"/>
                <w:color w:val="auto"/>
                <w:kern w:val="0"/>
                <w:sz w:val="24"/>
                <w:szCs w:val="20"/>
                <w:lang w:val="en-US" w:eastAsia="zh-CN"/>
              </w:rPr>
            </w:pPr>
            <w:r>
              <w:rPr>
                <w:rFonts w:hint="eastAsia" w:ascii="仿宋_GB2312" w:hAnsi="仿宋_GB2312" w:eastAsia="仿宋_GB2312" w:cs="仿宋_GB2312"/>
                <w:color w:val="auto"/>
                <w:kern w:val="0"/>
                <w:sz w:val="24"/>
                <w:szCs w:val="20"/>
                <w:lang w:val="en-US" w:eastAsia="zh-CN"/>
              </w:rPr>
              <w:t>建议增加“当深基坑安全等级为一级时，应当组织岩土工程专家对监测方案进行专家评审”，修改为“深基坑工程不能及时完成，暴露时间超过支护设计规定使用期限的，应当根据具体情况制定和实施暴露期间的监测方案。当深基坑安全等级为一级时，应当组织岩土工程专家对监测方案进行专家评审。”</w:t>
            </w:r>
          </w:p>
        </w:tc>
        <w:tc>
          <w:tcPr>
            <w:tcW w:w="1460" w:type="dxa"/>
            <w:vAlign w:val="center"/>
          </w:tcPr>
          <w:p>
            <w:pPr>
              <w:spacing w:line="380" w:lineRule="exact"/>
              <w:jc w:val="center"/>
              <w:rPr>
                <w:rFonts w:hint="default" w:ascii="仿宋_GB2312" w:hAnsi="仿宋_GB2312" w:eastAsia="仿宋_GB2312" w:cs="仿宋_GB2312"/>
                <w:color w:val="000000" w:themeColor="text1"/>
                <w:kern w:val="0"/>
                <w:sz w:val="24"/>
                <w:szCs w:val="20"/>
                <w:lang w:val="en-US" w:eastAsia="zh-CN"/>
                <w14:textFill>
                  <w14:solidFill>
                    <w14:schemeClr w14:val="tx1"/>
                  </w14:solidFill>
                </w14:textFill>
              </w:rPr>
            </w:pPr>
            <w:r>
              <w:rPr>
                <w:rFonts w:hint="eastAsia" w:ascii="仿宋_GB2312" w:hAnsi="仿宋_GB2312" w:eastAsia="仿宋_GB2312" w:cs="仿宋_GB2312"/>
                <w:color w:val="000000" w:themeColor="text1"/>
                <w:kern w:val="0"/>
                <w:sz w:val="24"/>
                <w:szCs w:val="20"/>
                <w:lang w:val="en-US" w:eastAsia="zh-CN"/>
                <w14:textFill>
                  <w14:solidFill>
                    <w14:schemeClr w14:val="tx1"/>
                  </w14:solidFill>
                </w14:textFill>
              </w:rPr>
              <w:t>不采纳</w:t>
            </w:r>
          </w:p>
        </w:tc>
        <w:tc>
          <w:tcPr>
            <w:tcW w:w="4593" w:type="dxa"/>
            <w:vAlign w:val="center"/>
          </w:tcPr>
          <w:p>
            <w:pPr>
              <w:spacing w:line="380" w:lineRule="exact"/>
              <w:rPr>
                <w:rFonts w:hint="default" w:ascii="仿宋_GB2312" w:hAnsi="仿宋_GB2312" w:eastAsia="仿宋_GB2312" w:cs="仿宋_GB2312"/>
                <w:color w:val="000000" w:themeColor="text1"/>
                <w:kern w:val="0"/>
                <w:sz w:val="24"/>
                <w:szCs w:val="20"/>
                <w:highlight w:val="none"/>
                <w:lang w:val="en-US"/>
                <w14:textFill>
                  <w14:solidFill>
                    <w14:schemeClr w14:val="tx1"/>
                  </w14:solidFill>
                </w14:textFill>
              </w:rPr>
            </w:pPr>
            <w:r>
              <w:rPr>
                <w:rFonts w:hint="eastAsia" w:ascii="仿宋_GB2312" w:hAnsi="仿宋_GB2312" w:eastAsia="仿宋_GB2312" w:cs="仿宋_GB2312"/>
                <w:kern w:val="0"/>
                <w:sz w:val="24"/>
                <w:szCs w:val="20"/>
                <w:lang w:eastAsia="zh-CN"/>
              </w:rPr>
              <w:t>《深圳市深基坑管理规定》第十五条已规定了对于安全等级为一级的深基坑，建设单位应当组织专家对监测方案进行专家评审，无需重复评审。</w:t>
            </w:r>
            <w:r>
              <w:rPr>
                <w:rFonts w:hint="eastAsia" w:ascii="仿宋_GB2312" w:hAnsi="仿宋_GB2312" w:eastAsia="仿宋_GB2312" w:cs="仿宋_GB2312"/>
                <w:kern w:val="0"/>
                <w:sz w:val="24"/>
                <w:szCs w:val="20"/>
                <w:lang w:val="en-US" w:eastAsia="zh-CN"/>
              </w:rPr>
              <w:t>第十六条规定了深基坑暴露时间超过支护设计规定使用期限的，建设单位应当至少每半年组织岩土工程专家进行安全评估，安全评估应包括暴露期间的监测方案。</w:t>
            </w:r>
          </w:p>
        </w:tc>
      </w:tr>
    </w:tbl>
    <w:p>
      <w:pPr>
        <w:widowControl/>
        <w:rPr>
          <w:rFonts w:ascii="宋体" w:hAnsi="宋体" w:eastAsia="宋体" w:cs="宋体"/>
          <w:kern w:val="0"/>
          <w:sz w:val="24"/>
          <w:szCs w:val="24"/>
        </w:rPr>
      </w:pPr>
    </w:p>
    <w:sectPr>
      <w:pgSz w:w="16838" w:h="11906" w:orient="landscape"/>
      <w:pgMar w:top="1417" w:right="1440" w:bottom="1417" w:left="1440" w:header="851" w:footer="992" w:gutter="0"/>
      <w:pgBorders>
        <w:top w:val="none" w:sz="0" w:space="0"/>
        <w:left w:val="none" w:sz="0" w:space="0"/>
        <w:bottom w:val="none" w:sz="0" w:space="0"/>
        <w:right w:val="none" w:sz="0" w:space="0"/>
      </w:pgBorders>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3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方正小标宋简体">
    <w:altName w:val="黑体"/>
    <w:panose1 w:val="02000000000000000000"/>
    <w:charset w:val="86"/>
    <w:family w:val="script"/>
    <w:pitch w:val="default"/>
    <w:sig w:usb0="00000000" w:usb1="00000000" w:usb2="00000012"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仿宋_GB2312">
    <w:altName w:val="仿宋"/>
    <w:panose1 w:val="00000000000000000000"/>
    <w:charset w:val="00"/>
    <w:family w:val="auto"/>
    <w:pitch w:val="default"/>
    <w:sig w:usb0="00000000" w:usb1="00000000" w:usb2="00000000" w:usb3="00000000" w:csb0="00000000" w:csb1="00000000"/>
  </w:font>
  <w:font w:name="文鼎小标宋简">
    <w:altName w:val="宋体"/>
    <w:panose1 w:val="02010609010101010101"/>
    <w:charset w:val="86"/>
    <w:family w:val="modern"/>
    <w:pitch w:val="default"/>
    <w:sig w:usb0="00000000" w:usb1="00000000" w:usb2="0000001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8"/>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WZmOGZlYmM2NjZkNDkxYWM2NjYzMzlhZDg4OTExZjUifQ=="/>
  </w:docVars>
  <w:rsids>
    <w:rsidRoot w:val="001D526F"/>
    <w:rsid w:val="00004165"/>
    <w:rsid w:val="0000570A"/>
    <w:rsid w:val="00014856"/>
    <w:rsid w:val="0004688F"/>
    <w:rsid w:val="00122428"/>
    <w:rsid w:val="00134A1A"/>
    <w:rsid w:val="00163C14"/>
    <w:rsid w:val="001666F8"/>
    <w:rsid w:val="001708B4"/>
    <w:rsid w:val="001B3A72"/>
    <w:rsid w:val="001B5724"/>
    <w:rsid w:val="001D24E7"/>
    <w:rsid w:val="001D526F"/>
    <w:rsid w:val="001D6C89"/>
    <w:rsid w:val="001E463A"/>
    <w:rsid w:val="00201673"/>
    <w:rsid w:val="00214B12"/>
    <w:rsid w:val="00224EF5"/>
    <w:rsid w:val="00247271"/>
    <w:rsid w:val="00251E0F"/>
    <w:rsid w:val="002834BB"/>
    <w:rsid w:val="00296DED"/>
    <w:rsid w:val="002B77B2"/>
    <w:rsid w:val="002F204C"/>
    <w:rsid w:val="002F3483"/>
    <w:rsid w:val="003232B0"/>
    <w:rsid w:val="003A34AC"/>
    <w:rsid w:val="003C149D"/>
    <w:rsid w:val="003C45EA"/>
    <w:rsid w:val="003E66F7"/>
    <w:rsid w:val="003E7F61"/>
    <w:rsid w:val="0041138A"/>
    <w:rsid w:val="00433EE3"/>
    <w:rsid w:val="004453D3"/>
    <w:rsid w:val="00486DE7"/>
    <w:rsid w:val="004944F4"/>
    <w:rsid w:val="004E2386"/>
    <w:rsid w:val="005544CE"/>
    <w:rsid w:val="005635CD"/>
    <w:rsid w:val="00575418"/>
    <w:rsid w:val="00586B87"/>
    <w:rsid w:val="006203B6"/>
    <w:rsid w:val="006423A6"/>
    <w:rsid w:val="00670A8D"/>
    <w:rsid w:val="00692D33"/>
    <w:rsid w:val="006956F4"/>
    <w:rsid w:val="006C4287"/>
    <w:rsid w:val="006C475C"/>
    <w:rsid w:val="00704531"/>
    <w:rsid w:val="00755AAB"/>
    <w:rsid w:val="00792282"/>
    <w:rsid w:val="008341D1"/>
    <w:rsid w:val="00874489"/>
    <w:rsid w:val="008848AC"/>
    <w:rsid w:val="00891164"/>
    <w:rsid w:val="008A0A36"/>
    <w:rsid w:val="008A31AD"/>
    <w:rsid w:val="008B2A50"/>
    <w:rsid w:val="008B2BEE"/>
    <w:rsid w:val="008C53D4"/>
    <w:rsid w:val="008D1ED7"/>
    <w:rsid w:val="008F2D79"/>
    <w:rsid w:val="009344EE"/>
    <w:rsid w:val="00961BEF"/>
    <w:rsid w:val="0098351E"/>
    <w:rsid w:val="00983ADB"/>
    <w:rsid w:val="00993A7A"/>
    <w:rsid w:val="009F4F98"/>
    <w:rsid w:val="00A649F0"/>
    <w:rsid w:val="00AC500F"/>
    <w:rsid w:val="00AF012B"/>
    <w:rsid w:val="00B146A1"/>
    <w:rsid w:val="00B47A37"/>
    <w:rsid w:val="00B52641"/>
    <w:rsid w:val="00B6558D"/>
    <w:rsid w:val="00B74977"/>
    <w:rsid w:val="00B80BFC"/>
    <w:rsid w:val="00B96E69"/>
    <w:rsid w:val="00BB10B9"/>
    <w:rsid w:val="00C22C04"/>
    <w:rsid w:val="00C87676"/>
    <w:rsid w:val="00CA7888"/>
    <w:rsid w:val="00CF546E"/>
    <w:rsid w:val="00D17C36"/>
    <w:rsid w:val="00D6293D"/>
    <w:rsid w:val="00D964FD"/>
    <w:rsid w:val="00DA370F"/>
    <w:rsid w:val="00E11476"/>
    <w:rsid w:val="00E33B88"/>
    <w:rsid w:val="00E372E4"/>
    <w:rsid w:val="00E50180"/>
    <w:rsid w:val="00E5155A"/>
    <w:rsid w:val="00E619EF"/>
    <w:rsid w:val="00E929C1"/>
    <w:rsid w:val="00E9797E"/>
    <w:rsid w:val="00EC12A0"/>
    <w:rsid w:val="00EF6B42"/>
    <w:rsid w:val="00F57964"/>
    <w:rsid w:val="00F65F89"/>
    <w:rsid w:val="00F8032A"/>
    <w:rsid w:val="00FC7A58"/>
    <w:rsid w:val="00FE79AA"/>
    <w:rsid w:val="0B093BFE"/>
    <w:rsid w:val="0B7F79F1"/>
    <w:rsid w:val="1B9F7AB0"/>
    <w:rsid w:val="1D978360"/>
    <w:rsid w:val="1ECDB4AE"/>
    <w:rsid w:val="1FF9F36D"/>
    <w:rsid w:val="231D6323"/>
    <w:rsid w:val="236F72BC"/>
    <w:rsid w:val="27A14C14"/>
    <w:rsid w:val="27BA40A9"/>
    <w:rsid w:val="29FB7786"/>
    <w:rsid w:val="2A778340"/>
    <w:rsid w:val="2D57E106"/>
    <w:rsid w:val="32FE56A0"/>
    <w:rsid w:val="3A7D1C6E"/>
    <w:rsid w:val="3C7F1DCE"/>
    <w:rsid w:val="3D7E9D74"/>
    <w:rsid w:val="3DDD75E6"/>
    <w:rsid w:val="3EDE0F08"/>
    <w:rsid w:val="3F5F1D43"/>
    <w:rsid w:val="3F6FAA05"/>
    <w:rsid w:val="3FAEEF13"/>
    <w:rsid w:val="3FC94270"/>
    <w:rsid w:val="3FFB11D1"/>
    <w:rsid w:val="447596FB"/>
    <w:rsid w:val="4BD3609A"/>
    <w:rsid w:val="4CDFF932"/>
    <w:rsid w:val="4F7F712E"/>
    <w:rsid w:val="59EF10E4"/>
    <w:rsid w:val="59EF3E65"/>
    <w:rsid w:val="59FBAB1B"/>
    <w:rsid w:val="5B763E5E"/>
    <w:rsid w:val="5CFE2A4B"/>
    <w:rsid w:val="5E57870B"/>
    <w:rsid w:val="5E8912FA"/>
    <w:rsid w:val="5FDD9647"/>
    <w:rsid w:val="5FDF023B"/>
    <w:rsid w:val="5FF96D06"/>
    <w:rsid w:val="62FFB6D2"/>
    <w:rsid w:val="66EFA569"/>
    <w:rsid w:val="67C0735A"/>
    <w:rsid w:val="6BFBCBBA"/>
    <w:rsid w:val="6DFF097B"/>
    <w:rsid w:val="6F2F267E"/>
    <w:rsid w:val="6F7FB885"/>
    <w:rsid w:val="6FEB5F22"/>
    <w:rsid w:val="6FFEA1F2"/>
    <w:rsid w:val="707ADBFD"/>
    <w:rsid w:val="74B79187"/>
    <w:rsid w:val="74FA544A"/>
    <w:rsid w:val="772F0861"/>
    <w:rsid w:val="775FF79A"/>
    <w:rsid w:val="77CBA972"/>
    <w:rsid w:val="77EB1E05"/>
    <w:rsid w:val="78FF4F6A"/>
    <w:rsid w:val="797EBDEF"/>
    <w:rsid w:val="79FF7581"/>
    <w:rsid w:val="7A5EC9E6"/>
    <w:rsid w:val="7B3686B1"/>
    <w:rsid w:val="7B7F77B5"/>
    <w:rsid w:val="7DDB3B5B"/>
    <w:rsid w:val="7DEC2B2A"/>
    <w:rsid w:val="7DEEC584"/>
    <w:rsid w:val="7DFF8601"/>
    <w:rsid w:val="7DFFAC6F"/>
    <w:rsid w:val="7E7B420A"/>
    <w:rsid w:val="7EAF3CBE"/>
    <w:rsid w:val="7EBF9087"/>
    <w:rsid w:val="7F4EDF5C"/>
    <w:rsid w:val="7F737541"/>
    <w:rsid w:val="7FA96710"/>
    <w:rsid w:val="7FCD7459"/>
    <w:rsid w:val="7FDFF646"/>
    <w:rsid w:val="7FEFC2A5"/>
    <w:rsid w:val="7FFB0B6E"/>
    <w:rsid w:val="7FFCEC56"/>
    <w:rsid w:val="7FFE952E"/>
    <w:rsid w:val="7FFF52C0"/>
    <w:rsid w:val="7FFF7917"/>
    <w:rsid w:val="95D65DB0"/>
    <w:rsid w:val="96BB87F2"/>
    <w:rsid w:val="9CFFEF3A"/>
    <w:rsid w:val="9ED35E7D"/>
    <w:rsid w:val="A6B74069"/>
    <w:rsid w:val="AFFA85BC"/>
    <w:rsid w:val="B0FE4D79"/>
    <w:rsid w:val="BDDF819A"/>
    <w:rsid w:val="BF9F6F34"/>
    <w:rsid w:val="BFEDA53C"/>
    <w:rsid w:val="BFEF646E"/>
    <w:rsid w:val="BFFECD7C"/>
    <w:rsid w:val="C7CF8F38"/>
    <w:rsid w:val="C8EB6DD1"/>
    <w:rsid w:val="CDBFF7EF"/>
    <w:rsid w:val="CFB27222"/>
    <w:rsid w:val="D3F6FDD6"/>
    <w:rsid w:val="D5AF1DD5"/>
    <w:rsid w:val="DBB75582"/>
    <w:rsid w:val="DBEFB760"/>
    <w:rsid w:val="DD6D4F31"/>
    <w:rsid w:val="DF7AD2FC"/>
    <w:rsid w:val="DFFF7B74"/>
    <w:rsid w:val="DFFFA92E"/>
    <w:rsid w:val="E18FC363"/>
    <w:rsid w:val="E3FEB919"/>
    <w:rsid w:val="E66F7470"/>
    <w:rsid w:val="E7FDB41A"/>
    <w:rsid w:val="EB7F8714"/>
    <w:rsid w:val="EBB42428"/>
    <w:rsid w:val="EDAFB918"/>
    <w:rsid w:val="EDEED56B"/>
    <w:rsid w:val="EDEFBFDB"/>
    <w:rsid w:val="EECEAD34"/>
    <w:rsid w:val="EEF713E7"/>
    <w:rsid w:val="EEFBF280"/>
    <w:rsid w:val="EF5B5320"/>
    <w:rsid w:val="EF7B3B41"/>
    <w:rsid w:val="EFDD9126"/>
    <w:rsid w:val="F0562433"/>
    <w:rsid w:val="F5EB4046"/>
    <w:rsid w:val="F6AF0540"/>
    <w:rsid w:val="F6BF9F9C"/>
    <w:rsid w:val="F73D2F6A"/>
    <w:rsid w:val="F7BB7F83"/>
    <w:rsid w:val="F7DB9428"/>
    <w:rsid w:val="F7DF0BB6"/>
    <w:rsid w:val="F7EDF603"/>
    <w:rsid w:val="F7EFA02B"/>
    <w:rsid w:val="F7EFD775"/>
    <w:rsid w:val="F7F398AE"/>
    <w:rsid w:val="F8DBF65C"/>
    <w:rsid w:val="F97BBFBC"/>
    <w:rsid w:val="FB5FD229"/>
    <w:rsid w:val="FBBF3F54"/>
    <w:rsid w:val="FBDD26C2"/>
    <w:rsid w:val="FBEFFC77"/>
    <w:rsid w:val="FBFF5C0C"/>
    <w:rsid w:val="FBFF84D3"/>
    <w:rsid w:val="FD3DFC50"/>
    <w:rsid w:val="FE1FB22B"/>
    <w:rsid w:val="FE32B361"/>
    <w:rsid w:val="FE3B53F5"/>
    <w:rsid w:val="FEDB6122"/>
    <w:rsid w:val="FF39EF04"/>
    <w:rsid w:val="FF728D3C"/>
    <w:rsid w:val="FF770591"/>
    <w:rsid w:val="FFDFFBE5"/>
    <w:rsid w:val="FFEAD06A"/>
    <w:rsid w:val="FFEC88E4"/>
    <w:rsid w:val="FFF6F442"/>
    <w:rsid w:val="FFF83640"/>
    <w:rsid w:val="FFF9B3B5"/>
    <w:rsid w:val="FFFE28BB"/>
    <w:rsid w:val="FFFF7F3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0"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nhideWhenUsed="0" w:uiPriority="0" w:semiHidden="0"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3">
    <w:name w:val="heading 4"/>
    <w:basedOn w:val="1"/>
    <w:next w:val="1"/>
    <w:unhideWhenUsed/>
    <w:qFormat/>
    <w:uiPriority w:val="0"/>
    <w:pPr>
      <w:keepNext/>
      <w:keepLines/>
      <w:outlineLvl w:val="3"/>
    </w:pPr>
    <w:rPr>
      <w:b/>
      <w:color w:val="0000FF"/>
      <w:szCs w:val="24"/>
    </w:rPr>
  </w:style>
  <w:style w:type="character" w:default="1" w:styleId="10">
    <w:name w:val="Default Paragraph Font"/>
    <w:semiHidden/>
    <w:unhideWhenUsed/>
    <w:qFormat/>
    <w:uiPriority w:val="1"/>
  </w:style>
  <w:style w:type="table" w:default="1" w:styleId="8">
    <w:name w:val="Normal Table"/>
    <w:semiHidden/>
    <w:unhideWhenUsed/>
    <w:qFormat/>
    <w:uiPriority w:val="99"/>
    <w:tblPr>
      <w:tblLayout w:type="fixed"/>
      <w:tblCellMar>
        <w:top w:w="0" w:type="dxa"/>
        <w:left w:w="108" w:type="dxa"/>
        <w:bottom w:w="0" w:type="dxa"/>
        <w:right w:w="108" w:type="dxa"/>
      </w:tblCellMar>
    </w:tblPr>
  </w:style>
  <w:style w:type="paragraph" w:styleId="2">
    <w:name w:val="Body Text"/>
    <w:basedOn w:val="1"/>
    <w:link w:val="11"/>
    <w:semiHidden/>
    <w:unhideWhenUsed/>
    <w:qFormat/>
    <w:uiPriority w:val="99"/>
    <w:pPr>
      <w:spacing w:after="120"/>
    </w:pPr>
  </w:style>
  <w:style w:type="paragraph" w:styleId="4">
    <w:name w:val="footer"/>
    <w:basedOn w:val="1"/>
    <w:link w:val="14"/>
    <w:unhideWhenUsed/>
    <w:qFormat/>
    <w:uiPriority w:val="99"/>
    <w:pPr>
      <w:tabs>
        <w:tab w:val="center" w:pos="4153"/>
        <w:tab w:val="right" w:pos="8306"/>
      </w:tabs>
      <w:snapToGrid w:val="0"/>
      <w:jc w:val="left"/>
    </w:pPr>
    <w:rPr>
      <w:sz w:val="18"/>
      <w:szCs w:val="18"/>
    </w:rPr>
  </w:style>
  <w:style w:type="paragraph" w:styleId="5">
    <w:name w:val="header"/>
    <w:basedOn w:val="1"/>
    <w:link w:val="13"/>
    <w:unhideWhenUsed/>
    <w:qFormat/>
    <w:uiPriority w:val="99"/>
    <w:pPr>
      <w:tabs>
        <w:tab w:val="center" w:pos="4153"/>
        <w:tab w:val="right" w:pos="8306"/>
      </w:tabs>
      <w:snapToGrid w:val="0"/>
      <w:jc w:val="center"/>
    </w:pPr>
    <w:rPr>
      <w:sz w:val="18"/>
      <w:szCs w:val="18"/>
    </w:rPr>
  </w:style>
  <w:style w:type="paragraph" w:styleId="6">
    <w:name w:val="Normal (Web)"/>
    <w:basedOn w:val="1"/>
    <w:semiHidden/>
    <w:unhideWhenUsed/>
    <w:qFormat/>
    <w:uiPriority w:val="99"/>
    <w:pPr>
      <w:spacing w:before="0" w:beforeAutospacing="1" w:after="0" w:afterAutospacing="1"/>
      <w:ind w:left="0" w:right="0"/>
      <w:jc w:val="left"/>
    </w:pPr>
    <w:rPr>
      <w:kern w:val="0"/>
      <w:sz w:val="24"/>
      <w:lang w:val="en-US" w:eastAsia="zh-CN" w:bidi="ar"/>
    </w:rPr>
  </w:style>
  <w:style w:type="paragraph" w:styleId="7">
    <w:name w:val="Body Text First Indent"/>
    <w:basedOn w:val="2"/>
    <w:link w:val="12"/>
    <w:qFormat/>
    <w:uiPriority w:val="0"/>
    <w:pPr>
      <w:ind w:firstLine="420" w:firstLineChars="100"/>
    </w:pPr>
    <w:rPr>
      <w:szCs w:val="24"/>
    </w:rPr>
  </w:style>
  <w:style w:type="table" w:styleId="9">
    <w:name w:val="Table Grid"/>
    <w:basedOn w:val="8"/>
    <w:qFormat/>
    <w:uiPriority w:val="39"/>
    <w:rPr>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customStyle="1" w:styleId="11">
    <w:name w:val="正文文本 字符"/>
    <w:basedOn w:val="10"/>
    <w:link w:val="2"/>
    <w:semiHidden/>
    <w:qFormat/>
    <w:uiPriority w:val="99"/>
  </w:style>
  <w:style w:type="character" w:customStyle="1" w:styleId="12">
    <w:name w:val="正文文本首行缩进 字符"/>
    <w:basedOn w:val="11"/>
    <w:link w:val="7"/>
    <w:qFormat/>
    <w:uiPriority w:val="0"/>
    <w:rPr>
      <w:szCs w:val="24"/>
    </w:rPr>
  </w:style>
  <w:style w:type="character" w:customStyle="1" w:styleId="13">
    <w:name w:val="页眉 字符"/>
    <w:basedOn w:val="10"/>
    <w:link w:val="5"/>
    <w:qFormat/>
    <w:uiPriority w:val="99"/>
    <w:rPr>
      <w:sz w:val="18"/>
      <w:szCs w:val="18"/>
    </w:rPr>
  </w:style>
  <w:style w:type="character" w:customStyle="1" w:styleId="14">
    <w:name w:val="页脚 字符"/>
    <w:basedOn w:val="10"/>
    <w:link w:val="4"/>
    <w:qFormat/>
    <w:uiPriority w:val="99"/>
    <w:rPr>
      <w:sz w:val="18"/>
      <w:szCs w:val="18"/>
    </w:rPr>
  </w:style>
  <w:style w:type="paragraph" w:styleId="15">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5</Pages>
  <Words>2819</Words>
  <Characters>2867</Characters>
  <Lines>98</Lines>
  <Paragraphs>56</Paragraphs>
  <TotalTime>0</TotalTime>
  <ScaleCrop>false</ScaleCrop>
  <LinksUpToDate>false</LinksUpToDate>
  <CharactersWithSpaces>2871</CharactersWithSpaces>
  <Application>WPS Office_11.8.2.8361_F1E327BC-269C-435d-A152-05C5408002CA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2023-10-11T03:31:00Z</dcterms:created>
  <dc:creator>朱湘黔</dc:creator>
  <cp:lastModifiedBy>wk</cp:lastModifiedBy>
  <cp:lastPrinted>2023-10-11T20:00:00Z</cp:lastPrinted>
  <dcterms:modified xsi:type="dcterms:W3CDTF">2023-12-11T07:25:26Z</dcterms:modified>
  <dc:title>附件</dc:title>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2052-11.8.2.8361</vt:lpwstr>
  </property>
  <property fmtid="{D5CDD505-2E9C-101B-9397-08002B2CF9AE}" pid="3" name="ICV">
    <vt:lpwstr>F2ADA8C64CF042E1A73D9951E153538A_12</vt:lpwstr>
  </property>
</Properties>
</file>