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黑体" w:hAnsi="黑体" w:eastAsia="黑体" w:cs="黑体"/>
          <w:b w:val="0"/>
          <w:bCs w:val="0"/>
          <w:kern w:val="0"/>
          <w:sz w:val="32"/>
          <w:szCs w:val="32"/>
          <w:lang w:val="en-US" w:eastAsia="zh-CN" w:bidi="ar-SA"/>
        </w:rPr>
      </w:pPr>
      <w:r>
        <w:rPr>
          <w:rFonts w:hint="eastAsia" w:ascii="黑体" w:hAnsi="黑体" w:eastAsia="黑体" w:cs="黑体"/>
          <w:b w:val="0"/>
          <w:bCs w:val="0"/>
          <w:kern w:val="0"/>
          <w:sz w:val="32"/>
          <w:szCs w:val="32"/>
          <w:lang w:val="en-US" w:eastAsia="zh-CN" w:bidi="ar-SA"/>
        </w:rPr>
        <w:t>附件</w:t>
      </w:r>
      <w:bookmarkStart w:id="0" w:name="_GoBack"/>
      <w:bookmarkEnd w:id="0"/>
    </w:p>
    <w:p>
      <w:pPr>
        <w:jc w:val="center"/>
        <w:rPr>
          <w:rFonts w:hint="eastAsia" w:ascii="宋体" w:hAnsi="宋体" w:eastAsia="宋体" w:cs="宋体"/>
          <w:b/>
          <w:bCs/>
          <w:kern w:val="0"/>
          <w:sz w:val="44"/>
          <w:szCs w:val="44"/>
          <w:lang w:val="en-US" w:eastAsia="zh-CN" w:bidi="ar-SA"/>
        </w:rPr>
      </w:pPr>
      <w:r>
        <w:rPr>
          <w:rFonts w:hint="eastAsia" w:ascii="宋体" w:hAnsi="宋体" w:eastAsia="宋体" w:cs="宋体"/>
          <w:b/>
          <w:bCs/>
          <w:kern w:val="0"/>
          <w:sz w:val="44"/>
          <w:szCs w:val="44"/>
          <w:lang w:val="en-US" w:eastAsia="zh-CN" w:bidi="ar-SA"/>
        </w:rPr>
        <w:t>《深圳市推进全过程工程咨询服务发展的实施意见（征求意见稿）》</w:t>
      </w:r>
    </w:p>
    <w:p>
      <w:pPr>
        <w:jc w:val="center"/>
        <w:rPr>
          <w:rFonts w:hint="eastAsia" w:ascii="宋体" w:hAnsi="宋体" w:eastAsia="宋体" w:cs="宋体"/>
          <w:b/>
          <w:bCs/>
          <w:kern w:val="0"/>
          <w:sz w:val="44"/>
          <w:szCs w:val="44"/>
          <w:lang w:val="en-US" w:eastAsia="zh-CN" w:bidi="ar-SA"/>
        </w:rPr>
      </w:pPr>
      <w:r>
        <w:rPr>
          <w:rFonts w:hint="eastAsia" w:ascii="宋体" w:hAnsi="宋体" w:eastAsia="宋体" w:cs="宋体"/>
          <w:b/>
          <w:bCs/>
          <w:kern w:val="0"/>
          <w:sz w:val="44"/>
          <w:szCs w:val="44"/>
          <w:lang w:val="en-US" w:eastAsia="zh-CN" w:bidi="ar-SA"/>
        </w:rPr>
        <w:t>公开征集意见采纳情况一览表</w:t>
      </w:r>
    </w:p>
    <w:p>
      <w:pPr>
        <w:rPr>
          <w:rFonts w:ascii="宋体" w:hAnsi="宋体" w:eastAsia="宋体"/>
          <w:sz w:val="24"/>
          <w:szCs w:val="24"/>
        </w:rPr>
      </w:pPr>
      <w:r>
        <w:rPr>
          <w:rFonts w:hint="eastAsia" w:ascii="宋体" w:hAnsi="宋体" w:eastAsia="宋体"/>
          <w:sz w:val="24"/>
          <w:szCs w:val="24"/>
        </w:rPr>
        <w:t>说明：共回收反馈意见</w:t>
      </w:r>
      <w:r>
        <w:rPr>
          <w:rFonts w:hint="eastAsia" w:ascii="宋体" w:hAnsi="宋体" w:eastAsia="宋体"/>
          <w:sz w:val="24"/>
          <w:szCs w:val="24"/>
          <w:lang w:val="en-US" w:eastAsia="zh-CN"/>
        </w:rPr>
        <w:t>10</w:t>
      </w:r>
      <w:r>
        <w:rPr>
          <w:rFonts w:ascii="宋体" w:hAnsi="宋体" w:eastAsia="宋体"/>
          <w:sz w:val="24"/>
          <w:szCs w:val="24"/>
        </w:rPr>
        <w:t>条</w:t>
      </w:r>
      <w:r>
        <w:rPr>
          <w:rFonts w:hint="eastAsia" w:ascii="宋体" w:hAnsi="宋体" w:eastAsia="宋体"/>
          <w:sz w:val="24"/>
          <w:szCs w:val="24"/>
        </w:rPr>
        <w:t>，</w:t>
      </w:r>
      <w:r>
        <w:rPr>
          <w:rFonts w:hint="eastAsia" w:ascii="宋体" w:hAnsi="宋体" w:eastAsia="宋体"/>
          <w:sz w:val="24"/>
          <w:szCs w:val="24"/>
          <w:lang w:val="en-US" w:eastAsia="zh-CN"/>
        </w:rPr>
        <w:t>采纳1条，不</w:t>
      </w:r>
      <w:r>
        <w:rPr>
          <w:rFonts w:ascii="宋体" w:hAnsi="宋体" w:eastAsia="宋体"/>
          <w:sz w:val="24"/>
          <w:szCs w:val="24"/>
        </w:rPr>
        <w:t>采纳</w:t>
      </w:r>
      <w:r>
        <w:rPr>
          <w:rFonts w:hint="eastAsia" w:ascii="宋体" w:hAnsi="宋体" w:eastAsia="宋体"/>
          <w:sz w:val="24"/>
          <w:szCs w:val="24"/>
          <w:lang w:val="en-US" w:eastAsia="zh-CN"/>
        </w:rPr>
        <w:t>1条，解释说明8条</w:t>
      </w:r>
      <w:r>
        <w:rPr>
          <w:rFonts w:ascii="宋体" w:hAnsi="宋体" w:eastAsia="宋体"/>
          <w:sz w:val="24"/>
          <w:szCs w:val="24"/>
        </w:rPr>
        <w:t>。</w:t>
      </w:r>
    </w:p>
    <w:tbl>
      <w:tblPr>
        <w:tblStyle w:val="7"/>
        <w:tblW w:w="142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
      <w:tblGrid>
        <w:gridCol w:w="689"/>
        <w:gridCol w:w="1436"/>
        <w:gridCol w:w="5772"/>
        <w:gridCol w:w="1065"/>
        <w:gridCol w:w="52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Ex>
        <w:trPr>
          <w:trHeight w:val="616" w:hRule="atLeast"/>
        </w:trPr>
        <w:tc>
          <w:tcPr>
            <w:tcW w:w="6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eastAsia="宋体"/>
                <w:b/>
                <w:bCs/>
                <w:sz w:val="24"/>
                <w:szCs w:val="24"/>
              </w:rPr>
            </w:pPr>
            <w:r>
              <w:rPr>
                <w:rFonts w:hint="eastAsia" w:ascii="宋体" w:hAnsi="宋体" w:eastAsia="宋体"/>
                <w:b/>
                <w:bCs/>
                <w:sz w:val="24"/>
                <w:szCs w:val="24"/>
              </w:rPr>
              <w:t>序号</w:t>
            </w:r>
          </w:p>
        </w:tc>
        <w:tc>
          <w:tcPr>
            <w:tcW w:w="1436"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b/>
                <w:bCs/>
                <w:sz w:val="24"/>
                <w:szCs w:val="24"/>
                <w:lang w:val="en-US" w:eastAsia="zh-CN"/>
              </w:rPr>
            </w:pPr>
            <w:r>
              <w:rPr>
                <w:rFonts w:hint="eastAsia" w:ascii="宋体" w:hAnsi="宋体" w:eastAsia="宋体"/>
                <w:b/>
                <w:bCs/>
                <w:sz w:val="24"/>
                <w:szCs w:val="24"/>
              </w:rPr>
              <w:t>单位</w:t>
            </w:r>
            <w:r>
              <w:rPr>
                <w:rFonts w:hint="eastAsia" w:ascii="宋体" w:hAnsi="宋体" w:eastAsia="宋体"/>
                <w:b/>
                <w:bCs/>
                <w:sz w:val="24"/>
                <w:szCs w:val="24"/>
                <w:lang w:val="en-US" w:eastAsia="zh-CN"/>
              </w:rPr>
              <w:t>或个人</w:t>
            </w:r>
          </w:p>
        </w:tc>
        <w:tc>
          <w:tcPr>
            <w:tcW w:w="5772"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eastAsia="宋体"/>
                <w:b/>
                <w:bCs/>
                <w:sz w:val="24"/>
                <w:szCs w:val="24"/>
              </w:rPr>
            </w:pPr>
            <w:r>
              <w:rPr>
                <w:rFonts w:hint="eastAsia" w:ascii="宋体" w:hAnsi="宋体" w:eastAsia="宋体"/>
                <w:b/>
                <w:bCs/>
                <w:sz w:val="24"/>
                <w:szCs w:val="24"/>
              </w:rPr>
              <w:t>意见</w:t>
            </w:r>
          </w:p>
        </w:tc>
        <w:tc>
          <w:tcPr>
            <w:tcW w:w="1065"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eastAsia="宋体"/>
                <w:b/>
                <w:bCs/>
                <w:sz w:val="24"/>
                <w:szCs w:val="24"/>
              </w:rPr>
            </w:pPr>
            <w:r>
              <w:rPr>
                <w:rFonts w:hint="eastAsia" w:ascii="宋体" w:hAnsi="宋体" w:eastAsia="宋体"/>
                <w:b/>
                <w:bCs/>
                <w:sz w:val="24"/>
                <w:szCs w:val="24"/>
              </w:rPr>
              <w:t>采纳情况</w:t>
            </w:r>
          </w:p>
        </w:tc>
        <w:tc>
          <w:tcPr>
            <w:tcW w:w="525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b/>
                <w:bCs/>
                <w:sz w:val="24"/>
                <w:szCs w:val="24"/>
                <w:lang w:val="en-US" w:eastAsia="zh-CN"/>
              </w:rPr>
            </w:pPr>
            <w:r>
              <w:rPr>
                <w:rFonts w:hint="eastAsia" w:ascii="宋体" w:hAnsi="宋体" w:eastAsia="宋体"/>
                <w:b/>
                <w:bCs/>
                <w:sz w:val="24"/>
                <w:szCs w:val="24"/>
                <w:lang w:val="en-US" w:eastAsia="zh-CN"/>
              </w:rPr>
              <w:t>采纳</w:t>
            </w:r>
            <w:r>
              <w:rPr>
                <w:rFonts w:hint="eastAsia" w:ascii="宋体" w:hAnsi="宋体" w:eastAsia="宋体"/>
                <w:b/>
                <w:bCs/>
                <w:sz w:val="24"/>
                <w:szCs w:val="24"/>
              </w:rPr>
              <w:t>情况</w:t>
            </w:r>
            <w:r>
              <w:rPr>
                <w:rFonts w:hint="eastAsia" w:ascii="宋体" w:hAnsi="宋体" w:eastAsia="宋体"/>
                <w:b/>
                <w:bCs/>
                <w:sz w:val="24"/>
                <w:szCs w:val="24"/>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Ex>
        <w:trPr>
          <w:trHeight w:val="616" w:hRule="atLeast"/>
        </w:trPr>
        <w:tc>
          <w:tcPr>
            <w:tcW w:w="6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1</w:t>
            </w:r>
          </w:p>
        </w:tc>
        <w:tc>
          <w:tcPr>
            <w:tcW w:w="14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val="0"/>
                <w:bCs w:val="0"/>
                <w:sz w:val="24"/>
                <w:szCs w:val="24"/>
              </w:rPr>
            </w:pPr>
            <w:r>
              <w:rPr>
                <w:rFonts w:hint="eastAsia" w:ascii="宋体" w:hAnsi="宋体" w:eastAsia="宋体"/>
                <w:b w:val="0"/>
                <w:bCs w:val="0"/>
                <w:sz w:val="24"/>
                <w:szCs w:val="24"/>
              </w:rPr>
              <w:t>社会企业和市民</w:t>
            </w:r>
          </w:p>
        </w:tc>
        <w:tc>
          <w:tcPr>
            <w:tcW w:w="5772" w:type="dxa"/>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after="0" w:afterLines="0" w:line="400" w:lineRule="exact"/>
              <w:ind w:left="0" w:leftChars="0" w:firstLine="0" w:firstLineChars="0"/>
              <w:textAlignment w:val="auto"/>
              <w:rPr>
                <w:rFonts w:hint="eastAsia" w:ascii="宋体" w:hAnsi="宋体" w:eastAsia="宋体"/>
                <w:b w:val="0"/>
                <w:bCs w:val="0"/>
                <w:sz w:val="24"/>
                <w:szCs w:val="24"/>
              </w:rPr>
            </w:pPr>
            <w:r>
              <w:rPr>
                <w:rFonts w:hint="eastAsia" w:ascii="宋体" w:hAnsi="宋体" w:eastAsia="宋体"/>
                <w:b w:val="0"/>
                <w:bCs w:val="0"/>
                <w:sz w:val="24"/>
                <w:szCs w:val="24"/>
                <w:lang w:eastAsia="zh-CN"/>
              </w:rPr>
              <w:t>（</w:t>
            </w:r>
            <w:r>
              <w:rPr>
                <w:rFonts w:hint="eastAsia" w:ascii="宋体" w:hAnsi="宋体" w:eastAsia="宋体"/>
                <w:b w:val="0"/>
                <w:bCs w:val="0"/>
                <w:sz w:val="24"/>
                <w:szCs w:val="24"/>
                <w:lang w:val="en-US" w:eastAsia="zh-CN"/>
              </w:rPr>
              <w:t>十六</w:t>
            </w:r>
            <w:r>
              <w:rPr>
                <w:rFonts w:hint="eastAsia" w:ascii="宋体" w:hAnsi="宋体" w:eastAsia="宋体"/>
                <w:b w:val="0"/>
                <w:bCs w:val="0"/>
                <w:sz w:val="24"/>
                <w:szCs w:val="24"/>
                <w:lang w:eastAsia="zh-CN"/>
              </w:rPr>
              <w:t>）</w:t>
            </w:r>
            <w:r>
              <w:rPr>
                <w:rFonts w:hint="eastAsia" w:ascii="宋体" w:hAnsi="宋体" w:eastAsia="宋体"/>
                <w:b w:val="0"/>
                <w:bCs w:val="0"/>
                <w:sz w:val="24"/>
                <w:szCs w:val="24"/>
              </w:rPr>
              <w:t>建议改为：提倡咨询单位大力开发和利用建筑信息模型（BIM）、大数据、物联网等现代信息技术和资源，搭建企业级和项目级的现代信息化协同平台，开展BIM+全程过咨询业务，努力提高信息化管理与应用水平，招标时对同时具备BIM数字化能力的咨询企业进行适当倾斜，为开展全过程工程咨询服务提供保障。</w:t>
            </w:r>
          </w:p>
        </w:tc>
        <w:tc>
          <w:tcPr>
            <w:tcW w:w="106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采纳</w:t>
            </w:r>
          </w:p>
        </w:tc>
        <w:tc>
          <w:tcPr>
            <w:tcW w:w="5254" w:type="dxa"/>
            <w:vAlign w:val="center"/>
          </w:tcPr>
          <w:p>
            <w:pPr>
              <w:pStyle w:val="10"/>
              <w:spacing w:line="360" w:lineRule="auto"/>
              <w:ind w:left="0" w:leftChars="0" w:firstLine="0" w:firstLineChars="0"/>
              <w:outlineLvl w:val="2"/>
              <w:rPr>
                <w:rFonts w:hint="eastAsia" w:ascii="宋体" w:hAnsi="宋体" w:eastAsia="宋体"/>
                <w:b w:val="0"/>
                <w:bCs w:val="0"/>
                <w:sz w:val="24"/>
                <w:szCs w:val="24"/>
                <w:lang w:val="en-US" w:eastAsia="zh-CN"/>
              </w:rPr>
            </w:pPr>
            <w:r>
              <w:rPr>
                <w:rFonts w:hint="eastAsia" w:ascii="宋体" w:hAnsi="宋体" w:eastAsia="宋体" w:cstheme="minorBidi"/>
                <w:b w:val="0"/>
                <w:bCs w:val="0"/>
                <w:kern w:val="2"/>
                <w:sz w:val="24"/>
                <w:szCs w:val="24"/>
                <w:lang w:val="en-US" w:eastAsia="zh-CN" w:bidi="ar-SA"/>
              </w:rPr>
              <w:t>已将“（十六）大力建设现代信息化平台”部分内容改为：“提倡咨询单位大力开发和利用建筑信息模型（BIM）、大数据、物联网等现代信息技术和资源，搭建企业级和项目级的现代信息化协同平台，开展BIM+全程过咨询业务，努力提高信息化管理与应用水平，为开展全过程工程咨询服务提供保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Ex>
        <w:trPr>
          <w:trHeight w:val="616" w:hRule="atLeast"/>
        </w:trPr>
        <w:tc>
          <w:tcPr>
            <w:tcW w:w="6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2</w:t>
            </w:r>
          </w:p>
        </w:tc>
        <w:tc>
          <w:tcPr>
            <w:tcW w:w="14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val="0"/>
                <w:bCs w:val="0"/>
                <w:sz w:val="24"/>
                <w:szCs w:val="24"/>
              </w:rPr>
            </w:pPr>
            <w:r>
              <w:rPr>
                <w:rFonts w:hint="eastAsia" w:ascii="宋体" w:hAnsi="宋体" w:eastAsia="宋体"/>
                <w:b w:val="0"/>
                <w:bCs w:val="0"/>
                <w:sz w:val="24"/>
                <w:szCs w:val="24"/>
              </w:rPr>
              <w:t>社会企业和市民</w:t>
            </w:r>
          </w:p>
        </w:tc>
        <w:tc>
          <w:tcPr>
            <w:tcW w:w="5772" w:type="dxa"/>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after="0" w:afterLines="0" w:line="400" w:lineRule="exact"/>
              <w:ind w:left="0" w:leftChars="0" w:firstLine="0" w:firstLineChars="0"/>
              <w:textAlignment w:val="auto"/>
              <w:rPr>
                <w:rFonts w:hint="eastAsia" w:ascii="宋体" w:hAnsi="宋体" w:eastAsia="宋体"/>
                <w:b w:val="0"/>
                <w:bCs w:val="0"/>
                <w:sz w:val="24"/>
                <w:szCs w:val="24"/>
              </w:rPr>
            </w:pPr>
            <w:r>
              <w:rPr>
                <w:rFonts w:hint="eastAsia" w:ascii="宋体" w:hAnsi="宋体" w:eastAsia="宋体"/>
                <w:b w:val="0"/>
                <w:bCs w:val="0"/>
                <w:sz w:val="24"/>
                <w:szCs w:val="24"/>
              </w:rPr>
              <w:t>建议更严谨地表述或同步提出政府投资项目审批机制相应改革措施及改革时间表，方能保证落地。</w:t>
            </w:r>
          </w:p>
        </w:tc>
        <w:tc>
          <w:tcPr>
            <w:tcW w:w="106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解释</w:t>
            </w:r>
          </w:p>
        </w:tc>
        <w:tc>
          <w:tcPr>
            <w:tcW w:w="5254" w:type="dxa"/>
            <w:vAlign w:val="center"/>
          </w:tcPr>
          <w:p>
            <w:pPr>
              <w:keepNext w:val="0"/>
              <w:keepLines w:val="0"/>
              <w:pageBreakBefore w:val="0"/>
              <w:widowControl w:val="0"/>
              <w:numPr>
                <w:ilvl w:val="0"/>
                <w:numId w:val="1"/>
              </w:numPr>
              <w:kinsoku/>
              <w:wordWrap/>
              <w:overflowPunct/>
              <w:topLinePunct w:val="0"/>
              <w:autoSpaceDE/>
              <w:autoSpaceDN/>
              <w:bidi w:val="0"/>
              <w:adjustRightInd/>
              <w:snapToGrid/>
              <w:spacing w:line="400" w:lineRule="exact"/>
              <w:textAlignment w:val="auto"/>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政府投资项目审批机制改革相关措施超出本《实施意见》范围，且已经由相关部门正在落实并不断完善。</w:t>
            </w:r>
          </w:p>
          <w:p>
            <w:pPr>
              <w:keepNext w:val="0"/>
              <w:keepLines w:val="0"/>
              <w:pageBreakBefore w:val="0"/>
              <w:widowControl w:val="0"/>
              <w:numPr>
                <w:ilvl w:val="0"/>
                <w:numId w:val="1"/>
              </w:numPr>
              <w:kinsoku/>
              <w:wordWrap/>
              <w:overflowPunct/>
              <w:topLinePunct w:val="0"/>
              <w:autoSpaceDE/>
              <w:autoSpaceDN/>
              <w:bidi w:val="0"/>
              <w:adjustRightInd/>
              <w:snapToGrid/>
              <w:spacing w:line="400" w:lineRule="exact"/>
              <w:textAlignment w:val="auto"/>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本《实施意见》既适用于社会投资项目，也适用于政府投资项目。根据当前试点项目情况来看，政府投资项目数量较社会投资项目更多。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Ex>
        <w:trPr>
          <w:trHeight w:val="616" w:hRule="atLeast"/>
        </w:trPr>
        <w:tc>
          <w:tcPr>
            <w:tcW w:w="6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b w:val="0"/>
                <w:bCs w:val="0"/>
                <w:sz w:val="24"/>
                <w:szCs w:val="24"/>
                <w:lang w:val="en-US" w:eastAsia="zh-CN"/>
              </w:rPr>
            </w:pPr>
            <w:r>
              <w:rPr>
                <w:rFonts w:hint="eastAsia" w:ascii="宋体" w:hAnsi="宋体" w:eastAsia="宋体"/>
                <w:b w:val="0"/>
                <w:bCs w:val="0"/>
                <w:sz w:val="24"/>
                <w:szCs w:val="24"/>
                <w:lang w:val="en-US" w:eastAsia="zh-CN"/>
              </w:rPr>
              <w:t>3</w:t>
            </w:r>
          </w:p>
        </w:tc>
        <w:tc>
          <w:tcPr>
            <w:tcW w:w="14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bCs/>
                <w:sz w:val="24"/>
                <w:szCs w:val="24"/>
              </w:rPr>
            </w:pPr>
            <w:r>
              <w:rPr>
                <w:rFonts w:hint="eastAsia" w:ascii="宋体" w:hAnsi="宋体" w:eastAsia="宋体"/>
                <w:b w:val="0"/>
                <w:bCs w:val="0"/>
                <w:sz w:val="24"/>
                <w:szCs w:val="24"/>
              </w:rPr>
              <w:t>社会企业和市民</w:t>
            </w:r>
          </w:p>
        </w:tc>
        <w:tc>
          <w:tcPr>
            <w:tcW w:w="5772" w:type="dxa"/>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after="0" w:afterLines="0" w:line="400" w:lineRule="exact"/>
              <w:ind w:left="0" w:leftChars="0" w:firstLine="0" w:firstLineChars="0"/>
              <w:textAlignment w:val="auto"/>
              <w:rPr>
                <w:rFonts w:hint="eastAsia" w:ascii="宋体" w:hAnsi="宋体" w:eastAsia="宋体"/>
                <w:b w:val="0"/>
                <w:bCs w:val="0"/>
                <w:sz w:val="24"/>
                <w:szCs w:val="24"/>
              </w:rPr>
            </w:pPr>
            <w:r>
              <w:rPr>
                <w:rFonts w:hint="eastAsia" w:ascii="宋体" w:hAnsi="宋体" w:eastAsia="宋体"/>
                <w:b w:val="0"/>
                <w:bCs w:val="0"/>
                <w:sz w:val="24"/>
                <w:szCs w:val="24"/>
              </w:rPr>
              <w:t>要求政府投资和国有控股项目（控股比例51%以上）2025年起全部推行全过程工程咨询模式，至少应包括“项目管理+监理”模式。</w:t>
            </w:r>
          </w:p>
        </w:tc>
        <w:tc>
          <w:tcPr>
            <w:tcW w:w="106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val="0"/>
                <w:bCs w:val="0"/>
                <w:sz w:val="24"/>
                <w:szCs w:val="24"/>
              </w:rPr>
            </w:pPr>
            <w:r>
              <w:rPr>
                <w:rFonts w:hint="eastAsia" w:ascii="宋体" w:hAnsi="宋体" w:eastAsia="宋体"/>
                <w:b w:val="0"/>
                <w:bCs w:val="0"/>
                <w:sz w:val="24"/>
                <w:szCs w:val="24"/>
                <w:lang w:val="en-US" w:eastAsia="zh-CN"/>
              </w:rPr>
              <w:t>解释</w:t>
            </w:r>
          </w:p>
        </w:tc>
        <w:tc>
          <w:tcPr>
            <w:tcW w:w="5254" w:type="dxa"/>
            <w:vAlign w:val="center"/>
          </w:tcPr>
          <w:p>
            <w:pPr>
              <w:keepNext w:val="0"/>
              <w:keepLines w:val="0"/>
              <w:pageBreakBefore w:val="0"/>
              <w:widowControl w:val="0"/>
              <w:numPr>
                <w:ilvl w:val="0"/>
                <w:numId w:val="2"/>
              </w:numPr>
              <w:kinsoku/>
              <w:wordWrap/>
              <w:overflowPunct/>
              <w:topLinePunct w:val="0"/>
              <w:autoSpaceDE/>
              <w:autoSpaceDN/>
              <w:bidi w:val="0"/>
              <w:adjustRightInd/>
              <w:snapToGrid/>
              <w:spacing w:line="400" w:lineRule="exact"/>
              <w:textAlignment w:val="auto"/>
              <w:rPr>
                <w:rFonts w:hint="eastAsia" w:ascii="宋体" w:hAnsi="宋体" w:eastAsia="宋体"/>
                <w:b/>
                <w:bCs/>
                <w:sz w:val="24"/>
                <w:szCs w:val="24"/>
                <w:lang w:val="en-US" w:eastAsia="zh-CN"/>
              </w:rPr>
            </w:pPr>
            <w:r>
              <w:rPr>
                <w:rFonts w:hint="eastAsia" w:ascii="宋体" w:hAnsi="宋体" w:eastAsia="宋体"/>
                <w:b w:val="0"/>
                <w:bCs w:val="0"/>
                <w:sz w:val="24"/>
                <w:szCs w:val="24"/>
                <w:lang w:val="en-US" w:eastAsia="zh-CN"/>
              </w:rPr>
              <w:t>本《实施意见》已要求政府投资项目和国有企业投资项目优先引入全过程工程咨询服务。</w:t>
            </w:r>
          </w:p>
          <w:p>
            <w:pPr>
              <w:keepNext w:val="0"/>
              <w:keepLines w:val="0"/>
              <w:pageBreakBefore w:val="0"/>
              <w:widowControl w:val="0"/>
              <w:numPr>
                <w:ilvl w:val="0"/>
                <w:numId w:val="2"/>
              </w:numPr>
              <w:kinsoku/>
              <w:wordWrap/>
              <w:overflowPunct/>
              <w:topLinePunct w:val="0"/>
              <w:autoSpaceDE/>
              <w:autoSpaceDN/>
              <w:bidi w:val="0"/>
              <w:adjustRightInd/>
              <w:snapToGrid/>
              <w:spacing w:line="400" w:lineRule="exact"/>
              <w:textAlignment w:val="auto"/>
              <w:rPr>
                <w:rFonts w:hint="eastAsia" w:ascii="宋体" w:hAnsi="宋体" w:eastAsia="宋体"/>
                <w:b/>
                <w:bCs/>
                <w:sz w:val="24"/>
                <w:szCs w:val="24"/>
                <w:lang w:val="en-US" w:eastAsia="zh-CN"/>
              </w:rPr>
            </w:pPr>
            <w:r>
              <w:rPr>
                <w:rFonts w:hint="eastAsia" w:ascii="宋体" w:hAnsi="宋体" w:eastAsia="宋体"/>
                <w:b w:val="0"/>
                <w:bCs w:val="0"/>
                <w:sz w:val="24"/>
                <w:szCs w:val="24"/>
                <w:lang w:val="en-US" w:eastAsia="zh-CN"/>
              </w:rPr>
              <w:t>各种不同类别的项目根据自身的特点有不同的咨询服务要求，不宜强制要求政府投资和国有控股项目（控股比例51%以上）的所有项目必须实行全过程工程咨询模式且包括</w:t>
            </w:r>
            <w:r>
              <w:rPr>
                <w:rFonts w:hint="eastAsia" w:ascii="宋体" w:hAnsi="宋体" w:eastAsia="宋体"/>
                <w:b w:val="0"/>
                <w:bCs w:val="0"/>
                <w:sz w:val="24"/>
                <w:szCs w:val="24"/>
              </w:rPr>
              <w:t>“项目管理+监理”模式</w:t>
            </w:r>
            <w:r>
              <w:rPr>
                <w:rFonts w:hint="eastAsia" w:ascii="宋体" w:hAnsi="宋体" w:eastAsia="宋体"/>
                <w:b w:val="0"/>
                <w:bCs w:val="0"/>
                <w:sz w:val="24"/>
                <w:szCs w:val="24"/>
                <w:lang w:val="en-US" w:eastAsia="zh-CN"/>
              </w:rPr>
              <w:t>。如对于自身具有一定管理实力的建设单位，可自选模式以避免资源浪费。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Ex>
        <w:trPr>
          <w:trHeight w:val="616" w:hRule="atLeast"/>
        </w:trPr>
        <w:tc>
          <w:tcPr>
            <w:tcW w:w="6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b w:val="0"/>
                <w:bCs w:val="0"/>
                <w:sz w:val="24"/>
                <w:szCs w:val="24"/>
                <w:lang w:val="en-US" w:eastAsia="zh-CN"/>
              </w:rPr>
            </w:pPr>
            <w:r>
              <w:rPr>
                <w:rFonts w:hint="eastAsia" w:ascii="宋体" w:hAnsi="宋体" w:eastAsia="宋体"/>
                <w:b w:val="0"/>
                <w:bCs w:val="0"/>
                <w:sz w:val="24"/>
                <w:szCs w:val="24"/>
                <w:lang w:val="en-US" w:eastAsia="zh-CN"/>
              </w:rPr>
              <w:t>4</w:t>
            </w:r>
          </w:p>
        </w:tc>
        <w:tc>
          <w:tcPr>
            <w:tcW w:w="14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bCs/>
                <w:sz w:val="24"/>
                <w:szCs w:val="24"/>
              </w:rPr>
            </w:pPr>
            <w:r>
              <w:rPr>
                <w:rFonts w:hint="eastAsia" w:ascii="宋体" w:hAnsi="宋体" w:eastAsia="宋体"/>
                <w:b w:val="0"/>
                <w:bCs w:val="0"/>
                <w:sz w:val="24"/>
                <w:szCs w:val="24"/>
              </w:rPr>
              <w:t>社会企业和市民</w:t>
            </w:r>
          </w:p>
        </w:tc>
        <w:tc>
          <w:tcPr>
            <w:tcW w:w="5772" w:type="dxa"/>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after="0" w:afterLines="0" w:line="400" w:lineRule="exact"/>
              <w:ind w:left="0" w:leftChars="0" w:firstLine="0" w:firstLineChars="0"/>
              <w:textAlignment w:val="auto"/>
              <w:rPr>
                <w:rFonts w:hint="eastAsia" w:ascii="宋体" w:hAnsi="宋体" w:eastAsia="宋体"/>
                <w:b w:val="0"/>
                <w:bCs w:val="0"/>
                <w:sz w:val="24"/>
                <w:szCs w:val="24"/>
              </w:rPr>
            </w:pPr>
            <w:r>
              <w:rPr>
                <w:rFonts w:hint="eastAsia" w:ascii="宋体" w:hAnsi="宋体" w:eastAsia="宋体"/>
                <w:b w:val="0"/>
                <w:bCs w:val="0"/>
                <w:sz w:val="24"/>
                <w:szCs w:val="24"/>
              </w:rPr>
              <w:t>1、将“全过程工程咨询项目负责人”直接称为“总咨询师”</w:t>
            </w:r>
          </w:p>
          <w:p>
            <w:pPr>
              <w:pStyle w:val="2"/>
              <w:keepNext w:val="0"/>
              <w:keepLines w:val="0"/>
              <w:pageBreakBefore w:val="0"/>
              <w:widowControl w:val="0"/>
              <w:numPr>
                <w:ilvl w:val="0"/>
                <w:numId w:val="0"/>
              </w:numPr>
              <w:kinsoku/>
              <w:wordWrap/>
              <w:overflowPunct/>
              <w:topLinePunct w:val="0"/>
              <w:autoSpaceDE/>
              <w:autoSpaceDN/>
              <w:bidi w:val="0"/>
              <w:adjustRightInd/>
              <w:snapToGrid/>
              <w:spacing w:after="0" w:afterLines="0" w:line="400" w:lineRule="exact"/>
              <w:ind w:left="0" w:leftChars="0" w:firstLine="0" w:firstLineChars="0"/>
              <w:textAlignment w:val="auto"/>
              <w:rPr>
                <w:rFonts w:hint="eastAsia" w:ascii="宋体" w:hAnsi="宋体" w:eastAsia="宋体"/>
                <w:b w:val="0"/>
                <w:bCs w:val="0"/>
                <w:sz w:val="24"/>
                <w:szCs w:val="24"/>
              </w:rPr>
            </w:pPr>
            <w:r>
              <w:rPr>
                <w:rFonts w:hint="eastAsia" w:ascii="宋体" w:hAnsi="宋体" w:eastAsia="宋体"/>
                <w:b w:val="0"/>
                <w:bCs w:val="0"/>
                <w:sz w:val="24"/>
                <w:szCs w:val="24"/>
              </w:rPr>
              <w:t>2、建议此处取消“高级职称”要求。</w:t>
            </w:r>
          </w:p>
        </w:tc>
        <w:tc>
          <w:tcPr>
            <w:tcW w:w="106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val="0"/>
                <w:bCs w:val="0"/>
                <w:sz w:val="24"/>
                <w:szCs w:val="24"/>
              </w:rPr>
            </w:pPr>
            <w:r>
              <w:rPr>
                <w:rFonts w:hint="eastAsia" w:ascii="宋体" w:hAnsi="宋体" w:eastAsia="宋体"/>
                <w:b w:val="0"/>
                <w:bCs w:val="0"/>
                <w:sz w:val="24"/>
                <w:szCs w:val="24"/>
                <w:lang w:val="en-US" w:eastAsia="zh-CN"/>
              </w:rPr>
              <w:t>解释</w:t>
            </w:r>
          </w:p>
        </w:tc>
        <w:tc>
          <w:tcPr>
            <w:tcW w:w="5254"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default" w:ascii="宋体" w:hAnsi="宋体" w:eastAsia="宋体"/>
                <w:b/>
                <w:bCs/>
                <w:sz w:val="24"/>
                <w:szCs w:val="24"/>
                <w:lang w:val="en-US" w:eastAsia="zh-CN"/>
              </w:rPr>
            </w:pPr>
            <w:r>
              <w:rPr>
                <w:rFonts w:hint="eastAsia" w:ascii="宋体" w:hAnsi="宋体" w:eastAsia="宋体"/>
                <w:b w:val="0"/>
                <w:bCs w:val="0"/>
                <w:sz w:val="24"/>
                <w:szCs w:val="24"/>
                <w:lang w:val="en-US" w:eastAsia="zh-CN"/>
              </w:rPr>
              <w:t>本《实施意见》与《国家发展改革委 住房城乡建设部关于推进全过程工程咨询服务发展的指导意见》（发改投资规[2019]515号）对项目负责人的称谓及资格要求保持一致。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Ex>
        <w:trPr>
          <w:trHeight w:val="616" w:hRule="atLeast"/>
        </w:trPr>
        <w:tc>
          <w:tcPr>
            <w:tcW w:w="6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b w:val="0"/>
                <w:bCs w:val="0"/>
                <w:sz w:val="24"/>
                <w:szCs w:val="24"/>
                <w:lang w:val="en-US" w:eastAsia="zh-CN"/>
              </w:rPr>
            </w:pPr>
            <w:r>
              <w:rPr>
                <w:rFonts w:hint="eastAsia" w:ascii="宋体" w:hAnsi="宋体" w:eastAsia="宋体"/>
                <w:b w:val="0"/>
                <w:bCs w:val="0"/>
                <w:sz w:val="24"/>
                <w:szCs w:val="24"/>
                <w:lang w:val="en-US" w:eastAsia="zh-CN"/>
              </w:rPr>
              <w:t>5</w:t>
            </w:r>
          </w:p>
        </w:tc>
        <w:tc>
          <w:tcPr>
            <w:tcW w:w="14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bCs/>
                <w:sz w:val="24"/>
                <w:szCs w:val="24"/>
              </w:rPr>
            </w:pPr>
            <w:r>
              <w:rPr>
                <w:rFonts w:hint="eastAsia" w:ascii="宋体" w:hAnsi="宋体" w:eastAsia="宋体"/>
                <w:b w:val="0"/>
                <w:bCs w:val="0"/>
                <w:sz w:val="24"/>
                <w:szCs w:val="24"/>
              </w:rPr>
              <w:t>社会企业和市民</w:t>
            </w:r>
          </w:p>
        </w:tc>
        <w:tc>
          <w:tcPr>
            <w:tcW w:w="5772" w:type="dxa"/>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after="0" w:afterLines="0" w:line="400" w:lineRule="exact"/>
              <w:ind w:left="0" w:leftChars="0" w:firstLine="0" w:firstLineChars="0"/>
              <w:textAlignment w:val="auto"/>
              <w:rPr>
                <w:rFonts w:hint="eastAsia" w:ascii="宋体" w:hAnsi="宋体" w:eastAsia="宋体"/>
                <w:b w:val="0"/>
                <w:bCs w:val="0"/>
                <w:sz w:val="24"/>
                <w:szCs w:val="24"/>
              </w:rPr>
            </w:pPr>
            <w:r>
              <w:rPr>
                <w:rFonts w:hint="eastAsia" w:ascii="宋体" w:hAnsi="宋体" w:eastAsia="宋体"/>
                <w:b w:val="0"/>
                <w:bCs w:val="0"/>
                <w:sz w:val="24"/>
                <w:szCs w:val="24"/>
              </w:rPr>
              <w:t>尽快修改“省统表”竣工验收报告模板，将总咨询师在竣工验收报告中体现，作为业绩证明。</w:t>
            </w:r>
          </w:p>
        </w:tc>
        <w:tc>
          <w:tcPr>
            <w:tcW w:w="106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解释</w:t>
            </w:r>
          </w:p>
        </w:tc>
        <w:tc>
          <w:tcPr>
            <w:tcW w:w="5254"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宋体" w:hAnsi="宋体" w:eastAsia="宋体"/>
                <w:b/>
                <w:bCs/>
                <w:sz w:val="24"/>
                <w:szCs w:val="24"/>
                <w:lang w:val="en-US" w:eastAsia="zh-CN"/>
              </w:rPr>
            </w:pPr>
            <w:r>
              <w:rPr>
                <w:rFonts w:hint="eastAsia" w:ascii="宋体" w:hAnsi="宋体" w:eastAsia="宋体"/>
                <w:b w:val="0"/>
                <w:bCs w:val="0"/>
                <w:sz w:val="24"/>
                <w:szCs w:val="24"/>
                <w:lang w:val="en-US" w:eastAsia="zh-CN"/>
              </w:rPr>
              <w:t>关于“省统表”的修订，需由上级行业主管部门决定，我局将积极反映此类诉求。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Ex>
        <w:trPr>
          <w:trHeight w:val="616" w:hRule="atLeast"/>
        </w:trPr>
        <w:tc>
          <w:tcPr>
            <w:tcW w:w="6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b w:val="0"/>
                <w:bCs w:val="0"/>
                <w:sz w:val="24"/>
                <w:szCs w:val="24"/>
                <w:lang w:val="en-US" w:eastAsia="zh-CN"/>
              </w:rPr>
            </w:pPr>
            <w:r>
              <w:rPr>
                <w:rFonts w:hint="eastAsia" w:ascii="宋体" w:hAnsi="宋体" w:eastAsia="宋体"/>
                <w:b w:val="0"/>
                <w:bCs w:val="0"/>
                <w:sz w:val="24"/>
                <w:szCs w:val="24"/>
                <w:lang w:val="en-US" w:eastAsia="zh-CN"/>
              </w:rPr>
              <w:t>6</w:t>
            </w:r>
          </w:p>
        </w:tc>
        <w:tc>
          <w:tcPr>
            <w:tcW w:w="14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bCs/>
                <w:sz w:val="24"/>
                <w:szCs w:val="24"/>
              </w:rPr>
            </w:pPr>
            <w:r>
              <w:rPr>
                <w:rFonts w:hint="eastAsia" w:ascii="宋体" w:hAnsi="宋体" w:eastAsia="宋体"/>
                <w:b w:val="0"/>
                <w:bCs w:val="0"/>
                <w:sz w:val="24"/>
                <w:szCs w:val="24"/>
              </w:rPr>
              <w:t>社会企业和市民</w:t>
            </w:r>
          </w:p>
        </w:tc>
        <w:tc>
          <w:tcPr>
            <w:tcW w:w="5772" w:type="dxa"/>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after="0" w:afterLines="0" w:line="400" w:lineRule="exact"/>
              <w:ind w:left="0" w:leftChars="0" w:firstLine="0" w:firstLineChars="0"/>
              <w:textAlignment w:val="auto"/>
              <w:rPr>
                <w:rFonts w:hint="eastAsia" w:ascii="宋体" w:hAnsi="宋体" w:eastAsia="宋体"/>
                <w:b w:val="0"/>
                <w:bCs w:val="0"/>
                <w:sz w:val="24"/>
                <w:szCs w:val="24"/>
              </w:rPr>
            </w:pPr>
            <w:r>
              <w:rPr>
                <w:rFonts w:hint="eastAsia" w:ascii="宋体" w:hAnsi="宋体" w:eastAsia="宋体"/>
                <w:b w:val="0"/>
                <w:bCs w:val="0"/>
                <w:sz w:val="24"/>
                <w:szCs w:val="24"/>
              </w:rPr>
              <w:t>按人工成本加酬金方式计取的，人均年产值不得低于行业中等偏上水平。</w:t>
            </w:r>
          </w:p>
        </w:tc>
        <w:tc>
          <w:tcPr>
            <w:tcW w:w="106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解释</w:t>
            </w:r>
          </w:p>
        </w:tc>
        <w:tc>
          <w:tcPr>
            <w:tcW w:w="5254"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b/>
                <w:bCs/>
                <w:sz w:val="24"/>
                <w:szCs w:val="24"/>
                <w:lang w:val="en-US" w:eastAsia="zh-CN"/>
              </w:rPr>
            </w:pPr>
            <w:r>
              <w:rPr>
                <w:rFonts w:hint="eastAsia" w:ascii="宋体" w:hAnsi="宋体" w:eastAsia="宋体"/>
                <w:b w:val="0"/>
                <w:bCs w:val="0"/>
                <w:sz w:val="24"/>
                <w:szCs w:val="24"/>
                <w:lang w:val="en-US" w:eastAsia="zh-CN"/>
              </w:rPr>
              <w:t>具体酬金计取方式可在招标文件和合同中约定。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Ex>
        <w:trPr>
          <w:trHeight w:val="616" w:hRule="atLeast"/>
        </w:trPr>
        <w:tc>
          <w:tcPr>
            <w:tcW w:w="6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b w:val="0"/>
                <w:bCs w:val="0"/>
                <w:sz w:val="24"/>
                <w:szCs w:val="24"/>
                <w:lang w:val="en-US" w:eastAsia="zh-CN"/>
              </w:rPr>
            </w:pPr>
            <w:r>
              <w:rPr>
                <w:rFonts w:hint="eastAsia" w:ascii="宋体" w:hAnsi="宋体" w:eastAsia="宋体"/>
                <w:b w:val="0"/>
                <w:bCs w:val="0"/>
                <w:sz w:val="24"/>
                <w:szCs w:val="24"/>
                <w:lang w:val="en-US" w:eastAsia="zh-CN"/>
              </w:rPr>
              <w:t>7</w:t>
            </w:r>
          </w:p>
        </w:tc>
        <w:tc>
          <w:tcPr>
            <w:tcW w:w="14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bCs/>
                <w:sz w:val="24"/>
                <w:szCs w:val="24"/>
              </w:rPr>
            </w:pPr>
            <w:r>
              <w:rPr>
                <w:rFonts w:hint="eastAsia" w:ascii="宋体" w:hAnsi="宋体" w:eastAsia="宋体"/>
                <w:b w:val="0"/>
                <w:bCs w:val="0"/>
                <w:sz w:val="24"/>
                <w:szCs w:val="24"/>
              </w:rPr>
              <w:t>社会企业和市民</w:t>
            </w:r>
          </w:p>
        </w:tc>
        <w:tc>
          <w:tcPr>
            <w:tcW w:w="5772" w:type="dxa"/>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after="0" w:afterLines="0" w:line="400" w:lineRule="exact"/>
              <w:ind w:left="0" w:leftChars="0" w:firstLine="0" w:firstLineChars="0"/>
              <w:textAlignment w:val="auto"/>
              <w:rPr>
                <w:rFonts w:hint="eastAsia" w:ascii="宋体" w:hAnsi="宋体" w:eastAsia="宋体"/>
                <w:b w:val="0"/>
                <w:bCs w:val="0"/>
                <w:sz w:val="24"/>
                <w:szCs w:val="24"/>
              </w:rPr>
            </w:pPr>
            <w:r>
              <w:rPr>
                <w:rFonts w:hint="eastAsia" w:ascii="宋体" w:hAnsi="宋体" w:eastAsia="宋体"/>
                <w:b w:val="0"/>
                <w:bCs w:val="0"/>
                <w:sz w:val="24"/>
                <w:szCs w:val="24"/>
              </w:rPr>
              <w:t>增加重整工程咨询（监理）行业内容。</w:t>
            </w:r>
          </w:p>
        </w:tc>
        <w:tc>
          <w:tcPr>
            <w:tcW w:w="106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解释</w:t>
            </w:r>
          </w:p>
        </w:tc>
        <w:tc>
          <w:tcPr>
            <w:tcW w:w="5254" w:type="dxa"/>
            <w:vAlign w:val="center"/>
          </w:tcPr>
          <w:p>
            <w:pPr>
              <w:keepNext w:val="0"/>
              <w:keepLines w:val="0"/>
              <w:pageBreakBefore w:val="0"/>
              <w:widowControl w:val="0"/>
              <w:numPr>
                <w:ilvl w:val="0"/>
                <w:numId w:val="3"/>
              </w:numPr>
              <w:kinsoku/>
              <w:wordWrap/>
              <w:overflowPunct/>
              <w:topLinePunct w:val="0"/>
              <w:autoSpaceDE/>
              <w:autoSpaceDN/>
              <w:bidi w:val="0"/>
              <w:adjustRightInd/>
              <w:snapToGrid/>
              <w:spacing w:line="400" w:lineRule="exact"/>
              <w:textAlignment w:val="auto"/>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本《实施意见》“二、主要任务（十四）鼓励发展多种形式的全过程工程咨询服务模式”中已鼓励工程咨询单位根据自身的优势和特点，采取联合经营、并购重组等方式积极延伸服务内容，提供全方位的全过程工程咨询服务。</w:t>
            </w:r>
          </w:p>
          <w:p>
            <w:pPr>
              <w:keepNext w:val="0"/>
              <w:keepLines w:val="0"/>
              <w:pageBreakBefore w:val="0"/>
              <w:widowControl w:val="0"/>
              <w:numPr>
                <w:ilvl w:val="0"/>
                <w:numId w:val="3"/>
              </w:numPr>
              <w:kinsoku/>
              <w:wordWrap/>
              <w:overflowPunct/>
              <w:topLinePunct w:val="0"/>
              <w:autoSpaceDE/>
              <w:autoSpaceDN/>
              <w:bidi w:val="0"/>
              <w:adjustRightInd/>
              <w:snapToGrid/>
              <w:spacing w:line="400" w:lineRule="exact"/>
              <w:textAlignment w:val="auto"/>
              <w:rPr>
                <w:rFonts w:hint="eastAsia" w:ascii="宋体" w:hAnsi="宋体" w:eastAsia="宋体"/>
                <w:b w:val="0"/>
                <w:bCs w:val="0"/>
                <w:sz w:val="24"/>
                <w:szCs w:val="24"/>
                <w:lang w:val="en-US" w:eastAsia="zh-CN"/>
              </w:rPr>
            </w:pPr>
            <w:r>
              <w:rPr>
                <w:rFonts w:hint="eastAsia" w:ascii="宋体" w:hAnsi="宋体" w:eastAsia="宋体"/>
                <w:b w:val="0"/>
                <w:bCs w:val="0"/>
                <w:sz w:val="24"/>
                <w:szCs w:val="24"/>
              </w:rPr>
              <w:t>重整工程咨询（监理）行业</w:t>
            </w:r>
            <w:r>
              <w:rPr>
                <w:rFonts w:hint="eastAsia" w:ascii="宋体" w:hAnsi="宋体" w:eastAsia="宋体"/>
                <w:b w:val="0"/>
                <w:bCs w:val="0"/>
                <w:sz w:val="24"/>
                <w:szCs w:val="24"/>
                <w:lang w:val="en-US" w:eastAsia="zh-CN"/>
              </w:rPr>
              <w:t>相关内容超出了本《实施意见》范围。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Ex>
        <w:trPr>
          <w:trHeight w:val="616" w:hRule="atLeast"/>
        </w:trPr>
        <w:tc>
          <w:tcPr>
            <w:tcW w:w="6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b w:val="0"/>
                <w:bCs w:val="0"/>
                <w:sz w:val="24"/>
                <w:szCs w:val="24"/>
                <w:lang w:val="en-US" w:eastAsia="zh-CN"/>
              </w:rPr>
            </w:pPr>
            <w:r>
              <w:rPr>
                <w:rFonts w:hint="eastAsia" w:ascii="宋体" w:hAnsi="宋体" w:eastAsia="宋体"/>
                <w:b w:val="0"/>
                <w:bCs w:val="0"/>
                <w:sz w:val="24"/>
                <w:szCs w:val="24"/>
                <w:lang w:val="en-US" w:eastAsia="zh-CN"/>
              </w:rPr>
              <w:t>8</w:t>
            </w:r>
          </w:p>
        </w:tc>
        <w:tc>
          <w:tcPr>
            <w:tcW w:w="14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bCs/>
                <w:sz w:val="24"/>
                <w:szCs w:val="24"/>
              </w:rPr>
            </w:pPr>
            <w:r>
              <w:rPr>
                <w:rFonts w:hint="eastAsia" w:ascii="宋体" w:hAnsi="宋体" w:eastAsia="宋体"/>
                <w:b w:val="0"/>
                <w:bCs w:val="0"/>
                <w:sz w:val="24"/>
                <w:szCs w:val="24"/>
              </w:rPr>
              <w:t>社会企业和市民</w:t>
            </w:r>
          </w:p>
        </w:tc>
        <w:tc>
          <w:tcPr>
            <w:tcW w:w="5772" w:type="dxa"/>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after="0" w:afterLines="0" w:line="400" w:lineRule="exact"/>
              <w:ind w:left="0" w:leftChars="0" w:firstLine="0" w:firstLineChars="0"/>
              <w:textAlignment w:val="auto"/>
              <w:rPr>
                <w:rFonts w:hint="eastAsia" w:ascii="宋体" w:hAnsi="宋体" w:eastAsia="宋体"/>
                <w:b w:val="0"/>
                <w:bCs w:val="0"/>
                <w:sz w:val="24"/>
                <w:szCs w:val="24"/>
              </w:rPr>
            </w:pPr>
            <w:r>
              <w:rPr>
                <w:rFonts w:hint="eastAsia" w:ascii="宋体" w:hAnsi="宋体" w:eastAsia="宋体"/>
                <w:b w:val="0"/>
                <w:bCs w:val="0"/>
                <w:sz w:val="24"/>
                <w:szCs w:val="24"/>
              </w:rPr>
              <w:t>对具有企业级或项目级信息化平台的，招标阶段可适当加分。</w:t>
            </w:r>
          </w:p>
        </w:tc>
        <w:tc>
          <w:tcPr>
            <w:tcW w:w="106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解释</w:t>
            </w:r>
          </w:p>
        </w:tc>
        <w:tc>
          <w:tcPr>
            <w:tcW w:w="5254"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b/>
                <w:bCs/>
                <w:sz w:val="24"/>
                <w:szCs w:val="24"/>
                <w:lang w:val="en-US" w:eastAsia="zh-CN"/>
              </w:rPr>
            </w:pPr>
            <w:r>
              <w:rPr>
                <w:rFonts w:hint="eastAsia" w:ascii="宋体" w:hAnsi="宋体" w:eastAsia="宋体"/>
                <w:b w:val="0"/>
                <w:bCs w:val="0"/>
                <w:sz w:val="24"/>
                <w:szCs w:val="24"/>
                <w:lang w:val="en-US" w:eastAsia="zh-CN"/>
              </w:rPr>
              <w:t>招标人自主招标，可由招标人在招标文件中约定，不宜由实施意见规定投标加分项。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Ex>
        <w:trPr>
          <w:trHeight w:val="616" w:hRule="atLeast"/>
        </w:trPr>
        <w:tc>
          <w:tcPr>
            <w:tcW w:w="6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b w:val="0"/>
                <w:bCs w:val="0"/>
                <w:sz w:val="24"/>
                <w:szCs w:val="24"/>
                <w:lang w:val="en-US" w:eastAsia="zh-CN"/>
              </w:rPr>
            </w:pPr>
            <w:r>
              <w:rPr>
                <w:rFonts w:hint="eastAsia" w:ascii="宋体" w:hAnsi="宋体" w:eastAsia="宋体"/>
                <w:b w:val="0"/>
                <w:bCs w:val="0"/>
                <w:sz w:val="24"/>
                <w:szCs w:val="24"/>
                <w:lang w:val="en-US" w:eastAsia="zh-CN"/>
              </w:rPr>
              <w:t>9</w:t>
            </w:r>
          </w:p>
        </w:tc>
        <w:tc>
          <w:tcPr>
            <w:tcW w:w="14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bCs/>
                <w:sz w:val="24"/>
                <w:szCs w:val="24"/>
              </w:rPr>
            </w:pPr>
            <w:r>
              <w:rPr>
                <w:rFonts w:hint="eastAsia" w:ascii="宋体" w:hAnsi="宋体" w:eastAsia="宋体"/>
                <w:b w:val="0"/>
                <w:bCs w:val="0"/>
                <w:sz w:val="24"/>
                <w:szCs w:val="24"/>
              </w:rPr>
              <w:t>社会企业和市民</w:t>
            </w:r>
          </w:p>
        </w:tc>
        <w:tc>
          <w:tcPr>
            <w:tcW w:w="5772" w:type="dxa"/>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after="0" w:afterLines="0" w:line="400" w:lineRule="exact"/>
              <w:ind w:left="0" w:leftChars="0" w:firstLine="0" w:firstLineChars="0"/>
              <w:textAlignment w:val="auto"/>
              <w:rPr>
                <w:rFonts w:hint="eastAsia" w:ascii="宋体" w:hAnsi="宋体" w:eastAsia="宋体"/>
                <w:b w:val="0"/>
                <w:bCs w:val="0"/>
                <w:sz w:val="24"/>
                <w:szCs w:val="24"/>
              </w:rPr>
            </w:pPr>
            <w:r>
              <w:rPr>
                <w:rFonts w:hint="eastAsia" w:ascii="宋体" w:hAnsi="宋体" w:eastAsia="宋体"/>
                <w:b w:val="0"/>
                <w:bCs w:val="0"/>
                <w:sz w:val="24"/>
                <w:szCs w:val="24"/>
              </w:rPr>
              <w:t>鼓励我市投资咨询、勘察设计、造价咨询、监理等单位通过联合体方式或并购重组方式参与全过程工程咨询服务投标。采用并购重组方式投标的，并购重组前的企业和人员资质资格、业绩可作为并购重组以后的企业和人员资质资格、业绩使用参与全过程工程咨询服务投标。</w:t>
            </w:r>
          </w:p>
        </w:tc>
        <w:tc>
          <w:tcPr>
            <w:tcW w:w="106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解释</w:t>
            </w:r>
          </w:p>
        </w:tc>
        <w:tc>
          <w:tcPr>
            <w:tcW w:w="5254"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宋体" w:hAnsi="宋体" w:eastAsia="宋体"/>
                <w:b/>
                <w:bCs/>
                <w:sz w:val="24"/>
                <w:szCs w:val="24"/>
                <w:lang w:val="en-US" w:eastAsia="zh-CN"/>
              </w:rPr>
            </w:pPr>
            <w:r>
              <w:rPr>
                <w:rFonts w:hint="eastAsia" w:ascii="宋体" w:hAnsi="宋体" w:eastAsia="宋体"/>
                <w:b w:val="0"/>
                <w:bCs w:val="0"/>
                <w:sz w:val="24"/>
                <w:szCs w:val="24"/>
                <w:lang w:val="en-US" w:eastAsia="zh-CN"/>
              </w:rPr>
              <w:t>鼓励我市投资咨询、勘察设计、造价咨询、监理等单位通过联合体方式参与全过程工程咨询服务投标。同时，鼓励工程咨询单位根据自身的优势和特点，采取联合经营、并购重组等方式积极延伸服务内容，提供全方位的全过程工程咨询服务。关于资质认定，需参照招投标法律法规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Ex>
        <w:trPr>
          <w:trHeight w:val="616" w:hRule="atLeast"/>
        </w:trPr>
        <w:tc>
          <w:tcPr>
            <w:tcW w:w="6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b w:val="0"/>
                <w:bCs w:val="0"/>
                <w:sz w:val="24"/>
                <w:szCs w:val="24"/>
                <w:lang w:val="en-US" w:eastAsia="zh-CN"/>
              </w:rPr>
            </w:pPr>
            <w:r>
              <w:rPr>
                <w:rFonts w:hint="eastAsia" w:ascii="宋体" w:hAnsi="宋体" w:eastAsia="宋体"/>
                <w:b w:val="0"/>
                <w:bCs w:val="0"/>
                <w:sz w:val="24"/>
                <w:szCs w:val="24"/>
                <w:lang w:val="en-US" w:eastAsia="zh-CN"/>
              </w:rPr>
              <w:t>10</w:t>
            </w:r>
          </w:p>
        </w:tc>
        <w:tc>
          <w:tcPr>
            <w:tcW w:w="14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b w:val="0"/>
                <w:bCs w:val="0"/>
                <w:sz w:val="24"/>
                <w:szCs w:val="24"/>
              </w:rPr>
            </w:pPr>
            <w:r>
              <w:rPr>
                <w:rFonts w:hint="eastAsia" w:ascii="宋体" w:hAnsi="宋体" w:eastAsia="宋体"/>
                <w:b w:val="0"/>
                <w:bCs w:val="0"/>
                <w:sz w:val="24"/>
                <w:szCs w:val="24"/>
              </w:rPr>
              <w:t>社会企业和市民</w:t>
            </w:r>
          </w:p>
        </w:tc>
        <w:tc>
          <w:tcPr>
            <w:tcW w:w="5772" w:type="dxa"/>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after="0" w:afterLines="0" w:line="400" w:lineRule="exact"/>
              <w:ind w:left="0" w:leftChars="0" w:firstLine="0" w:firstLineChars="0"/>
              <w:textAlignment w:val="auto"/>
              <w:rPr>
                <w:rFonts w:hint="eastAsia" w:ascii="宋体" w:hAnsi="宋体" w:eastAsia="宋体"/>
                <w:b w:val="0"/>
                <w:bCs w:val="0"/>
                <w:sz w:val="24"/>
                <w:szCs w:val="24"/>
              </w:rPr>
            </w:pPr>
            <w:r>
              <w:rPr>
                <w:rFonts w:hint="eastAsia" w:ascii="宋体" w:hAnsi="宋体" w:eastAsia="宋体"/>
                <w:b w:val="0"/>
                <w:bCs w:val="0"/>
                <w:sz w:val="24"/>
                <w:szCs w:val="24"/>
              </w:rPr>
              <w:t>建议参考湖南省相关政策，或结合实际情况，划定必须强制实施全过程工程咨询服务范围，如一年内要求开工建成的学校项目必须采用全过程工程咨询服务等。</w:t>
            </w:r>
          </w:p>
        </w:tc>
        <w:tc>
          <w:tcPr>
            <w:tcW w:w="106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宋体"/>
                <w:b w:val="0"/>
                <w:bCs w:val="0"/>
                <w:sz w:val="24"/>
                <w:szCs w:val="24"/>
                <w:lang w:val="en-US" w:eastAsia="zh-CN"/>
              </w:rPr>
            </w:pPr>
            <w:r>
              <w:rPr>
                <w:rFonts w:hint="eastAsia" w:ascii="宋体" w:hAnsi="宋体" w:eastAsia="宋体"/>
                <w:b w:val="0"/>
                <w:bCs w:val="0"/>
                <w:sz w:val="24"/>
                <w:szCs w:val="24"/>
                <w:lang w:val="en-US" w:eastAsia="zh-CN"/>
              </w:rPr>
              <w:t>不采纳</w:t>
            </w:r>
          </w:p>
        </w:tc>
        <w:tc>
          <w:tcPr>
            <w:tcW w:w="5254"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宋体" w:hAnsi="宋体" w:eastAsia="楷体_GB2312"/>
                <w:b/>
                <w:bCs/>
                <w:sz w:val="24"/>
                <w:szCs w:val="24"/>
                <w:lang w:val="en-US" w:eastAsia="zh-CN"/>
              </w:rPr>
            </w:pPr>
            <w:r>
              <w:rPr>
                <w:rFonts w:hint="eastAsia" w:ascii="宋体" w:hAnsi="宋体" w:eastAsia="宋体"/>
                <w:b w:val="0"/>
                <w:bCs w:val="0"/>
                <w:sz w:val="24"/>
                <w:szCs w:val="24"/>
                <w:lang w:val="en-US" w:eastAsia="zh-CN"/>
              </w:rPr>
              <w:t>为优化营商环境，规范性文件不宜设置此类要求。</w:t>
            </w:r>
          </w:p>
        </w:tc>
      </w:tr>
    </w:tbl>
    <w:p>
      <w:pPr>
        <w:rPr>
          <w:sz w:val="24"/>
          <w:szCs w:val="24"/>
        </w:rPr>
      </w:pPr>
    </w:p>
    <w:sectPr>
      <w:footerReference r:id="rId3" w:type="default"/>
      <w:pgSz w:w="16838" w:h="11906" w:orient="landscape"/>
      <w:pgMar w:top="1803" w:right="1440" w:bottom="1803" w:left="1440" w:header="851" w:footer="992" w:gutter="0"/>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11498B1"/>
    <w:multiLevelType w:val="singleLevel"/>
    <w:tmpl w:val="911498B1"/>
    <w:lvl w:ilvl="0" w:tentative="0">
      <w:start w:val="1"/>
      <w:numFmt w:val="decimal"/>
      <w:suff w:val="nothing"/>
      <w:lvlText w:val="%1、"/>
      <w:lvlJc w:val="left"/>
    </w:lvl>
  </w:abstractNum>
  <w:abstractNum w:abstractNumId="1">
    <w:nsid w:val="BF037041"/>
    <w:multiLevelType w:val="singleLevel"/>
    <w:tmpl w:val="BF037041"/>
    <w:lvl w:ilvl="0" w:tentative="0">
      <w:start w:val="1"/>
      <w:numFmt w:val="decimal"/>
      <w:suff w:val="nothing"/>
      <w:lvlText w:val="%1、"/>
      <w:lvlJc w:val="left"/>
      <w:rPr>
        <w:rFonts w:hint="default"/>
        <w:b w:val="0"/>
        <w:bCs w:val="0"/>
      </w:rPr>
    </w:lvl>
  </w:abstractNum>
  <w:abstractNum w:abstractNumId="2">
    <w:nsid w:val="4C5818DF"/>
    <w:multiLevelType w:val="singleLevel"/>
    <w:tmpl w:val="4C5818DF"/>
    <w:lvl w:ilvl="0" w:tentative="0">
      <w:start w:val="1"/>
      <w:numFmt w:val="decimal"/>
      <w:suff w:val="nothing"/>
      <w:lvlText w:val="%1、"/>
      <w:lvlJc w:val="left"/>
      <w:rPr>
        <w:rFonts w:hint="default"/>
        <w:b w:val="0"/>
        <w:bCs w:val="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217A06"/>
    <w:rsid w:val="04217A06"/>
    <w:rsid w:val="04F15E1A"/>
    <w:rsid w:val="1C9371C0"/>
    <w:rsid w:val="240412B8"/>
    <w:rsid w:val="32E56621"/>
    <w:rsid w:val="33066B2B"/>
    <w:rsid w:val="33975C40"/>
    <w:rsid w:val="38F30B2E"/>
    <w:rsid w:val="49EF0A01"/>
    <w:rsid w:val="5D3073CB"/>
    <w:rsid w:val="684A7A98"/>
    <w:rsid w:val="7D380CC7"/>
    <w:rsid w:val="7DB877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Body Text Indent 2"/>
    <w:basedOn w:val="1"/>
    <w:qFormat/>
    <w:uiPriority w:val="0"/>
    <w:pPr>
      <w:spacing w:after="120" w:afterLines="0" w:afterAutospacing="0" w:line="480" w:lineRule="auto"/>
      <w:ind w:left="420" w:leftChars="200"/>
    </w:p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Autospacing="1" w:afterAutospacing="1"/>
      <w:jc w:val="left"/>
    </w:pPr>
    <w:rPr>
      <w:rFonts w:cs="Times New Roman"/>
      <w:kern w:val="0"/>
      <w:sz w:val="24"/>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9">
    <w:name w:val="Strong"/>
    <w:basedOn w:val="8"/>
    <w:qFormat/>
    <w:uiPriority w:val="0"/>
    <w:rPr>
      <w:b/>
    </w:rPr>
  </w:style>
  <w:style w:type="paragraph" w:customStyle="1" w:styleId="10">
    <w:name w:val="列出段落1"/>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2021-12-30T03:55:00Z</dcterms:created>
  <dc:creator>WF</dc:creator>
  <cp:lastModifiedBy>WF</cp:lastModifiedBy>
  <dcterms:modified xsi:type="dcterms:W3CDTF">2022-01-06T09:33:03Z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y fmtid="{D5CDD505-2E9C-101B-9397-08002B2CF9AE}" pid="3" name="ICV">
    <vt:lpwstr>6594BBEED6F640CDAC7A684B403DEEEB</vt:lpwstr>
  </property>
</Properties>
</file>