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sz w:val="32"/>
          <w:szCs w:val="32"/>
          <w:lang w:val="en" w:eastAsia="zh-CN"/>
        </w:rPr>
      </w:pPr>
      <w:r>
        <w:rPr>
          <w:rFonts w:hint="eastAsia" w:ascii="黑体" w:hAnsi="黑体" w:eastAsia="黑体" w:cs="黑体"/>
          <w:b w:val="0"/>
          <w:bCs w:val="0"/>
          <w:sz w:val="32"/>
          <w:szCs w:val="32"/>
          <w:lang w:val="en"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z w:val="36"/>
          <w:szCs w:val="36"/>
          <w:lang w:eastAsia="zh-CN"/>
        </w:rPr>
      </w:pPr>
      <w:r>
        <w:rPr>
          <w:rFonts w:hint="eastAsia" w:ascii="宋体" w:hAnsi="宋体" w:eastAsia="宋体" w:cs="宋体"/>
          <w:b/>
          <w:bCs/>
          <w:i w:val="0"/>
          <w:iCs w:val="0"/>
          <w:caps w:val="0"/>
          <w:color w:val="000000"/>
          <w:spacing w:val="0"/>
          <w:sz w:val="36"/>
          <w:szCs w:val="36"/>
          <w:shd w:val="clear" w:fill="FFFFFF"/>
        </w:rPr>
        <w:t>《深圳市建设工程造价数据共享办法（征求意见稿）》</w:t>
      </w:r>
      <w:r>
        <w:rPr>
          <w:rFonts w:hint="eastAsia" w:ascii="宋体" w:hAnsi="宋体" w:eastAsia="宋体" w:cs="宋体"/>
          <w:b/>
          <w:bCs/>
          <w:sz w:val="36"/>
          <w:szCs w:val="36"/>
          <w:lang w:eastAsia="zh-CN"/>
        </w:rPr>
        <w:t>公开征求意见采纳情况汇总表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center"/>
        <w:textAlignment w:val="auto"/>
        <w:outlineLvl w:val="0"/>
        <w:rPr>
          <w:rFonts w:hint="eastAsia" w:ascii="宋体" w:hAnsi="宋体" w:eastAsia="仿宋_GB2312" w:cs="宋体"/>
          <w:b/>
          <w:bCs/>
          <w:sz w:val="44"/>
          <w:szCs w:val="44"/>
          <w:highlight w:val="none"/>
          <w:lang w:eastAsia="zh-CN"/>
        </w:rPr>
      </w:pPr>
      <w:r>
        <w:rPr>
          <w:rFonts w:hint="eastAsia" w:ascii="仿宋_GB2312" w:hAnsi="仿宋_GB2312" w:eastAsia="仿宋_GB2312" w:cs="仿宋_GB2312"/>
          <w:sz w:val="24"/>
          <w:szCs w:val="24"/>
          <w:highlight w:val="none"/>
        </w:rPr>
        <w:t>本次征求意见截至</w:t>
      </w:r>
      <w:r>
        <w:rPr>
          <w:rFonts w:hint="eastAsia" w:ascii="仿宋_GB2312" w:hAnsi="仿宋_GB2312" w:eastAsia="仿宋_GB2312" w:cs="仿宋_GB2312"/>
          <w:sz w:val="24"/>
          <w:szCs w:val="24"/>
          <w:highlight w:val="none"/>
          <w:lang w:val="en-US" w:eastAsia="zh-CN"/>
        </w:rPr>
        <w:t>10</w:t>
      </w:r>
      <w:r>
        <w:rPr>
          <w:rFonts w:hint="eastAsia" w:ascii="仿宋_GB2312" w:hAnsi="仿宋_GB2312" w:eastAsia="仿宋_GB2312" w:cs="仿宋_GB2312"/>
          <w:sz w:val="24"/>
          <w:szCs w:val="24"/>
          <w:highlight w:val="none"/>
        </w:rPr>
        <w:t>月</w:t>
      </w:r>
      <w:r>
        <w:rPr>
          <w:rFonts w:hint="eastAsia" w:ascii="仿宋_GB2312" w:hAnsi="仿宋_GB2312" w:eastAsia="仿宋_GB2312" w:cs="仿宋_GB2312"/>
          <w:sz w:val="24"/>
          <w:szCs w:val="24"/>
          <w:highlight w:val="none"/>
          <w:lang w:val="en-US" w:eastAsia="zh-CN"/>
        </w:rPr>
        <w:t>10</w:t>
      </w:r>
      <w:r>
        <w:rPr>
          <w:rFonts w:hint="eastAsia" w:ascii="仿宋_GB2312" w:hAnsi="仿宋_GB2312" w:eastAsia="仿宋_GB2312" w:cs="仿宋_GB2312"/>
          <w:sz w:val="24"/>
          <w:szCs w:val="24"/>
          <w:highlight w:val="none"/>
        </w:rPr>
        <w:t>日，共收到</w:t>
      </w:r>
      <w:r>
        <w:rPr>
          <w:rFonts w:hint="default" w:ascii="仿宋_GB2312" w:hAnsi="仿宋_GB2312" w:eastAsia="仿宋_GB2312" w:cs="仿宋_GB2312"/>
          <w:sz w:val="24"/>
          <w:szCs w:val="24"/>
          <w:highlight w:val="none"/>
          <w:lang w:val="en" w:eastAsia="zh-CN"/>
        </w:rPr>
        <w:t>2</w:t>
      </w:r>
      <w:r>
        <w:rPr>
          <w:rFonts w:hint="eastAsia" w:ascii="仿宋_GB2312" w:hAnsi="仿宋_GB2312" w:eastAsia="仿宋_GB2312" w:cs="仿宋_GB2312"/>
          <w:sz w:val="24"/>
          <w:szCs w:val="24"/>
          <w:highlight w:val="none"/>
        </w:rPr>
        <w:t>条有效意见</w:t>
      </w:r>
      <w:r>
        <w:rPr>
          <w:rFonts w:hint="eastAsia" w:ascii="仿宋_GB2312" w:hAnsi="仿宋_GB2312" w:eastAsia="仿宋_GB2312" w:cs="仿宋_GB2312"/>
          <w:sz w:val="24"/>
          <w:szCs w:val="24"/>
          <w:highlight w:val="none"/>
          <w:lang w:eastAsia="zh-CN"/>
        </w:rPr>
        <w:t>。</w:t>
      </w:r>
    </w:p>
    <w:tbl>
      <w:tblPr>
        <w:tblStyle w:val="4"/>
        <w:tblW w:w="14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6636"/>
        <w:gridCol w:w="1453"/>
        <w:gridCol w:w="5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序号</w:t>
            </w:r>
          </w:p>
        </w:tc>
        <w:tc>
          <w:tcPr>
            <w:tcW w:w="6636"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意见</w:t>
            </w:r>
          </w:p>
        </w:tc>
        <w:tc>
          <w:tcPr>
            <w:tcW w:w="1453"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采纳情况</w:t>
            </w:r>
          </w:p>
        </w:tc>
        <w:tc>
          <w:tcPr>
            <w:tcW w:w="5223"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宋体" w:hAnsi="宋体" w:eastAsia="宋体" w:cs="宋体"/>
                <w:sz w:val="21"/>
                <w:szCs w:val="21"/>
                <w:vertAlign w:val="baseline"/>
                <w:lang w:val="en-US" w:eastAsia="zh-CN"/>
              </w:rPr>
            </w:pPr>
            <w:r>
              <w:rPr>
                <w:rFonts w:hint="eastAsia" w:ascii="宋体" w:hAnsi="宋体" w:cs="宋体"/>
                <w:sz w:val="21"/>
                <w:szCs w:val="21"/>
                <w:vertAlign w:val="baseline"/>
                <w:lang w:val="en-US" w:eastAsia="zh-CN"/>
              </w:rPr>
              <w:t>1</w:t>
            </w:r>
          </w:p>
        </w:tc>
        <w:tc>
          <w:tcPr>
            <w:tcW w:w="6636" w:type="dxa"/>
            <w:noWrap w:val="0"/>
            <w:vAlign w:val="center"/>
          </w:tcPr>
          <w:p>
            <w:pPr>
              <w:keepNext w:val="0"/>
              <w:keepLines w:val="0"/>
              <w:widowControl/>
              <w:numPr>
                <w:ilvl w:val="0"/>
                <w:numId w:val="0"/>
              </w:numPr>
              <w:suppressLineNumbers w:val="0"/>
              <w:jc w:val="left"/>
              <w:textAlignment w:val="center"/>
              <w:rPr>
                <w:rFonts w:hint="eastAsia" w:ascii="宋体" w:hAnsi="宋体" w:eastAsia="宋体" w:cs="宋体"/>
                <w:sz w:val="21"/>
                <w:szCs w:val="21"/>
                <w:vertAlign w:val="baseline"/>
                <w:lang w:eastAsia="zh-CN"/>
              </w:rPr>
            </w:pPr>
            <w:r>
              <w:rPr>
                <w:rFonts w:hint="eastAsia" w:ascii="宋体" w:hAnsi="宋体" w:eastAsia="宋体" w:cs="宋体"/>
                <w:sz w:val="21"/>
                <w:szCs w:val="21"/>
                <w:vertAlign w:val="baseline"/>
                <w:lang w:eastAsia="zh-CN"/>
              </w:rPr>
              <w:t>第五条【建设行政主管部门分工要求】 市建设行政主管部门负责制定统一建设工程造价数据标准，利用大数据等技术手段建立统一的工程造价数据应用平台，指导各数据共享部门使用平台开展工程造价数据分析，形成全市统一的建设工程造价指标数据库。</w:t>
            </w:r>
          </w:p>
          <w:p>
            <w:pPr>
              <w:keepNext w:val="0"/>
              <w:keepLines w:val="0"/>
              <w:widowControl/>
              <w:numPr>
                <w:ilvl w:val="0"/>
                <w:numId w:val="0"/>
              </w:numPr>
              <w:suppressLineNumbers w:val="0"/>
              <w:ind w:firstLine="420" w:firstLineChars="200"/>
              <w:jc w:val="left"/>
              <w:textAlignment w:val="center"/>
              <w:rPr>
                <w:rFonts w:hint="eastAsia" w:ascii="宋体" w:hAnsi="宋体" w:eastAsia="宋体" w:cs="宋体"/>
                <w:sz w:val="21"/>
                <w:szCs w:val="21"/>
                <w:vertAlign w:val="baseline"/>
                <w:lang w:eastAsia="zh-CN"/>
              </w:rPr>
            </w:pPr>
            <w:r>
              <w:rPr>
                <w:rFonts w:hint="eastAsia" w:ascii="宋体" w:hAnsi="宋体" w:eastAsia="宋体" w:cs="宋体"/>
                <w:sz w:val="21"/>
                <w:szCs w:val="21"/>
                <w:vertAlign w:val="baseline"/>
                <w:lang w:eastAsia="zh-CN"/>
              </w:rPr>
              <w:t>建设行政主管部门负责编制建设工程造价指标数据资源目录，以及非财政性国有资金和集体所有资金投资项目施工图预算、竣工结算工程造价成果文件审核及审查结果等数据资源目录，并向政务数据资源共享平台提供职责范围内产生的建设工程造价数据及分析后的指标数据。</w:t>
            </w:r>
          </w:p>
          <w:p>
            <w:pPr>
              <w:keepNext w:val="0"/>
              <w:keepLines w:val="0"/>
              <w:widowControl/>
              <w:numPr>
                <w:ilvl w:val="0"/>
                <w:numId w:val="0"/>
              </w:numPr>
              <w:suppressLineNumbers w:val="0"/>
              <w:jc w:val="left"/>
              <w:textAlignment w:val="center"/>
              <w:rPr>
                <w:rFonts w:hint="eastAsia" w:ascii="宋体" w:hAnsi="宋体" w:eastAsia="宋体" w:cs="宋体"/>
                <w:sz w:val="21"/>
                <w:szCs w:val="21"/>
                <w:vertAlign w:val="baseline"/>
                <w:lang w:eastAsia="zh-CN"/>
              </w:rPr>
            </w:pPr>
          </w:p>
          <w:p>
            <w:pPr>
              <w:keepNext w:val="0"/>
              <w:keepLines w:val="0"/>
              <w:widowControl/>
              <w:numPr>
                <w:ilvl w:val="0"/>
                <w:numId w:val="0"/>
              </w:numPr>
              <w:suppressLineNumbers w:val="0"/>
              <w:jc w:val="left"/>
              <w:textAlignment w:val="center"/>
              <w:rPr>
                <w:rFonts w:hint="eastAsia" w:ascii="宋体" w:hAnsi="宋体" w:eastAsia="宋体" w:cs="宋体"/>
                <w:sz w:val="21"/>
                <w:szCs w:val="21"/>
                <w:vertAlign w:val="baseline"/>
                <w:lang w:eastAsia="zh-CN"/>
              </w:rPr>
            </w:pPr>
            <w:r>
              <w:rPr>
                <w:rFonts w:hint="eastAsia" w:ascii="宋体" w:hAnsi="宋体" w:eastAsia="宋体" w:cs="宋体"/>
                <w:b/>
                <w:bCs/>
                <w:color w:val="0000FF"/>
                <w:sz w:val="21"/>
                <w:szCs w:val="21"/>
                <w:vertAlign w:val="baseline"/>
                <w:lang w:eastAsia="zh-CN"/>
              </w:rPr>
              <w:t>建议开发工程材料设备价格</w:t>
            </w:r>
            <w:r>
              <w:rPr>
                <w:rFonts w:hint="eastAsia" w:ascii="宋体" w:hAnsi="宋体" w:cs="宋体"/>
                <w:b/>
                <w:bCs/>
                <w:color w:val="0000FF"/>
                <w:sz w:val="21"/>
                <w:szCs w:val="21"/>
                <w:vertAlign w:val="baseline"/>
                <w:lang w:eastAsia="zh-CN"/>
              </w:rPr>
              <w:t>数据库</w:t>
            </w:r>
            <w:r>
              <w:rPr>
                <w:rFonts w:hint="eastAsia" w:ascii="宋体" w:hAnsi="宋体" w:eastAsia="宋体" w:cs="宋体"/>
                <w:b/>
                <w:bCs/>
                <w:color w:val="0000FF"/>
                <w:sz w:val="21"/>
                <w:szCs w:val="21"/>
                <w:vertAlign w:val="baseline"/>
                <w:lang w:eastAsia="zh-CN"/>
              </w:rPr>
              <w:t>，增加信息价或市场材料</w:t>
            </w:r>
            <w:r>
              <w:rPr>
                <w:rFonts w:hint="eastAsia" w:ascii="宋体" w:hAnsi="宋体" w:cs="宋体"/>
                <w:b/>
                <w:bCs/>
                <w:color w:val="0000FF"/>
                <w:sz w:val="21"/>
                <w:szCs w:val="21"/>
                <w:vertAlign w:val="baseline"/>
                <w:lang w:eastAsia="zh-CN"/>
              </w:rPr>
              <w:t>价格数据</w:t>
            </w:r>
            <w:r>
              <w:rPr>
                <w:rFonts w:hint="eastAsia" w:ascii="宋体" w:hAnsi="宋体" w:eastAsia="宋体" w:cs="宋体"/>
                <w:b/>
                <w:bCs/>
                <w:color w:val="0000FF"/>
                <w:sz w:val="21"/>
                <w:szCs w:val="21"/>
                <w:vertAlign w:val="baseline"/>
                <w:lang w:eastAsia="zh-CN"/>
              </w:rPr>
              <w:t>共享等，为市场提供材料设备价格信息</w:t>
            </w:r>
            <w:r>
              <w:rPr>
                <w:rFonts w:hint="eastAsia" w:ascii="宋体" w:hAnsi="宋体" w:cs="宋体"/>
                <w:b/>
                <w:bCs/>
                <w:color w:val="0000FF"/>
                <w:sz w:val="21"/>
                <w:szCs w:val="21"/>
                <w:vertAlign w:val="baseline"/>
                <w:lang w:eastAsia="zh-CN"/>
              </w:rPr>
              <w:t>查询</w:t>
            </w:r>
            <w:r>
              <w:rPr>
                <w:rFonts w:hint="eastAsia" w:ascii="宋体" w:hAnsi="宋体" w:eastAsia="宋体" w:cs="宋体"/>
                <w:b/>
                <w:bCs/>
                <w:color w:val="0000FF"/>
                <w:sz w:val="21"/>
                <w:szCs w:val="21"/>
                <w:vertAlign w:val="baseline"/>
                <w:lang w:eastAsia="zh-CN"/>
              </w:rPr>
              <w:t>服务。</w:t>
            </w:r>
          </w:p>
        </w:tc>
        <w:tc>
          <w:tcPr>
            <w:tcW w:w="1453" w:type="dxa"/>
            <w:noWrap w:val="0"/>
            <w:vAlign w:val="center"/>
          </w:tcPr>
          <w:p>
            <w:pPr>
              <w:keepNext w:val="0"/>
              <w:keepLines w:val="0"/>
              <w:widowControl/>
              <w:suppressLineNumbers w:val="0"/>
              <w:jc w:val="center"/>
              <w:textAlignment w:val="center"/>
              <w:rPr>
                <w:rFonts w:hint="eastAsia" w:ascii="宋体" w:hAnsi="宋体" w:eastAsia="宋体" w:cs="宋体"/>
                <w:sz w:val="21"/>
                <w:szCs w:val="21"/>
                <w:vertAlign w:val="baseline"/>
                <w:lang w:val="en" w:eastAsia="zh-CN"/>
              </w:rPr>
            </w:pPr>
            <w:r>
              <w:rPr>
                <w:rFonts w:hint="eastAsia" w:ascii="宋体" w:hAnsi="宋体" w:eastAsia="宋体" w:cs="宋体"/>
                <w:i w:val="0"/>
                <w:iCs w:val="0"/>
                <w:color w:val="000000"/>
                <w:kern w:val="0"/>
                <w:sz w:val="22"/>
                <w:szCs w:val="22"/>
                <w:u w:val="none"/>
                <w:lang w:val="en-US" w:eastAsia="zh-CN" w:bidi="ar"/>
              </w:rPr>
              <w:t>采纳</w:t>
            </w:r>
          </w:p>
        </w:tc>
        <w:tc>
          <w:tcPr>
            <w:tcW w:w="5223" w:type="dxa"/>
            <w:noWrap w:val="0"/>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cs="宋体"/>
                <w:b w:val="0"/>
                <w:bCs w:val="0"/>
                <w:i w:val="0"/>
                <w:iCs w:val="0"/>
                <w:color w:val="000000"/>
                <w:kern w:val="2"/>
                <w:sz w:val="21"/>
                <w:szCs w:val="21"/>
                <w:u w:val="none"/>
                <w:lang w:val="en-US" w:eastAsia="zh-CN" w:bidi="ar-SA"/>
              </w:rPr>
              <w:t>完善相关内容。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宋体" w:hAnsi="宋体" w:eastAsia="宋体" w:cs="宋体"/>
                <w:sz w:val="21"/>
                <w:szCs w:val="21"/>
                <w:vertAlign w:val="baseline"/>
                <w:lang w:val="en-US" w:eastAsia="zh-CN"/>
              </w:rPr>
            </w:pPr>
            <w:r>
              <w:rPr>
                <w:rFonts w:hint="eastAsia" w:ascii="宋体" w:hAnsi="宋体" w:cs="宋体"/>
                <w:sz w:val="21"/>
                <w:szCs w:val="21"/>
                <w:vertAlign w:val="baseline"/>
                <w:lang w:val="en-US" w:eastAsia="zh-CN"/>
              </w:rPr>
              <w:t>2</w:t>
            </w:r>
          </w:p>
        </w:tc>
        <w:tc>
          <w:tcPr>
            <w:tcW w:w="6636" w:type="dxa"/>
            <w:noWrap w:val="0"/>
            <w:vAlign w:val="center"/>
          </w:tcPr>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sz w:val="21"/>
                <w:szCs w:val="21"/>
                <w:vertAlign w:val="baseline"/>
                <w:lang w:eastAsia="zh-CN"/>
              </w:rPr>
            </w:pPr>
            <w:r>
              <w:rPr>
                <w:rFonts w:hint="eastAsia" w:ascii="宋体" w:hAnsi="宋体" w:eastAsia="宋体" w:cs="宋体"/>
                <w:sz w:val="21"/>
                <w:szCs w:val="21"/>
                <w:vertAlign w:val="baseline"/>
                <w:lang w:eastAsia="zh-CN"/>
              </w:rPr>
              <w:t>第四条【总体分工】 政务服务数据管理部门统筹建设工程造价数据共享实施工作，建设行政主管部门、发展改革部门、财政部门、国有资产监督管理部门和公共资源交易机构等编制建设工程造价数据资源目录并在政务数据资源共享平台开展共享工作。</w:t>
            </w:r>
          </w:p>
          <w:p>
            <w:pPr>
              <w:keepNext w:val="0"/>
              <w:keepLines w:val="0"/>
              <w:widowControl/>
              <w:numPr>
                <w:ilvl w:val="0"/>
                <w:numId w:val="0"/>
              </w:numPr>
              <w:suppressLineNumbers w:val="0"/>
              <w:ind w:firstLine="420" w:firstLineChars="200"/>
              <w:jc w:val="left"/>
              <w:textAlignment w:val="center"/>
              <w:rPr>
                <w:rFonts w:hint="eastAsia" w:ascii="宋体" w:hAnsi="宋体" w:eastAsia="宋体" w:cs="宋体"/>
                <w:sz w:val="21"/>
                <w:szCs w:val="21"/>
                <w:vertAlign w:val="baseline"/>
                <w:lang w:eastAsia="zh-CN"/>
              </w:rPr>
            </w:pPr>
            <w:r>
              <w:rPr>
                <w:rFonts w:hint="eastAsia" w:ascii="宋体" w:hAnsi="宋体" w:eastAsia="宋体" w:cs="宋体"/>
                <w:sz w:val="21"/>
                <w:szCs w:val="21"/>
                <w:vertAlign w:val="baseline"/>
                <w:lang w:eastAsia="zh-CN"/>
              </w:rPr>
              <w:t>具体实施按照国家、省、市相关公共数据资源共享制度执行。</w:t>
            </w:r>
          </w:p>
          <w:p>
            <w:pPr>
              <w:pStyle w:val="2"/>
              <w:rPr>
                <w:rFonts w:hint="eastAsia"/>
                <w:lang w:eastAsia="zh-CN"/>
              </w:rPr>
            </w:pP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b/>
                <w:bCs/>
                <w:color w:val="0000FF"/>
                <w:sz w:val="21"/>
                <w:szCs w:val="21"/>
                <w:vertAlign w:val="baseline"/>
                <w:lang w:eastAsia="zh-CN"/>
              </w:rPr>
              <w:t>建议根据不同项目类型、规模等分类收集数据，收集建设项目全过程造价数据。</w:t>
            </w:r>
          </w:p>
        </w:tc>
        <w:tc>
          <w:tcPr>
            <w:tcW w:w="1453"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采纳</w:t>
            </w:r>
          </w:p>
        </w:tc>
        <w:tc>
          <w:tcPr>
            <w:tcW w:w="5223" w:type="dxa"/>
            <w:noWrap w:val="0"/>
            <w:vAlign w:val="center"/>
          </w:tcPr>
          <w:p>
            <w:pPr>
              <w:keepNext w:val="0"/>
              <w:keepLines w:val="0"/>
              <w:widowControl/>
              <w:suppressLineNumbers w:val="0"/>
              <w:jc w:val="center"/>
              <w:textAlignment w:val="center"/>
              <w:rPr>
                <w:rFonts w:hint="eastAsia" w:ascii="宋体" w:hAnsi="宋体" w:cs="宋体"/>
                <w:b w:val="0"/>
                <w:bCs w:val="0"/>
                <w:i w:val="0"/>
                <w:iCs w:val="0"/>
                <w:color w:val="000000"/>
                <w:kern w:val="2"/>
                <w:sz w:val="21"/>
                <w:szCs w:val="21"/>
                <w:u w:val="none"/>
                <w:lang w:val="en-US" w:eastAsia="zh-CN" w:bidi="ar-SA"/>
              </w:rPr>
            </w:pPr>
            <w:r>
              <w:rPr>
                <w:rFonts w:hint="eastAsia" w:ascii="宋体" w:hAnsi="宋体" w:cs="宋体"/>
                <w:b w:val="0"/>
                <w:bCs w:val="0"/>
                <w:i w:val="0"/>
                <w:iCs w:val="0"/>
                <w:color w:val="000000"/>
                <w:kern w:val="2"/>
                <w:sz w:val="21"/>
                <w:szCs w:val="21"/>
                <w:u w:val="none"/>
                <w:lang w:val="en-US" w:eastAsia="zh-CN" w:bidi="ar-SA"/>
              </w:rPr>
              <w:t>完善相关内容。</w:t>
            </w:r>
          </w:p>
        </w:tc>
      </w:tr>
    </w:tbl>
    <w:p>
      <w:pPr>
        <w:rPr>
          <w:sz w:val="21"/>
          <w:szCs w:val="21"/>
        </w:rPr>
      </w:pPr>
      <w:bookmarkStart w:id="0" w:name="_GoBack"/>
      <w:bookmarkEnd w:id="0"/>
    </w:p>
    <w:p>
      <w:pPr>
        <w:pStyle w:val="2"/>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FhNWJjOGIwOTEyZmJkY2JmYWEyNjQwNTRmNGFhMDkifQ=="/>
  </w:docVars>
  <w:rsids>
    <w:rsidRoot w:val="31951747"/>
    <w:rsid w:val="013019FE"/>
    <w:rsid w:val="01444E37"/>
    <w:rsid w:val="01815F85"/>
    <w:rsid w:val="0222523C"/>
    <w:rsid w:val="02574CE3"/>
    <w:rsid w:val="025A63B1"/>
    <w:rsid w:val="026C7207"/>
    <w:rsid w:val="05322576"/>
    <w:rsid w:val="074D5B0C"/>
    <w:rsid w:val="08B73A59"/>
    <w:rsid w:val="094B7AD3"/>
    <w:rsid w:val="09D2208E"/>
    <w:rsid w:val="0A411EAC"/>
    <w:rsid w:val="0F1802A8"/>
    <w:rsid w:val="100C2679"/>
    <w:rsid w:val="10270A0D"/>
    <w:rsid w:val="11DE1CDD"/>
    <w:rsid w:val="11F54C31"/>
    <w:rsid w:val="12604834"/>
    <w:rsid w:val="13884297"/>
    <w:rsid w:val="145A5E09"/>
    <w:rsid w:val="15075A0D"/>
    <w:rsid w:val="151A12ED"/>
    <w:rsid w:val="17456004"/>
    <w:rsid w:val="176D617B"/>
    <w:rsid w:val="18014470"/>
    <w:rsid w:val="18695DE3"/>
    <w:rsid w:val="1B4A495B"/>
    <w:rsid w:val="1BEC2FB3"/>
    <w:rsid w:val="1E9C6E58"/>
    <w:rsid w:val="1EE76CC2"/>
    <w:rsid w:val="24466FD8"/>
    <w:rsid w:val="24E077C8"/>
    <w:rsid w:val="26551754"/>
    <w:rsid w:val="269B2AE6"/>
    <w:rsid w:val="27362CE4"/>
    <w:rsid w:val="27D40264"/>
    <w:rsid w:val="28A14135"/>
    <w:rsid w:val="2A2254C7"/>
    <w:rsid w:val="2A40035E"/>
    <w:rsid w:val="2D071ACD"/>
    <w:rsid w:val="2D0852EE"/>
    <w:rsid w:val="2DE12E59"/>
    <w:rsid w:val="320A3D3B"/>
    <w:rsid w:val="320F4EAD"/>
    <w:rsid w:val="34345499"/>
    <w:rsid w:val="369A1AB0"/>
    <w:rsid w:val="36E465C5"/>
    <w:rsid w:val="37091207"/>
    <w:rsid w:val="39053CAF"/>
    <w:rsid w:val="3A6A1F01"/>
    <w:rsid w:val="3A8F731E"/>
    <w:rsid w:val="3B6F63D0"/>
    <w:rsid w:val="3D6307DC"/>
    <w:rsid w:val="3EFF0DE7"/>
    <w:rsid w:val="443A35FD"/>
    <w:rsid w:val="468876F9"/>
    <w:rsid w:val="47471A61"/>
    <w:rsid w:val="48BD345D"/>
    <w:rsid w:val="49AC729B"/>
    <w:rsid w:val="4A573A91"/>
    <w:rsid w:val="4AF07B1A"/>
    <w:rsid w:val="4B1E4B4A"/>
    <w:rsid w:val="4B9506C1"/>
    <w:rsid w:val="4BC42D59"/>
    <w:rsid w:val="4D7F46B4"/>
    <w:rsid w:val="4DB151E6"/>
    <w:rsid w:val="51237D2E"/>
    <w:rsid w:val="524248AB"/>
    <w:rsid w:val="53CA1416"/>
    <w:rsid w:val="546D5D37"/>
    <w:rsid w:val="54847789"/>
    <w:rsid w:val="54BB56AF"/>
    <w:rsid w:val="55517407"/>
    <w:rsid w:val="55785749"/>
    <w:rsid w:val="55E97640"/>
    <w:rsid w:val="560D23B9"/>
    <w:rsid w:val="5BF46D3E"/>
    <w:rsid w:val="5C8332D2"/>
    <w:rsid w:val="5CAC6105"/>
    <w:rsid w:val="5D170C89"/>
    <w:rsid w:val="5DB004C1"/>
    <w:rsid w:val="5E805317"/>
    <w:rsid w:val="5FBF7D54"/>
    <w:rsid w:val="60D038E2"/>
    <w:rsid w:val="60E42582"/>
    <w:rsid w:val="67A33274"/>
    <w:rsid w:val="69D05529"/>
    <w:rsid w:val="6A53191B"/>
    <w:rsid w:val="6AD21B9B"/>
    <w:rsid w:val="6B6433C1"/>
    <w:rsid w:val="6C4A33A6"/>
    <w:rsid w:val="6D0B2574"/>
    <w:rsid w:val="702A6D7B"/>
    <w:rsid w:val="71A2507A"/>
    <w:rsid w:val="71B328BC"/>
    <w:rsid w:val="72D02269"/>
    <w:rsid w:val="7507768A"/>
    <w:rsid w:val="752E0E4E"/>
    <w:rsid w:val="75473F77"/>
    <w:rsid w:val="777C45A3"/>
    <w:rsid w:val="7AB57A3E"/>
    <w:rsid w:val="7C432D60"/>
    <w:rsid w:val="7CF0780B"/>
    <w:rsid w:val="7D703526"/>
    <w:rsid w:val="7DD81BC4"/>
    <w:rsid w:val="7EEFBDEC"/>
    <w:rsid w:val="7EF04D52"/>
    <w:rsid w:val="7F1B7FBA"/>
    <w:rsid w:val="7FFF388A"/>
    <w:rsid w:val="F9DDBAD9"/>
    <w:rsid w:val="FF5E7C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adjustRightInd w:val="0"/>
      <w:snapToGrid w:val="0"/>
      <w:spacing w:after="120" w:line="353" w:lineRule="auto"/>
      <w:ind w:firstLine="576" w:firstLineChars="200"/>
    </w:pPr>
    <w:rPr>
      <w:rFonts w:ascii="Calibri" w:hAnsi="Calibri" w:eastAsia="仿宋_GB2312" w:cs="Times New Roman"/>
      <w:sz w:val="32"/>
      <w:szCs w:val="32"/>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
    <w:name w:val="font31"/>
    <w:basedOn w:val="5"/>
    <w:qFormat/>
    <w:uiPriority w:val="0"/>
    <w:rPr>
      <w:rFonts w:ascii="Calibri" w:hAnsi="Calibri" w:cs="Calibri"/>
      <w:color w:val="000000"/>
      <w:sz w:val="22"/>
      <w:szCs w:val="22"/>
      <w:u w:val="none"/>
    </w:rPr>
  </w:style>
  <w:style w:type="character" w:customStyle="1" w:styleId="7">
    <w:name w:val="font11"/>
    <w:basedOn w:val="5"/>
    <w:qFormat/>
    <w:uiPriority w:val="0"/>
    <w:rPr>
      <w:rFonts w:hint="eastAsia" w:ascii="宋体" w:hAnsi="宋体" w:eastAsia="宋体" w:cs="宋体"/>
      <w:color w:val="000000"/>
      <w:sz w:val="22"/>
      <w:szCs w:val="22"/>
      <w:u w:val="none"/>
    </w:rPr>
  </w:style>
  <w:style w:type="character" w:customStyle="1" w:styleId="8">
    <w:name w:val="font01"/>
    <w:basedOn w:val="5"/>
    <w:qFormat/>
    <w:uiPriority w:val="0"/>
    <w:rPr>
      <w:rFonts w:hint="eastAsia" w:ascii="宋体" w:hAnsi="宋体" w:eastAsia="宋体" w:cs="宋体"/>
      <w:b/>
      <w:bCs/>
      <w:color w:val="000000"/>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1796</Words>
  <Characters>2026</Characters>
  <Lines>0</Lines>
  <Paragraphs>0</Paragraphs>
  <TotalTime>0</TotalTime>
  <ScaleCrop>false</ScaleCrop>
  <LinksUpToDate>false</LinksUpToDate>
  <CharactersWithSpaces>2050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2023-04-20T03:38:00Z</dcterms:created>
  <dc:creator>Administrator</dc:creator>
  <cp:lastModifiedBy>guoy</cp:lastModifiedBy>
  <dcterms:modified xsi:type="dcterms:W3CDTF">2023-10-12T17:10:07Z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E2B50E5EE2644ABEAE2C499B687970E3_13</vt:lpwstr>
  </property>
</Properties>
</file>