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2DFC" w:rsidRDefault="00672DFC">
      <w:pPr>
        <w:spacing w:line="560" w:lineRule="exact"/>
        <w:rPr>
          <w:rFonts w:ascii="黑体" w:eastAsia="黑体" w:hAnsi="黑体" w:cs="黑体"/>
          <w:sz w:val="32"/>
          <w:szCs w:val="32"/>
          <w:lang w:val="en"/>
        </w:rPr>
      </w:pPr>
      <w:bookmarkStart w:id="0" w:name="_GoBack"/>
      <w:bookmarkEnd w:id="0"/>
    </w:p>
    <w:p w:rsidR="00672DFC" w:rsidRDefault="007062B7">
      <w:pPr>
        <w:spacing w:line="560" w:lineRule="exact"/>
        <w:rPr>
          <w:rFonts w:ascii="黑体" w:eastAsia="黑体" w:hAnsi="黑体" w:cs="黑体"/>
          <w:sz w:val="32"/>
          <w:szCs w:val="32"/>
          <w:lang w:val="en"/>
        </w:rPr>
      </w:pPr>
      <w:r>
        <w:rPr>
          <w:rFonts w:ascii="黑体" w:eastAsia="黑体" w:hAnsi="黑体" w:cs="黑体" w:hint="eastAsia"/>
          <w:sz w:val="32"/>
          <w:szCs w:val="32"/>
          <w:lang w:val="en"/>
        </w:rPr>
        <w:t>附件</w:t>
      </w:r>
    </w:p>
    <w:p w:rsidR="00672DFC" w:rsidRDefault="007062B7">
      <w:pPr>
        <w:spacing w:line="560" w:lineRule="exact"/>
        <w:jc w:val="center"/>
        <w:rPr>
          <w:rFonts w:ascii="宋体" w:hAnsi="宋体" w:cs="宋体"/>
          <w:b/>
          <w:bCs/>
          <w:sz w:val="36"/>
          <w:szCs w:val="36"/>
        </w:rPr>
      </w:pPr>
      <w:r>
        <w:rPr>
          <w:rFonts w:ascii="宋体" w:hAnsi="宋体" w:cs="宋体" w:hint="eastAsia"/>
          <w:b/>
          <w:bCs/>
          <w:color w:val="000000"/>
          <w:sz w:val="36"/>
          <w:szCs w:val="36"/>
          <w:shd w:val="clear" w:color="auto" w:fill="FFFFFF"/>
        </w:rPr>
        <w:t>《深圳市建设工程材料设备询价采购办法（修订稿）》</w:t>
      </w:r>
      <w:r>
        <w:rPr>
          <w:rFonts w:ascii="宋体" w:hAnsi="宋体" w:cs="宋体" w:hint="eastAsia"/>
          <w:b/>
          <w:bCs/>
          <w:sz w:val="36"/>
          <w:szCs w:val="36"/>
        </w:rPr>
        <w:t>公开征求意见采纳情况汇总表</w:t>
      </w:r>
    </w:p>
    <w:p w:rsidR="00672DFC" w:rsidRDefault="007062B7">
      <w:pPr>
        <w:spacing w:line="500" w:lineRule="exact"/>
        <w:ind w:firstLineChars="200" w:firstLine="480"/>
        <w:jc w:val="center"/>
        <w:outlineLvl w:val="0"/>
        <w:rPr>
          <w:rFonts w:ascii="宋体" w:hAnsi="宋体" w:cs="宋体"/>
          <w:b/>
          <w:bCs/>
          <w:sz w:val="44"/>
          <w:szCs w:val="44"/>
        </w:rPr>
      </w:pPr>
      <w:r>
        <w:rPr>
          <w:rFonts w:ascii="仿宋_GB2312" w:eastAsia="仿宋_GB2312" w:hAnsi="仿宋_GB2312" w:cs="仿宋_GB2312" w:hint="eastAsia"/>
          <w:sz w:val="24"/>
        </w:rPr>
        <w:t>本次征求意见截至</w:t>
      </w:r>
      <w:r>
        <w:rPr>
          <w:rFonts w:ascii="仿宋_GB2312" w:eastAsia="仿宋_GB2312" w:hAnsi="仿宋_GB2312" w:cs="仿宋_GB2312" w:hint="eastAsia"/>
          <w:sz w:val="24"/>
        </w:rPr>
        <w:t>2024</w:t>
      </w:r>
      <w:r>
        <w:rPr>
          <w:rFonts w:ascii="仿宋_GB2312" w:eastAsia="仿宋_GB2312" w:hAnsi="仿宋_GB2312" w:cs="仿宋_GB2312" w:hint="eastAsia"/>
          <w:sz w:val="24"/>
        </w:rPr>
        <w:t>年</w:t>
      </w:r>
      <w:r>
        <w:rPr>
          <w:rFonts w:ascii="仿宋_GB2312" w:eastAsia="仿宋_GB2312" w:hAnsi="仿宋_GB2312" w:cs="仿宋_GB2312" w:hint="eastAsia"/>
          <w:sz w:val="24"/>
        </w:rPr>
        <w:t>5</w:t>
      </w:r>
      <w:r>
        <w:rPr>
          <w:rFonts w:ascii="仿宋_GB2312" w:eastAsia="仿宋_GB2312" w:hAnsi="仿宋_GB2312" w:cs="仿宋_GB2312" w:hint="eastAsia"/>
          <w:sz w:val="24"/>
        </w:rPr>
        <w:t>月</w:t>
      </w:r>
      <w:r>
        <w:rPr>
          <w:rFonts w:ascii="仿宋_GB2312" w:eastAsia="仿宋_GB2312" w:hAnsi="仿宋_GB2312" w:cs="仿宋_GB2312" w:hint="eastAsia"/>
          <w:sz w:val="24"/>
        </w:rPr>
        <w:t>13</w:t>
      </w:r>
      <w:r>
        <w:rPr>
          <w:rFonts w:ascii="仿宋_GB2312" w:eastAsia="仿宋_GB2312" w:hAnsi="仿宋_GB2312" w:cs="仿宋_GB2312" w:hint="eastAsia"/>
          <w:sz w:val="24"/>
        </w:rPr>
        <w:t>日，共收到</w:t>
      </w:r>
      <w:r>
        <w:rPr>
          <w:rFonts w:ascii="仿宋_GB2312" w:eastAsia="仿宋_GB2312" w:hAnsi="仿宋_GB2312" w:cs="仿宋_GB2312" w:hint="eastAsia"/>
          <w:sz w:val="24"/>
        </w:rPr>
        <w:t>7</w:t>
      </w:r>
      <w:r>
        <w:rPr>
          <w:rFonts w:ascii="仿宋_GB2312" w:eastAsia="仿宋_GB2312" w:hAnsi="仿宋_GB2312" w:cs="仿宋_GB2312" w:hint="eastAsia"/>
          <w:sz w:val="24"/>
        </w:rPr>
        <w:t>条有效意见。其中采纳</w:t>
      </w:r>
      <w:r>
        <w:rPr>
          <w:rFonts w:ascii="仿宋_GB2312" w:eastAsia="仿宋_GB2312" w:hAnsi="仿宋_GB2312" w:cs="仿宋_GB2312" w:hint="eastAsia"/>
          <w:sz w:val="24"/>
        </w:rPr>
        <w:t>6</w:t>
      </w:r>
      <w:r>
        <w:rPr>
          <w:rFonts w:ascii="仿宋_GB2312" w:eastAsia="仿宋_GB2312" w:hAnsi="仿宋_GB2312" w:cs="仿宋_GB2312" w:hint="eastAsia"/>
          <w:sz w:val="24"/>
        </w:rPr>
        <w:t>条，解释说明</w:t>
      </w:r>
      <w:r>
        <w:rPr>
          <w:rFonts w:ascii="仿宋_GB2312" w:eastAsia="仿宋_GB2312" w:hAnsi="仿宋_GB2312" w:cs="仿宋_GB2312" w:hint="eastAsia"/>
          <w:sz w:val="24"/>
        </w:rPr>
        <w:t>1</w:t>
      </w:r>
      <w:r>
        <w:rPr>
          <w:rFonts w:ascii="仿宋_GB2312" w:eastAsia="仿宋_GB2312" w:hAnsi="仿宋_GB2312" w:cs="仿宋_GB2312" w:hint="eastAsia"/>
          <w:sz w:val="24"/>
        </w:rPr>
        <w:t>条。</w:t>
      </w:r>
    </w:p>
    <w:tbl>
      <w:tblPr>
        <w:tblStyle w:val="a4"/>
        <w:tblW w:w="5032" w:type="pct"/>
        <w:jc w:val="center"/>
        <w:tblLook w:val="04A0" w:firstRow="1" w:lastRow="0" w:firstColumn="1" w:lastColumn="0" w:noHBand="0" w:noVBand="1"/>
      </w:tblPr>
      <w:tblGrid>
        <w:gridCol w:w="953"/>
        <w:gridCol w:w="6636"/>
        <w:gridCol w:w="1452"/>
        <w:gridCol w:w="5224"/>
      </w:tblGrid>
      <w:tr w:rsidR="00672DFC">
        <w:trPr>
          <w:jc w:val="center"/>
        </w:trPr>
        <w:tc>
          <w:tcPr>
            <w:tcW w:w="334" w:type="pct"/>
            <w:vAlign w:val="center"/>
          </w:tcPr>
          <w:p w:rsidR="00672DFC" w:rsidRDefault="007062B7">
            <w:pPr>
              <w:spacing w:line="560" w:lineRule="exact"/>
              <w:jc w:val="center"/>
              <w:rPr>
                <w:rFonts w:ascii="黑体" w:eastAsia="黑体" w:hAnsi="黑体" w:cs="黑体"/>
                <w:sz w:val="28"/>
                <w:szCs w:val="28"/>
              </w:rPr>
            </w:pPr>
            <w:r>
              <w:rPr>
                <w:rFonts w:ascii="黑体" w:eastAsia="黑体" w:hAnsi="黑体" w:cs="黑体" w:hint="eastAsia"/>
                <w:sz w:val="28"/>
                <w:szCs w:val="28"/>
              </w:rPr>
              <w:t>序号</w:t>
            </w:r>
          </w:p>
        </w:tc>
        <w:tc>
          <w:tcPr>
            <w:tcW w:w="2325" w:type="pct"/>
            <w:vAlign w:val="center"/>
          </w:tcPr>
          <w:p w:rsidR="00672DFC" w:rsidRDefault="007062B7">
            <w:pPr>
              <w:spacing w:line="560" w:lineRule="exact"/>
              <w:jc w:val="center"/>
              <w:rPr>
                <w:rFonts w:ascii="黑体" w:eastAsia="黑体" w:hAnsi="黑体" w:cs="黑体"/>
                <w:sz w:val="28"/>
                <w:szCs w:val="28"/>
              </w:rPr>
            </w:pPr>
            <w:r>
              <w:rPr>
                <w:rFonts w:ascii="黑体" w:eastAsia="黑体" w:hAnsi="黑体" w:cs="黑体" w:hint="eastAsia"/>
                <w:sz w:val="28"/>
                <w:szCs w:val="28"/>
              </w:rPr>
              <w:t>意见</w:t>
            </w:r>
          </w:p>
        </w:tc>
        <w:tc>
          <w:tcPr>
            <w:tcW w:w="509" w:type="pct"/>
            <w:vAlign w:val="center"/>
          </w:tcPr>
          <w:p w:rsidR="00672DFC" w:rsidRDefault="007062B7">
            <w:pPr>
              <w:spacing w:line="560" w:lineRule="exact"/>
              <w:jc w:val="center"/>
              <w:rPr>
                <w:rFonts w:ascii="黑体" w:eastAsia="黑体" w:hAnsi="黑体" w:cs="黑体"/>
                <w:sz w:val="28"/>
                <w:szCs w:val="28"/>
              </w:rPr>
            </w:pPr>
            <w:r>
              <w:rPr>
                <w:rFonts w:ascii="黑体" w:eastAsia="黑体" w:hAnsi="黑体" w:cs="黑体" w:hint="eastAsia"/>
                <w:sz w:val="28"/>
                <w:szCs w:val="28"/>
              </w:rPr>
              <w:t>采纳情况</w:t>
            </w:r>
          </w:p>
        </w:tc>
        <w:tc>
          <w:tcPr>
            <w:tcW w:w="1830" w:type="pct"/>
            <w:vAlign w:val="center"/>
          </w:tcPr>
          <w:p w:rsidR="00672DFC" w:rsidRDefault="007062B7">
            <w:pPr>
              <w:spacing w:line="560" w:lineRule="exact"/>
              <w:jc w:val="center"/>
              <w:rPr>
                <w:rFonts w:ascii="黑体" w:eastAsia="黑体" w:hAnsi="黑体" w:cs="黑体"/>
                <w:sz w:val="28"/>
                <w:szCs w:val="28"/>
              </w:rPr>
            </w:pPr>
            <w:r>
              <w:rPr>
                <w:rFonts w:ascii="黑体" w:eastAsia="黑体" w:hAnsi="黑体" w:cs="黑体" w:hint="eastAsia"/>
                <w:sz w:val="28"/>
                <w:szCs w:val="28"/>
              </w:rPr>
              <w:t>说明</w:t>
            </w:r>
          </w:p>
        </w:tc>
      </w:tr>
      <w:tr w:rsidR="00672DFC">
        <w:trPr>
          <w:trHeight w:val="703"/>
          <w:jc w:val="center"/>
        </w:trPr>
        <w:tc>
          <w:tcPr>
            <w:tcW w:w="334" w:type="pct"/>
            <w:vAlign w:val="center"/>
          </w:tcPr>
          <w:p w:rsidR="00672DFC" w:rsidRDefault="007062B7">
            <w:pPr>
              <w:spacing w:line="560" w:lineRule="exact"/>
              <w:jc w:val="center"/>
              <w:rPr>
                <w:rFonts w:ascii="宋体" w:hAnsi="宋体" w:cs="宋体"/>
                <w:color w:val="000000"/>
                <w:kern w:val="0"/>
                <w:sz w:val="22"/>
                <w:szCs w:val="22"/>
                <w:lang w:val="en" w:bidi="ar"/>
              </w:rPr>
            </w:pPr>
            <w:r>
              <w:rPr>
                <w:rFonts w:ascii="宋体" w:hAnsi="宋体" w:cs="宋体"/>
                <w:color w:val="000000"/>
                <w:kern w:val="0"/>
                <w:sz w:val="22"/>
                <w:szCs w:val="22"/>
                <w:lang w:val="en" w:bidi="ar"/>
              </w:rPr>
              <w:t>1</w:t>
            </w:r>
          </w:p>
        </w:tc>
        <w:tc>
          <w:tcPr>
            <w:tcW w:w="2325" w:type="pct"/>
            <w:vAlign w:val="center"/>
          </w:tcPr>
          <w:p w:rsidR="00672DFC" w:rsidRDefault="007062B7">
            <w:pPr>
              <w:widowControl/>
              <w:jc w:val="left"/>
              <w:textAlignment w:val="center"/>
              <w:rPr>
                <w:rFonts w:ascii="宋体" w:hAnsi="宋体" w:cs="宋体"/>
                <w:szCs w:val="21"/>
              </w:rPr>
            </w:pPr>
            <w:r>
              <w:rPr>
                <w:rFonts w:ascii="宋体" w:hAnsi="宋体" w:cs="宋体" w:hint="eastAsia"/>
                <w:szCs w:val="21"/>
              </w:rPr>
              <w:t>第一条</w:t>
            </w:r>
          </w:p>
          <w:p w:rsidR="00672DFC" w:rsidRDefault="007062B7">
            <w:pPr>
              <w:widowControl/>
              <w:jc w:val="left"/>
              <w:textAlignment w:val="center"/>
              <w:rPr>
                <w:rFonts w:ascii="宋体" w:hAnsi="宋体" w:cs="宋体"/>
                <w:szCs w:val="21"/>
              </w:rPr>
            </w:pPr>
            <w:r>
              <w:rPr>
                <w:rFonts w:ascii="宋体" w:hAnsi="宋体" w:cs="宋体" w:hint="eastAsia"/>
                <w:szCs w:val="21"/>
              </w:rPr>
              <w:t>为规范国有资金（含财政性资金）投资建设工程材料设备（以下简称材料设备）询价采购行为，</w:t>
            </w: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其中财政性资金是否已包含在国有资金的范畴，表述是否有重复性</w:t>
            </w:r>
            <w:r>
              <w:rPr>
                <w:rFonts w:ascii="宋体" w:hAnsi="宋体" w:cs="宋体" w:hint="eastAsia"/>
                <w:szCs w:val="21"/>
              </w:rPr>
              <w:t>？</w:t>
            </w:r>
          </w:p>
        </w:tc>
        <w:tc>
          <w:tcPr>
            <w:tcW w:w="509" w:type="pct"/>
            <w:vAlign w:val="center"/>
          </w:tcPr>
          <w:p w:rsidR="00672DFC" w:rsidRDefault="007062B7">
            <w:pPr>
              <w:widowControl/>
              <w:jc w:val="center"/>
              <w:textAlignment w:val="center"/>
              <w:rPr>
                <w:rFonts w:ascii="宋体" w:hAnsi="宋体" w:cs="宋体"/>
                <w:szCs w:val="21"/>
              </w:rPr>
            </w:pPr>
            <w:r>
              <w:rPr>
                <w:rFonts w:ascii="宋体" w:hAnsi="宋体" w:cs="宋体" w:hint="eastAsia"/>
                <w:color w:val="000000"/>
                <w:kern w:val="0"/>
                <w:sz w:val="22"/>
                <w:szCs w:val="22"/>
                <w:lang w:bidi="ar"/>
              </w:rPr>
              <w:t>采纳</w:t>
            </w:r>
          </w:p>
        </w:tc>
        <w:tc>
          <w:tcPr>
            <w:tcW w:w="1830" w:type="pct"/>
            <w:vAlign w:val="center"/>
          </w:tcPr>
          <w:p w:rsidR="00672DFC" w:rsidRDefault="007062B7">
            <w:pPr>
              <w:widowControl/>
              <w:jc w:val="center"/>
              <w:textAlignment w:val="center"/>
              <w:rPr>
                <w:rFonts w:ascii="宋体" w:hAnsi="宋体" w:cs="宋体"/>
                <w:szCs w:val="21"/>
              </w:rPr>
            </w:pPr>
            <w:r>
              <w:rPr>
                <w:rFonts w:ascii="宋体" w:hAnsi="宋体" w:cs="宋体" w:hint="eastAsia"/>
                <w:color w:val="000000"/>
                <w:szCs w:val="21"/>
              </w:rPr>
              <w:t>-</w:t>
            </w:r>
          </w:p>
        </w:tc>
      </w:tr>
      <w:tr w:rsidR="00672DFC">
        <w:trPr>
          <w:trHeight w:val="703"/>
          <w:jc w:val="center"/>
        </w:trPr>
        <w:tc>
          <w:tcPr>
            <w:tcW w:w="334" w:type="pct"/>
            <w:vAlign w:val="center"/>
          </w:tcPr>
          <w:p w:rsidR="00672DFC" w:rsidRDefault="007062B7">
            <w:pPr>
              <w:spacing w:line="560" w:lineRule="exact"/>
              <w:jc w:val="center"/>
              <w:rPr>
                <w:rFonts w:ascii="宋体" w:hAnsi="宋体" w:cs="宋体"/>
                <w:szCs w:val="21"/>
                <w:lang w:val="en"/>
              </w:rPr>
            </w:pPr>
            <w:r>
              <w:rPr>
                <w:rFonts w:ascii="宋体" w:hAnsi="宋体" w:cs="宋体"/>
                <w:szCs w:val="21"/>
                <w:lang w:val="en"/>
              </w:rPr>
              <w:t>2</w:t>
            </w:r>
          </w:p>
        </w:tc>
        <w:tc>
          <w:tcPr>
            <w:tcW w:w="2325" w:type="pct"/>
            <w:vAlign w:val="center"/>
          </w:tcPr>
          <w:p w:rsidR="00672DFC" w:rsidRDefault="007062B7">
            <w:pPr>
              <w:widowControl/>
              <w:jc w:val="left"/>
              <w:textAlignment w:val="center"/>
              <w:rPr>
                <w:rFonts w:ascii="宋体" w:hAnsi="宋体" w:cs="宋体"/>
                <w:szCs w:val="21"/>
              </w:rPr>
            </w:pPr>
            <w:r>
              <w:rPr>
                <w:rFonts w:ascii="宋体" w:hAnsi="宋体" w:cs="宋体" w:hint="eastAsia"/>
                <w:szCs w:val="21"/>
              </w:rPr>
              <w:t>第二条</w:t>
            </w: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（二）采购起始时点前一年内《深圳建设工程价格信息》上未刊登价格；</w:t>
            </w:r>
          </w:p>
        </w:tc>
        <w:tc>
          <w:tcPr>
            <w:tcW w:w="509" w:type="pct"/>
            <w:vAlign w:val="center"/>
          </w:tcPr>
          <w:p w:rsidR="00672DFC" w:rsidRDefault="007062B7">
            <w:pPr>
              <w:widowControl/>
              <w:jc w:val="center"/>
              <w:textAlignment w:val="center"/>
              <w:rPr>
                <w:rFonts w:ascii="宋体" w:hAnsi="宋体" w:cs="宋体"/>
                <w:szCs w:val="21"/>
                <w:lang w:val="en"/>
              </w:rPr>
            </w:pPr>
            <w:r>
              <w:rPr>
                <w:rFonts w:ascii="宋体" w:hAnsi="宋体" w:cs="宋体" w:hint="eastAsia"/>
                <w:color w:val="000000"/>
                <w:kern w:val="0"/>
                <w:sz w:val="22"/>
                <w:szCs w:val="22"/>
                <w:lang w:bidi="ar"/>
              </w:rPr>
              <w:t>采纳</w:t>
            </w:r>
          </w:p>
        </w:tc>
        <w:tc>
          <w:tcPr>
            <w:tcW w:w="1830" w:type="pct"/>
            <w:vAlign w:val="center"/>
          </w:tcPr>
          <w:p w:rsidR="00672DFC" w:rsidRDefault="007062B7">
            <w:pPr>
              <w:widowControl/>
              <w:jc w:val="center"/>
              <w:textAlignment w:val="center"/>
              <w:rPr>
                <w:rFonts w:ascii="宋体" w:hAnsi="宋体" w:cs="宋体"/>
                <w:color w:val="000000"/>
                <w:szCs w:val="21"/>
              </w:rPr>
            </w:pPr>
            <w:r>
              <w:rPr>
                <w:rFonts w:ascii="宋体" w:hAnsi="宋体" w:cs="宋体" w:hint="eastAsia"/>
                <w:color w:val="000000"/>
                <w:szCs w:val="21"/>
              </w:rPr>
              <w:t>-</w:t>
            </w:r>
          </w:p>
        </w:tc>
      </w:tr>
      <w:tr w:rsidR="00672DFC">
        <w:trPr>
          <w:trHeight w:val="641"/>
          <w:jc w:val="center"/>
        </w:trPr>
        <w:tc>
          <w:tcPr>
            <w:tcW w:w="334" w:type="pct"/>
            <w:vAlign w:val="center"/>
          </w:tcPr>
          <w:p w:rsidR="00672DFC" w:rsidRDefault="007062B7">
            <w:pPr>
              <w:widowControl/>
              <w:jc w:val="center"/>
              <w:textAlignment w:val="center"/>
              <w:rPr>
                <w:rFonts w:ascii="宋体" w:hAnsi="宋体" w:cs="宋体"/>
                <w:color w:val="000000"/>
                <w:kern w:val="0"/>
                <w:sz w:val="22"/>
                <w:szCs w:val="22"/>
                <w:lang w:val="en" w:bidi="ar"/>
              </w:rPr>
            </w:pPr>
            <w:r>
              <w:rPr>
                <w:rFonts w:ascii="宋体" w:hAnsi="宋体" w:cs="宋体"/>
                <w:color w:val="000000"/>
                <w:kern w:val="0"/>
                <w:sz w:val="22"/>
                <w:szCs w:val="22"/>
                <w:lang w:val="en" w:bidi="ar"/>
              </w:rPr>
              <w:t>3</w:t>
            </w:r>
          </w:p>
        </w:tc>
        <w:tc>
          <w:tcPr>
            <w:tcW w:w="2325" w:type="pct"/>
            <w:vAlign w:val="center"/>
          </w:tcPr>
          <w:p w:rsidR="00672DFC" w:rsidRDefault="007062B7">
            <w:pPr>
              <w:widowControl/>
              <w:jc w:val="left"/>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第四条</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，可以通过多元化纠纷解决机制解决。</w:t>
            </w:r>
          </w:p>
        </w:tc>
        <w:tc>
          <w:tcPr>
            <w:tcW w:w="509" w:type="pct"/>
            <w:vAlign w:val="center"/>
          </w:tcPr>
          <w:p w:rsidR="00672DFC" w:rsidRDefault="007062B7">
            <w:pPr>
              <w:widowControl/>
              <w:jc w:val="center"/>
              <w:textAlignment w:val="center"/>
              <w:rPr>
                <w:rFonts w:ascii="宋体" w:hAnsi="宋体" w:cs="宋体"/>
                <w:szCs w:val="21"/>
                <w:lang w:val="en"/>
              </w:rPr>
            </w:pPr>
            <w:r>
              <w:rPr>
                <w:rFonts w:ascii="宋体" w:hAnsi="宋体" w:cs="宋体" w:hint="eastAsia"/>
                <w:color w:val="000000"/>
                <w:kern w:val="0"/>
                <w:sz w:val="22"/>
                <w:szCs w:val="22"/>
                <w:lang w:bidi="ar"/>
              </w:rPr>
              <w:t>采纳</w:t>
            </w:r>
          </w:p>
        </w:tc>
        <w:tc>
          <w:tcPr>
            <w:tcW w:w="1830" w:type="pct"/>
            <w:vAlign w:val="center"/>
          </w:tcPr>
          <w:p w:rsidR="00672DFC" w:rsidRDefault="007062B7">
            <w:pPr>
              <w:widowControl/>
              <w:jc w:val="center"/>
              <w:textAlignment w:val="center"/>
              <w:rPr>
                <w:rFonts w:ascii="宋体" w:hAnsi="宋体" w:cs="宋体"/>
                <w:szCs w:val="21"/>
              </w:rPr>
            </w:pPr>
            <w:r>
              <w:rPr>
                <w:rFonts w:ascii="宋体" w:hAnsi="宋体" w:cs="宋体" w:hint="eastAsia"/>
                <w:color w:val="000000"/>
                <w:szCs w:val="21"/>
              </w:rPr>
              <w:t>-</w:t>
            </w:r>
          </w:p>
        </w:tc>
      </w:tr>
      <w:tr w:rsidR="00672DFC">
        <w:trPr>
          <w:trHeight w:val="925"/>
          <w:jc w:val="center"/>
        </w:trPr>
        <w:tc>
          <w:tcPr>
            <w:tcW w:w="334" w:type="pct"/>
            <w:vAlign w:val="center"/>
          </w:tcPr>
          <w:p w:rsidR="00672DFC" w:rsidRDefault="007062B7">
            <w:pPr>
              <w:spacing w:line="560" w:lineRule="exact"/>
              <w:jc w:val="center"/>
              <w:rPr>
                <w:rFonts w:ascii="宋体" w:hAnsi="宋体" w:cs="宋体"/>
                <w:szCs w:val="21"/>
                <w:lang w:val="en"/>
              </w:rPr>
            </w:pPr>
            <w:r>
              <w:rPr>
                <w:rFonts w:ascii="宋体" w:hAnsi="宋体" w:cs="宋体"/>
                <w:szCs w:val="21"/>
                <w:lang w:val="en"/>
              </w:rPr>
              <w:t>4</w:t>
            </w:r>
          </w:p>
        </w:tc>
        <w:tc>
          <w:tcPr>
            <w:tcW w:w="2325" w:type="pct"/>
            <w:vAlign w:val="center"/>
          </w:tcPr>
          <w:p w:rsidR="00672DFC" w:rsidRDefault="007062B7">
            <w:pPr>
              <w:widowControl/>
              <w:jc w:val="left"/>
              <w:textAlignment w:val="center"/>
              <w:rPr>
                <w:rFonts w:ascii="宋体" w:hAnsi="宋体" w:cs="宋体"/>
                <w:szCs w:val="21"/>
              </w:rPr>
            </w:pPr>
            <w:r>
              <w:rPr>
                <w:rFonts w:ascii="宋体" w:hAnsi="宋体" w:cs="宋体" w:hint="eastAsia"/>
                <w:szCs w:val="21"/>
              </w:rPr>
              <w:t>建议《办法》应当依据《中华人民共和国政府采购法》中相关规定，将“询价采购评审小组”统一改为“询价小组”；将“询价采购文件”统一改为“询价通知书”；</w:t>
            </w:r>
            <w:r>
              <w:rPr>
                <w:rFonts w:ascii="宋体" w:hAnsi="宋体" w:cs="宋体" w:hint="eastAsia"/>
                <w:szCs w:val="21"/>
              </w:rPr>
              <w:t>以及</w:t>
            </w:r>
            <w:r>
              <w:rPr>
                <w:rFonts w:ascii="宋体" w:hAnsi="宋体" w:cs="宋体" w:hint="eastAsia"/>
                <w:szCs w:val="21"/>
              </w:rPr>
              <w:t>询价小组组成方式及询价采购流程等</w:t>
            </w:r>
            <w:r>
              <w:rPr>
                <w:rFonts w:ascii="宋体" w:hAnsi="宋体" w:cs="宋体" w:hint="eastAsia"/>
                <w:szCs w:val="21"/>
              </w:rPr>
              <w:t>要求</w:t>
            </w:r>
            <w:r>
              <w:rPr>
                <w:rFonts w:ascii="宋体" w:hAnsi="宋体" w:cs="宋体" w:hint="eastAsia"/>
                <w:szCs w:val="21"/>
              </w:rPr>
              <w:t>应当遵循《政府采购法》相关规定。</w:t>
            </w:r>
          </w:p>
        </w:tc>
        <w:tc>
          <w:tcPr>
            <w:tcW w:w="509" w:type="pct"/>
            <w:vAlign w:val="center"/>
          </w:tcPr>
          <w:p w:rsidR="00672DFC" w:rsidRDefault="007062B7">
            <w:pPr>
              <w:widowControl/>
              <w:jc w:val="center"/>
              <w:textAlignment w:val="center"/>
              <w:rPr>
                <w:rFonts w:ascii="宋体" w:hAnsi="宋体" w:cs="宋体"/>
                <w:szCs w:val="21"/>
                <w:lang w:val="en"/>
              </w:rPr>
            </w:pPr>
            <w:r>
              <w:rPr>
                <w:rFonts w:ascii="宋体" w:hAnsi="宋体" w:cs="宋体" w:hint="eastAsia"/>
                <w:color w:val="000000"/>
                <w:kern w:val="0"/>
                <w:sz w:val="22"/>
                <w:szCs w:val="22"/>
                <w:lang w:bidi="ar"/>
              </w:rPr>
              <w:t>解释说明</w:t>
            </w:r>
          </w:p>
        </w:tc>
        <w:tc>
          <w:tcPr>
            <w:tcW w:w="1830" w:type="pct"/>
            <w:vAlign w:val="center"/>
          </w:tcPr>
          <w:p w:rsidR="00672DFC" w:rsidRDefault="007062B7">
            <w:pPr>
              <w:widowControl/>
              <w:ind w:firstLineChars="200" w:firstLine="420"/>
              <w:textAlignment w:val="center"/>
              <w:rPr>
                <w:rFonts w:ascii="宋体" w:hAnsi="宋体" w:cs="宋体"/>
                <w:szCs w:val="21"/>
              </w:rPr>
            </w:pPr>
            <w:r>
              <w:rPr>
                <w:rFonts w:ascii="宋体" w:hAnsi="宋体" w:cs="宋体"/>
                <w:szCs w:val="21"/>
              </w:rPr>
              <w:t>《办法》作为深圳市现行招标投标管理制度的重要补充，主要约束的是建设工程中招标未竞价、未达到招标和政府采购相关规定标准的材料设备采购定价问题。</w:t>
            </w:r>
            <w:r>
              <w:rPr>
                <w:rFonts w:ascii="宋体" w:hAnsi="宋体" w:cs="宋体" w:hint="eastAsia"/>
                <w:szCs w:val="21"/>
              </w:rPr>
              <w:t xml:space="preserve">   </w:t>
            </w:r>
          </w:p>
          <w:p w:rsidR="00672DFC" w:rsidRDefault="007062B7">
            <w:pPr>
              <w:widowControl/>
              <w:ind w:firstLineChars="200" w:firstLine="420"/>
              <w:textAlignment w:val="center"/>
              <w:rPr>
                <w:rFonts w:ascii="宋体" w:hAnsi="宋体" w:cs="宋体"/>
                <w:szCs w:val="21"/>
              </w:rPr>
            </w:pPr>
            <w:r>
              <w:rPr>
                <w:rFonts w:ascii="宋体" w:hAnsi="宋体" w:cs="宋体"/>
                <w:szCs w:val="21"/>
              </w:rPr>
              <w:t>《办法》在不违背招投标及政府采购相关原则的基础上，对传统采购程序及要求进行了适度优化，相关术语及操作流程充分考虑了工程建设管理的习惯。</w:t>
            </w:r>
          </w:p>
          <w:p w:rsidR="00672DFC" w:rsidRDefault="007062B7">
            <w:pPr>
              <w:widowControl/>
              <w:ind w:firstLineChars="200" w:firstLine="420"/>
              <w:textAlignment w:val="center"/>
              <w:rPr>
                <w:rFonts w:ascii="宋体" w:hAnsi="宋体" w:cs="宋体"/>
                <w:szCs w:val="21"/>
              </w:rPr>
            </w:pPr>
            <w:r>
              <w:rPr>
                <w:rFonts w:ascii="宋体" w:hAnsi="宋体" w:cs="宋体"/>
                <w:szCs w:val="21"/>
              </w:rPr>
              <w:t>《办法》自</w:t>
            </w:r>
            <w:r>
              <w:rPr>
                <w:rFonts w:ascii="宋体" w:hAnsi="宋体" w:cs="宋体"/>
                <w:szCs w:val="21"/>
              </w:rPr>
              <w:t>2015</w:t>
            </w:r>
            <w:r>
              <w:rPr>
                <w:rFonts w:ascii="宋体" w:hAnsi="宋体" w:cs="宋体"/>
                <w:szCs w:val="21"/>
              </w:rPr>
              <w:t>年实施至今，相关术语及流程已为建设工程各方所广泛接受，推动解决了建设工程招标未竞价材料设备询价难、采购难、</w:t>
            </w:r>
            <w:proofErr w:type="gramStart"/>
            <w:r>
              <w:rPr>
                <w:rFonts w:ascii="宋体" w:hAnsi="宋体" w:cs="宋体"/>
                <w:szCs w:val="21"/>
              </w:rPr>
              <w:t>定价难</w:t>
            </w:r>
            <w:proofErr w:type="gramEnd"/>
            <w:r>
              <w:rPr>
                <w:rFonts w:ascii="宋体" w:hAnsi="宋体" w:cs="宋体"/>
                <w:szCs w:val="21"/>
              </w:rPr>
              <w:t>的问题。为保</w:t>
            </w:r>
            <w:r>
              <w:rPr>
                <w:rFonts w:ascii="宋体" w:hAnsi="宋体" w:cs="宋体"/>
                <w:szCs w:val="21"/>
              </w:rPr>
              <w:lastRenderedPageBreak/>
              <w:t>持立法及制度的稳定性及延续性，相关术语及操作流程不宜做大幅调整。</w:t>
            </w:r>
          </w:p>
        </w:tc>
      </w:tr>
      <w:tr w:rsidR="00672DFC">
        <w:trPr>
          <w:trHeight w:val="531"/>
          <w:jc w:val="center"/>
        </w:trPr>
        <w:tc>
          <w:tcPr>
            <w:tcW w:w="334" w:type="pct"/>
            <w:vAlign w:val="center"/>
          </w:tcPr>
          <w:p w:rsidR="00672DFC" w:rsidRDefault="007062B7">
            <w:pPr>
              <w:spacing w:line="560" w:lineRule="exact"/>
              <w:jc w:val="center"/>
              <w:rPr>
                <w:rFonts w:ascii="宋体" w:hAnsi="宋体" w:cs="宋体"/>
                <w:szCs w:val="21"/>
              </w:rPr>
            </w:pPr>
            <w:r>
              <w:rPr>
                <w:rFonts w:ascii="宋体" w:hAnsi="宋体" w:cs="宋体" w:hint="eastAsia"/>
                <w:color w:val="000000"/>
                <w:kern w:val="0"/>
                <w:sz w:val="22"/>
                <w:szCs w:val="22"/>
                <w:lang w:bidi="ar"/>
              </w:rPr>
              <w:lastRenderedPageBreak/>
              <w:t>5</w:t>
            </w:r>
          </w:p>
        </w:tc>
        <w:tc>
          <w:tcPr>
            <w:tcW w:w="2325" w:type="pct"/>
            <w:vAlign w:val="center"/>
          </w:tcPr>
          <w:p w:rsidR="00672DFC" w:rsidRDefault="007062B7">
            <w:pPr>
              <w:widowControl/>
              <w:jc w:val="left"/>
              <w:textAlignment w:val="center"/>
              <w:rPr>
                <w:rFonts w:ascii="宋体" w:hAnsi="宋体" w:cs="宋体"/>
                <w:szCs w:val="21"/>
              </w:rPr>
            </w:pPr>
            <w:r>
              <w:rPr>
                <w:rFonts w:ascii="宋体" w:hAnsi="宋体" w:cs="宋体" w:hint="eastAsia"/>
                <w:szCs w:val="21"/>
              </w:rPr>
              <w:t>第四条</w:t>
            </w:r>
          </w:p>
          <w:p w:rsidR="00672DFC" w:rsidRDefault="007062B7">
            <w:pPr>
              <w:widowControl/>
              <w:jc w:val="left"/>
              <w:textAlignment w:val="center"/>
              <w:rPr>
                <w:rFonts w:ascii="宋体" w:hAnsi="宋体" w:cs="宋体"/>
                <w:szCs w:val="21"/>
              </w:rPr>
            </w:pPr>
            <w:r>
              <w:rPr>
                <w:rFonts w:ascii="宋体" w:hAnsi="宋体" w:cs="宋体" w:hint="eastAsia"/>
                <w:szCs w:val="21"/>
              </w:rPr>
              <w:t>......</w:t>
            </w:r>
            <w:r>
              <w:rPr>
                <w:rFonts w:ascii="宋体" w:hAnsi="宋体" w:cs="宋体" w:hint="eastAsia"/>
                <w:szCs w:val="21"/>
              </w:rPr>
              <w:t>，</w:t>
            </w:r>
            <w:r>
              <w:rPr>
                <w:rFonts w:ascii="宋体" w:hAnsi="宋体" w:cs="宋体" w:hint="eastAsia"/>
                <w:szCs w:val="21"/>
              </w:rPr>
              <w:t>建设单位应当将其他单位实施的询价采购活动纳入项目全过程造价管理</w:t>
            </w:r>
            <w:r>
              <w:rPr>
                <w:rFonts w:ascii="宋体" w:hAnsi="宋体" w:cs="宋体" w:hint="eastAsia"/>
                <w:szCs w:val="21"/>
              </w:rPr>
              <w:t>。</w:t>
            </w: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其中“项目”含义比较广泛，建议与第六条中表述“建设工程项目”保持一致</w:t>
            </w:r>
            <w:r>
              <w:rPr>
                <w:rFonts w:ascii="宋体" w:hAnsi="宋体" w:cs="宋体" w:hint="eastAsia"/>
                <w:szCs w:val="21"/>
              </w:rPr>
              <w:t>。</w:t>
            </w:r>
          </w:p>
        </w:tc>
        <w:tc>
          <w:tcPr>
            <w:tcW w:w="509" w:type="pct"/>
            <w:vAlign w:val="center"/>
          </w:tcPr>
          <w:p w:rsidR="00672DFC" w:rsidRDefault="007062B7">
            <w:pPr>
              <w:widowControl/>
              <w:jc w:val="center"/>
              <w:textAlignment w:val="center"/>
              <w:rPr>
                <w:rFonts w:ascii="宋体" w:hAnsi="宋体" w:cs="宋体"/>
                <w:szCs w:val="21"/>
                <w:lang w:val="en"/>
              </w:rPr>
            </w:pPr>
            <w:r>
              <w:rPr>
                <w:rFonts w:ascii="宋体" w:hAnsi="宋体" w:cs="宋体" w:hint="eastAsia"/>
                <w:color w:val="000000"/>
                <w:kern w:val="0"/>
                <w:sz w:val="22"/>
                <w:szCs w:val="22"/>
                <w:lang w:bidi="ar"/>
              </w:rPr>
              <w:t>采纳</w:t>
            </w:r>
          </w:p>
        </w:tc>
        <w:tc>
          <w:tcPr>
            <w:tcW w:w="1830" w:type="pct"/>
            <w:vAlign w:val="center"/>
          </w:tcPr>
          <w:p w:rsidR="00672DFC" w:rsidRDefault="007062B7">
            <w:pPr>
              <w:widowControl/>
              <w:jc w:val="center"/>
              <w:textAlignment w:val="center"/>
              <w:rPr>
                <w:rFonts w:ascii="宋体" w:hAnsi="宋体" w:cs="宋体"/>
                <w:szCs w:val="21"/>
              </w:rPr>
            </w:pPr>
            <w:r>
              <w:rPr>
                <w:rFonts w:ascii="宋体" w:hAnsi="宋体" w:cs="宋体" w:hint="eastAsia"/>
                <w:color w:val="000000"/>
                <w:szCs w:val="21"/>
              </w:rPr>
              <w:t>-</w:t>
            </w:r>
          </w:p>
        </w:tc>
      </w:tr>
      <w:tr w:rsidR="00672DFC">
        <w:trPr>
          <w:trHeight w:val="703"/>
          <w:jc w:val="center"/>
        </w:trPr>
        <w:tc>
          <w:tcPr>
            <w:tcW w:w="334" w:type="pct"/>
            <w:vAlign w:val="center"/>
          </w:tcPr>
          <w:p w:rsidR="00672DFC" w:rsidRDefault="007062B7">
            <w:pPr>
              <w:spacing w:line="560" w:lineRule="exact"/>
              <w:jc w:val="center"/>
              <w:rPr>
                <w:rFonts w:ascii="宋体" w:hAnsi="宋体" w:cs="宋体"/>
                <w:szCs w:val="21"/>
              </w:rPr>
            </w:pPr>
            <w:r>
              <w:rPr>
                <w:rFonts w:ascii="宋体" w:hAnsi="宋体" w:cs="宋体" w:hint="eastAsia"/>
                <w:szCs w:val="21"/>
              </w:rPr>
              <w:t>6</w:t>
            </w:r>
          </w:p>
        </w:tc>
        <w:tc>
          <w:tcPr>
            <w:tcW w:w="2325" w:type="pct"/>
            <w:vAlign w:val="center"/>
          </w:tcPr>
          <w:p w:rsidR="00672DFC" w:rsidRDefault="007062B7">
            <w:pPr>
              <w:widowControl/>
              <w:jc w:val="left"/>
              <w:textAlignment w:val="center"/>
              <w:rPr>
                <w:rFonts w:ascii="宋体" w:hAnsi="宋体" w:cs="宋体"/>
                <w:szCs w:val="21"/>
              </w:rPr>
            </w:pPr>
            <w:r>
              <w:rPr>
                <w:rFonts w:ascii="宋体" w:hAnsi="宋体" w:cs="宋体" w:hint="eastAsia"/>
                <w:szCs w:val="21"/>
              </w:rPr>
              <w:t>第六条</w:t>
            </w:r>
          </w:p>
          <w:p w:rsidR="00672DFC" w:rsidRDefault="007062B7">
            <w:pPr>
              <w:widowControl/>
              <w:jc w:val="left"/>
              <w:textAlignment w:val="center"/>
              <w:rPr>
                <w:rFonts w:ascii="宋体" w:hAnsi="宋体" w:cs="宋体"/>
                <w:szCs w:val="21"/>
              </w:rPr>
            </w:pP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当同一个建设工程需多次进行询价采购时，可以由建设单位牵头组建询价采购评审专家</w:t>
            </w:r>
            <w:r>
              <w:rPr>
                <w:rFonts w:ascii="宋体" w:hAnsi="宋体" w:cs="宋体" w:hint="eastAsia"/>
                <w:szCs w:val="21"/>
              </w:rPr>
              <w:t>库</w:t>
            </w:r>
            <w:r>
              <w:rPr>
                <w:rFonts w:ascii="宋体" w:hAnsi="宋体" w:cs="宋体" w:hint="eastAsia"/>
                <w:szCs w:val="21"/>
              </w:rPr>
              <w:t>。</w:t>
            </w: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请明确</w:t>
            </w:r>
            <w:r>
              <w:rPr>
                <w:rFonts w:ascii="宋体" w:hAnsi="宋体" w:cs="宋体" w:hint="eastAsia"/>
                <w:szCs w:val="21"/>
              </w:rPr>
              <w:t>采购人是否可以组建评审专家库</w:t>
            </w:r>
            <w:r>
              <w:rPr>
                <w:rFonts w:ascii="宋体" w:hAnsi="宋体" w:cs="宋体" w:hint="eastAsia"/>
                <w:szCs w:val="21"/>
              </w:rPr>
              <w:t>？</w:t>
            </w:r>
          </w:p>
        </w:tc>
        <w:tc>
          <w:tcPr>
            <w:tcW w:w="509" w:type="pct"/>
            <w:vAlign w:val="center"/>
          </w:tcPr>
          <w:p w:rsidR="00672DFC" w:rsidRDefault="007062B7">
            <w:pPr>
              <w:widowControl/>
              <w:jc w:val="center"/>
              <w:textAlignment w:val="center"/>
              <w:rPr>
                <w:rFonts w:ascii="宋体" w:hAnsi="宋体" w:cs="宋体"/>
                <w:szCs w:val="21"/>
                <w:lang w:val="en"/>
              </w:rPr>
            </w:pPr>
            <w:r>
              <w:rPr>
                <w:rFonts w:ascii="宋体" w:hAnsi="宋体" w:cs="宋体" w:hint="eastAsia"/>
                <w:color w:val="000000"/>
                <w:kern w:val="0"/>
                <w:sz w:val="22"/>
                <w:szCs w:val="22"/>
                <w:lang w:bidi="ar"/>
              </w:rPr>
              <w:t>采纳</w:t>
            </w:r>
          </w:p>
        </w:tc>
        <w:tc>
          <w:tcPr>
            <w:tcW w:w="1830" w:type="pct"/>
            <w:vAlign w:val="center"/>
          </w:tcPr>
          <w:p w:rsidR="00672DFC" w:rsidRDefault="007062B7">
            <w:pPr>
              <w:widowControl/>
              <w:jc w:val="center"/>
              <w:textAlignment w:val="center"/>
              <w:rPr>
                <w:rFonts w:ascii="宋体" w:hAnsi="宋体" w:cs="宋体"/>
                <w:szCs w:val="21"/>
              </w:rPr>
            </w:pPr>
            <w:r>
              <w:rPr>
                <w:rFonts w:ascii="宋体" w:hAnsi="宋体" w:cs="宋体" w:hint="eastAsia"/>
                <w:color w:val="000000"/>
                <w:szCs w:val="21"/>
              </w:rPr>
              <w:t>-</w:t>
            </w:r>
          </w:p>
        </w:tc>
      </w:tr>
      <w:tr w:rsidR="00672DFC">
        <w:trPr>
          <w:trHeight w:val="703"/>
          <w:jc w:val="center"/>
        </w:trPr>
        <w:tc>
          <w:tcPr>
            <w:tcW w:w="334" w:type="pct"/>
            <w:vAlign w:val="center"/>
          </w:tcPr>
          <w:p w:rsidR="00672DFC" w:rsidRDefault="007062B7">
            <w:pPr>
              <w:spacing w:line="560" w:lineRule="exact"/>
              <w:jc w:val="center"/>
              <w:rPr>
                <w:rFonts w:ascii="宋体" w:hAnsi="宋体" w:cs="宋体"/>
                <w:szCs w:val="21"/>
              </w:rPr>
            </w:pPr>
            <w:r>
              <w:rPr>
                <w:rFonts w:ascii="宋体" w:hAnsi="宋体" w:cs="宋体" w:hint="eastAsia"/>
                <w:szCs w:val="21"/>
              </w:rPr>
              <w:t>7</w:t>
            </w:r>
          </w:p>
        </w:tc>
        <w:tc>
          <w:tcPr>
            <w:tcW w:w="2325" w:type="pct"/>
            <w:vAlign w:val="center"/>
          </w:tcPr>
          <w:p w:rsidR="00672DFC" w:rsidRDefault="007062B7">
            <w:pPr>
              <w:widowControl/>
              <w:jc w:val="left"/>
              <w:textAlignment w:val="center"/>
              <w:rPr>
                <w:rFonts w:ascii="宋体" w:hAnsi="宋体" w:cs="宋体"/>
                <w:szCs w:val="21"/>
              </w:rPr>
            </w:pPr>
            <w:r>
              <w:rPr>
                <w:rFonts w:ascii="宋体" w:hAnsi="宋体" w:cs="宋体" w:hint="eastAsia"/>
                <w:szCs w:val="21"/>
              </w:rPr>
              <w:t>第二十条</w:t>
            </w:r>
          </w:p>
          <w:p w:rsidR="00672DFC" w:rsidRDefault="007062B7">
            <w:pPr>
              <w:widowControl/>
              <w:jc w:val="left"/>
              <w:textAlignment w:val="center"/>
              <w:rPr>
                <w:rFonts w:ascii="宋体" w:hAnsi="宋体" w:cs="宋体"/>
                <w:szCs w:val="21"/>
              </w:rPr>
            </w:pP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（二）</w:t>
            </w:r>
            <w:r>
              <w:rPr>
                <w:rFonts w:ascii="宋体" w:hAnsi="宋体" w:cs="宋体" w:hint="eastAsia"/>
                <w:szCs w:val="21"/>
              </w:rPr>
              <w:t>违反本办法第九条第一款相关规定，采购人与供应商恶意串通内定供应商的或者以不合理条件排斥潜在供应商的；</w:t>
            </w:r>
          </w:p>
          <w:p w:rsidR="00672DFC" w:rsidRDefault="007062B7">
            <w:pPr>
              <w:widowControl/>
              <w:jc w:val="left"/>
              <w:textAlignment w:val="center"/>
              <w:rPr>
                <w:rFonts w:ascii="宋体" w:hAnsi="宋体" w:cs="宋体"/>
                <w:szCs w:val="21"/>
              </w:rPr>
            </w:pPr>
            <w:r>
              <w:rPr>
                <w:rFonts w:ascii="宋体" w:hAnsi="宋体" w:cs="宋体" w:hint="eastAsia"/>
                <w:szCs w:val="21"/>
              </w:rPr>
              <w:t>......</w:t>
            </w:r>
          </w:p>
          <w:p w:rsidR="00672DFC" w:rsidRDefault="007062B7">
            <w:pPr>
              <w:widowControl/>
              <w:jc w:val="left"/>
              <w:textAlignment w:val="center"/>
              <w:rPr>
                <w:rFonts w:ascii="宋体" w:hAnsi="宋体" w:cs="宋体"/>
                <w:szCs w:val="21"/>
              </w:rPr>
            </w:pPr>
            <w:r>
              <w:rPr>
                <w:rFonts w:ascii="宋体" w:hAnsi="宋体" w:cs="宋体" w:hint="eastAsia"/>
                <w:szCs w:val="21"/>
              </w:rPr>
              <w:t>其中“</w:t>
            </w:r>
            <w:r>
              <w:rPr>
                <w:rFonts w:ascii="宋体" w:hAnsi="宋体" w:cs="宋体" w:hint="eastAsia"/>
                <w:szCs w:val="21"/>
              </w:rPr>
              <w:t>违反本办法第九条第一款相关规定</w:t>
            </w:r>
            <w:r>
              <w:rPr>
                <w:rFonts w:ascii="宋体" w:hAnsi="宋体" w:cs="宋体" w:hint="eastAsia"/>
                <w:szCs w:val="21"/>
              </w:rPr>
              <w:t>”的</w:t>
            </w:r>
            <w:r>
              <w:rPr>
                <w:rFonts w:ascii="宋体" w:hAnsi="宋体" w:cs="宋体" w:hint="eastAsia"/>
                <w:szCs w:val="21"/>
              </w:rPr>
              <w:t>表述</w:t>
            </w:r>
            <w:r>
              <w:rPr>
                <w:rFonts w:ascii="宋体" w:hAnsi="宋体" w:cs="宋体" w:hint="eastAsia"/>
                <w:szCs w:val="21"/>
              </w:rPr>
              <w:t>方式与上下文</w:t>
            </w:r>
            <w:r>
              <w:rPr>
                <w:rFonts w:ascii="宋体" w:hAnsi="宋体" w:cs="宋体" w:hint="eastAsia"/>
                <w:szCs w:val="21"/>
              </w:rPr>
              <w:t>不一致，建议</w:t>
            </w:r>
            <w:r>
              <w:rPr>
                <w:rFonts w:ascii="宋体" w:hAnsi="宋体" w:cs="宋体" w:hint="eastAsia"/>
                <w:szCs w:val="21"/>
              </w:rPr>
              <w:t>保持</w:t>
            </w:r>
            <w:r>
              <w:rPr>
                <w:rFonts w:ascii="宋体" w:hAnsi="宋体" w:cs="宋体" w:hint="eastAsia"/>
                <w:szCs w:val="21"/>
              </w:rPr>
              <w:t>表述一致。</w:t>
            </w:r>
          </w:p>
        </w:tc>
        <w:tc>
          <w:tcPr>
            <w:tcW w:w="509" w:type="pct"/>
            <w:vAlign w:val="center"/>
          </w:tcPr>
          <w:p w:rsidR="00672DFC" w:rsidRDefault="007062B7">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采纳</w:t>
            </w:r>
          </w:p>
        </w:tc>
        <w:tc>
          <w:tcPr>
            <w:tcW w:w="1830" w:type="pct"/>
            <w:vAlign w:val="center"/>
          </w:tcPr>
          <w:p w:rsidR="00672DFC" w:rsidRDefault="007062B7">
            <w:pPr>
              <w:widowControl/>
              <w:jc w:val="center"/>
              <w:textAlignment w:val="center"/>
              <w:rPr>
                <w:rFonts w:ascii="宋体" w:hAnsi="宋体" w:cs="宋体"/>
                <w:color w:val="000000"/>
                <w:szCs w:val="21"/>
              </w:rPr>
            </w:pPr>
            <w:r>
              <w:rPr>
                <w:rFonts w:ascii="宋体" w:hAnsi="宋体" w:cs="宋体" w:hint="eastAsia"/>
                <w:color w:val="000000"/>
                <w:szCs w:val="21"/>
              </w:rPr>
              <w:t>-</w:t>
            </w:r>
          </w:p>
        </w:tc>
      </w:tr>
    </w:tbl>
    <w:p w:rsidR="00672DFC" w:rsidRDefault="00672DFC">
      <w:pPr>
        <w:rPr>
          <w:szCs w:val="21"/>
        </w:rPr>
      </w:pPr>
    </w:p>
    <w:p w:rsidR="00672DFC" w:rsidRDefault="00672DFC" w:rsidP="00672DFC">
      <w:pPr>
        <w:pStyle w:val="a0"/>
        <w:ind w:firstLine="640"/>
      </w:pPr>
    </w:p>
    <w:sectPr w:rsidR="00672DFC">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2B7" w:rsidRDefault="007062B7" w:rsidP="00207A8B">
      <w:r>
        <w:separator/>
      </w:r>
    </w:p>
  </w:endnote>
  <w:endnote w:type="continuationSeparator" w:id="0">
    <w:p w:rsidR="007062B7" w:rsidRDefault="007062B7" w:rsidP="00207A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altName w:val="方正仿宋_GBK"/>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2B7" w:rsidRDefault="007062B7" w:rsidP="00207A8B">
      <w:r>
        <w:separator/>
      </w:r>
    </w:p>
  </w:footnote>
  <w:footnote w:type="continuationSeparator" w:id="0">
    <w:p w:rsidR="007062B7" w:rsidRDefault="007062B7" w:rsidP="00207A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FhNWJjOGIwOTEyZmJkY2JmYWEyNjQwNTRmNGFhMDkifQ=="/>
  </w:docVars>
  <w:rsids>
    <w:rsidRoot w:val="31951747"/>
    <w:rsid w:val="E7EFE9B4"/>
    <w:rsid w:val="00207A8B"/>
    <w:rsid w:val="00672DFC"/>
    <w:rsid w:val="007062B7"/>
    <w:rsid w:val="013019FE"/>
    <w:rsid w:val="01444E37"/>
    <w:rsid w:val="01815F85"/>
    <w:rsid w:val="0222523C"/>
    <w:rsid w:val="02574CE3"/>
    <w:rsid w:val="026C7207"/>
    <w:rsid w:val="05322576"/>
    <w:rsid w:val="06A81672"/>
    <w:rsid w:val="074D5B0C"/>
    <w:rsid w:val="086E53D7"/>
    <w:rsid w:val="08B73A59"/>
    <w:rsid w:val="094B7AD3"/>
    <w:rsid w:val="09D2208E"/>
    <w:rsid w:val="0A411EAC"/>
    <w:rsid w:val="0A4D65AF"/>
    <w:rsid w:val="0F1802A8"/>
    <w:rsid w:val="100C2679"/>
    <w:rsid w:val="10270A0D"/>
    <w:rsid w:val="118F66DA"/>
    <w:rsid w:val="11DE1CDD"/>
    <w:rsid w:val="11F54C31"/>
    <w:rsid w:val="12604834"/>
    <w:rsid w:val="13487DAE"/>
    <w:rsid w:val="13884297"/>
    <w:rsid w:val="145A5E09"/>
    <w:rsid w:val="15075A0D"/>
    <w:rsid w:val="151A12ED"/>
    <w:rsid w:val="17456004"/>
    <w:rsid w:val="176D617B"/>
    <w:rsid w:val="18014470"/>
    <w:rsid w:val="18695DE3"/>
    <w:rsid w:val="1B4A495B"/>
    <w:rsid w:val="1BEC2FB3"/>
    <w:rsid w:val="1E9C6E58"/>
    <w:rsid w:val="1EB761ED"/>
    <w:rsid w:val="1EE76CC2"/>
    <w:rsid w:val="211D0AE0"/>
    <w:rsid w:val="228274AE"/>
    <w:rsid w:val="24466FD8"/>
    <w:rsid w:val="24E077C8"/>
    <w:rsid w:val="26551754"/>
    <w:rsid w:val="269B2AE6"/>
    <w:rsid w:val="27362CE4"/>
    <w:rsid w:val="27D40264"/>
    <w:rsid w:val="28A14135"/>
    <w:rsid w:val="2A40035E"/>
    <w:rsid w:val="2D071ACD"/>
    <w:rsid w:val="2D0852EE"/>
    <w:rsid w:val="2DE12E59"/>
    <w:rsid w:val="2EEB5029"/>
    <w:rsid w:val="305C2FC6"/>
    <w:rsid w:val="31951747"/>
    <w:rsid w:val="320A3D3B"/>
    <w:rsid w:val="320F4EAD"/>
    <w:rsid w:val="34345499"/>
    <w:rsid w:val="369A1AB0"/>
    <w:rsid w:val="38605AD8"/>
    <w:rsid w:val="39053CAF"/>
    <w:rsid w:val="3A8F731E"/>
    <w:rsid w:val="3D6307DC"/>
    <w:rsid w:val="3EFF0DE7"/>
    <w:rsid w:val="3FA1702C"/>
    <w:rsid w:val="43FD701B"/>
    <w:rsid w:val="443A35FD"/>
    <w:rsid w:val="468876F9"/>
    <w:rsid w:val="48BD345D"/>
    <w:rsid w:val="48F30D3D"/>
    <w:rsid w:val="4A573A91"/>
    <w:rsid w:val="4AF07B1A"/>
    <w:rsid w:val="4B1E4B4A"/>
    <w:rsid w:val="4B9506C1"/>
    <w:rsid w:val="4BC42D59"/>
    <w:rsid w:val="4D7F46B4"/>
    <w:rsid w:val="51237D2E"/>
    <w:rsid w:val="524248AB"/>
    <w:rsid w:val="53CA1416"/>
    <w:rsid w:val="546D5D37"/>
    <w:rsid w:val="54BB56AF"/>
    <w:rsid w:val="55517407"/>
    <w:rsid w:val="55785749"/>
    <w:rsid w:val="55E97640"/>
    <w:rsid w:val="560D23B9"/>
    <w:rsid w:val="5BF46D3E"/>
    <w:rsid w:val="5C8332D2"/>
    <w:rsid w:val="5D170C89"/>
    <w:rsid w:val="5D277835"/>
    <w:rsid w:val="5DB004C1"/>
    <w:rsid w:val="5E805317"/>
    <w:rsid w:val="5EAA515C"/>
    <w:rsid w:val="5FBF7D54"/>
    <w:rsid w:val="60D038E2"/>
    <w:rsid w:val="60E42582"/>
    <w:rsid w:val="64FC2F58"/>
    <w:rsid w:val="670D58C0"/>
    <w:rsid w:val="67A33274"/>
    <w:rsid w:val="683B35C2"/>
    <w:rsid w:val="697E0FA2"/>
    <w:rsid w:val="69D05529"/>
    <w:rsid w:val="6A53191B"/>
    <w:rsid w:val="6AD21B9B"/>
    <w:rsid w:val="6B464D0B"/>
    <w:rsid w:val="6B6433C1"/>
    <w:rsid w:val="6C4A33A6"/>
    <w:rsid w:val="6D0B2574"/>
    <w:rsid w:val="702A6D7B"/>
    <w:rsid w:val="706459F2"/>
    <w:rsid w:val="71A2507A"/>
    <w:rsid w:val="72D02269"/>
    <w:rsid w:val="734D072D"/>
    <w:rsid w:val="7507768A"/>
    <w:rsid w:val="752E0E4E"/>
    <w:rsid w:val="75473F77"/>
    <w:rsid w:val="777C45A3"/>
    <w:rsid w:val="7A15269A"/>
    <w:rsid w:val="7AB57A3E"/>
    <w:rsid w:val="7C432D60"/>
    <w:rsid w:val="7C6543A4"/>
    <w:rsid w:val="7CF0780B"/>
    <w:rsid w:val="7DD81BC4"/>
    <w:rsid w:val="7EEFBDEC"/>
    <w:rsid w:val="7EF04D52"/>
    <w:rsid w:val="7F1B7FBA"/>
    <w:rsid w:val="7FFF38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pPr>
      <w:adjustRightInd w:val="0"/>
      <w:snapToGrid w:val="0"/>
      <w:spacing w:after="120" w:line="353" w:lineRule="auto"/>
      <w:ind w:firstLineChars="200" w:firstLine="576"/>
    </w:pPr>
    <w:rPr>
      <w:rFonts w:eastAsia="仿宋_GB2312"/>
      <w:sz w:val="32"/>
      <w:szCs w:val="32"/>
    </w:rPr>
  </w:style>
  <w:style w:type="table" w:styleId="a4">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31">
    <w:name w:val="font31"/>
    <w:basedOn w:val="a1"/>
    <w:qFormat/>
    <w:rPr>
      <w:rFonts w:ascii="Calibri" w:hAnsi="Calibri" w:cs="Calibri"/>
      <w:color w:val="000000"/>
      <w:sz w:val="22"/>
      <w:szCs w:val="22"/>
      <w:u w:val="none"/>
    </w:rPr>
  </w:style>
  <w:style w:type="character" w:customStyle="1" w:styleId="font11">
    <w:name w:val="font11"/>
    <w:basedOn w:val="a1"/>
    <w:qFormat/>
    <w:rPr>
      <w:rFonts w:ascii="宋体" w:eastAsia="宋体" w:hAnsi="宋体" w:cs="宋体" w:hint="eastAsia"/>
      <w:color w:val="000000"/>
      <w:sz w:val="22"/>
      <w:szCs w:val="22"/>
      <w:u w:val="none"/>
    </w:rPr>
  </w:style>
  <w:style w:type="character" w:customStyle="1" w:styleId="font01">
    <w:name w:val="font01"/>
    <w:basedOn w:val="a1"/>
    <w:qFormat/>
    <w:rPr>
      <w:rFonts w:ascii="宋体" w:eastAsia="宋体" w:hAnsi="宋体" w:cs="宋体" w:hint="eastAsia"/>
      <w:b/>
      <w:bCs/>
      <w:color w:val="000000"/>
      <w:sz w:val="22"/>
      <w:szCs w:val="22"/>
      <w:u w:val="none"/>
    </w:rPr>
  </w:style>
  <w:style w:type="paragraph" w:styleId="a5">
    <w:name w:val="header"/>
    <w:basedOn w:val="a"/>
    <w:link w:val="Char"/>
    <w:rsid w:val="00207A8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207A8B"/>
    <w:rPr>
      <w:rFonts w:ascii="Calibri" w:hAnsi="Calibri"/>
      <w:kern w:val="2"/>
      <w:sz w:val="18"/>
      <w:szCs w:val="18"/>
    </w:rPr>
  </w:style>
  <w:style w:type="paragraph" w:styleId="a6">
    <w:name w:val="footer"/>
    <w:basedOn w:val="a"/>
    <w:link w:val="Char0"/>
    <w:rsid w:val="00207A8B"/>
    <w:pPr>
      <w:tabs>
        <w:tab w:val="center" w:pos="4153"/>
        <w:tab w:val="right" w:pos="8306"/>
      </w:tabs>
      <w:snapToGrid w:val="0"/>
      <w:jc w:val="left"/>
    </w:pPr>
    <w:rPr>
      <w:sz w:val="18"/>
      <w:szCs w:val="18"/>
    </w:rPr>
  </w:style>
  <w:style w:type="character" w:customStyle="1" w:styleId="Char0">
    <w:name w:val="页脚 Char"/>
    <w:basedOn w:val="a1"/>
    <w:link w:val="a6"/>
    <w:rsid w:val="00207A8B"/>
    <w:rPr>
      <w:rFonts w:ascii="Calibri" w:hAnsi="Calibr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pPr>
      <w:adjustRightInd w:val="0"/>
      <w:snapToGrid w:val="0"/>
      <w:spacing w:after="120" w:line="353" w:lineRule="auto"/>
      <w:ind w:firstLineChars="200" w:firstLine="576"/>
    </w:pPr>
    <w:rPr>
      <w:rFonts w:eastAsia="仿宋_GB2312"/>
      <w:sz w:val="32"/>
      <w:szCs w:val="32"/>
    </w:rPr>
  </w:style>
  <w:style w:type="table" w:styleId="a4">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31">
    <w:name w:val="font31"/>
    <w:basedOn w:val="a1"/>
    <w:qFormat/>
    <w:rPr>
      <w:rFonts w:ascii="Calibri" w:hAnsi="Calibri" w:cs="Calibri"/>
      <w:color w:val="000000"/>
      <w:sz w:val="22"/>
      <w:szCs w:val="22"/>
      <w:u w:val="none"/>
    </w:rPr>
  </w:style>
  <w:style w:type="character" w:customStyle="1" w:styleId="font11">
    <w:name w:val="font11"/>
    <w:basedOn w:val="a1"/>
    <w:qFormat/>
    <w:rPr>
      <w:rFonts w:ascii="宋体" w:eastAsia="宋体" w:hAnsi="宋体" w:cs="宋体" w:hint="eastAsia"/>
      <w:color w:val="000000"/>
      <w:sz w:val="22"/>
      <w:szCs w:val="22"/>
      <w:u w:val="none"/>
    </w:rPr>
  </w:style>
  <w:style w:type="character" w:customStyle="1" w:styleId="font01">
    <w:name w:val="font01"/>
    <w:basedOn w:val="a1"/>
    <w:qFormat/>
    <w:rPr>
      <w:rFonts w:ascii="宋体" w:eastAsia="宋体" w:hAnsi="宋体" w:cs="宋体" w:hint="eastAsia"/>
      <w:b/>
      <w:bCs/>
      <w:color w:val="000000"/>
      <w:sz w:val="22"/>
      <w:szCs w:val="22"/>
      <w:u w:val="none"/>
    </w:rPr>
  </w:style>
  <w:style w:type="paragraph" w:styleId="a5">
    <w:name w:val="header"/>
    <w:basedOn w:val="a"/>
    <w:link w:val="Char"/>
    <w:rsid w:val="00207A8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207A8B"/>
    <w:rPr>
      <w:rFonts w:ascii="Calibri" w:hAnsi="Calibri"/>
      <w:kern w:val="2"/>
      <w:sz w:val="18"/>
      <w:szCs w:val="18"/>
    </w:rPr>
  </w:style>
  <w:style w:type="paragraph" w:styleId="a6">
    <w:name w:val="footer"/>
    <w:basedOn w:val="a"/>
    <w:link w:val="Char0"/>
    <w:rsid w:val="00207A8B"/>
    <w:pPr>
      <w:tabs>
        <w:tab w:val="center" w:pos="4153"/>
        <w:tab w:val="right" w:pos="8306"/>
      </w:tabs>
      <w:snapToGrid w:val="0"/>
      <w:jc w:val="left"/>
    </w:pPr>
    <w:rPr>
      <w:sz w:val="18"/>
      <w:szCs w:val="18"/>
    </w:rPr>
  </w:style>
  <w:style w:type="character" w:customStyle="1" w:styleId="Char0">
    <w:name w:val="页脚 Char"/>
    <w:basedOn w:val="a1"/>
    <w:link w:val="a6"/>
    <w:rsid w:val="00207A8B"/>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141</Words>
  <Characters>807</Characters>
  <Application>Microsoft Office Word</Application>
  <DocSecurity>0</DocSecurity>
  <Lines>6</Lines>
  <Paragraphs>1</Paragraphs>
  <ScaleCrop>false</ScaleCrop>
  <Company>Microsoft</Company>
  <LinksUpToDate>false</LinksUpToDate>
  <CharactersWithSpaces>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熊威</cp:lastModifiedBy>
  <cp:revision>2</cp:revision>
  <dcterms:created xsi:type="dcterms:W3CDTF">2023-04-20T03:38:00Z</dcterms:created>
  <dcterms:modified xsi:type="dcterms:W3CDTF">2024-05-22T01:49:00Z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E2B50E5EE2644ABEAE2C499B687970E3_13</vt:lpwstr>
  </property>
</Properties>
</file>