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jc w:val="left"/>
        <w:rPr>
          <w:rFonts w:ascii="黑体" w:hAnsi="黑体" w:eastAsia="黑体" w:cs="黑体"/>
          <w:bCs/>
          <w:color w:val="000000"/>
          <w:sz w:val="44"/>
          <w:szCs w:val="44"/>
        </w:rPr>
      </w:pPr>
      <w:bookmarkStart w:id="0" w:name="_GoBack"/>
      <w:bookmarkEnd w:id="0"/>
      <w:r>
        <w:rPr>
          <w:rFonts w:hint="eastAsia" w:ascii="黑体" w:hAnsi="黑体" w:eastAsia="黑体" w:cs="黑体"/>
          <w:bCs/>
          <w:sz w:val="32"/>
          <w:szCs w:val="32"/>
        </w:rPr>
        <w:t xml:space="preserve">附件1 </w:t>
      </w:r>
      <w:r>
        <w:rPr>
          <w:rFonts w:hint="eastAsia" w:ascii="黑体" w:hAnsi="黑体" w:eastAsia="黑体" w:cs="黑体"/>
          <w:bCs/>
          <w:sz w:val="30"/>
          <w:szCs w:val="30"/>
        </w:rPr>
        <w:t xml:space="preserve">       </w:t>
      </w:r>
      <w:r>
        <w:rPr>
          <w:rFonts w:hint="eastAsia" w:ascii="黑体" w:hAnsi="黑体" w:eastAsia="黑体" w:cs="黑体"/>
          <w:bCs/>
          <w:color w:val="000000"/>
          <w:sz w:val="44"/>
          <w:szCs w:val="44"/>
        </w:rPr>
        <w:t xml:space="preserve"> </w:t>
      </w:r>
    </w:p>
    <w:p>
      <w:pPr>
        <w:pStyle w:val="2"/>
        <w:ind w:firstLine="420"/>
      </w:pPr>
    </w:p>
    <w:p>
      <w:pPr>
        <w:topLinePunct/>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《建筑信息模型语义字典标准（征求意见稿）》意见及采纳情况汇总表</w:t>
      </w:r>
    </w:p>
    <w:p>
      <w:pPr>
        <w:spacing w:line="578" w:lineRule="exact"/>
        <w:ind w:firstLine="840" w:firstLineChars="3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经广泛征求各市直部门及各区意见，并向有关单位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企业和社会人士征求意见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截至2月16日，本次</w:t>
      </w:r>
      <w:r>
        <w:rPr>
          <w:rFonts w:hint="eastAsia" w:ascii="仿宋_GB2312" w:hAnsi="仿宋_GB2312" w:eastAsia="仿宋_GB2312" w:cs="仿宋_GB2312"/>
          <w:sz w:val="28"/>
          <w:szCs w:val="28"/>
          <w:lang w:val="en-US" w:eastAsia="zh-CN"/>
        </w:rPr>
        <w:t>公开</w:t>
      </w:r>
      <w:r>
        <w:rPr>
          <w:rFonts w:hint="eastAsia" w:ascii="仿宋_GB2312" w:hAnsi="仿宋_GB2312" w:eastAsia="仿宋_GB2312" w:cs="仿宋_GB2312"/>
          <w:sz w:val="28"/>
          <w:szCs w:val="28"/>
        </w:rPr>
        <w:t>征求意见</w:t>
      </w:r>
      <w:r>
        <w:rPr>
          <w:rFonts w:hint="eastAsia" w:ascii="仿宋_GB2312" w:hAnsi="仿宋_GB2312" w:eastAsia="仿宋_GB2312" w:cs="仿宋_GB2312"/>
          <w:sz w:val="28"/>
          <w:szCs w:val="28"/>
          <w:lang w:val="en-US" w:eastAsia="zh-CN"/>
        </w:rPr>
        <w:t>期间</w:t>
      </w:r>
      <w:r>
        <w:rPr>
          <w:rFonts w:hint="eastAsia" w:ascii="仿宋_GB2312" w:hAnsi="仿宋_GB2312" w:eastAsia="仿宋_GB2312" w:cs="仿宋_GB2312"/>
          <w:sz w:val="28"/>
          <w:szCs w:val="28"/>
        </w:rPr>
        <w:t>共收</w:t>
      </w:r>
      <w:r>
        <w:rPr>
          <w:rFonts w:hint="eastAsia" w:ascii="仿宋_GB2312" w:hAnsi="仿宋_GB2312" w:eastAsia="仿宋_GB2312" w:cs="仿宋_GB2312"/>
          <w:sz w:val="28"/>
          <w:szCs w:val="28"/>
          <w:lang w:val="en-US" w:eastAsia="zh-CN"/>
        </w:rPr>
        <w:t>到</w:t>
      </w:r>
      <w:r>
        <w:rPr>
          <w:rFonts w:hint="eastAsia" w:ascii="仿宋_GB2312" w:hAnsi="仿宋_GB2312" w:eastAsia="仿宋_GB2312" w:cs="仿宋_GB2312"/>
          <w:sz w:val="28"/>
          <w:szCs w:val="28"/>
        </w:rPr>
        <w:t>94条有效意见。其中，采纳69条，部分采纳6条，解释说明19条，不采纳0条。</w:t>
      </w:r>
    </w:p>
    <w:tbl>
      <w:tblPr>
        <w:tblStyle w:val="12"/>
        <w:tblW w:w="4996" w:type="pct"/>
        <w:tblInd w:w="0" w:type="dxa"/>
        <w:tblLayout w:type="autofit"/>
        <w:tblCellMar>
          <w:top w:w="0" w:type="dxa"/>
          <w:left w:w="108" w:type="dxa"/>
          <w:bottom w:w="0" w:type="dxa"/>
          <w:right w:w="108" w:type="dxa"/>
        </w:tblCellMar>
      </w:tblPr>
      <w:tblGrid>
        <w:gridCol w:w="1208"/>
        <w:gridCol w:w="2039"/>
        <w:gridCol w:w="5624"/>
        <w:gridCol w:w="1387"/>
        <w:gridCol w:w="3949"/>
      </w:tblGrid>
      <w:tr>
        <w:tblPrEx>
          <w:tblCellMar>
            <w:top w:w="0" w:type="dxa"/>
            <w:left w:w="108" w:type="dxa"/>
            <w:bottom w:w="0" w:type="dxa"/>
            <w:right w:w="108" w:type="dxa"/>
          </w:tblCellMar>
        </w:tblPrEx>
        <w:trPr>
          <w:trHeight w:val="288" w:hRule="atLeast"/>
          <w:tblHeader/>
        </w:trPr>
        <w:tc>
          <w:tcPr>
            <w:tcW w:w="4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Times New Roman"/>
                <w:b/>
                <w:bCs/>
                <w:color w:val="000000"/>
                <w:szCs w:val="21"/>
              </w:rPr>
            </w:pPr>
            <w:r>
              <w:rPr>
                <w:rFonts w:eastAsia="等线" w:cs="Times New Roman"/>
                <w:b/>
                <w:bCs/>
                <w:color w:val="000000"/>
                <w:kern w:val="0"/>
                <w:szCs w:val="21"/>
                <w:lang w:bidi="ar"/>
              </w:rPr>
              <w:t>序号</w:t>
            </w:r>
          </w:p>
        </w:tc>
        <w:tc>
          <w:tcPr>
            <w:tcW w:w="71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条文</w:t>
            </w:r>
          </w:p>
        </w:tc>
        <w:tc>
          <w:tcPr>
            <w:tcW w:w="197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修改意见</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处理情况</w:t>
            </w:r>
          </w:p>
        </w:tc>
        <w:tc>
          <w:tcPr>
            <w:tcW w:w="1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情况说明</w:t>
            </w: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5系统类目应按《建筑信息模型设计交付标准》GB/T 51269的附录A 模型单元系统分类的有关规定执行，是否应为《建筑信息模型分类和编码标准》GB/T 51269。</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9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附录A、附录B</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附录A、B表头包含工程规划交付、施工图交付、既有建筑交付、工程规划审查、消防审查、施工图审查等内容，建议增加“既有建筑交付抽查”一列。 理由：当前各区对既有重点建筑进行建模，并由市住建局组织既有建筑建模抽查，为发挥本标准更大的价值与覆盖面，建议在附录A、B表头中增加“既有建筑建模交付抽查”一列。</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既有建筑交付中的内容包括了“既有建筑交付抽查”，故不再单独增加该列。</w:t>
            </w: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施工图审查术语包含规范编号（例如：GB 50352-2019：住宅建筑），工程规划审查术语、消防审查术语建议同样加上目前包含的规范编号。</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4.7.1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eastAsia="zh-CN" w:bidi="ar"/>
              </w:rPr>
              <w:t>“</w:t>
            </w:r>
            <w:r>
              <w:rPr>
                <w:rFonts w:hint="eastAsia" w:eastAsia="等线" w:cs="等线"/>
                <w:color w:val="000000"/>
                <w:kern w:val="0"/>
                <w:szCs w:val="21"/>
                <w:lang w:bidi="ar"/>
              </w:rPr>
              <w:t>本标准中的类目宜映射到常用的IFC、Revit等数据格式，或者UniClass、GB/T51269等其他分类编码体系</w:t>
            </w:r>
            <w:r>
              <w:rPr>
                <w:rFonts w:hint="eastAsia" w:eastAsia="等线" w:cs="等线"/>
                <w:color w:val="000000"/>
                <w:kern w:val="0"/>
                <w:szCs w:val="21"/>
                <w:lang w:eastAsia="zh-CN" w:bidi="ar"/>
              </w:rPr>
              <w:t>”，</w:t>
            </w:r>
            <w:r>
              <w:rPr>
                <w:rFonts w:hint="eastAsia" w:eastAsia="等线" w:cs="等线"/>
                <w:color w:val="000000"/>
                <w:kern w:val="0"/>
                <w:szCs w:val="21"/>
                <w:lang w:bidi="ar"/>
              </w:rPr>
              <w:t>建议标准里面不应出现软件名称。</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建议进一步明确本标准适用工程项目类型，如是否适用水务、交通等工程项目。</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4.5.1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建议“……并应符合深圳市建筑信息模型交付、存储等相关标准的规定”中写明深圳市建筑信息模型交付、存储标准全称及标准号。</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4.7.1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“本标准中的类目宜映射到常用的IFC、Revit等数据格式”中Revit为软件名称，并非数据格式，建议调整相关表述。</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4.9和4.10</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该两章分别为标准的版本与更新、标准的发布，建议调整至标准说明文件中。</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等线"/>
                <w:color w:val="000000"/>
                <w:szCs w:val="21"/>
              </w:rPr>
            </w:pPr>
            <w:r>
              <w:rPr>
                <w:rFonts w:hint="eastAsia" w:eastAsia="等线" w:cs="等线"/>
                <w:color w:val="000000"/>
                <w:kern w:val="0"/>
                <w:szCs w:val="21"/>
                <w:lang w:bidi="ar"/>
              </w:rPr>
              <w:t>4.9和4.10</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建议增加属性字典应用规定章节。</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调整了第4章结构，包含属性字典应用规定相关条款，但不作为单独的章节</w:t>
            </w:r>
          </w:p>
        </w:tc>
      </w:tr>
      <w:tr>
        <w:tblPrEx>
          <w:tblCellMar>
            <w:top w:w="0" w:type="dxa"/>
            <w:left w:w="108" w:type="dxa"/>
            <w:bottom w:w="0" w:type="dxa"/>
            <w:right w:w="108" w:type="dxa"/>
          </w:tblCellMar>
        </w:tblPrEx>
        <w:trPr>
          <w:trHeight w:val="19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表A.2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该表为构件类型表，分类中商品混凝土、水泥及胶凝材料等应为材质分类，而不是构件分类。</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构件类目按《建筑信息模型分类和编码标准》GB/T 51269的附录A.0.10建筑产品的有关规定执行，仅做扩展，不进行删减；商品混凝土、水泥及胶凝材料等内容来自国标原有表格，予以保留。</w:t>
            </w: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第3、4条空间类目……，见附录B构件类型表；构件类目参考……，见附录C空间类型表；是否笔误，空间类目是否应为附录C空间类型表，构件类目应用为附录B构件类型表。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920" w:hRule="atLeast"/>
        </w:trPr>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12</w:t>
            </w:r>
          </w:p>
        </w:tc>
        <w:tc>
          <w:tcPr>
            <w:tcW w:w="7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表A.1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1.建议补充与《深圳市城市规划标准与准则》2.2.2.3条衔接的深圳市规划管控相关的建筑类型表。</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w:t>
            </w:r>
            <w:r>
              <w:rPr>
                <w:rFonts w:hint="eastAsia" w:eastAsia="等线" w:cs="等线"/>
                <w:color w:val="000000"/>
                <w:kern w:val="0"/>
                <w:szCs w:val="21"/>
                <w:lang w:val="en-US" w:eastAsia="zh-CN" w:bidi="ar"/>
              </w:rPr>
              <w:t>.经查</w:t>
            </w:r>
            <w:r>
              <w:rPr>
                <w:rFonts w:hint="eastAsia" w:eastAsia="等线" w:cs="等线"/>
                <w:color w:val="000000"/>
                <w:kern w:val="0"/>
                <w:szCs w:val="21"/>
                <w:lang w:bidi="ar"/>
              </w:rPr>
              <w:t>《深圳市城市规划标准与准则》，补充房屋建筑工程缺少的建筑类型，部分建筑类型的名称或位置与GB/T 51269不同，以GB/T 51269为准，实际应用过程中可通过映射解决两者的冲突。</w:t>
            </w:r>
          </w:p>
        </w:tc>
      </w:tr>
      <w:tr>
        <w:tblPrEx>
          <w:tblCellMar>
            <w:top w:w="0" w:type="dxa"/>
            <w:left w:w="108" w:type="dxa"/>
            <w:bottom w:w="0" w:type="dxa"/>
            <w:right w:w="108" w:type="dxa"/>
          </w:tblCellMar>
        </w:tblPrEx>
        <w:trPr>
          <w:trHeight w:val="120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Times New Roman"/>
                <w:color w:val="000000"/>
                <w:szCs w:val="21"/>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等线"/>
                <w:color w:val="000000"/>
                <w:szCs w:val="21"/>
              </w:rPr>
            </w:pP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2.建议进一步准确表达建筑类型表上各阶段的名称，是否是建设用地规划许可、建设工程规划许可；补充各阶段表格内容。</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等线"/>
                <w:b/>
                <w:bCs/>
                <w:color w:val="000000"/>
                <w:szCs w:val="21"/>
              </w:rPr>
            </w:pP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2</w:t>
            </w:r>
            <w:r>
              <w:rPr>
                <w:rFonts w:hint="eastAsia" w:eastAsia="等线" w:cs="等线"/>
                <w:color w:val="000000"/>
                <w:kern w:val="0"/>
                <w:szCs w:val="21"/>
                <w:lang w:val="en-US" w:eastAsia="zh-CN" w:bidi="ar"/>
              </w:rPr>
              <w:t>.</w:t>
            </w:r>
            <w:r>
              <w:rPr>
                <w:rFonts w:hint="eastAsia" w:eastAsia="等线" w:cs="等线"/>
                <w:color w:val="000000"/>
                <w:kern w:val="0"/>
                <w:szCs w:val="21"/>
                <w:lang w:bidi="ar"/>
              </w:rPr>
              <w:t>该阶段为建设工程规划许可，非建设用地规划许可；现有字典已包括了工程规划许可的内容，不作修订。</w:t>
            </w:r>
          </w:p>
        </w:tc>
      </w:tr>
      <w:tr>
        <w:tblPrEx>
          <w:tblCellMar>
            <w:top w:w="0" w:type="dxa"/>
            <w:left w:w="108" w:type="dxa"/>
            <w:bottom w:w="0" w:type="dxa"/>
            <w:right w:w="108" w:type="dxa"/>
          </w:tblCellMar>
        </w:tblPrEx>
        <w:trPr>
          <w:trHeight w:val="2160" w:hRule="atLeast"/>
        </w:trPr>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13</w:t>
            </w:r>
          </w:p>
        </w:tc>
        <w:tc>
          <w:tcPr>
            <w:tcW w:w="7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表A.3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1.空间类型表分类建议与规划阶段建筑功能空间分类表进一步衔接，目前存在一定的差异。</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w:t>
            </w:r>
            <w:r>
              <w:rPr>
                <w:rFonts w:hint="eastAsia" w:eastAsia="等线" w:cs="等线"/>
                <w:color w:val="000000"/>
                <w:kern w:val="0"/>
                <w:szCs w:val="21"/>
                <w:lang w:val="en-US" w:eastAsia="zh-CN" w:bidi="ar"/>
              </w:rPr>
              <w:t>.经查</w:t>
            </w:r>
            <w:r>
              <w:rPr>
                <w:rFonts w:hint="eastAsia" w:eastAsia="等线" w:cs="等线"/>
                <w:color w:val="000000"/>
                <w:kern w:val="0"/>
                <w:szCs w:val="21"/>
                <w:lang w:bidi="ar"/>
              </w:rPr>
              <w:t>《工程规划许可（房建类）报建建筑信息模型（BIM）交付技术规定》，补充房屋建筑工程缺少的空间类型，部分建筑类型的名称或位置与GB/T 51269不同，以GB/T 51269为准，实际应用过程中可通过映射解决两者的冲突。</w:t>
            </w:r>
          </w:p>
        </w:tc>
      </w:tr>
      <w:tr>
        <w:tblPrEx>
          <w:tblCellMar>
            <w:top w:w="0" w:type="dxa"/>
            <w:left w:w="108" w:type="dxa"/>
            <w:bottom w:w="0" w:type="dxa"/>
            <w:right w:w="108" w:type="dxa"/>
          </w:tblCellMar>
        </w:tblPrEx>
        <w:trPr>
          <w:trHeight w:val="2640"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Times New Roman"/>
                <w:color w:val="000000"/>
                <w:szCs w:val="21"/>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等线"/>
                <w:color w:val="000000"/>
                <w:szCs w:val="21"/>
              </w:rPr>
            </w:pP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2.建议明确“区域”的具体涵义。若指“面积”或“建筑面积”，建议直接采用“面积”或“建筑面积”的表述。</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等线"/>
                <w:b/>
                <w:bCs/>
                <w:color w:val="000000"/>
                <w:szCs w:val="21"/>
              </w:rPr>
            </w:pP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2</w:t>
            </w:r>
            <w:r>
              <w:rPr>
                <w:rFonts w:hint="eastAsia" w:eastAsia="等线" w:cs="等线"/>
                <w:color w:val="000000"/>
                <w:kern w:val="0"/>
                <w:szCs w:val="21"/>
                <w:lang w:val="en-US" w:eastAsia="zh-CN" w:bidi="ar"/>
              </w:rPr>
              <w:t>.</w:t>
            </w:r>
            <w:r>
              <w:rPr>
                <w:rFonts w:hint="eastAsia" w:eastAsia="等线" w:cs="等线"/>
                <w:color w:val="000000"/>
                <w:kern w:val="0"/>
                <w:szCs w:val="21"/>
                <w:lang w:bidi="ar"/>
              </w:rPr>
              <w:t>“区域”对象是项目在某些功能考虑下进行的空间划分，包括防火分区等建筑分区，也包括用面积建模表示的用地面积、建筑面积等；同时，为了区分各种“面积”对象和“面积”属性，对空间表中的各种面积增加后缀”区域“，表示其为模型单元，而不是属性，不作修订。</w:t>
            </w:r>
          </w:p>
        </w:tc>
      </w:tr>
      <w:tr>
        <w:tblPrEx>
          <w:tblCellMar>
            <w:top w:w="0" w:type="dxa"/>
            <w:left w:w="108" w:type="dxa"/>
            <w:bottom w:w="0" w:type="dxa"/>
            <w:right w:w="108" w:type="dxa"/>
          </w:tblCellMar>
        </w:tblPrEx>
        <w:trPr>
          <w:trHeight w:val="12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前言</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建议补充本标准编制目的。</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前言部分概述了标准的任务来源、标准编制的主要工作和主要技术内容，本标准编制目的在编制说明和总则中</w:t>
            </w:r>
            <w:r>
              <w:rPr>
                <w:rFonts w:hint="eastAsia" w:eastAsia="等线" w:cs="等线"/>
                <w:color w:val="000000"/>
                <w:kern w:val="0"/>
                <w:szCs w:val="21"/>
                <w:lang w:eastAsia="zh-CN" w:bidi="ar"/>
              </w:rPr>
              <w:t>已</w:t>
            </w:r>
            <w:r>
              <w:rPr>
                <w:rFonts w:hint="eastAsia" w:eastAsia="等线" w:cs="等线"/>
                <w:color w:val="000000"/>
                <w:kern w:val="0"/>
                <w:szCs w:val="21"/>
                <w:lang w:bidi="ar"/>
              </w:rPr>
              <w:t>描述。</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1.0.2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建议细化本标准适用范围，明确是否包含交通市政工程。</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因第7和8条内容均为“细类编码应采用 8 位数字表示，在小类编码后增加两位细类代码”，内容重复，建议删除其中一条。</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4.7.1</w:t>
            </w:r>
            <w:r>
              <w:rPr>
                <w:rFonts w:hint="eastAsia" w:eastAsia="等线" w:cs="等线"/>
                <w:color w:val="000000"/>
                <w:kern w:val="0"/>
                <w:szCs w:val="21"/>
                <w:lang w:val="en-US" w:eastAsia="zh-CN" w:bidi="ar"/>
              </w:rPr>
              <w:t>和</w:t>
            </w:r>
            <w:r>
              <w:rPr>
                <w:rFonts w:hint="eastAsia" w:eastAsia="等线" w:cs="等线"/>
                <w:color w:val="000000"/>
                <w:kern w:val="0"/>
                <w:szCs w:val="21"/>
                <w:lang w:bidi="ar"/>
              </w:rPr>
              <w:t>4.7.3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建议删除Revit，标准中不应特别考虑某一种软件的数据格式。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6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附录B BIM属性字典</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为保证属性唯一性，建议增加分类编码列，属性分类编码可参考《GB/T51269-2017 建筑信息模型分类和编码标准》中的41表。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属性之间不存在父子级关系，故扩展属性和《建筑信息模型分类和编码标准表》GB/T 51269的附录A.0.15中原有属性名称均处于第三级，前两级分别对应属性类别、属性集。由于属性名称可根据需要进行大量扩展，数量众多，不适于采用两位阿拉伯数字作为代码，因此属性表无编码。</w:t>
            </w:r>
          </w:p>
        </w:tc>
      </w:tr>
      <w:tr>
        <w:tblPrEx>
          <w:tblCellMar>
            <w:top w:w="0" w:type="dxa"/>
            <w:left w:w="108" w:type="dxa"/>
            <w:bottom w:w="0" w:type="dxa"/>
            <w:right w:w="108" w:type="dxa"/>
          </w:tblCellMar>
        </w:tblPrEx>
        <w:trPr>
          <w:trHeight w:val="14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19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4.1.2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原文“分别见附录 A 建筑类型表、附录 B 构件类型表、附录 C 空间类型 表、附录 D 系统类型表。”与附录表格名称不符，建议修改为“分别见附录A 表A1建筑类型表、附录A 表A2构件类型表、附录A 表A3空间类型表、附录A 表A4系统类型表。”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4.1.2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建议将“包括建筑、构件、空间、系统”中“建筑”改为“建筑物”。下文中相同的部分建议同步修改。</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建筑包括建筑物和构筑物，在模型提交时，均对应于单个建筑模型</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4.1.3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原文“附录E属性表”与附录表格名称不符，建议修改为“附录B属性表”。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建议明确“建筑信息模型中对象的分类结构”应符合现行国家标准中具体章节。</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原文“分类表的进一步细分应符合本标准BIM 对象字典附录 A~附录 D 的规定”与附录表格名称不符，建议修改为“分类表的进一步细分应符合本标准 BIM对象字典附录 A的规定”。</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1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原文“2 建筑类目应按《建筑信息模型分类和编码标准》GB/T 51269的附录A.0.1按功能分 建筑物的有关规定执行，并根据领域知识进行扩展，见附录A建筑类型表；”与附录表格名称不符，建议修改为“2建筑类目应按《建筑信息模型分类和编码标准》GB/T 51269 的附录A.0.1按功能分 建筑物的有关规定执行，并根据领域知识进行扩展，见附录A 表A.1建筑类型表；”。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1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原文“3 空间类目应按《建筑信息模型分类和编码标准》GB/T 51269 的附录 A.0.3 按功能分 建筑空间的有关规定执行，根据领域知识进行扩展，见附录 B 构件类型表；”与附录表格名称不符，建议修改为“3 空间类目应按《建筑信息模型分类和编码标准》GB/T 51269的附录A.0.3 按功能分建筑空间的有关规定执行，根据领域知识进行扩展，见附录A    表A.2构件类型表；”。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1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原文“4 构件类目应按《建筑信息模型分类和编码标准》GB/T 51269 的附录 A.0.5 元素、附录A.0.10建筑产品的有关规定执行，根据领域知识进行扩展，见附录C空间类型表；”与附录表格名称不符，建议修改为“4 构件类目应按《建筑信息模型分类和编码标准》GB/T 51269 的附录A.0.5元素、附录A.0.10建筑产品的有关规定执行，根据领域知识进行扩展，见附录A 表A.3空间类型表；”。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9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原文“5 系统类目应按《建筑信息模型设计交付标准》GB/T 51269的附录A模型单元系统分类的有关规定执行，根据领域知识进行扩展，见附录D系统类型表。”与附录表格名称不符，建议修改为“5 系统类目应按《建筑信息模型设计交付标准》GB/T 51269的附录A模型单元系统分类的有关规定执行，根据领域知识进行扩展，见附录A 表A.4系统类型表。”。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9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原文“属性类目应按《建筑信息模型分类和编码标准》GB/T 51269 的附录 A.0.15 属性的有关规定执行，并根据领域知识进行扩展，见附录 E 属性表。”与附录表格名称不符，建议修改为“属性类目应按《建筑信息模型分类和编码标准》GB/T 51269 的附录 A.0.15 属性的有关规定执行，并根据领域知识进行扩展，见附录B属性表。”。</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29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图片及文字标号不对应，建议图片不需要单独编号随文即可。</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图名称“图4.3.2 编码结构”与上文不对应，建议修改为“图4.3.1 编码结构”。</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章节编码未连续，建议修改为4.3.2。</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图名称“图4.3.4 分类对象编码”与上文不对应，建议修改为“图4.3.2 分类对象编码”。</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原文“8 细类编码应采用 8 位数字表示，在小类编码后增加两位细类代码；”与第7条重复，建议删除，重排序号。</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细类编码中第7和第8条编码方法重复。</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4.3.5</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章节编码未连续，建议修改为4.3.3</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4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4.4.2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此章节建议根据《建筑信息模型分类和编码标准》GB/T 51269-2017增加举例说明，“+”例如：表述“带空调的办公室”这一概念时，可利用“+”把描述建筑产品“空调”的编码和商业办公空间“办公室”的编码联合起来，形成组合编码：30-44..00.00+12-12.10.10。</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4.4.3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“在正式提交 BIM 交付物前，应对建筑信息模型中信息的分类和编码的准确性进行复核。”该条文与“4.4对象字典分类编码组合”不对应，建议放到基本规定或其他章节中。</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1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4.5.1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原文“建筑信息模型中对象的分类和编码的应用，应符合应符合现行国家标准《建筑信息 模型设计交付标准》GB/T 51301 和《建筑信息模型存储标准》GB/T 51447 的有关规定，”语句不通顺，建议修改为“建筑信息模型中对象的分类和编码的应用应符合现行国家标准《建筑信息 模型设计交付标准》GB/T 51301 和《建筑信息模型存储标准》GB/T 51447 的有关规定，”。</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39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4.5.3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原文“1 无逻辑运算符号的单个编码应按照表、大类、中类、小类、细类的层级，依次对各级代码按照从小到大的顺序归档；”缺少“子类”。</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4.6</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对象类型标记方法章节建议重新梳理逻辑，本章节理解难度较高。标识与标记是什么关系？标识、规范术语等名词未进行解释。</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4.7.1</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IFC是数据格式，revit是软件名称，是否将revit改为数据格式？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4.7.3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表名称“表 4.7.4 语义字典的数字化表示”与上文不对应，建议修改为“表 4.7.3 语义字典的数字化表示”。</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4.7.3</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表 4.7.4 语义字典的数字化表示中，分类体系名称UniClass的示例uniclass:22-10.44。附录C中UniClass (香港)映射为23-13 35 21，未带“.”。与表 4.7.4表示的不一致。</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4.8.4</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表名称“表 4.8.5 语义字典类目类型”与上文不对应，建议修改为“表 4.8.4语义字典类目类型”。</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4.8.6</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章节编号不连续，建议修改为“4.8.5”。</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4.8.6</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表名称“表 4.8.7语义字典类目具有的关联字段”与上文不对应，对应上一条修改意见，建议修改为“表 4.8.5语义字典类目具有的关联字段”。</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4.8.8</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章节编号不连续，建议修改为“4.8.6”。</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4.8.8</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表名称“表 4.8.9语义字典类目具有的值字段”与上文不对应，对应上一条修改意见，建议修改为“表 4.8.6语义字典类目具有的值字段”。</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49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BIM对象字典</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“阻燃交联聚乙烯绝缘聚氯乙烯护套电力电缆”和“橡套电缆”的分类编码都是30-53.10.20.40，建议复核。</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BIM对象字典</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“防排烟系统建筑部”和“通风机”的分类编码都是30-43.10.00，建议复核。</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BIM对象字典</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“电动排烟窗”和“一般通用通风机”的分类编码都是30-43.10.10，建议复核。</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BIM对象字典</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“防腐通风机”和“挡烟垂壁”的分类编码都是30-43.10.20，建议复核。</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BIM对象字典</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“消防阀门远程控制盒”和“厨房排油烟专用风机”的分类编码都是30-43.10.30，建议复核。</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 BIM对象字典</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“柔性防水套管”和“刚性防水套管”的分类编码都是30-36.50.20.10，建议复核。</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9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表A.2</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构件类型表中，大类混凝土、商品混凝土等定义为构件类型是否合理？包括水泥及胶凝材料等是否应为材质分类而不是构件分类。</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构件类目按《建筑信息模型分类和编码标准》GB/T 51269的附录A.0.10建筑产品的有关规定执行，仅做扩展，不进行删减；商品混凝土、水泥及胶凝材料等内容来自国标原有表格，予以保留。</w:t>
            </w:r>
          </w:p>
        </w:tc>
      </w:tr>
      <w:tr>
        <w:tblPrEx>
          <w:tblCellMar>
            <w:top w:w="0" w:type="dxa"/>
            <w:left w:w="108" w:type="dxa"/>
            <w:bottom w:w="0" w:type="dxa"/>
            <w:right w:w="108" w:type="dxa"/>
          </w:tblCellMar>
        </w:tblPrEx>
        <w:trPr>
          <w:trHeight w:val="26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附录B</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BIM属性字典在《建筑信息模型分类和编码标准表》GB/T 51269 的附录A.0.15 中表代码为41，各项属性应有编码信息，本标准设定的为项目各阶段是否包含此属性，若包含，应补充编码信息。</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属性之间不存在父子级关系，故扩展属性和《建筑信息模型分类和编码标准表》GB/T 51269的附录A.0.15中原有属性名称均处于第三级，前两级分别对应属性类别、属性集。由于属性名称可根据需要进行大量扩展，数量众多，不适于采用两位阿拉伯数字作为代码，因此属性表无编码。</w:t>
            </w: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全文</w:t>
            </w: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全文页码需进行修订调整。</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eastAsia="等线" w:cs="等线"/>
                <w:color w:val="000000"/>
                <w:szCs w:val="21"/>
              </w:rPr>
            </w:pPr>
          </w:p>
        </w:tc>
        <w:tc>
          <w:tcPr>
            <w:tcW w:w="1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“依赖于”非标准规范用语，建议调整表述。</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与GB/T 51269的4.2.2表述一致</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1056"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59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条文中出现的“附录 A 建筑类型表、附录 B 构件类型表、附录C 空间类型表、附录 D 系统类型表、附录 E 属性表”，表格代码与后面附录 A-C 无法对应，建议统一前后表述。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4.3.3</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第 7 条与第 8 条内容重复。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6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表 A.2</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构件类型表中出现“各类水泥、矿物掺合料、混凝土外加剂、骨料等”（第 49~52 页）不合理，建议修正。理由：上述物质均为混凝土组成材料，不是单独构件。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构件类目按《建筑信息模型分类和编码标准》GB/T 51269的附录A.0.10建筑产品的有关规定执行，仅做扩展，不进行删减；商品混凝土、水泥及胶凝材料等内容来自国标原有表格，予以保留。</w:t>
            </w:r>
          </w:p>
        </w:tc>
      </w:tr>
      <w:tr>
        <w:tblPrEx>
          <w:tblCellMar>
            <w:top w:w="0" w:type="dxa"/>
            <w:left w:w="108" w:type="dxa"/>
            <w:bottom w:w="0" w:type="dxa"/>
            <w:right w:w="108" w:type="dxa"/>
          </w:tblCellMar>
        </w:tblPrEx>
        <w:trPr>
          <w:trHeight w:val="36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 B</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建议补充 BIM 算量所需要的部分属性，如混凝土构件的模板类型、混凝土种类、砌体或砌块的规格及强度、钢构件的钢材品种等。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BIM算量属性的补充，涉及属性梳理、与ifc已有属性的对比、理解含义、去重等多个环节，且需通过模型验证，需要很长时间，因此本次不建议纳入本标准中，具体属性内容可在未来的算量子模型标准中进行细致梳理。本标准主要梳理了房建领域各设计专业常用领域属性，但并未强行规定模型中只能使用表中的属性，届时需要的属性名称可参考现有属性表的结构进行扩展，具体属性要求放入算量子模型标准中。</w:t>
            </w:r>
          </w:p>
        </w:tc>
      </w:tr>
      <w:tr>
        <w:tblPrEx>
          <w:tblCellMar>
            <w:top w:w="0" w:type="dxa"/>
            <w:left w:w="108" w:type="dxa"/>
            <w:bottom w:w="0" w:type="dxa"/>
            <w:right w:w="108" w:type="dxa"/>
          </w:tblCellMar>
        </w:tblPrEx>
        <w:trPr>
          <w:trHeight w:val="16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标准名称</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“语义”与“字典”为近义词，“字典”与“标准”搭配也不多见；此外，结合本标准实际编制内容，建议标准名称改为《建筑信息模型工程对象语义标准》。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标准立项评审会时，评审专家讨论的最终意见，为更符合标准内容与定位，将标准名称从《建筑信息模型数据字典标准》改为《建筑信息模型语义字典标准》，综合考虑专家意见，暂不修改标准名称。</w:t>
            </w:r>
          </w:p>
        </w:tc>
      </w:tr>
      <w:tr>
        <w:tblPrEx>
          <w:tblCellMar>
            <w:top w:w="0" w:type="dxa"/>
            <w:left w:w="108" w:type="dxa"/>
            <w:bottom w:w="0" w:type="dxa"/>
            <w:right w:w="108" w:type="dxa"/>
          </w:tblCellMar>
        </w:tblPrEx>
        <w:trPr>
          <w:trHeight w:val="14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标准内容</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考虑到本标准的实用性、可行性以及与既有BIM标准之间的协调性，建议本标准主干内容聚焦为：查缺补漏，对于建筑工程信息模型工程对象（项目级、功能级、构件级和零件级）的命名、分类、编码、数字化标识和属性表达等主要语义，予以相关规定。</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在本标准中增加各对象类型和工程对象（项目级、功能级、构件级和零件级）的联系关系的描述规定。</w:t>
            </w:r>
          </w:p>
        </w:tc>
      </w:tr>
      <w:tr>
        <w:tblPrEx>
          <w:tblCellMar>
            <w:top w:w="0" w:type="dxa"/>
            <w:left w:w="108" w:type="dxa"/>
            <w:bottom w:w="0" w:type="dxa"/>
            <w:right w:w="108" w:type="dxa"/>
          </w:tblCellMar>
        </w:tblPrEx>
        <w:trPr>
          <w:trHeight w:val="14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总体-类型标记</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类型标记具体内容交代不够清晰，如果就是指GB/T51269里的类目名称或类目编码，则无必要单独列示“类型标记”；（2）未明确何种数据格式文件（模型源文件？SZ-IFC文件？……）需进行类型标记，而这牵涉到究竟由何主体来实施该行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删除类型标记</w:t>
            </w:r>
          </w:p>
        </w:tc>
      </w:tr>
      <w:tr>
        <w:tblPrEx>
          <w:tblCellMar>
            <w:top w:w="0" w:type="dxa"/>
            <w:left w:w="108" w:type="dxa"/>
            <w:bottom w:w="0" w:type="dxa"/>
            <w:right w:w="108" w:type="dxa"/>
          </w:tblCellMar>
        </w:tblPrEx>
        <w:trPr>
          <w:trHeight w:val="31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总体-属性表达</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鉴于属性从属于模型单元（工程对象），另根据《建筑信息模型设计交付标准》GB/T 51303第5.3.1条要求的“项目级、功能级、构件级模型单元应分别制定属性信息表”，故建议本标准的项目级模型单元、功能级模型单元、构件级模型单元和零件级模型单元的属性内容，也宜分别表达（目前本标准是把所有属性混合列到附录B，与模型单元未作挂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标准属性分组在GB51269基础上进行扩展，符合GB51269表41的框架。属性的含义和要求与其所属的对象相关，对于不同的对象，相同名称属性的值域、单位可能不同，因此本标准中仅对属性名称进行分组，不对其他属性要求进行约束。在使用时需根据属性关联的对象及属性的具体含义规定其单位与值域等其他内容，具体要求在《审批子模型标准》中进行规定。</w:t>
            </w: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总体-特定软件</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本标准出现特定BIM软件名称——revit，不符合《标准化法》第二十二条第二款规定的“禁止利用标准实施妨碍商品、服务自由流通等排除、限制市场竞争的行为”，故建议删除相关内容。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9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第1章“总则”</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建议紧紧围绕BIM工程建设实际需要和本标准的具体编制内容，进一步完善该章表述。建议明确本标准适用工程类型为建筑工程，此外宜注明：既有建筑可参照使用。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4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69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第2章“术语”</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紧紧围绕BIM工程建设实际需要和本标准的具体编制内容，进一步完善该章表述。（1）建议优化表达或删除部分术语，增设“工程对象”“数据”“类目”等术语；（2）对于需优化或增设的术语，建议优先采用既有相关标准的术语定义，其次可考虑采用全国科学技术名词审定委员会审查颁布的有关科学技术名词；（3）若保留RDF这一缩写语，则建议本章标题改为“术语与缩写语”；（4）不应出现正文里不曾出现的术语，另建议归并同义或近义的用词和术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6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2.0.1“建筑信息模型”</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该术语定义不够准确。建议采用全国科学技术名词审定委员会2014年所颁布《建筑学名词》 (第二版)的定义，即建筑信息模型：以三维数字技术为基础，集成了建筑工程项目各种相关信息的工程数据模型，是对该工程项目相关信息的详尽表达。另在该术语条文说明里，宜注明该定义的出处（下同）。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6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2.0.2“模型单元”</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删除该术语定义中“……也可称为对象”，并在该术语定义里增设“注：模型单元可分为项目级模型单元、功能级模型单元、构件级模型单元、零件级模型单元”，条文说明里可注明四者分别对应项目级工程对象（建筑物）、功能级工程对象（空间）、构件级工程对象、零件级工程对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2.0.3“项目”</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该术语定义不够准确（出现嵌套定义），其设置必要性也不高，建议删除。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52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2.0.4“建筑”</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该术语定义不够准确（出现嵌套定义），其设置必要性也不高，建议删除。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2.0.5“构件”</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该术语定义不够准确，建议优化或删除。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2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2.0.6“空间”</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该术语定义不够准确。可采用全国科学技术名词审定委员会2021年所颁布《城乡规划学名词》的定义，即空间：物体存在的场所以及物体与物体之间的界限或相对位置，通常以三个维度来描述。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2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2.0.7“系统”</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建设工程文件所称“系统”，常规是指各类机电系统，故可采用全国科学技术名词审定委员会2013年所颁布《机械工程名词 第五分册》的定义：系统——为实现规定功能以达到某一目标而构成的相互关联的一个集合体或装置。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2.0.8“对象分类”</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建议删除该术语，增设“分类”术语。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2.0.9“类型标记”</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建议进一步论证设置“类型标记”这一术语（及其内容）的必要性。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删除类型标记</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52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79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2.0.11“值类型”</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分类过细，且与工程建设内容关联不大，建议删除。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2.0.12“属性位置”</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正文里未用到该术语，建议删除。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52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2.0.13“值域”</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分类过细，且与工程建设内容关联不大，建议删除。</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2.0.14“资源描述框架”</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正文无“资源描述框架”表述，故建议删除该术语。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在“语义字典的数字化表示”章节，出现RDF，即资源描述框架,予以保留</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7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2.0.15“资源描述框架模式”</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正文无“资源描述框架模式”表述，故建议删除该术语。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在“语义字典的数字化表示”章节，出现RDFS，即资源描述框架模式,予以保留</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2.0.17“数据字典”</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建议删除该术语。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该术语解释用于解释下一条术语“语义字典”的定义</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2.0.18“语义字典”</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建议删除该术语。</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等线" w:cs="等线"/>
                <w:color w:val="000000"/>
                <w:szCs w:val="21"/>
                <w:lang w:eastAsia="zh-CN"/>
              </w:rPr>
            </w:pPr>
            <w:r>
              <w:rPr>
                <w:rFonts w:hint="eastAsia" w:eastAsia="等线" w:cs="等线"/>
                <w:color w:val="000000"/>
                <w:kern w:val="0"/>
                <w:szCs w:val="21"/>
                <w:lang w:bidi="ar"/>
              </w:rPr>
              <w:t>该术语解释用于解释“语义字典”的定义</w:t>
            </w:r>
            <w:r>
              <w:rPr>
                <w:rFonts w:hint="eastAsia" w:eastAsia="等线" w:cs="等线"/>
                <w:color w:val="000000"/>
                <w:kern w:val="0"/>
                <w:szCs w:val="21"/>
                <w:lang w:eastAsia="zh-CN" w:bidi="ar"/>
              </w:rPr>
              <w:t>。</w:t>
            </w:r>
          </w:p>
        </w:tc>
      </w:tr>
      <w:tr>
        <w:tblPrEx>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第3章“基本规定”</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建议紧紧围绕BIM工程建设实际需要和本标准的具体编制内容，进一步完善该章表述。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33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第4章“技术规定”</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（1）基于前述建议，本章各小节标题可否调整为：4.1 一般规定；4.2 项目级工程对象语义（内容包括命名、分类、编码、数字化标识和属性表达）；4.2 功能级工程对象语义（内容包括命名、分类、编码、数字化标识和属性表达）；4.3 构件级和零件级项目级工程对象语义（内容包括命名、分类、编码、数字化标识和属性表达）；（2）建议优化第4.1节~第4.8节内容表达，归并第4.6节~第4.8节，并建立正文前后文之间、正文与附录之间的正确对应（逻辑）关系；（3）第4.9节、第4.10节不属于本标准编制范畴，建议删除；（4）GB/T51269的编码“补0”规则和某些编码组合规则不够科学，建议适当完善后再予引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（1）解释说明：本标准基于IFC对象分类定义，将建筑信息模型中的对象类型分为建筑、空间、系统、构件，可与项目级、功能级、构件级和零件级模型单元对应。</w:t>
            </w:r>
            <w:r>
              <w:rPr>
                <w:rFonts w:hint="eastAsia" w:eastAsia="等线" w:cs="等线"/>
                <w:color w:val="000000"/>
                <w:kern w:val="0"/>
                <w:szCs w:val="21"/>
                <w:lang w:bidi="ar"/>
              </w:rPr>
              <w:br w:type="textWrapping"/>
            </w:r>
            <w:r>
              <w:rPr>
                <w:rFonts w:hint="eastAsia" w:eastAsia="等线" w:cs="等线"/>
                <w:color w:val="000000"/>
                <w:kern w:val="0"/>
                <w:szCs w:val="21"/>
                <w:lang w:bidi="ar"/>
              </w:rPr>
              <w:t>（2）采纳。</w:t>
            </w:r>
            <w:r>
              <w:rPr>
                <w:rFonts w:hint="eastAsia" w:eastAsia="等线" w:cs="等线"/>
                <w:color w:val="000000"/>
                <w:kern w:val="0"/>
                <w:szCs w:val="21"/>
                <w:lang w:bidi="ar"/>
              </w:rPr>
              <w:br w:type="textWrapping"/>
            </w:r>
            <w:r>
              <w:rPr>
                <w:rFonts w:hint="eastAsia" w:eastAsia="等线" w:cs="等线"/>
                <w:color w:val="000000"/>
                <w:kern w:val="0"/>
                <w:szCs w:val="21"/>
                <w:lang w:bidi="ar"/>
              </w:rPr>
              <w:t>（3）采纳。</w:t>
            </w:r>
            <w:r>
              <w:rPr>
                <w:rFonts w:hint="eastAsia" w:eastAsia="等线" w:cs="等线"/>
                <w:color w:val="000000"/>
                <w:kern w:val="0"/>
                <w:szCs w:val="21"/>
                <w:lang w:bidi="ar"/>
              </w:rPr>
              <w:br w:type="textWrapping"/>
            </w:r>
            <w:r>
              <w:rPr>
                <w:rFonts w:hint="eastAsia" w:eastAsia="等线" w:cs="等线"/>
                <w:color w:val="000000"/>
                <w:kern w:val="0"/>
                <w:szCs w:val="21"/>
                <w:lang w:bidi="ar"/>
              </w:rPr>
              <w:t>（4）解释说明：本标准在GB/T51269的基础上进行了相应补充规定及说明。</w:t>
            </w:r>
          </w:p>
        </w:tc>
      </w:tr>
      <w:tr>
        <w:tblPrEx>
          <w:tblCellMar>
            <w:top w:w="0" w:type="dxa"/>
            <w:left w:w="108" w:type="dxa"/>
            <w:bottom w:w="0" w:type="dxa"/>
            <w:right w:w="108" w:type="dxa"/>
          </w:tblCellMar>
        </w:tblPrEx>
        <w:trPr>
          <w:trHeight w:val="2376"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附录A-表A.1</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结合GB/T51269和前述建议，建议表头改为“项目级工程对象（建筑物）语义表”；（2）鉴于同一用词或术语的前后文含义应是一致的，不可能随着不同规划建设阶段而发生改变，故建议删除“工程规划许可交付术语”“施工图交付术语”“既有建筑交付术语”“工程规划审查术语”“消防审查术语”“施工图审查术语”；（3）结合GB/T51269，建议“对象名称”改为“类目名称”；（4）建议进一步完善表格内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（1）解释说明：本附录的建筑指IFC对象分类定义中的建筑，包括建筑物和构筑物；在模型提交时对应于单个建筑模型，可与项目级工程对象对应。</w:t>
            </w:r>
            <w:r>
              <w:rPr>
                <w:rFonts w:hint="eastAsia" w:eastAsia="等线" w:cs="等线"/>
                <w:color w:val="000000"/>
                <w:kern w:val="0"/>
                <w:szCs w:val="21"/>
                <w:lang w:bidi="ar"/>
              </w:rPr>
              <w:br w:type="textWrapping"/>
            </w:r>
            <w:r>
              <w:rPr>
                <w:rFonts w:hint="eastAsia" w:eastAsia="等线" w:cs="等线"/>
                <w:color w:val="000000"/>
                <w:kern w:val="0"/>
                <w:szCs w:val="21"/>
                <w:lang w:bidi="ar"/>
              </w:rPr>
              <w:t>（2）采纳。</w:t>
            </w:r>
            <w:r>
              <w:rPr>
                <w:rFonts w:hint="eastAsia" w:eastAsia="等线" w:cs="等线"/>
                <w:color w:val="000000"/>
                <w:kern w:val="0"/>
                <w:szCs w:val="21"/>
                <w:lang w:bidi="ar"/>
              </w:rPr>
              <w:br w:type="textWrapping"/>
            </w:r>
            <w:r>
              <w:rPr>
                <w:rFonts w:hint="eastAsia" w:eastAsia="等线" w:cs="等线"/>
                <w:color w:val="000000"/>
                <w:kern w:val="0"/>
                <w:szCs w:val="21"/>
                <w:lang w:bidi="ar"/>
              </w:rPr>
              <w:t>（3）采纳。</w:t>
            </w:r>
            <w:r>
              <w:rPr>
                <w:rFonts w:hint="eastAsia" w:eastAsia="等线" w:cs="等线"/>
                <w:color w:val="000000"/>
                <w:kern w:val="0"/>
                <w:szCs w:val="21"/>
                <w:lang w:bidi="ar"/>
              </w:rPr>
              <w:br w:type="textWrapping"/>
            </w:r>
            <w:r>
              <w:rPr>
                <w:rFonts w:hint="eastAsia" w:eastAsia="等线" w:cs="等线"/>
                <w:color w:val="000000"/>
                <w:kern w:val="0"/>
                <w:szCs w:val="21"/>
                <w:lang w:bidi="ar"/>
              </w:rPr>
              <w:t>（4）采纳。</w:t>
            </w:r>
          </w:p>
        </w:tc>
      </w:tr>
      <w:tr>
        <w:tblPrEx>
          <w:tblCellMar>
            <w:top w:w="0" w:type="dxa"/>
            <w:left w:w="108" w:type="dxa"/>
            <w:bottom w:w="0" w:type="dxa"/>
            <w:right w:w="108" w:type="dxa"/>
          </w:tblCellMar>
        </w:tblPrEx>
        <w:trPr>
          <w:trHeight w:val="264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89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附录A-表A.2</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结合GB/T51269，建议表头改为“构件级和零件级工程对象语义表”，表A.2与表A.3的表头序号对调；（2）鉴于同一用词或术语的前后文含义应是一致的，不可能随着不同规划建设阶段而发生改变，故建议删除“工程规划许可交付术语”“施工图交付术语”“既有建筑交付术语”“工程规划审查术语”“消防审查术语”“施工图审查术语”；（3）结合GB/T51269，建议“对象名称”改为“类目名称”；（4）建议进一步完善表格内容，尤其建议协调好GB/T51269表14和表30的关系。</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（1）解释说明：本附录的构件指IFC对象分类定义中的构件，在模型提交时对应于单个实体构件模型单元，可与构件级和零件级工程对象对应。</w:t>
            </w:r>
            <w:r>
              <w:rPr>
                <w:rFonts w:hint="eastAsia" w:eastAsia="等线" w:cs="等线"/>
                <w:color w:val="000000"/>
                <w:kern w:val="0"/>
                <w:szCs w:val="21"/>
                <w:lang w:bidi="ar"/>
              </w:rPr>
              <w:br w:type="textWrapping"/>
            </w:r>
            <w:r>
              <w:rPr>
                <w:rFonts w:hint="eastAsia" w:eastAsia="等线" w:cs="等线"/>
                <w:color w:val="000000"/>
                <w:kern w:val="0"/>
                <w:szCs w:val="21"/>
                <w:lang w:bidi="ar"/>
              </w:rPr>
              <w:t>（2）采纳。</w:t>
            </w:r>
            <w:r>
              <w:rPr>
                <w:rFonts w:hint="eastAsia" w:eastAsia="等线" w:cs="等线"/>
                <w:color w:val="000000"/>
                <w:kern w:val="0"/>
                <w:szCs w:val="21"/>
                <w:lang w:bidi="ar"/>
              </w:rPr>
              <w:br w:type="textWrapping"/>
            </w:r>
            <w:r>
              <w:rPr>
                <w:rFonts w:hint="eastAsia" w:eastAsia="等线" w:cs="等线"/>
                <w:color w:val="000000"/>
                <w:kern w:val="0"/>
                <w:szCs w:val="21"/>
                <w:lang w:bidi="ar"/>
              </w:rPr>
              <w:t>（3）采纳。</w:t>
            </w:r>
            <w:r>
              <w:rPr>
                <w:rFonts w:hint="eastAsia" w:eastAsia="等线" w:cs="等线"/>
                <w:color w:val="000000"/>
                <w:kern w:val="0"/>
                <w:szCs w:val="21"/>
                <w:lang w:bidi="ar"/>
              </w:rPr>
              <w:br w:type="textWrapping"/>
            </w:r>
            <w:r>
              <w:rPr>
                <w:rFonts w:hint="eastAsia" w:eastAsia="等线" w:cs="等线"/>
                <w:color w:val="000000"/>
                <w:kern w:val="0"/>
                <w:szCs w:val="21"/>
                <w:lang w:bidi="ar"/>
              </w:rPr>
              <w:t>（4）采纳。</w:t>
            </w:r>
          </w:p>
        </w:tc>
      </w:tr>
      <w:tr>
        <w:tblPrEx>
          <w:tblCellMar>
            <w:top w:w="0" w:type="dxa"/>
            <w:left w:w="108" w:type="dxa"/>
            <w:bottom w:w="0" w:type="dxa"/>
            <w:right w:w="108" w:type="dxa"/>
          </w:tblCellMar>
        </w:tblPrEx>
        <w:trPr>
          <w:trHeight w:val="24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90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附录A-表A.3</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结合GB/T51269，建议表头改为“功能级工程对象（空间）语义表”，表A.3与表A.2的表头序号对调；（2）鉴于同一用词或术语的前后文含义应是一致的，不可能随着不同规划建设阶段而发生改变，故建议删除“工程规划许可交付术语”“施工图交付术语”“既有建筑交付术语”“工程规划审查术语”“消防审查术语”“施工图审查术语”；（3）结合GB/T51269，建议“对象名称”改为“类目名称”；（4）建议进一步完善表格内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（1）解释说明：本附录的空间指IFC对象分类定义中的空间元素，包括房间、区域、楼层等；在模型提交时对应于各类空间、面积等模型单元，可与功能级工程对象对应。</w:t>
            </w:r>
            <w:r>
              <w:rPr>
                <w:rFonts w:hint="eastAsia" w:eastAsia="等线" w:cs="等线"/>
                <w:color w:val="000000"/>
                <w:kern w:val="0"/>
                <w:szCs w:val="21"/>
                <w:lang w:bidi="ar"/>
              </w:rPr>
              <w:br w:type="textWrapping"/>
            </w:r>
            <w:r>
              <w:rPr>
                <w:rFonts w:hint="eastAsia" w:eastAsia="等线" w:cs="等线"/>
                <w:color w:val="000000"/>
                <w:kern w:val="0"/>
                <w:szCs w:val="21"/>
                <w:lang w:bidi="ar"/>
              </w:rPr>
              <w:t>（2）采纳。</w:t>
            </w:r>
            <w:r>
              <w:rPr>
                <w:rFonts w:hint="eastAsia" w:eastAsia="等线" w:cs="等线"/>
                <w:color w:val="000000"/>
                <w:kern w:val="0"/>
                <w:szCs w:val="21"/>
                <w:lang w:bidi="ar"/>
              </w:rPr>
              <w:br w:type="textWrapping"/>
            </w:r>
            <w:r>
              <w:rPr>
                <w:rFonts w:hint="eastAsia" w:eastAsia="等线" w:cs="等线"/>
                <w:color w:val="000000"/>
                <w:kern w:val="0"/>
                <w:szCs w:val="21"/>
                <w:lang w:bidi="ar"/>
              </w:rPr>
              <w:t>（3）采纳。</w:t>
            </w:r>
            <w:r>
              <w:rPr>
                <w:rFonts w:hint="eastAsia" w:eastAsia="等线" w:cs="等线"/>
                <w:color w:val="000000"/>
                <w:kern w:val="0"/>
                <w:szCs w:val="21"/>
                <w:lang w:bidi="ar"/>
              </w:rPr>
              <w:br w:type="textWrapping"/>
            </w:r>
            <w:r>
              <w:rPr>
                <w:rFonts w:hint="eastAsia" w:eastAsia="等线" w:cs="等线"/>
                <w:color w:val="000000"/>
                <w:kern w:val="0"/>
                <w:szCs w:val="21"/>
                <w:lang w:bidi="ar"/>
              </w:rPr>
              <w:t>（4）采纳。</w:t>
            </w:r>
          </w:p>
        </w:tc>
      </w:tr>
      <w:tr>
        <w:tblPrEx>
          <w:tblCellMar>
            <w:top w:w="0" w:type="dxa"/>
            <w:left w:w="108" w:type="dxa"/>
            <w:bottom w:w="0" w:type="dxa"/>
            <w:right w:w="108" w:type="dxa"/>
          </w:tblCellMar>
        </w:tblPrEx>
        <w:trPr>
          <w:trHeight w:val="216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91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附录A-表A.4</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“系统”的分类和编码已在上述附录A-表A2表达，故建议删除附录A-表A.4。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附录A.2中的类目为构件模型单元，虽然有些构件名称和系统表中一样，但IFC映射以及建模时使用的对象类型并不相同：附录A.2对应IfcElement，与构件级和零件级工程对象对应；附录A.4对应IfcSystem，与功能级工程对象对应。</w:t>
            </w:r>
          </w:p>
        </w:tc>
      </w:tr>
      <w:tr>
        <w:tblPrEx>
          <w:tblCellMar>
            <w:top w:w="0" w:type="dxa"/>
            <w:left w:w="108" w:type="dxa"/>
            <w:bottom w:w="0" w:type="dxa"/>
            <w:right w:w="108" w:type="dxa"/>
          </w:tblCellMar>
        </w:tblPrEx>
        <w:trPr>
          <w:trHeight w:val="3120"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92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附录B“BIM属性字典”</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正如前述，项目级、功能级、构件级和零件级工程对象的属性不尽相同，故宜分别列示而非混杂表达。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标准属性分组在GB51269基础上进行扩展，符合GB51269表41的框架。属性的含义和要求与其所属的对象相关，对于不同的对象，相同名称属性的值域、单位可能不同，因此本标准中仅对属性名称进行分组，不对其他属性要求进行约束。在使用时需根据属性关联的对象及属性的具体含义规定其单位与值域等其他内容，具体要求在《审批子模型标准》中进行规定。</w:t>
            </w:r>
          </w:p>
        </w:tc>
      </w:tr>
      <w:tr>
        <w:tblPrEx>
          <w:tblCellMar>
            <w:top w:w="0" w:type="dxa"/>
            <w:left w:w="108" w:type="dxa"/>
            <w:bottom w:w="0" w:type="dxa"/>
            <w:right w:w="108" w:type="dxa"/>
          </w:tblCellMar>
        </w:tblPrEx>
        <w:trPr>
          <w:trHeight w:val="52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93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附录C</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（1）附录C内容过于单薄，列为附录意义不大；（2）正文里缺少链接附录C的条款。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528"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eastAsia="等线" w:cs="Times New Roman"/>
                <w:color w:val="000000"/>
                <w:szCs w:val="21"/>
              </w:rPr>
            </w:pPr>
            <w:r>
              <w:rPr>
                <w:rFonts w:eastAsia="等线" w:cs="Times New Roman"/>
                <w:color w:val="000000"/>
                <w:kern w:val="0"/>
                <w:szCs w:val="21"/>
                <w:lang w:bidi="ar"/>
              </w:rPr>
              <w:t>94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条文说明</w:t>
            </w:r>
          </w:p>
        </w:tc>
        <w:tc>
          <w:tcPr>
            <w:tcW w:w="19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（1）第1章条文说明与正文不够吻合；（2）第2~4章和附录均缺少必要的条文说明。</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eastAsia="等线" w:cs="等线"/>
                <w:color w:val="000000"/>
                <w:szCs w:val="21"/>
              </w:rPr>
            </w:pPr>
          </w:p>
        </w:tc>
      </w:tr>
    </w:tbl>
    <w:p/>
    <w:p/>
    <w:sectPr>
      <w:footerReference r:id="rId3" w:type="default"/>
      <w:footerReference r:id="rId4" w:type="even"/>
      <w:pgSz w:w="16838" w:h="11906" w:orient="landscape"/>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separate"/>
    </w:r>
    <w:r>
      <w:rPr>
        <w:rStyle w:val="16"/>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Mzk2ZDczY2U5ZmYzYjkxMWI5OGNkNDliZjFhYmMifQ=="/>
  </w:docVars>
  <w:rsids>
    <w:rsidRoot w:val="00C03C03"/>
    <w:rsid w:val="0000480C"/>
    <w:rsid w:val="00012667"/>
    <w:rsid w:val="00014E91"/>
    <w:rsid w:val="000216EC"/>
    <w:rsid w:val="0003065D"/>
    <w:rsid w:val="00035A5C"/>
    <w:rsid w:val="000571E0"/>
    <w:rsid w:val="00066BC1"/>
    <w:rsid w:val="00072EE3"/>
    <w:rsid w:val="00074B74"/>
    <w:rsid w:val="00096573"/>
    <w:rsid w:val="000A4203"/>
    <w:rsid w:val="000A6F0E"/>
    <w:rsid w:val="000B3BFB"/>
    <w:rsid w:val="000C05BC"/>
    <w:rsid w:val="000C2974"/>
    <w:rsid w:val="001104CE"/>
    <w:rsid w:val="0012259A"/>
    <w:rsid w:val="00133C48"/>
    <w:rsid w:val="00145EC5"/>
    <w:rsid w:val="00154214"/>
    <w:rsid w:val="00157F58"/>
    <w:rsid w:val="0016229B"/>
    <w:rsid w:val="00167B4C"/>
    <w:rsid w:val="0017682C"/>
    <w:rsid w:val="00180903"/>
    <w:rsid w:val="00181F3E"/>
    <w:rsid w:val="00187FBC"/>
    <w:rsid w:val="00197CCC"/>
    <w:rsid w:val="001A2659"/>
    <w:rsid w:val="001C02D8"/>
    <w:rsid w:val="001C0303"/>
    <w:rsid w:val="001D4D99"/>
    <w:rsid w:val="001F5DA7"/>
    <w:rsid w:val="00205E0B"/>
    <w:rsid w:val="00223322"/>
    <w:rsid w:val="00225951"/>
    <w:rsid w:val="002277EE"/>
    <w:rsid w:val="00233063"/>
    <w:rsid w:val="00240025"/>
    <w:rsid w:val="002502B8"/>
    <w:rsid w:val="00260998"/>
    <w:rsid w:val="00265C6D"/>
    <w:rsid w:val="00271C16"/>
    <w:rsid w:val="002731C4"/>
    <w:rsid w:val="00275A68"/>
    <w:rsid w:val="00281D7D"/>
    <w:rsid w:val="002B2076"/>
    <w:rsid w:val="002B2785"/>
    <w:rsid w:val="002E06FB"/>
    <w:rsid w:val="002F0801"/>
    <w:rsid w:val="003008E9"/>
    <w:rsid w:val="00301806"/>
    <w:rsid w:val="00302A31"/>
    <w:rsid w:val="003105E5"/>
    <w:rsid w:val="00320FC7"/>
    <w:rsid w:val="00323B6A"/>
    <w:rsid w:val="003253B8"/>
    <w:rsid w:val="0033739E"/>
    <w:rsid w:val="00362B39"/>
    <w:rsid w:val="003B3C63"/>
    <w:rsid w:val="003B535F"/>
    <w:rsid w:val="003D26DC"/>
    <w:rsid w:val="003D595F"/>
    <w:rsid w:val="003E7D5A"/>
    <w:rsid w:val="00404092"/>
    <w:rsid w:val="00415C00"/>
    <w:rsid w:val="00420D37"/>
    <w:rsid w:val="0042461D"/>
    <w:rsid w:val="00425D56"/>
    <w:rsid w:val="00425D9D"/>
    <w:rsid w:val="004278DF"/>
    <w:rsid w:val="004420A6"/>
    <w:rsid w:val="0045599D"/>
    <w:rsid w:val="00476BE1"/>
    <w:rsid w:val="004802AB"/>
    <w:rsid w:val="004936C2"/>
    <w:rsid w:val="004A63B2"/>
    <w:rsid w:val="004B5245"/>
    <w:rsid w:val="004B5FF8"/>
    <w:rsid w:val="004B606B"/>
    <w:rsid w:val="004C3B0B"/>
    <w:rsid w:val="004C7B91"/>
    <w:rsid w:val="004D1240"/>
    <w:rsid w:val="004D551D"/>
    <w:rsid w:val="0050264D"/>
    <w:rsid w:val="00527622"/>
    <w:rsid w:val="00542F98"/>
    <w:rsid w:val="0055121A"/>
    <w:rsid w:val="00551F4E"/>
    <w:rsid w:val="0055709A"/>
    <w:rsid w:val="00557C25"/>
    <w:rsid w:val="00565EE2"/>
    <w:rsid w:val="005717B4"/>
    <w:rsid w:val="005722F9"/>
    <w:rsid w:val="00573F9D"/>
    <w:rsid w:val="00574377"/>
    <w:rsid w:val="00584849"/>
    <w:rsid w:val="005A20F7"/>
    <w:rsid w:val="005B49B8"/>
    <w:rsid w:val="005B7445"/>
    <w:rsid w:val="005B7F34"/>
    <w:rsid w:val="005D2312"/>
    <w:rsid w:val="005D5740"/>
    <w:rsid w:val="005D5959"/>
    <w:rsid w:val="005D62C9"/>
    <w:rsid w:val="005E1EDD"/>
    <w:rsid w:val="00601229"/>
    <w:rsid w:val="00601948"/>
    <w:rsid w:val="006162CE"/>
    <w:rsid w:val="00621C55"/>
    <w:rsid w:val="006432DE"/>
    <w:rsid w:val="006517EB"/>
    <w:rsid w:val="00695C8C"/>
    <w:rsid w:val="00697153"/>
    <w:rsid w:val="006A03E3"/>
    <w:rsid w:val="006C1C4E"/>
    <w:rsid w:val="006D3ACD"/>
    <w:rsid w:val="006D61B9"/>
    <w:rsid w:val="006E09E6"/>
    <w:rsid w:val="006F7F59"/>
    <w:rsid w:val="00700D71"/>
    <w:rsid w:val="0070622F"/>
    <w:rsid w:val="00724576"/>
    <w:rsid w:val="00732A2A"/>
    <w:rsid w:val="00742922"/>
    <w:rsid w:val="00744B5E"/>
    <w:rsid w:val="00755F20"/>
    <w:rsid w:val="007567AD"/>
    <w:rsid w:val="00764CE4"/>
    <w:rsid w:val="007A5BF8"/>
    <w:rsid w:val="007B0F82"/>
    <w:rsid w:val="007C3E4B"/>
    <w:rsid w:val="007E313B"/>
    <w:rsid w:val="007F6B27"/>
    <w:rsid w:val="0080434C"/>
    <w:rsid w:val="00810467"/>
    <w:rsid w:val="00815A45"/>
    <w:rsid w:val="0083149C"/>
    <w:rsid w:val="00835CDA"/>
    <w:rsid w:val="00847B24"/>
    <w:rsid w:val="00851FEF"/>
    <w:rsid w:val="008522AE"/>
    <w:rsid w:val="00854D6B"/>
    <w:rsid w:val="008568D6"/>
    <w:rsid w:val="008E0FB0"/>
    <w:rsid w:val="008E1918"/>
    <w:rsid w:val="00903891"/>
    <w:rsid w:val="00906ABA"/>
    <w:rsid w:val="0090798A"/>
    <w:rsid w:val="00935A43"/>
    <w:rsid w:val="00936F9A"/>
    <w:rsid w:val="009778EF"/>
    <w:rsid w:val="009B1DA6"/>
    <w:rsid w:val="009C30EB"/>
    <w:rsid w:val="009C513A"/>
    <w:rsid w:val="009E3E3E"/>
    <w:rsid w:val="009F2995"/>
    <w:rsid w:val="00A116E5"/>
    <w:rsid w:val="00A32A3B"/>
    <w:rsid w:val="00A34AD7"/>
    <w:rsid w:val="00A50CB2"/>
    <w:rsid w:val="00A51D7D"/>
    <w:rsid w:val="00A53D42"/>
    <w:rsid w:val="00A61FD6"/>
    <w:rsid w:val="00A7799B"/>
    <w:rsid w:val="00AA04A5"/>
    <w:rsid w:val="00AB0087"/>
    <w:rsid w:val="00AB06CD"/>
    <w:rsid w:val="00AC7C0F"/>
    <w:rsid w:val="00AD2C46"/>
    <w:rsid w:val="00AE604A"/>
    <w:rsid w:val="00AF1A0E"/>
    <w:rsid w:val="00B123F1"/>
    <w:rsid w:val="00B135BA"/>
    <w:rsid w:val="00B22508"/>
    <w:rsid w:val="00B25DC4"/>
    <w:rsid w:val="00B278CE"/>
    <w:rsid w:val="00B32089"/>
    <w:rsid w:val="00B72A59"/>
    <w:rsid w:val="00B72C21"/>
    <w:rsid w:val="00B811D4"/>
    <w:rsid w:val="00B85037"/>
    <w:rsid w:val="00BA2286"/>
    <w:rsid w:val="00BA58A9"/>
    <w:rsid w:val="00BA7FAC"/>
    <w:rsid w:val="00BC3F15"/>
    <w:rsid w:val="00BD4776"/>
    <w:rsid w:val="00BE3C49"/>
    <w:rsid w:val="00BF3FD6"/>
    <w:rsid w:val="00BF769F"/>
    <w:rsid w:val="00C03C03"/>
    <w:rsid w:val="00C24914"/>
    <w:rsid w:val="00C24CC8"/>
    <w:rsid w:val="00C25156"/>
    <w:rsid w:val="00C33601"/>
    <w:rsid w:val="00C42F7E"/>
    <w:rsid w:val="00C82CB1"/>
    <w:rsid w:val="00C84135"/>
    <w:rsid w:val="00CC12C2"/>
    <w:rsid w:val="00CE43A3"/>
    <w:rsid w:val="00CE4A3D"/>
    <w:rsid w:val="00CE51DC"/>
    <w:rsid w:val="00CF417E"/>
    <w:rsid w:val="00CF4665"/>
    <w:rsid w:val="00CF5961"/>
    <w:rsid w:val="00CF7D70"/>
    <w:rsid w:val="00D051F3"/>
    <w:rsid w:val="00D136FC"/>
    <w:rsid w:val="00D13E78"/>
    <w:rsid w:val="00D33F96"/>
    <w:rsid w:val="00D4322E"/>
    <w:rsid w:val="00D554C6"/>
    <w:rsid w:val="00D6031A"/>
    <w:rsid w:val="00D672D0"/>
    <w:rsid w:val="00D8421E"/>
    <w:rsid w:val="00DA5D53"/>
    <w:rsid w:val="00DA6BB0"/>
    <w:rsid w:val="00DB355E"/>
    <w:rsid w:val="00DB4391"/>
    <w:rsid w:val="00DB5830"/>
    <w:rsid w:val="00DB79A4"/>
    <w:rsid w:val="00DB7F38"/>
    <w:rsid w:val="00DC003A"/>
    <w:rsid w:val="00DD0FC8"/>
    <w:rsid w:val="00DE0915"/>
    <w:rsid w:val="00DE49DE"/>
    <w:rsid w:val="00DF45B0"/>
    <w:rsid w:val="00DF6A51"/>
    <w:rsid w:val="00E057A8"/>
    <w:rsid w:val="00E57F6B"/>
    <w:rsid w:val="00E650E6"/>
    <w:rsid w:val="00E75330"/>
    <w:rsid w:val="00E8066C"/>
    <w:rsid w:val="00E864C7"/>
    <w:rsid w:val="00E94254"/>
    <w:rsid w:val="00E95C0E"/>
    <w:rsid w:val="00E97696"/>
    <w:rsid w:val="00E979BD"/>
    <w:rsid w:val="00EC19ED"/>
    <w:rsid w:val="00EC6675"/>
    <w:rsid w:val="00ED02B3"/>
    <w:rsid w:val="00EE7105"/>
    <w:rsid w:val="00EF1AE0"/>
    <w:rsid w:val="00F33E6C"/>
    <w:rsid w:val="00F427ED"/>
    <w:rsid w:val="00F73ADE"/>
    <w:rsid w:val="00F73D57"/>
    <w:rsid w:val="00F76D01"/>
    <w:rsid w:val="00F9291F"/>
    <w:rsid w:val="00FA354D"/>
    <w:rsid w:val="00FF0C78"/>
    <w:rsid w:val="01F81849"/>
    <w:rsid w:val="028F33C6"/>
    <w:rsid w:val="03C14F9E"/>
    <w:rsid w:val="065C347F"/>
    <w:rsid w:val="071D5327"/>
    <w:rsid w:val="08B76304"/>
    <w:rsid w:val="10980E28"/>
    <w:rsid w:val="11D434FA"/>
    <w:rsid w:val="12EF539D"/>
    <w:rsid w:val="138D15B8"/>
    <w:rsid w:val="14B932B9"/>
    <w:rsid w:val="14BA3740"/>
    <w:rsid w:val="14E367C8"/>
    <w:rsid w:val="156F7009"/>
    <w:rsid w:val="182D7FAF"/>
    <w:rsid w:val="1AAB2087"/>
    <w:rsid w:val="1B765D5B"/>
    <w:rsid w:val="20304A05"/>
    <w:rsid w:val="217C579A"/>
    <w:rsid w:val="252934F1"/>
    <w:rsid w:val="274CD170"/>
    <w:rsid w:val="275F84A9"/>
    <w:rsid w:val="27DDE619"/>
    <w:rsid w:val="2B4E474F"/>
    <w:rsid w:val="2DFB6FF7"/>
    <w:rsid w:val="326E53FF"/>
    <w:rsid w:val="32BF3AE4"/>
    <w:rsid w:val="349056F3"/>
    <w:rsid w:val="35C11770"/>
    <w:rsid w:val="35C30AE7"/>
    <w:rsid w:val="368D0853"/>
    <w:rsid w:val="376755FC"/>
    <w:rsid w:val="38003733"/>
    <w:rsid w:val="3869625C"/>
    <w:rsid w:val="38B26CC6"/>
    <w:rsid w:val="3AE54F1C"/>
    <w:rsid w:val="3C3C282D"/>
    <w:rsid w:val="3CAB3C61"/>
    <w:rsid w:val="3D7E739A"/>
    <w:rsid w:val="3FBEDA70"/>
    <w:rsid w:val="43315912"/>
    <w:rsid w:val="43FD7968"/>
    <w:rsid w:val="44467F9B"/>
    <w:rsid w:val="44C331BB"/>
    <w:rsid w:val="45821840"/>
    <w:rsid w:val="479B2428"/>
    <w:rsid w:val="47E02124"/>
    <w:rsid w:val="4931560F"/>
    <w:rsid w:val="499E2AAD"/>
    <w:rsid w:val="49BC2DA5"/>
    <w:rsid w:val="4BAB37F3"/>
    <w:rsid w:val="4D2C448F"/>
    <w:rsid w:val="4F5F05DD"/>
    <w:rsid w:val="50BC3801"/>
    <w:rsid w:val="545D3B49"/>
    <w:rsid w:val="57E33A70"/>
    <w:rsid w:val="586A0242"/>
    <w:rsid w:val="5F817787"/>
    <w:rsid w:val="5FD8464D"/>
    <w:rsid w:val="5FFD83B1"/>
    <w:rsid w:val="613320B7"/>
    <w:rsid w:val="61D24435"/>
    <w:rsid w:val="640C62D6"/>
    <w:rsid w:val="66733DA9"/>
    <w:rsid w:val="66B9DF59"/>
    <w:rsid w:val="69EB77AE"/>
    <w:rsid w:val="6C4B260E"/>
    <w:rsid w:val="6CD3329C"/>
    <w:rsid w:val="6D71439B"/>
    <w:rsid w:val="71494E7F"/>
    <w:rsid w:val="72AF0BB8"/>
    <w:rsid w:val="72DEEB92"/>
    <w:rsid w:val="73A05C31"/>
    <w:rsid w:val="75656D7D"/>
    <w:rsid w:val="757DA9AB"/>
    <w:rsid w:val="77F21522"/>
    <w:rsid w:val="77FFF1C2"/>
    <w:rsid w:val="7AC95AB1"/>
    <w:rsid w:val="7B555C13"/>
    <w:rsid w:val="7D535C87"/>
    <w:rsid w:val="7E7E5F0C"/>
    <w:rsid w:val="7FF6C475"/>
    <w:rsid w:val="7FF7D9E7"/>
    <w:rsid w:val="7FFD1F54"/>
    <w:rsid w:val="93B88A86"/>
    <w:rsid w:val="98DFCC34"/>
    <w:rsid w:val="BEDF8690"/>
    <w:rsid w:val="CF7D26F6"/>
    <w:rsid w:val="CFFEE150"/>
    <w:rsid w:val="EACFDBEA"/>
    <w:rsid w:val="EFBFF289"/>
    <w:rsid w:val="F4B6642D"/>
    <w:rsid w:val="F77DC8EB"/>
    <w:rsid w:val="FBFD16A2"/>
    <w:rsid w:val="FDDA8DC9"/>
    <w:rsid w:val="FF3E9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3"/>
    <w:basedOn w:val="1"/>
    <w:next w:val="1"/>
    <w:link w:val="21"/>
    <w:unhideWhenUsed/>
    <w:qFormat/>
    <w:uiPriority w:val="0"/>
    <w:pPr>
      <w:keepNext/>
      <w:keepLines/>
      <w:spacing w:before="260" w:after="260" w:line="416" w:lineRule="auto"/>
      <w:outlineLvl w:val="2"/>
    </w:pPr>
    <w:rPr>
      <w:rFonts w:ascii="等线" w:hAnsi="等线" w:eastAsia="等线"/>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spacing w:line="360" w:lineRule="auto"/>
      <w:ind w:firstLine="880" w:firstLineChars="200"/>
    </w:pPr>
  </w:style>
  <w:style w:type="paragraph" w:styleId="3">
    <w:name w:val="Body Text"/>
    <w:basedOn w:val="1"/>
    <w:semiHidden/>
    <w:unhideWhenUsed/>
    <w:qFormat/>
    <w:uiPriority w:val="99"/>
    <w:pPr>
      <w:spacing w:after="120"/>
    </w:pPr>
  </w:style>
  <w:style w:type="paragraph" w:styleId="5">
    <w:name w:val="List 3"/>
    <w:basedOn w:val="1"/>
    <w:unhideWhenUsed/>
    <w:qFormat/>
    <w:uiPriority w:val="99"/>
    <w:pPr>
      <w:ind w:left="1260" w:hanging="420"/>
    </w:pPr>
    <w:rPr>
      <w:szCs w:val="20"/>
    </w:rPr>
  </w:style>
  <w:style w:type="paragraph" w:styleId="6">
    <w:name w:val="Document Map"/>
    <w:basedOn w:val="1"/>
    <w:link w:val="18"/>
    <w:unhideWhenUsed/>
    <w:qFormat/>
    <w:uiPriority w:val="99"/>
    <w:rPr>
      <w:rFonts w:ascii="宋体"/>
      <w:sz w:val="18"/>
      <w:szCs w:val="18"/>
    </w:rPr>
  </w:style>
  <w:style w:type="paragraph" w:styleId="7">
    <w:name w:val="Date"/>
    <w:basedOn w:val="1"/>
    <w:next w:val="1"/>
    <w:link w:val="19"/>
    <w:unhideWhenUsed/>
    <w:qFormat/>
    <w:uiPriority w:val="99"/>
    <w:pPr>
      <w:ind w:left="100" w:leftChars="2500"/>
    </w:pPr>
  </w:style>
  <w:style w:type="paragraph" w:styleId="8">
    <w:name w:val="Balloon Text"/>
    <w:basedOn w:val="1"/>
    <w:link w:val="20"/>
    <w:unhideWhenUsed/>
    <w:qFormat/>
    <w:uiPriority w:val="99"/>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character" w:customStyle="1" w:styleId="17">
    <w:name w:val="页脚 字符"/>
    <w:link w:val="9"/>
    <w:qFormat/>
    <w:uiPriority w:val="0"/>
    <w:rPr>
      <w:rFonts w:ascii="Times New Roman" w:hAnsi="Times New Roman" w:eastAsia="宋体" w:cs="Times New Roman"/>
      <w:sz w:val="18"/>
      <w:szCs w:val="18"/>
    </w:rPr>
  </w:style>
  <w:style w:type="character" w:customStyle="1" w:styleId="18">
    <w:name w:val="文档结构图 字符"/>
    <w:link w:val="6"/>
    <w:semiHidden/>
    <w:qFormat/>
    <w:uiPriority w:val="99"/>
    <w:rPr>
      <w:rFonts w:ascii="宋体" w:hAnsi="Times New Roman"/>
      <w:kern w:val="2"/>
      <w:sz w:val="18"/>
      <w:szCs w:val="18"/>
    </w:rPr>
  </w:style>
  <w:style w:type="character" w:customStyle="1" w:styleId="19">
    <w:name w:val="日期 字符"/>
    <w:link w:val="7"/>
    <w:semiHidden/>
    <w:qFormat/>
    <w:uiPriority w:val="99"/>
    <w:rPr>
      <w:rFonts w:ascii="Times New Roman" w:hAnsi="Times New Roman"/>
      <w:kern w:val="2"/>
      <w:sz w:val="21"/>
      <w:szCs w:val="24"/>
    </w:rPr>
  </w:style>
  <w:style w:type="character" w:customStyle="1" w:styleId="20">
    <w:name w:val="批注框文本 字符"/>
    <w:link w:val="8"/>
    <w:semiHidden/>
    <w:qFormat/>
    <w:uiPriority w:val="99"/>
    <w:rPr>
      <w:rFonts w:ascii="Times New Roman" w:hAnsi="Times New Roman"/>
      <w:kern w:val="2"/>
      <w:sz w:val="18"/>
      <w:szCs w:val="18"/>
    </w:rPr>
  </w:style>
  <w:style w:type="character" w:customStyle="1" w:styleId="21">
    <w:name w:val="标题 3 字符"/>
    <w:link w:val="4"/>
    <w:qFormat/>
    <w:uiPriority w:val="0"/>
    <w:rPr>
      <w:rFonts w:ascii="等线" w:hAnsi="等线" w:eastAsia="等线"/>
      <w:b/>
      <w:bCs/>
      <w:kern w:val="2"/>
      <w:sz w:val="32"/>
      <w:szCs w:val="32"/>
    </w:rPr>
  </w:style>
  <w:style w:type="character" w:customStyle="1" w:styleId="22">
    <w:name w:val="页眉 字符"/>
    <w:link w:val="10"/>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1651</Words>
  <Characters>9411</Characters>
  <Lines>78</Lines>
  <Paragraphs>22</Paragraphs>
  <TotalTime>0</TotalTime>
  <ScaleCrop>false</ScaleCrop>
  <LinksUpToDate>false</LinksUpToDate>
  <CharactersWithSpaces>11040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2023-01-15T09:52:00Z</dcterms:created>
  <dc:creator>温小勇</dc:creator>
  <cp:lastModifiedBy>msy</cp:lastModifiedBy>
  <dcterms:modified xsi:type="dcterms:W3CDTF">2023-03-09T11:23:34Z</dcterms:modified>
  <dc:title>附件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7532AE52999345178AE930479EDAEBB7</vt:lpwstr>
  </property>
</Properties>
</file>