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rPr>
          <w:rFonts w:ascii="黑体" w:hAnsi="黑体" w:eastAsia="黑体" w:cs="黑体"/>
          <w:color w:val="000000"/>
          <w:sz w:val="32"/>
          <w:szCs w:val="32"/>
        </w:rPr>
      </w:pPr>
      <w:r>
        <w:rPr>
          <w:rFonts w:hint="eastAsia" w:ascii="黑体" w:hAnsi="黑体" w:eastAsia="黑体" w:cs="黑体"/>
          <w:color w:val="000000"/>
          <w:sz w:val="32"/>
          <w:szCs w:val="32"/>
        </w:rPr>
        <w:t>附件2</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《深圳市城市轨道交通工程BIM</w:t>
      </w:r>
      <w:bookmarkStart w:id="0" w:name="_GoBack"/>
      <w:bookmarkEnd w:id="0"/>
      <w:r>
        <w:rPr>
          <w:rFonts w:hint="eastAsia" w:ascii="方正小标宋简体" w:hAnsi="方正小标宋简体" w:eastAsia="方正小标宋简体" w:cs="方正小标宋简体"/>
          <w:b/>
          <w:bCs/>
          <w:color w:val="000000"/>
          <w:sz w:val="44"/>
          <w:szCs w:val="44"/>
        </w:rPr>
        <w:t>应用指南(第一版)》（征求意见稿）意见及采纳情况表</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我局广泛征求各市直部门及各区意见，并向有关单位和社会企业人士征求意见。截</w:t>
      </w:r>
      <w:r>
        <w:rPr>
          <w:rFonts w:hint="eastAsia" w:ascii="仿宋_GB2312" w:hAnsi="仿宋_GB2312" w:eastAsia="仿宋_GB2312" w:cs="仿宋_GB2312"/>
          <w:sz w:val="28"/>
          <w:szCs w:val="28"/>
          <w:lang w:val="en-US" w:eastAsia="zh-Hans"/>
        </w:rPr>
        <w:t>至</w:t>
      </w:r>
      <w:r>
        <w:rPr>
          <w:rFonts w:hint="eastAsia" w:ascii="仿宋_GB2312" w:hAnsi="仿宋_GB2312" w:eastAsia="仿宋_GB2312" w:cs="仿宋_GB2312"/>
          <w:sz w:val="28"/>
          <w:szCs w:val="28"/>
        </w:rPr>
        <w:t>12月1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日，共收到</w:t>
      </w:r>
      <w:r>
        <w:rPr>
          <w:rFonts w:hint="default" w:ascii="仿宋_GB2312" w:hAnsi="仿宋_GB2312" w:eastAsia="仿宋_GB2312" w:cs="仿宋_GB2312"/>
          <w:sz w:val="28"/>
          <w:szCs w:val="28"/>
        </w:rPr>
        <w:t>24</w:t>
      </w:r>
      <w:r>
        <w:rPr>
          <w:rFonts w:hint="eastAsia" w:ascii="仿宋_GB2312" w:hAnsi="仿宋_GB2312" w:eastAsia="仿宋_GB2312" w:cs="仿宋_GB2312"/>
          <w:sz w:val="28"/>
          <w:szCs w:val="28"/>
        </w:rPr>
        <w:t>条意见反馈，</w:t>
      </w:r>
      <w:r>
        <w:rPr>
          <w:rFonts w:hint="eastAsia" w:ascii="仿宋_GB2312" w:hAnsi="仿宋_GB2312" w:eastAsia="仿宋_GB2312" w:cs="仿宋_GB2312"/>
          <w:sz w:val="28"/>
          <w:szCs w:val="28"/>
          <w:lang w:val="en-US" w:eastAsia="zh-Hans"/>
        </w:rPr>
        <w:t>经研究，</w:t>
      </w:r>
      <w:r>
        <w:rPr>
          <w:rFonts w:hint="eastAsia" w:ascii="仿宋_GB2312" w:hAnsi="仿宋_GB2312" w:eastAsia="仿宋_GB2312" w:cs="仿宋_GB2312"/>
          <w:sz w:val="28"/>
          <w:szCs w:val="28"/>
        </w:rPr>
        <w:t>其中采纳</w:t>
      </w:r>
      <w:r>
        <w:rPr>
          <w:rFonts w:hint="default" w:ascii="仿宋_GB2312" w:hAnsi="仿宋_GB2312" w:eastAsia="仿宋_GB2312" w:cs="仿宋_GB2312"/>
          <w:sz w:val="28"/>
          <w:szCs w:val="28"/>
        </w:rPr>
        <w:t>12</w:t>
      </w:r>
      <w:r>
        <w:rPr>
          <w:rFonts w:hint="eastAsia" w:ascii="仿宋_GB2312" w:hAnsi="仿宋_GB2312" w:eastAsia="仿宋_GB2312" w:cs="仿宋_GB2312"/>
          <w:sz w:val="28"/>
          <w:szCs w:val="28"/>
        </w:rPr>
        <w:t>条，部分采纳</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条，解释说明</w:t>
      </w:r>
      <w:r>
        <w:rPr>
          <w:rFonts w:hint="default" w:ascii="仿宋_GB2312" w:hAnsi="仿宋_GB2312" w:eastAsia="仿宋_GB2312" w:cs="仿宋_GB2312"/>
          <w:sz w:val="28"/>
          <w:szCs w:val="28"/>
        </w:rPr>
        <w:t>9</w:t>
      </w:r>
      <w:r>
        <w:rPr>
          <w:rFonts w:hint="eastAsia" w:ascii="仿宋_GB2312" w:hAnsi="仿宋_GB2312" w:eastAsia="仿宋_GB2312" w:cs="仿宋_GB2312"/>
          <w:sz w:val="28"/>
          <w:szCs w:val="28"/>
        </w:rPr>
        <w:t>条，不采纳</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条。</w:t>
      </w:r>
    </w:p>
    <w:tbl>
      <w:tblPr>
        <w:tblStyle w:val="13"/>
        <w:tblW w:w="1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977"/>
        <w:gridCol w:w="1384"/>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960" w:type="dxa"/>
            <w:vAlign w:val="center"/>
          </w:tcPr>
          <w:p>
            <w:pPr>
              <w:jc w:val="center"/>
              <w:rPr>
                <w:rFonts w:ascii="宋体" w:hAnsi="宋体" w:cs="宋体"/>
                <w:b/>
                <w:sz w:val="28"/>
                <w:szCs w:val="28"/>
              </w:rPr>
            </w:pPr>
            <w:r>
              <w:rPr>
                <w:rFonts w:hint="eastAsia" w:ascii="宋体" w:hAnsi="宋体" w:cs="宋体"/>
                <w:b/>
                <w:sz w:val="28"/>
                <w:szCs w:val="28"/>
              </w:rPr>
              <w:t>序号</w:t>
            </w:r>
          </w:p>
        </w:tc>
        <w:tc>
          <w:tcPr>
            <w:tcW w:w="5977" w:type="dxa"/>
            <w:vAlign w:val="center"/>
          </w:tcPr>
          <w:p>
            <w:pPr>
              <w:jc w:val="center"/>
              <w:rPr>
                <w:rFonts w:ascii="宋体" w:hAnsi="宋体" w:cs="宋体"/>
                <w:b/>
                <w:sz w:val="28"/>
                <w:szCs w:val="28"/>
              </w:rPr>
            </w:pPr>
            <w:r>
              <w:rPr>
                <w:rFonts w:hint="eastAsia" w:ascii="宋体" w:hAnsi="宋体" w:cs="宋体"/>
                <w:b/>
                <w:sz w:val="28"/>
                <w:szCs w:val="28"/>
              </w:rPr>
              <w:t>提出的意见或建议</w:t>
            </w:r>
          </w:p>
        </w:tc>
        <w:tc>
          <w:tcPr>
            <w:tcW w:w="1384" w:type="dxa"/>
            <w:vAlign w:val="center"/>
          </w:tcPr>
          <w:p>
            <w:pPr>
              <w:jc w:val="center"/>
              <w:rPr>
                <w:rFonts w:ascii="宋体" w:hAnsi="宋体" w:cs="宋体"/>
                <w:b/>
                <w:sz w:val="28"/>
                <w:szCs w:val="28"/>
              </w:rPr>
            </w:pPr>
            <w:r>
              <w:rPr>
                <w:rFonts w:hint="eastAsia" w:ascii="宋体" w:hAnsi="宋体" w:cs="宋体"/>
                <w:b/>
                <w:sz w:val="28"/>
                <w:szCs w:val="28"/>
              </w:rPr>
              <w:t>采纳情况</w:t>
            </w:r>
          </w:p>
        </w:tc>
        <w:tc>
          <w:tcPr>
            <w:tcW w:w="6578" w:type="dxa"/>
            <w:vAlign w:val="center"/>
          </w:tcPr>
          <w:p>
            <w:pPr>
              <w:jc w:val="center"/>
              <w:rPr>
                <w:rFonts w:ascii="宋体" w:hAnsi="宋体" w:cs="宋体"/>
                <w:b/>
                <w:sz w:val="28"/>
                <w:szCs w:val="28"/>
              </w:rPr>
            </w:pPr>
            <w:r>
              <w:rPr>
                <w:rFonts w:hint="eastAsia" w:ascii="宋体" w:hAnsi="宋体" w:cs="宋体"/>
                <w:b/>
                <w:sz w:val="28"/>
                <w:szCs w:val="28"/>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在规划研究及施工图设计中均提出了BIM投资管控相关的BIM投资估算分析/工程量计算应用,但中间的初步设计阶段无此相关应用，建议增加初步设计阶段BIM投资概算分析/工程量计算应用。</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部分BIM应用不仅可以在单一阶段实施，也可以在其他阶段实施，即具有持续性、连贯性等特点。由于部分BIM应用流程基本相同、作用对象基本相同，结合该BIM应用在不同阶段的深度、范围等要求，本指引选取某一阶段阐述该BIM应用，其他阶段不作赘述，可参照执行。例如，考虑施工图阶段的模型精细度较高，在施工图阶段规定工程量计算BIM应用的要求，初步设计阶段可参照执行。本指引在2</w:t>
            </w:r>
            <w:r>
              <w:rPr>
                <w:rFonts w:ascii="仿宋_GB2312" w:hAnsi="仿宋_GB2312" w:eastAsia="仿宋_GB2312" w:cs="仿宋_GB2312"/>
                <w:sz w:val="24"/>
              </w:rPr>
              <w:t>.4.5</w:t>
            </w:r>
            <w:r>
              <w:rPr>
                <w:rFonts w:hint="eastAsia" w:ascii="仿宋_GB2312" w:hAnsi="仿宋_GB2312" w:eastAsia="仿宋_GB2312" w:cs="仿宋_GB2312"/>
                <w:sz w:val="24"/>
              </w:rPr>
              <w:t>中作了相应说明。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pStyle w:val="4"/>
              <w:spacing w:line="240" w:lineRule="auto"/>
              <w:ind w:left="0" w:firstLine="0"/>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3.2 由于轨道交通线网规划更侧重于线网结构、规划、线路功能定位、通道布局等宏观、中观规划，线网与国土空间规划符合性可以通过多规合一平台、运用GIS技术较好地实现，对基于中微观分析的BIM应用需求度不高，建议删除BIM相关表述。</w:t>
            </w:r>
          </w:p>
        </w:tc>
        <w:tc>
          <w:tcPr>
            <w:tcW w:w="1384" w:type="dxa"/>
            <w:vAlign w:val="center"/>
          </w:tcPr>
          <w:p>
            <w:pPr>
              <w:spacing w:line="240" w:lineRule="auto"/>
              <w:jc w:val="center"/>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不采纳</w:t>
            </w:r>
          </w:p>
        </w:tc>
        <w:tc>
          <w:tcPr>
            <w:tcW w:w="6578" w:type="dxa"/>
            <w:vAlign w:val="center"/>
          </w:tcPr>
          <w:p>
            <w:pPr>
              <w:spacing w:line="240" w:lineRule="auto"/>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轨道交通线网规划应用侧重于宏观的分析与表达，但对于局部位置，或工程重难点区域，需要开展进一步的分析，通过创建BIM模型（精度较粗）分析地上地下关系、与周边建构筑物之间的关系，以辅助轨道交通线网规划方案的设计与决策。在规划分析应用中，已说明创建BIM简模，满足分析应用要求即可。因此，暂保留BIM相关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pStyle w:val="4"/>
              <w:spacing w:line="240" w:lineRule="auto"/>
              <w:ind w:left="0" w:firstLine="0"/>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对于交通详细规划，建议主要考虑应用于工程条件较为复杂地区，对线路和车站的平面和竖向布局方案进行分析和表达。</w:t>
            </w:r>
          </w:p>
        </w:tc>
        <w:tc>
          <w:tcPr>
            <w:tcW w:w="1384" w:type="dxa"/>
            <w:vAlign w:val="center"/>
          </w:tcPr>
          <w:p>
            <w:pPr>
              <w:pStyle w:val="4"/>
              <w:spacing w:line="240" w:lineRule="auto"/>
              <w:ind w:left="0" w:firstLine="0"/>
              <w:jc w:val="center"/>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采纳</w:t>
            </w:r>
          </w:p>
        </w:tc>
        <w:tc>
          <w:tcPr>
            <w:tcW w:w="6578" w:type="dxa"/>
            <w:vAlign w:val="center"/>
          </w:tcPr>
          <w:p>
            <w:pPr>
              <w:pStyle w:val="4"/>
              <w:spacing w:line="240" w:lineRule="auto"/>
              <w:ind w:left="0" w:firstLine="0"/>
              <w:rPr>
                <w:rFonts w:hint="eastAsia" w:ascii="仿宋_GB2312" w:hAnsi="仿宋_GB2312" w:eastAsia="仿宋_GB2312" w:cs="仿宋_GB2312"/>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建议补充术语和定义， 如明确4D-BIM、 5D-BIM等定义。</w:t>
            </w:r>
          </w:p>
        </w:tc>
        <w:tc>
          <w:tcPr>
            <w:tcW w:w="1384" w:type="dxa"/>
            <w:vAlign w:val="center"/>
          </w:tcPr>
          <w:p>
            <w:pPr>
              <w:jc w:val="center"/>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采纳</w:t>
            </w:r>
          </w:p>
        </w:tc>
        <w:tc>
          <w:tcPr>
            <w:tcW w:w="6578" w:type="dxa"/>
            <w:vAlign w:val="center"/>
          </w:tcPr>
          <w:p>
            <w:pPr>
              <w:rPr>
                <w:rFonts w:hint="eastAsia" w:ascii="仿宋_GB2312" w:hAnsi="仿宋_GB2312" w:eastAsia="仿宋_GB2312" w:cs="仿宋_GB2312"/>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建议适当深化指南相关内容表述，进一步细化 BIM应用具体事项、事项节点前提、事项内容（流程）、事项成果等内容。</w:t>
            </w:r>
          </w:p>
        </w:tc>
        <w:tc>
          <w:tcPr>
            <w:tcW w:w="1384" w:type="dxa"/>
            <w:vAlign w:val="center"/>
          </w:tcPr>
          <w:p>
            <w:pPr>
              <w:jc w:val="center"/>
              <w:rPr>
                <w:rFonts w:hint="eastAsia" w:ascii="仿宋_GB2312" w:hAnsi="仿宋_GB2312" w:eastAsia="仿宋_GB2312" w:cs="仿宋_GB2312"/>
                <w:bCs/>
                <w:kern w:val="2"/>
                <w:sz w:val="24"/>
                <w:lang w:val="en-US" w:eastAsia="zh-CN" w:bidi="ar-SA"/>
              </w:rPr>
            </w:pPr>
            <w:r>
              <w:rPr>
                <w:rFonts w:hint="eastAsia" w:ascii="仿宋_GB2312" w:hAnsi="仿宋_GB2312" w:eastAsia="仿宋_GB2312" w:cs="仿宋_GB2312"/>
                <w:bCs/>
                <w:kern w:val="2"/>
                <w:sz w:val="24"/>
                <w:lang w:val="en-US" w:eastAsia="zh-CN" w:bidi="ar-SA"/>
              </w:rPr>
              <w:t>采纳</w:t>
            </w:r>
          </w:p>
        </w:tc>
        <w:tc>
          <w:tcPr>
            <w:tcW w:w="6578" w:type="dxa"/>
            <w:vAlign w:val="center"/>
          </w:tcPr>
          <w:p>
            <w:pPr>
              <w:rPr>
                <w:rFonts w:hint="eastAsia" w:ascii="仿宋_GB2312" w:hAnsi="仿宋_GB2312" w:eastAsia="仿宋_GB2312" w:cs="仿宋_GB2312"/>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ascii="仿宋_GB2312" w:hAnsi="仿宋_GB2312" w:eastAsia="仿宋_GB2312" w:cs="仿宋_GB2312"/>
                <w:bCs/>
                <w:sz w:val="24"/>
              </w:rPr>
              <w:t>建议加快制定 BIM标准体系框架，统筹编制 BIM应用指南，总结并形成全市编制 BIM应用指南的通用要求，按照急用先行的原则开展分步建设，逐步满足建筑工程、轨道交通等各行业领域的应用需求。</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hint="default"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rPr>
              <w:t>本指南主要针对轨道交通各阶段BIM技术应用，相关内容遵循深圳市现行</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城市轨道交通工程信息模型表达及交付标准》</w:t>
            </w:r>
            <w:r>
              <w:rPr>
                <w:rFonts w:hint="eastAsia" w:ascii="仿宋_GB2312" w:hAnsi="仿宋_GB2312" w:eastAsia="仿宋_GB2312" w:cs="仿宋_GB2312"/>
                <w:sz w:val="24"/>
                <w:szCs w:val="24"/>
                <w:lang w:eastAsia="zh-Hans"/>
              </w:rPr>
              <w:t>（</w:t>
            </w:r>
            <w:r>
              <w:rPr>
                <w:rFonts w:ascii="仿宋_GB2312" w:hAnsi="仿宋_GB2312" w:eastAsia="仿宋_GB2312" w:cs="仿宋_GB2312"/>
                <w:sz w:val="24"/>
                <w:szCs w:val="24"/>
              </w:rPr>
              <w:t>SJG101</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、《城市轨道交通工程信息模型分类和编码标准》</w:t>
            </w:r>
            <w:r>
              <w:rPr>
                <w:rFonts w:hint="eastAsia" w:ascii="仿宋_GB2312" w:hAnsi="仿宋_GB2312" w:eastAsia="仿宋_GB2312" w:cs="仿宋_GB2312"/>
                <w:sz w:val="24"/>
                <w:szCs w:val="24"/>
                <w:lang w:eastAsia="zh-Hans"/>
              </w:rPr>
              <w:t>（</w:t>
            </w:r>
            <w:r>
              <w:rPr>
                <w:rFonts w:ascii="仿宋_GB2312" w:hAnsi="仿宋_GB2312" w:eastAsia="仿宋_GB2312" w:cs="仿宋_GB2312"/>
                <w:sz w:val="24"/>
                <w:szCs w:val="24"/>
              </w:rPr>
              <w:t>SJG102</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等</w:t>
            </w:r>
            <w:r>
              <w:rPr>
                <w:rFonts w:hint="eastAsia" w:ascii="仿宋_GB2312" w:hAnsi="仿宋_GB2312" w:eastAsia="仿宋_GB2312" w:cs="仿宋_GB2312"/>
                <w:sz w:val="24"/>
                <w:szCs w:val="24"/>
              </w:rPr>
              <w:t>BIM标准规范要求</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在同一标准框架体系下制定。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ascii="仿宋_GB2312" w:hAnsi="仿宋_GB2312" w:eastAsia="仿宋_GB2312" w:cs="仿宋_GB2312"/>
                <w:bCs/>
                <w:sz w:val="24"/>
              </w:rPr>
              <w:t>建议应用指南统筹考虑BIM数据导入CIM平台，加快形成全市以BIM/CIM为核心的统一数字底座。</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城市轨道交通工程涉及专业较多，BIM应用指南能否在各阶段分专业（如土建、机电等）对BIM模型搭建提出一定指导性要求，建议酌情考虑。</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本指南主要聚焦城市轨道交通工程各阶段BIM技术应用，关于各专业BIM模型要求可参考深圳市地方标准《城市轨道交通工程信息模型表达及交付标准》</w:t>
            </w:r>
            <w:r>
              <w:rPr>
                <w:rFonts w:hint="eastAsia" w:ascii="仿宋_GB2312" w:hAnsi="仿宋_GB2312" w:eastAsia="仿宋_GB2312" w:cs="仿宋_GB2312"/>
                <w:sz w:val="24"/>
                <w:szCs w:val="24"/>
                <w:lang w:eastAsia="zh-Hans"/>
              </w:rPr>
              <w:t>（</w:t>
            </w:r>
            <w:r>
              <w:rPr>
                <w:rFonts w:ascii="仿宋_GB2312" w:hAnsi="仿宋_GB2312" w:eastAsia="仿宋_GB2312" w:cs="仿宋_GB2312"/>
                <w:sz w:val="24"/>
                <w:szCs w:val="24"/>
              </w:rPr>
              <w:t>SJG101</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关于“2.2.1”</w:t>
            </w:r>
            <w:r>
              <w:rPr>
                <w:rFonts w:hint="eastAsia" w:ascii="仿宋_GB2312" w:hAnsi="仿宋_GB2312" w:eastAsia="仿宋_GB2312" w:cs="仿宋_GB2312"/>
                <w:sz w:val="24"/>
                <w:szCs w:val="24"/>
              </w:rPr>
              <w:t>BIM应用策划内容还应包括BIM应用流程、保障措施、各单位职责等，建议完善。</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关于“2.1.4”，</w:t>
            </w:r>
            <w:r>
              <w:rPr>
                <w:rFonts w:hint="eastAsia" w:ascii="仿宋_GB2312" w:hAnsi="仿宋_GB2312" w:eastAsia="仿宋_GB2312" w:cs="仿宋_GB2312"/>
                <w:sz w:val="24"/>
                <w:szCs w:val="24"/>
              </w:rPr>
              <w:t>深圳市目前已发布《城市轨道交通信息模型表达及交付标准》SJG101-2021已对模型创建、表达和交付要求做出规定。建议明确BIM模型数据除满足《建筑信息模型数据存储标准》SJG 114外还应满足《城市轨道交通信息模型表达及交付标准》SJG101-2021要求。</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关于“2.2.1 ”章节，建议：</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（1）BIM总体单位修改为BIM咨询服务单位或BIM实施顾问服务单位。</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（2）勘察和设计单位未必为同一家单位，建议拆开，表2-3同理建议拆开。另外可以考虑增加前期方案单位负责规划研究阶段的BIM应用。</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（3）表2-1建设单位主要职责建议增加在招标文件和合同中约定各参建方的BIM应用要求、交付内容和信息安全责任，并落实相关费用。</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（4）标准2.1.3建议参建方使用统一的BIM协同管理平台开展作业，第8章亦对平台提出要求，建议在表2-1的职责中将平台建设列入建设单位或者BIM总体单位的职责。</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（5）表2-1建设单位和BIM总体单位职责中均提到项目全过程，因为本标准规定的项目全生命期有运营阶段，建议明确为建设项目全过程，包含规划研究阶段、设计阶段及施工阶段，不含运营阶段。</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6）表2-1监理单位的职责描述中提到监督“各方”BIM应用工作，是否可以理解为此处监理单位包括设计监理和施工监理，而并非常规上理解的施工监理单位，不然仅施工监理不应监督规划和设计阶段的BIM应用工作。如果确实含设计监理和施工监理两方，建议进行职责拆分，更为明确。</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（7）表2-1设备供应商职责第（3）项和BIM应用无关，建议去掉。</w:t>
            </w:r>
          </w:p>
          <w:p>
            <w:pPr>
              <w:jc w:val="left"/>
              <w:rPr>
                <w:rFonts w:ascii="仿宋_GB2312" w:hAnsi="仿宋_GB2312" w:eastAsia="仿宋_GB2312" w:cs="仿宋_GB2312"/>
                <w:sz w:val="24"/>
                <w:szCs w:val="24"/>
              </w:rPr>
            </w:pPr>
            <w:r>
              <w:rPr>
                <w:rFonts w:hint="eastAsia" w:ascii="仿宋_GB2312" w:hAnsi="仿宋_GB2312" w:eastAsia="仿宋_GB2312" w:cs="仿宋_GB2312"/>
                <w:bCs/>
                <w:sz w:val="24"/>
              </w:rPr>
              <w:t>（8）表2-1勘察单位、设计单位、施工单位职责中，建议增加向建设方提交各阶段合格BIM应用成果的要求，或者由BIM总体单位进行成果汇总后统一向建设单位提交。</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部分采纳</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采纳。不同工程类型的BIM咨询管理单位的名称略有差异，现阶段，深圳市城市轨道交通工程的BIM管理单位主要为BIM总体单位。根据意见，为保障单位类别的通用性，修改为“BIM总体单位/BIM咨询服务单位”，并在条文说明中进行解释说明。</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（2）部分采纳。已区分勘察和设计单位。本指南已规定规划研究阶段的BIM应用，在实际项目应用过程中，建设单位可根据项目具体情况委托相关单位，不在本指南中规定。</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（3）采纳。在建设单位的职责中增加相关要求。</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采纳。为保障统一管理与应用，在城市轨道交通工程的整体维度，宜由项目建设单位搭建或采用委托第三方的方式开发BIM平台。同时，由于城市轨道交通工程不同参与方的应用范围、应用深度不同，各参与方可建立满足自身业务要求的BIM管理平台，但各BIM平台之间应能够保证数据的有效流转。在条文说明中补充该解释说明。</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（5）采纳。“项目全过程”修改为“建设全过程”。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（6）采纳。此处监理单位包括设计监理和施工监理，修改说明为根据业务范围开展监理监督等相关工作。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解释说明。设备安装方案是指导现场施工的重要依据，设备供应商向施工单位提供具体方案，尤其是城市轨道交通工程的大型设备，有利于施工单位采用BIM技术进行方案模拟，优化方案措施。根据意见，增加说明该项BIM应用相关要求。</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（8）采纳。增加提交合格BIM成果的明确要求。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建议在表2-1城市轨道交通工程参与单位职责中增加以下内容：</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（1）补充建设单位职责：在相关招标文件中明确BIM工作内容和技术要求；</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（2）补充运营单位职责：编制BIM运维标准，明确BIM模型相关要求等；</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（3）补充勘察设计单位职责：向施工单位交底设计阶段BIM成果并完成移交；</w:t>
            </w:r>
          </w:p>
          <w:p>
            <w:pPr>
              <w:jc w:val="left"/>
              <w:rPr>
                <w:rFonts w:ascii="仿宋_GB2312" w:hAnsi="仿宋_GB2312" w:eastAsia="仿宋_GB2312" w:cs="仿宋_GB2312"/>
                <w:bCs/>
                <w:sz w:val="24"/>
              </w:rPr>
            </w:pPr>
            <w:r>
              <w:rPr>
                <w:rFonts w:hint="eastAsia" w:ascii="仿宋_GB2312" w:hAnsi="仿宋_GB2312" w:eastAsia="仿宋_GB2312" w:cs="仿宋_GB2312"/>
                <w:bCs/>
                <w:sz w:val="24"/>
              </w:rPr>
              <w:t>（4）施工单位中，原文“负责建立施工范围内的施工BIM模型”，建议改为“应接收并审核设计阶段的BIM成果，并沿用设计阶段的BIM模型进行深化”并增加现场复核的相关职责。</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关于“2.2.3”中，建议补充BIM团队负责人的岗位，因BIM团队负责人对项目BIM技术应用工作起到重要作用，明确其负责统筹协调项目BIM工作。</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关于“2.5”中，</w:t>
            </w:r>
            <w:r>
              <w:rPr>
                <w:rFonts w:hint="eastAsia" w:ascii="仿宋_GB2312" w:hAnsi="仿宋_GB2312" w:eastAsia="仿宋_GB2312" w:cs="仿宋_GB2312"/>
                <w:sz w:val="24"/>
                <w:szCs w:val="24"/>
              </w:rPr>
              <w:t>建议增加在项目策划阶段，应确定BIM软件及其版本，以保证各阶段成果的有效传递。</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w:t>
            </w:r>
            <w:r>
              <w:rPr>
                <w:rFonts w:hint="eastAsia" w:ascii="仿宋_GB2312" w:hAnsi="仿宋_GB2312" w:eastAsia="仿宋_GB2312" w:cs="仿宋_GB2312"/>
                <w:sz w:val="24"/>
                <w:szCs w:val="24"/>
              </w:rPr>
              <w:t>3.2.1</w:t>
            </w:r>
            <w:r>
              <w:rPr>
                <w:rFonts w:hint="eastAsia" w:ascii="仿宋_GB2312" w:hAnsi="仿宋_GB2312" w:eastAsia="仿宋_GB2312" w:cs="仿宋_GB2312"/>
                <w:bCs/>
                <w:sz w:val="24"/>
              </w:rPr>
              <w:t>”中，原文“规划符合性分析BIM应用软件宜具有以下功能（如采用Revit、Bentley、Railworks、马良XCUBE等建模软件，以及Unreal Engine、超图等应用软件）”。无需出现软件名称，建议删除。</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本指南作为BIM应用实操性的技术指引，提供参考性的软件，有利于城市轨道交通工程相关方根据项目应用需求进行选用。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sz w:val="24"/>
                <w:szCs w:val="24"/>
              </w:rPr>
              <w:t>5.4.1建筑方案优化的案例中，建议放相同位置的优化前后对比案例。</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sz w:val="24"/>
                <w:szCs w:val="24"/>
              </w:rPr>
              <w:t>关于“6.2.2”中，第3应用流程中（3）机电深化过程中就应与其他专业同步进行碰撞检查，不能深化完成后再进行，建议修改。</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sz w:val="24"/>
                <w:szCs w:val="24"/>
              </w:rPr>
              <w:t>应用流程中（3）机电深化模型同样需要建设单位、设计单位、施工单位等相关单位确认，建议完善。</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采纳</w:t>
            </w:r>
          </w:p>
        </w:tc>
        <w:tc>
          <w:tcPr>
            <w:tcW w:w="6578"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sz w:val="24"/>
                <w:szCs w:val="24"/>
              </w:rPr>
              <w:t>文件中173页-176页为封面、目录及总则，页面内容错误。</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73-176</w:t>
            </w:r>
            <w:r>
              <w:rPr>
                <w:rFonts w:hint="eastAsia" w:ascii="仿宋_GB2312" w:hAnsi="仿宋_GB2312" w:eastAsia="仿宋_GB2312" w:cs="仿宋_GB2312"/>
                <w:sz w:val="24"/>
                <w:szCs w:val="24"/>
              </w:rPr>
              <w:t>页为条文说明内容。对本指南需要解释的要求进行进一步解释说明。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sz w:val="24"/>
                <w:szCs w:val="24"/>
              </w:rPr>
              <w:t>目录中的条文说明在文件中未体现，建议补充。</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文档中1</w:t>
            </w:r>
            <w:r>
              <w:rPr>
                <w:rFonts w:ascii="仿宋_GB2312" w:hAnsi="仿宋_GB2312" w:eastAsia="仿宋_GB2312" w:cs="仿宋_GB2312"/>
                <w:sz w:val="24"/>
                <w:szCs w:val="24"/>
              </w:rPr>
              <w:t>73-176</w:t>
            </w:r>
            <w:r>
              <w:rPr>
                <w:rFonts w:hint="eastAsia" w:ascii="仿宋_GB2312" w:hAnsi="仿宋_GB2312" w:eastAsia="仿宋_GB2312" w:cs="仿宋_GB2312"/>
                <w:sz w:val="24"/>
                <w:szCs w:val="24"/>
              </w:rPr>
              <w:t>页为条文说明部分，与目录的条文说明页码（</w:t>
            </w:r>
            <w:r>
              <w:rPr>
                <w:rFonts w:ascii="仿宋_GB2312" w:hAnsi="仿宋_GB2312" w:eastAsia="仿宋_GB2312" w:cs="仿宋_GB2312"/>
                <w:sz w:val="24"/>
                <w:szCs w:val="24"/>
              </w:rPr>
              <w:t>173</w:t>
            </w:r>
            <w:r>
              <w:rPr>
                <w:rFonts w:hint="eastAsia" w:ascii="仿宋_GB2312" w:hAnsi="仿宋_GB2312" w:eastAsia="仿宋_GB2312" w:cs="仿宋_GB2312"/>
                <w:sz w:val="24"/>
                <w:szCs w:val="24"/>
              </w:rPr>
              <w:t>）相对应。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建议规范有关设计方、建设方交付的BIM数据的格式规范和基本要素,补充BIM数据的发布方式和建筑物使用过程中功能结构变化后的数据修订和再发布方式,充分发挥BIM数据的应用价值。</w:t>
            </w:r>
          </w:p>
        </w:tc>
        <w:tc>
          <w:tcPr>
            <w:tcW w:w="1384" w:type="dxa"/>
            <w:vAlign w:val="center"/>
          </w:tcPr>
          <w:p>
            <w:pPr>
              <w:jc w:val="center"/>
              <w:rPr>
                <w:rFonts w:hint="eastAsia" w:ascii="仿宋_GB2312" w:hAnsi="仿宋_GB2312" w:eastAsia="仿宋_GB2312" w:cs="仿宋_GB2312"/>
                <w:bCs/>
                <w:sz w:val="24"/>
                <w:lang w:eastAsia="zh-Hans"/>
              </w:rPr>
            </w:pPr>
            <w:r>
              <w:rPr>
                <w:rFonts w:hint="eastAsia" w:ascii="仿宋_GB2312" w:hAnsi="仿宋_GB2312" w:eastAsia="仿宋_GB2312" w:cs="仿宋_GB2312"/>
                <w:bCs/>
                <w:sz w:val="24"/>
                <w:lang w:val="en-US" w:eastAsia="zh-Hans"/>
              </w:rPr>
              <w:t>解释说明</w:t>
            </w:r>
          </w:p>
        </w:tc>
        <w:tc>
          <w:tcPr>
            <w:tcW w:w="6578"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在深圳市地方标准《建筑信息模型数据存储标准SJG 114》已规定BIM数据格式要求，本指南在第3</w:t>
            </w:r>
            <w:r>
              <w:rPr>
                <w:rFonts w:ascii="仿宋_GB2312" w:hAnsi="仿宋_GB2312" w:eastAsia="仿宋_GB2312" w:cs="仿宋_GB2312"/>
                <w:sz w:val="24"/>
                <w:szCs w:val="24"/>
              </w:rPr>
              <w:t>.1.4</w:t>
            </w:r>
            <w:r>
              <w:rPr>
                <w:rFonts w:hint="eastAsia" w:ascii="仿宋_GB2312" w:hAnsi="仿宋_GB2312" w:eastAsia="仿宋_GB2312" w:cs="仿宋_GB2312"/>
                <w:sz w:val="24"/>
                <w:szCs w:val="24"/>
              </w:rPr>
              <w:t>条、第8</w:t>
            </w:r>
            <w:r>
              <w:rPr>
                <w:rFonts w:ascii="仿宋_GB2312" w:hAnsi="仿宋_GB2312" w:eastAsia="仿宋_GB2312" w:cs="仿宋_GB2312"/>
                <w:sz w:val="24"/>
                <w:szCs w:val="24"/>
              </w:rPr>
              <w:t>.2.4</w:t>
            </w:r>
            <w:r>
              <w:rPr>
                <w:rFonts w:hint="eastAsia" w:ascii="仿宋_GB2312" w:hAnsi="仿宋_GB2312" w:eastAsia="仿宋_GB2312" w:cs="仿宋_GB2312"/>
                <w:sz w:val="24"/>
                <w:szCs w:val="24"/>
              </w:rPr>
              <w:t>条中已规定BIM数据格式需符合该标准要求；在深圳市住建局发布的技术文件《深圳市既有重要建筑建模交付技术指引-轨道交通分册》中，已规定建筑物功能结构发生变化后的数据更新方式，本指南在3</w:t>
            </w:r>
            <w:r>
              <w:rPr>
                <w:rFonts w:ascii="仿宋_GB2312" w:hAnsi="仿宋_GB2312" w:eastAsia="仿宋_GB2312" w:cs="仿宋_GB2312"/>
                <w:sz w:val="24"/>
                <w:szCs w:val="24"/>
              </w:rPr>
              <w:t>.3.2</w:t>
            </w:r>
            <w:r>
              <w:rPr>
                <w:rFonts w:hint="eastAsia" w:ascii="仿宋_GB2312" w:hAnsi="仿宋_GB2312" w:eastAsia="仿宋_GB2312" w:cs="仿宋_GB2312"/>
                <w:sz w:val="24"/>
                <w:szCs w:val="24"/>
              </w:rPr>
              <w:t>节已规定BIM模型的相关要求需符合该指南要求。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建议根据 BIM 应用于规划、勘察、设计、施工、交付、运营等各阶段的精细程度,划分能力等级 1-5 级, 用于指导各工程总体、各阶段、单体建筑的 BIM 应用深度。</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不采纳</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关于BIM模型的精细程度可参考深圳市地方标准《城市轨道交通工程信息模型表达及交付标准》</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SJG 101</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和深圳市技术文件《深圳市既有重要建筑建模交付技术指引-轨道交通分册》，本文已在相关章节规定BIM模型需符合上述标准和指引要求。关于BIM能力划分，不在本指南的范畴内，本指南主要规定各阶段BIM技术应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关于“5.3 初步设计”，建议增加初步设计增加各重点区域的应该要点，如车站控制室、风道等。</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指南主要通过应用点对各重点区域提出设计要求。例如，在“初步设计”章节中，规定了换乘方案模拟（换乘通道）、车站净高优化（站厅层、站台层、设备房等）、车站照明分析（站厅、站台）、通风模拟分析（站内公共区、设备房等）等应用，已对相关重点区域明确了该BIM应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960" w:type="dxa"/>
            <w:vAlign w:val="center"/>
          </w:tcPr>
          <w:p>
            <w:pPr>
              <w:pStyle w:val="23"/>
              <w:numPr>
                <w:ilvl w:val="0"/>
                <w:numId w:val="2"/>
              </w:numPr>
              <w:ind w:firstLineChars="0"/>
              <w:jc w:val="center"/>
              <w:rPr>
                <w:rFonts w:ascii="仿宋_GB2312" w:hAnsi="仿宋_GB2312" w:eastAsia="仿宋_GB2312" w:cs="仿宋_GB2312"/>
                <w:sz w:val="24"/>
              </w:rPr>
            </w:pPr>
          </w:p>
        </w:tc>
        <w:tc>
          <w:tcPr>
            <w:tcW w:w="5977"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关于“5.4 施工图设计”，建议增加各系统标系统的注意事项及设备房等。</w:t>
            </w:r>
          </w:p>
        </w:tc>
        <w:tc>
          <w:tcPr>
            <w:tcW w:w="1384"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解释说明</w:t>
            </w:r>
          </w:p>
        </w:tc>
        <w:tc>
          <w:tcPr>
            <w:tcW w:w="657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指南主要通过应用点对各系统设备提出要求。例如，管线综合与碰撞检查、预留预埋检查等。其中，在管线综合与碰撞检查BIM应用中，详细提供了设备管线排布的注意事项；在预留预埋检查BIM应用中，提供了设备所需的预留孔洞、预埋件等注意事项。</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95391"/>
    <w:multiLevelType w:val="multilevel"/>
    <w:tmpl w:val="3A3953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445797"/>
    <w:multiLevelType w:val="multilevel"/>
    <w:tmpl w:val="3B445797"/>
    <w:lvl w:ilvl="0" w:tentative="0">
      <w:start w:val="1"/>
      <w:numFmt w:val="chineseCountingThousand"/>
      <w:lvlText w:val="第%1章"/>
      <w:lvlJc w:val="left"/>
      <w:pPr>
        <w:ind w:left="0" w:firstLine="0"/>
      </w:pPr>
      <w:rPr>
        <w:rFonts w:hint="eastAsia"/>
        <w:b/>
        <w:bCs w:val="0"/>
        <w:i w:val="0"/>
        <w:iCs w:val="0"/>
        <w:caps w:val="0"/>
        <w:smallCaps w:val="0"/>
        <w:strike w:val="0"/>
        <w:dstrike w:val="0"/>
        <w:vanish w:val="0"/>
        <w:color w:val="000000" w:themeColor="text1"/>
        <w:spacing w:val="0"/>
        <w:position w:val="0"/>
        <w:sz w:val="36"/>
        <w:u w:val="none"/>
        <w:vertAlign w:val="baseline"/>
        <w14:shadow w14:blurRad="0" w14:dist="0" w14:dir="0" w14:sx="0" w14:sy="0" w14:kx="0" w14:ky="0" w14:algn="none">
          <w14:srgbClr w14:val="000000"/>
        </w14:shadow>
        <w14:textFill>
          <w14:solidFill>
            <w14:schemeClr w14:val="tx1"/>
          </w14:solidFill>
        </w14:textFill>
      </w:rPr>
    </w:lvl>
    <w:lvl w:ilvl="1" w:tentative="0">
      <w:start w:val="1"/>
      <w:numFmt w:val="decimal"/>
      <w:isLgl/>
      <w:lvlText w:val="%1.%2"/>
      <w:lvlJc w:val="left"/>
      <w:pPr>
        <w:ind w:left="0" w:firstLine="0"/>
      </w:pPr>
    </w:lvl>
    <w:lvl w:ilvl="2" w:tentative="0">
      <w:start w:val="1"/>
      <w:numFmt w:val="decimal"/>
      <w:isLgl/>
      <w:lvlText w:val="%1.%2.%3"/>
      <w:lvlJc w:val="left"/>
      <w:pPr>
        <w:tabs>
          <w:tab w:val="left" w:pos="567"/>
        </w:tabs>
        <w:ind w:left="0" w:firstLine="0"/>
      </w:pPr>
      <w:rPr>
        <w:rFonts w:hint="eastAsia"/>
        <w:b w:val="0"/>
        <w:bCs w:val="0"/>
        <w:i w:val="0"/>
        <w:iCs w:val="0"/>
        <w:caps w:val="0"/>
        <w:smallCaps w:val="0"/>
        <w:strike w:val="0"/>
        <w:dstrike w:val="0"/>
        <w:vanish w:val="0"/>
        <w:color w:val="000000"/>
        <w:spacing w:val="0"/>
        <w:position w:val="0"/>
        <w:sz w:val="28"/>
        <w:u w:val="none"/>
        <w:vertAlign w:val="baseline"/>
        <w14:shadow w14:blurRad="0" w14:dist="0" w14:dir="0" w14:sx="0" w14:sy="0" w14:kx="0" w14:ky="0" w14:algn="none">
          <w14:srgbClr w14:val="000000"/>
        </w14:shadow>
      </w:rPr>
    </w:lvl>
    <w:lvl w:ilvl="3" w:tentative="0">
      <w:start w:val="1"/>
      <w:numFmt w:val="decimal"/>
      <w:isLgl/>
      <w:lvlText w:val="%1.%2.%3.%4"/>
      <w:lvlJc w:val="left"/>
      <w:pPr>
        <w:ind w:left="283" w:firstLine="0"/>
      </w:pPr>
      <w:rPr>
        <w:rFonts w:hint="eastAsia"/>
        <w:b w:val="0"/>
        <w:bCs w:val="0"/>
        <w:i w:val="0"/>
        <w:iCs w:val="0"/>
        <w:caps w:val="0"/>
        <w:smallCaps w:val="0"/>
        <w:strike w:val="0"/>
        <w:dstrike w:val="0"/>
        <w:vanish w:val="0"/>
        <w:color w:val="auto"/>
        <w:spacing w:val="0"/>
        <w:position w:val="0"/>
        <w:sz w:val="28"/>
        <w:u w:val="none"/>
        <w:vertAlign w:val="baseline"/>
      </w:rPr>
    </w:lvl>
    <w:lvl w:ilvl="4" w:tentative="0">
      <w:start w:val="1"/>
      <w:numFmt w:val="decimal"/>
      <w:pStyle w:val="3"/>
      <w:isLgl/>
      <w:lvlText w:val="%1.%2.%3.%4.%5"/>
      <w:lvlJc w:val="left"/>
      <w:pPr>
        <w:ind w:left="0" w:firstLine="0"/>
      </w:pPr>
      <w:rPr>
        <w:rFonts w:hint="eastAsia"/>
        <w:b w:val="0"/>
        <w:sz w:val="28"/>
      </w:rPr>
    </w:lvl>
    <w:lvl w:ilvl="5" w:tentative="0">
      <w:start w:val="1"/>
      <w:numFmt w:val="decimal"/>
      <w:isLgl/>
      <w:lvlText w:val="%1.%2.%3.%4.%5.%6"/>
      <w:lvlJc w:val="left"/>
      <w:pPr>
        <w:ind w:left="0" w:firstLine="0"/>
      </w:pPr>
      <w:rPr>
        <w:rFonts w:hint="eastAsia"/>
        <w:b w:val="0"/>
        <w:bCs w:val="0"/>
        <w:i w:val="0"/>
        <w:iCs w:val="0"/>
        <w:caps w:val="0"/>
        <w:smallCaps w:val="0"/>
        <w:strike w:val="0"/>
        <w:dstrike w:val="0"/>
        <w:vanish w:val="0"/>
        <w:color w:val="000000"/>
        <w:spacing w:val="0"/>
        <w:position w:val="0"/>
        <w:sz w:val="28"/>
        <w:u w:val="none"/>
        <w:vertAlign w:val="baseline"/>
      </w:rPr>
    </w:lvl>
    <w:lvl w:ilvl="6" w:tentative="0">
      <w:start w:val="1"/>
      <w:numFmt w:val="decimal"/>
      <w:isLgl/>
      <w:lvlText w:val="%1.%2.%3.%4.%5.%6.%7"/>
      <w:lvlJc w:val="left"/>
      <w:pPr>
        <w:ind w:left="0" w:firstLine="0"/>
      </w:pPr>
      <w:rPr>
        <w:rFonts w:hint="eastAsia"/>
        <w:b w:val="0"/>
        <w:i w:val="0"/>
        <w:sz w:val="28"/>
      </w:rPr>
    </w:lvl>
    <w:lvl w:ilvl="7" w:tentative="0">
      <w:start w:val="1"/>
      <w:numFmt w:val="decimal"/>
      <w:isLg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1NWU5MDE3ZmQ1ZmRiNWU3OWI2Y2RmMjQ4ZjA2MjMifQ=="/>
  </w:docVars>
  <w:rsids>
    <w:rsidRoot w:val="28F84498"/>
    <w:rsid w:val="0000157E"/>
    <w:rsid w:val="00005BC3"/>
    <w:rsid w:val="00006152"/>
    <w:rsid w:val="00030C0A"/>
    <w:rsid w:val="00031FF9"/>
    <w:rsid w:val="00044DA0"/>
    <w:rsid w:val="000474E0"/>
    <w:rsid w:val="00050F6C"/>
    <w:rsid w:val="00051363"/>
    <w:rsid w:val="000561E6"/>
    <w:rsid w:val="0005694B"/>
    <w:rsid w:val="00063B06"/>
    <w:rsid w:val="00064081"/>
    <w:rsid w:val="000679D3"/>
    <w:rsid w:val="000734F3"/>
    <w:rsid w:val="00084E93"/>
    <w:rsid w:val="00085AC0"/>
    <w:rsid w:val="000915B1"/>
    <w:rsid w:val="00095204"/>
    <w:rsid w:val="0009584D"/>
    <w:rsid w:val="000A1564"/>
    <w:rsid w:val="000A681F"/>
    <w:rsid w:val="000B7779"/>
    <w:rsid w:val="000C3E22"/>
    <w:rsid w:val="000C70A3"/>
    <w:rsid w:val="000D07CA"/>
    <w:rsid w:val="000D0F2B"/>
    <w:rsid w:val="000D316A"/>
    <w:rsid w:val="000D3896"/>
    <w:rsid w:val="000F0B5F"/>
    <w:rsid w:val="000F104C"/>
    <w:rsid w:val="0010633A"/>
    <w:rsid w:val="00114A9D"/>
    <w:rsid w:val="00127487"/>
    <w:rsid w:val="0013272D"/>
    <w:rsid w:val="0013287A"/>
    <w:rsid w:val="00141678"/>
    <w:rsid w:val="00143344"/>
    <w:rsid w:val="001600C7"/>
    <w:rsid w:val="00161BF7"/>
    <w:rsid w:val="00162A20"/>
    <w:rsid w:val="00175602"/>
    <w:rsid w:val="00176673"/>
    <w:rsid w:val="001805A9"/>
    <w:rsid w:val="00182F87"/>
    <w:rsid w:val="00186444"/>
    <w:rsid w:val="00186650"/>
    <w:rsid w:val="00192685"/>
    <w:rsid w:val="001A22CB"/>
    <w:rsid w:val="001A3A8B"/>
    <w:rsid w:val="001A4DB3"/>
    <w:rsid w:val="001A56FE"/>
    <w:rsid w:val="001B6BC2"/>
    <w:rsid w:val="001D375C"/>
    <w:rsid w:val="001D57F3"/>
    <w:rsid w:val="001E29F7"/>
    <w:rsid w:val="001E7F05"/>
    <w:rsid w:val="00200A2B"/>
    <w:rsid w:val="00200F58"/>
    <w:rsid w:val="00206D3A"/>
    <w:rsid w:val="002164B5"/>
    <w:rsid w:val="002200AB"/>
    <w:rsid w:val="00221648"/>
    <w:rsid w:val="00221873"/>
    <w:rsid w:val="002245BC"/>
    <w:rsid w:val="0023129D"/>
    <w:rsid w:val="00231B4E"/>
    <w:rsid w:val="00236C9B"/>
    <w:rsid w:val="00241F09"/>
    <w:rsid w:val="00242EE3"/>
    <w:rsid w:val="00244361"/>
    <w:rsid w:val="002469B9"/>
    <w:rsid w:val="00247C97"/>
    <w:rsid w:val="00250653"/>
    <w:rsid w:val="00250CC4"/>
    <w:rsid w:val="002519DF"/>
    <w:rsid w:val="00260A87"/>
    <w:rsid w:val="00264191"/>
    <w:rsid w:val="00271C20"/>
    <w:rsid w:val="00290C7A"/>
    <w:rsid w:val="00296F12"/>
    <w:rsid w:val="002B1892"/>
    <w:rsid w:val="002B189D"/>
    <w:rsid w:val="002B33DC"/>
    <w:rsid w:val="002B3958"/>
    <w:rsid w:val="002B3AD4"/>
    <w:rsid w:val="002B5CCD"/>
    <w:rsid w:val="002C0170"/>
    <w:rsid w:val="002C07EC"/>
    <w:rsid w:val="002C3F94"/>
    <w:rsid w:val="002C56E1"/>
    <w:rsid w:val="002C79E9"/>
    <w:rsid w:val="002D0094"/>
    <w:rsid w:val="002D26E2"/>
    <w:rsid w:val="002E1FDA"/>
    <w:rsid w:val="002F10F8"/>
    <w:rsid w:val="002F4509"/>
    <w:rsid w:val="002F4B8E"/>
    <w:rsid w:val="002F5DB5"/>
    <w:rsid w:val="00301DEB"/>
    <w:rsid w:val="00315EEC"/>
    <w:rsid w:val="003202D2"/>
    <w:rsid w:val="0032082F"/>
    <w:rsid w:val="003343AD"/>
    <w:rsid w:val="00340A40"/>
    <w:rsid w:val="0034253F"/>
    <w:rsid w:val="00345135"/>
    <w:rsid w:val="00345470"/>
    <w:rsid w:val="00345EC9"/>
    <w:rsid w:val="00351588"/>
    <w:rsid w:val="003518E8"/>
    <w:rsid w:val="00356D70"/>
    <w:rsid w:val="003614FA"/>
    <w:rsid w:val="00362DA4"/>
    <w:rsid w:val="00372EE6"/>
    <w:rsid w:val="0037474F"/>
    <w:rsid w:val="00376906"/>
    <w:rsid w:val="003801DE"/>
    <w:rsid w:val="003823F3"/>
    <w:rsid w:val="00390905"/>
    <w:rsid w:val="003A1850"/>
    <w:rsid w:val="003A282F"/>
    <w:rsid w:val="003A36E9"/>
    <w:rsid w:val="003A3AAA"/>
    <w:rsid w:val="003A5894"/>
    <w:rsid w:val="003A6D99"/>
    <w:rsid w:val="003A7CFF"/>
    <w:rsid w:val="003B08E0"/>
    <w:rsid w:val="003B780A"/>
    <w:rsid w:val="003C3D80"/>
    <w:rsid w:val="003C5097"/>
    <w:rsid w:val="003C60A8"/>
    <w:rsid w:val="003C7072"/>
    <w:rsid w:val="003D2474"/>
    <w:rsid w:val="003D7495"/>
    <w:rsid w:val="003E0753"/>
    <w:rsid w:val="003E3EFC"/>
    <w:rsid w:val="003E6C03"/>
    <w:rsid w:val="0040230F"/>
    <w:rsid w:val="00406FB9"/>
    <w:rsid w:val="00411C57"/>
    <w:rsid w:val="00412C46"/>
    <w:rsid w:val="004135BB"/>
    <w:rsid w:val="00417581"/>
    <w:rsid w:val="00425FDB"/>
    <w:rsid w:val="00426C17"/>
    <w:rsid w:val="0043084B"/>
    <w:rsid w:val="00430D77"/>
    <w:rsid w:val="00431A10"/>
    <w:rsid w:val="004328CA"/>
    <w:rsid w:val="00435598"/>
    <w:rsid w:val="004448AE"/>
    <w:rsid w:val="004506B1"/>
    <w:rsid w:val="00453349"/>
    <w:rsid w:val="00453FBB"/>
    <w:rsid w:val="00454ABF"/>
    <w:rsid w:val="00460246"/>
    <w:rsid w:val="00460644"/>
    <w:rsid w:val="00471195"/>
    <w:rsid w:val="0047575E"/>
    <w:rsid w:val="004803DD"/>
    <w:rsid w:val="00486D6D"/>
    <w:rsid w:val="004874F5"/>
    <w:rsid w:val="004910B6"/>
    <w:rsid w:val="00497A1A"/>
    <w:rsid w:val="004A02E8"/>
    <w:rsid w:val="004A1763"/>
    <w:rsid w:val="004A3642"/>
    <w:rsid w:val="004A4CDA"/>
    <w:rsid w:val="004B2692"/>
    <w:rsid w:val="004C13A5"/>
    <w:rsid w:val="004D29E5"/>
    <w:rsid w:val="004D7195"/>
    <w:rsid w:val="004E16BE"/>
    <w:rsid w:val="004E6086"/>
    <w:rsid w:val="004E7C11"/>
    <w:rsid w:val="004F1B4D"/>
    <w:rsid w:val="004F5209"/>
    <w:rsid w:val="0050052B"/>
    <w:rsid w:val="00502278"/>
    <w:rsid w:val="00502368"/>
    <w:rsid w:val="00505852"/>
    <w:rsid w:val="00513BFE"/>
    <w:rsid w:val="00514FF0"/>
    <w:rsid w:val="00521F73"/>
    <w:rsid w:val="00525E28"/>
    <w:rsid w:val="0053514A"/>
    <w:rsid w:val="005428A5"/>
    <w:rsid w:val="00544421"/>
    <w:rsid w:val="00551AD3"/>
    <w:rsid w:val="00553447"/>
    <w:rsid w:val="00553489"/>
    <w:rsid w:val="00553ABB"/>
    <w:rsid w:val="00563144"/>
    <w:rsid w:val="0056475F"/>
    <w:rsid w:val="0056760E"/>
    <w:rsid w:val="005714E8"/>
    <w:rsid w:val="0057563E"/>
    <w:rsid w:val="005802F6"/>
    <w:rsid w:val="00582ECC"/>
    <w:rsid w:val="00583909"/>
    <w:rsid w:val="00583C96"/>
    <w:rsid w:val="005A6670"/>
    <w:rsid w:val="005A6D32"/>
    <w:rsid w:val="005B56BE"/>
    <w:rsid w:val="005B7557"/>
    <w:rsid w:val="005C0B55"/>
    <w:rsid w:val="005C4B3D"/>
    <w:rsid w:val="005D0825"/>
    <w:rsid w:val="005D6B39"/>
    <w:rsid w:val="005D7B55"/>
    <w:rsid w:val="005D7C75"/>
    <w:rsid w:val="005E6F79"/>
    <w:rsid w:val="005F5F71"/>
    <w:rsid w:val="005F71AE"/>
    <w:rsid w:val="005F7A36"/>
    <w:rsid w:val="00601C25"/>
    <w:rsid w:val="00602071"/>
    <w:rsid w:val="0060373B"/>
    <w:rsid w:val="00615440"/>
    <w:rsid w:val="006165A2"/>
    <w:rsid w:val="006172B1"/>
    <w:rsid w:val="006226DE"/>
    <w:rsid w:val="006315C7"/>
    <w:rsid w:val="00632C75"/>
    <w:rsid w:val="0063613E"/>
    <w:rsid w:val="00636290"/>
    <w:rsid w:val="00637995"/>
    <w:rsid w:val="006533C8"/>
    <w:rsid w:val="0065390F"/>
    <w:rsid w:val="0065418A"/>
    <w:rsid w:val="00656507"/>
    <w:rsid w:val="00660143"/>
    <w:rsid w:val="006633B1"/>
    <w:rsid w:val="00672B40"/>
    <w:rsid w:val="00680040"/>
    <w:rsid w:val="00680A39"/>
    <w:rsid w:val="006864E9"/>
    <w:rsid w:val="006A21DA"/>
    <w:rsid w:val="006A7DB4"/>
    <w:rsid w:val="006C6D79"/>
    <w:rsid w:val="006D2943"/>
    <w:rsid w:val="006D5CCF"/>
    <w:rsid w:val="006D6599"/>
    <w:rsid w:val="006E27F9"/>
    <w:rsid w:val="006E281E"/>
    <w:rsid w:val="006E6A5C"/>
    <w:rsid w:val="006E6EAA"/>
    <w:rsid w:val="006F26F8"/>
    <w:rsid w:val="006F2A19"/>
    <w:rsid w:val="00712D5C"/>
    <w:rsid w:val="00715A98"/>
    <w:rsid w:val="00715C03"/>
    <w:rsid w:val="00722D07"/>
    <w:rsid w:val="00722D0A"/>
    <w:rsid w:val="0074200C"/>
    <w:rsid w:val="00752964"/>
    <w:rsid w:val="00757F3E"/>
    <w:rsid w:val="007669B0"/>
    <w:rsid w:val="00767530"/>
    <w:rsid w:val="00767A19"/>
    <w:rsid w:val="00775CF1"/>
    <w:rsid w:val="00775D60"/>
    <w:rsid w:val="007761C3"/>
    <w:rsid w:val="00777553"/>
    <w:rsid w:val="00783F29"/>
    <w:rsid w:val="0078445F"/>
    <w:rsid w:val="007A3A6D"/>
    <w:rsid w:val="007B0E08"/>
    <w:rsid w:val="007B1388"/>
    <w:rsid w:val="007C40B1"/>
    <w:rsid w:val="007C43D8"/>
    <w:rsid w:val="007D6A2B"/>
    <w:rsid w:val="007E1685"/>
    <w:rsid w:val="007E46CB"/>
    <w:rsid w:val="007F2059"/>
    <w:rsid w:val="008010F6"/>
    <w:rsid w:val="00801207"/>
    <w:rsid w:val="00801C13"/>
    <w:rsid w:val="00802827"/>
    <w:rsid w:val="00802B9C"/>
    <w:rsid w:val="008075DC"/>
    <w:rsid w:val="00820F93"/>
    <w:rsid w:val="008214F9"/>
    <w:rsid w:val="00822015"/>
    <w:rsid w:val="00825B1A"/>
    <w:rsid w:val="00830D62"/>
    <w:rsid w:val="00832BD2"/>
    <w:rsid w:val="0084023E"/>
    <w:rsid w:val="00873E5E"/>
    <w:rsid w:val="00875E4D"/>
    <w:rsid w:val="00876574"/>
    <w:rsid w:val="0089076A"/>
    <w:rsid w:val="00891DB7"/>
    <w:rsid w:val="0089529B"/>
    <w:rsid w:val="008A2FE0"/>
    <w:rsid w:val="008A5BED"/>
    <w:rsid w:val="008B065B"/>
    <w:rsid w:val="008B3BE1"/>
    <w:rsid w:val="008C1492"/>
    <w:rsid w:val="008C18CA"/>
    <w:rsid w:val="008D1B72"/>
    <w:rsid w:val="008E1AF0"/>
    <w:rsid w:val="008E3938"/>
    <w:rsid w:val="008E3E61"/>
    <w:rsid w:val="008E550B"/>
    <w:rsid w:val="008E6A4F"/>
    <w:rsid w:val="008E6B16"/>
    <w:rsid w:val="008F1B6C"/>
    <w:rsid w:val="008F3261"/>
    <w:rsid w:val="008F47D8"/>
    <w:rsid w:val="008F5A15"/>
    <w:rsid w:val="00900003"/>
    <w:rsid w:val="00900056"/>
    <w:rsid w:val="009015F1"/>
    <w:rsid w:val="00904619"/>
    <w:rsid w:val="0090517A"/>
    <w:rsid w:val="009108F5"/>
    <w:rsid w:val="00912759"/>
    <w:rsid w:val="00912B77"/>
    <w:rsid w:val="0091315B"/>
    <w:rsid w:val="009145A7"/>
    <w:rsid w:val="00917A3B"/>
    <w:rsid w:val="00923184"/>
    <w:rsid w:val="009375D8"/>
    <w:rsid w:val="00942058"/>
    <w:rsid w:val="0094465F"/>
    <w:rsid w:val="00944B11"/>
    <w:rsid w:val="00947D7E"/>
    <w:rsid w:val="00950E13"/>
    <w:rsid w:val="00952566"/>
    <w:rsid w:val="00953D3F"/>
    <w:rsid w:val="00955066"/>
    <w:rsid w:val="0095732C"/>
    <w:rsid w:val="00957BE9"/>
    <w:rsid w:val="00963337"/>
    <w:rsid w:val="00982811"/>
    <w:rsid w:val="00984AC3"/>
    <w:rsid w:val="00985B3B"/>
    <w:rsid w:val="00985EAE"/>
    <w:rsid w:val="00994B64"/>
    <w:rsid w:val="009958D8"/>
    <w:rsid w:val="009A28B6"/>
    <w:rsid w:val="009A32E3"/>
    <w:rsid w:val="009A3483"/>
    <w:rsid w:val="009A53B7"/>
    <w:rsid w:val="009B1BFA"/>
    <w:rsid w:val="009B5C4A"/>
    <w:rsid w:val="009C20F0"/>
    <w:rsid w:val="009C4B4A"/>
    <w:rsid w:val="009D0291"/>
    <w:rsid w:val="009D05D1"/>
    <w:rsid w:val="009D4704"/>
    <w:rsid w:val="009D6041"/>
    <w:rsid w:val="009E4B09"/>
    <w:rsid w:val="009E5FC0"/>
    <w:rsid w:val="009E660D"/>
    <w:rsid w:val="009E719C"/>
    <w:rsid w:val="009F7521"/>
    <w:rsid w:val="00A05A2E"/>
    <w:rsid w:val="00A07B8C"/>
    <w:rsid w:val="00A134CF"/>
    <w:rsid w:val="00A17B81"/>
    <w:rsid w:val="00A2136A"/>
    <w:rsid w:val="00A2380A"/>
    <w:rsid w:val="00A27725"/>
    <w:rsid w:val="00A30ABB"/>
    <w:rsid w:val="00A36CAC"/>
    <w:rsid w:val="00A46A67"/>
    <w:rsid w:val="00A51373"/>
    <w:rsid w:val="00A56604"/>
    <w:rsid w:val="00A56B5E"/>
    <w:rsid w:val="00A6377F"/>
    <w:rsid w:val="00A7472F"/>
    <w:rsid w:val="00A8646C"/>
    <w:rsid w:val="00A868F8"/>
    <w:rsid w:val="00AA03E1"/>
    <w:rsid w:val="00AA40F5"/>
    <w:rsid w:val="00AB5654"/>
    <w:rsid w:val="00AB5F5E"/>
    <w:rsid w:val="00AB5FDD"/>
    <w:rsid w:val="00AC14B1"/>
    <w:rsid w:val="00AC448F"/>
    <w:rsid w:val="00AC6597"/>
    <w:rsid w:val="00AD24CF"/>
    <w:rsid w:val="00AD6AD9"/>
    <w:rsid w:val="00AE4110"/>
    <w:rsid w:val="00AE7BD4"/>
    <w:rsid w:val="00AF04B5"/>
    <w:rsid w:val="00AF0EA9"/>
    <w:rsid w:val="00AF23D4"/>
    <w:rsid w:val="00B00DFA"/>
    <w:rsid w:val="00B01FB8"/>
    <w:rsid w:val="00B058C7"/>
    <w:rsid w:val="00B05C32"/>
    <w:rsid w:val="00B148B0"/>
    <w:rsid w:val="00B158C4"/>
    <w:rsid w:val="00B22831"/>
    <w:rsid w:val="00B3384D"/>
    <w:rsid w:val="00B35065"/>
    <w:rsid w:val="00B451D2"/>
    <w:rsid w:val="00B53655"/>
    <w:rsid w:val="00B563D7"/>
    <w:rsid w:val="00B63040"/>
    <w:rsid w:val="00B631F3"/>
    <w:rsid w:val="00B64D81"/>
    <w:rsid w:val="00B705DE"/>
    <w:rsid w:val="00B73F59"/>
    <w:rsid w:val="00B869E8"/>
    <w:rsid w:val="00B91DD6"/>
    <w:rsid w:val="00BA0870"/>
    <w:rsid w:val="00BA1D01"/>
    <w:rsid w:val="00BA2A7A"/>
    <w:rsid w:val="00BB126E"/>
    <w:rsid w:val="00BB419F"/>
    <w:rsid w:val="00BB4972"/>
    <w:rsid w:val="00BB5DA8"/>
    <w:rsid w:val="00BB7438"/>
    <w:rsid w:val="00BB7C6E"/>
    <w:rsid w:val="00BC0D00"/>
    <w:rsid w:val="00BC19A0"/>
    <w:rsid w:val="00BC365F"/>
    <w:rsid w:val="00BD7399"/>
    <w:rsid w:val="00BD794C"/>
    <w:rsid w:val="00BE435C"/>
    <w:rsid w:val="00BF796B"/>
    <w:rsid w:val="00C05059"/>
    <w:rsid w:val="00C055E1"/>
    <w:rsid w:val="00C0790F"/>
    <w:rsid w:val="00C10631"/>
    <w:rsid w:val="00C10857"/>
    <w:rsid w:val="00C10DEE"/>
    <w:rsid w:val="00C11A72"/>
    <w:rsid w:val="00C13579"/>
    <w:rsid w:val="00C14D9D"/>
    <w:rsid w:val="00C14F0C"/>
    <w:rsid w:val="00C2027C"/>
    <w:rsid w:val="00C24A29"/>
    <w:rsid w:val="00C30A5C"/>
    <w:rsid w:val="00C32CE4"/>
    <w:rsid w:val="00C35395"/>
    <w:rsid w:val="00C36173"/>
    <w:rsid w:val="00C3680E"/>
    <w:rsid w:val="00C41FBB"/>
    <w:rsid w:val="00C43320"/>
    <w:rsid w:val="00C45E47"/>
    <w:rsid w:val="00C47A85"/>
    <w:rsid w:val="00C52A1E"/>
    <w:rsid w:val="00C5746D"/>
    <w:rsid w:val="00C64A3D"/>
    <w:rsid w:val="00C752B2"/>
    <w:rsid w:val="00C756FF"/>
    <w:rsid w:val="00C82497"/>
    <w:rsid w:val="00C8308D"/>
    <w:rsid w:val="00C834FC"/>
    <w:rsid w:val="00C83D9A"/>
    <w:rsid w:val="00C85721"/>
    <w:rsid w:val="00C8612B"/>
    <w:rsid w:val="00C86540"/>
    <w:rsid w:val="00C939A8"/>
    <w:rsid w:val="00C97868"/>
    <w:rsid w:val="00C97DB8"/>
    <w:rsid w:val="00CA5579"/>
    <w:rsid w:val="00CC3BC2"/>
    <w:rsid w:val="00CC5141"/>
    <w:rsid w:val="00CC6678"/>
    <w:rsid w:val="00CD31C7"/>
    <w:rsid w:val="00CE1BE7"/>
    <w:rsid w:val="00CF2B89"/>
    <w:rsid w:val="00CF2CA9"/>
    <w:rsid w:val="00CF5A78"/>
    <w:rsid w:val="00CF73E1"/>
    <w:rsid w:val="00D06041"/>
    <w:rsid w:val="00D16684"/>
    <w:rsid w:val="00D20537"/>
    <w:rsid w:val="00D21038"/>
    <w:rsid w:val="00D23A93"/>
    <w:rsid w:val="00D31CAF"/>
    <w:rsid w:val="00D33879"/>
    <w:rsid w:val="00D3556F"/>
    <w:rsid w:val="00D4000A"/>
    <w:rsid w:val="00D42876"/>
    <w:rsid w:val="00D43C88"/>
    <w:rsid w:val="00D4746E"/>
    <w:rsid w:val="00D51605"/>
    <w:rsid w:val="00D53EB9"/>
    <w:rsid w:val="00D55F5D"/>
    <w:rsid w:val="00D60BD8"/>
    <w:rsid w:val="00D63C30"/>
    <w:rsid w:val="00D74104"/>
    <w:rsid w:val="00D82121"/>
    <w:rsid w:val="00D845BB"/>
    <w:rsid w:val="00D91EF0"/>
    <w:rsid w:val="00D9251B"/>
    <w:rsid w:val="00DA0D3C"/>
    <w:rsid w:val="00DA19C7"/>
    <w:rsid w:val="00DB1142"/>
    <w:rsid w:val="00DB2A7A"/>
    <w:rsid w:val="00DB40D2"/>
    <w:rsid w:val="00DB4305"/>
    <w:rsid w:val="00DC0743"/>
    <w:rsid w:val="00DC26F8"/>
    <w:rsid w:val="00DC6A04"/>
    <w:rsid w:val="00DD70D0"/>
    <w:rsid w:val="00DE184B"/>
    <w:rsid w:val="00DE5D29"/>
    <w:rsid w:val="00DE79D3"/>
    <w:rsid w:val="00DF3C1B"/>
    <w:rsid w:val="00E0085E"/>
    <w:rsid w:val="00E03EEF"/>
    <w:rsid w:val="00E04F92"/>
    <w:rsid w:val="00E0614E"/>
    <w:rsid w:val="00E14255"/>
    <w:rsid w:val="00E148F1"/>
    <w:rsid w:val="00E158A8"/>
    <w:rsid w:val="00E24026"/>
    <w:rsid w:val="00E254AE"/>
    <w:rsid w:val="00E30A16"/>
    <w:rsid w:val="00E37309"/>
    <w:rsid w:val="00E45D54"/>
    <w:rsid w:val="00E46223"/>
    <w:rsid w:val="00E46A4F"/>
    <w:rsid w:val="00E53A3F"/>
    <w:rsid w:val="00E5471B"/>
    <w:rsid w:val="00E55B0E"/>
    <w:rsid w:val="00E61519"/>
    <w:rsid w:val="00E619E7"/>
    <w:rsid w:val="00E665D4"/>
    <w:rsid w:val="00E70CA5"/>
    <w:rsid w:val="00E80B90"/>
    <w:rsid w:val="00E81D37"/>
    <w:rsid w:val="00E83820"/>
    <w:rsid w:val="00E9062F"/>
    <w:rsid w:val="00E91320"/>
    <w:rsid w:val="00E94B48"/>
    <w:rsid w:val="00EA58BB"/>
    <w:rsid w:val="00EB320B"/>
    <w:rsid w:val="00EB32D0"/>
    <w:rsid w:val="00EC0881"/>
    <w:rsid w:val="00EC3498"/>
    <w:rsid w:val="00EC501D"/>
    <w:rsid w:val="00ED0839"/>
    <w:rsid w:val="00ED50C4"/>
    <w:rsid w:val="00ED512C"/>
    <w:rsid w:val="00ED56E2"/>
    <w:rsid w:val="00EE0D48"/>
    <w:rsid w:val="00EE1B14"/>
    <w:rsid w:val="00EE4F56"/>
    <w:rsid w:val="00EF0DF2"/>
    <w:rsid w:val="00EF1980"/>
    <w:rsid w:val="00F008F2"/>
    <w:rsid w:val="00F043D4"/>
    <w:rsid w:val="00F22039"/>
    <w:rsid w:val="00F24D10"/>
    <w:rsid w:val="00F278AE"/>
    <w:rsid w:val="00F41FAD"/>
    <w:rsid w:val="00F46D5E"/>
    <w:rsid w:val="00F477EE"/>
    <w:rsid w:val="00F601ED"/>
    <w:rsid w:val="00F6387D"/>
    <w:rsid w:val="00F67D5A"/>
    <w:rsid w:val="00F74D42"/>
    <w:rsid w:val="00F81A62"/>
    <w:rsid w:val="00F83AC1"/>
    <w:rsid w:val="00FA1B38"/>
    <w:rsid w:val="00FA6EC1"/>
    <w:rsid w:val="00FB564A"/>
    <w:rsid w:val="00FB6FC3"/>
    <w:rsid w:val="00FC1AC4"/>
    <w:rsid w:val="00FC5148"/>
    <w:rsid w:val="00FC78F5"/>
    <w:rsid w:val="00FD4B43"/>
    <w:rsid w:val="00FD7787"/>
    <w:rsid w:val="00FE0661"/>
    <w:rsid w:val="00FF2D5F"/>
    <w:rsid w:val="00FF2E63"/>
    <w:rsid w:val="01B46540"/>
    <w:rsid w:val="03440CF3"/>
    <w:rsid w:val="03951915"/>
    <w:rsid w:val="04FE0764"/>
    <w:rsid w:val="05192FCF"/>
    <w:rsid w:val="0639127C"/>
    <w:rsid w:val="07707311"/>
    <w:rsid w:val="08491314"/>
    <w:rsid w:val="08CB719F"/>
    <w:rsid w:val="092B7C9F"/>
    <w:rsid w:val="0B2B0627"/>
    <w:rsid w:val="0CC17C52"/>
    <w:rsid w:val="0CDC3F76"/>
    <w:rsid w:val="0EC56195"/>
    <w:rsid w:val="0F7976DD"/>
    <w:rsid w:val="10224680"/>
    <w:rsid w:val="10DB13D7"/>
    <w:rsid w:val="113D33F5"/>
    <w:rsid w:val="11447E8E"/>
    <w:rsid w:val="117108E8"/>
    <w:rsid w:val="129D7E5D"/>
    <w:rsid w:val="13702B73"/>
    <w:rsid w:val="13722951"/>
    <w:rsid w:val="13B237CB"/>
    <w:rsid w:val="14173ED5"/>
    <w:rsid w:val="149D275F"/>
    <w:rsid w:val="154658EB"/>
    <w:rsid w:val="17217405"/>
    <w:rsid w:val="173B27FE"/>
    <w:rsid w:val="17A200B8"/>
    <w:rsid w:val="17E132B9"/>
    <w:rsid w:val="191B3D3A"/>
    <w:rsid w:val="19D21D11"/>
    <w:rsid w:val="1DA61203"/>
    <w:rsid w:val="1F01298C"/>
    <w:rsid w:val="1F1A7859"/>
    <w:rsid w:val="1F212517"/>
    <w:rsid w:val="1F75C9CE"/>
    <w:rsid w:val="1FD120CE"/>
    <w:rsid w:val="1FF81932"/>
    <w:rsid w:val="204E6BA3"/>
    <w:rsid w:val="205440C9"/>
    <w:rsid w:val="210B1090"/>
    <w:rsid w:val="21725C54"/>
    <w:rsid w:val="22890DEE"/>
    <w:rsid w:val="24084806"/>
    <w:rsid w:val="255270AE"/>
    <w:rsid w:val="26BA2A56"/>
    <w:rsid w:val="2728791F"/>
    <w:rsid w:val="27516EB3"/>
    <w:rsid w:val="28B64BB5"/>
    <w:rsid w:val="28F84498"/>
    <w:rsid w:val="2BBFAA05"/>
    <w:rsid w:val="2BD8D759"/>
    <w:rsid w:val="2C7B7C21"/>
    <w:rsid w:val="2D3C9487"/>
    <w:rsid w:val="2DFFC327"/>
    <w:rsid w:val="2FDF477A"/>
    <w:rsid w:val="316F7FCA"/>
    <w:rsid w:val="31EA60C2"/>
    <w:rsid w:val="332F48C3"/>
    <w:rsid w:val="3344359D"/>
    <w:rsid w:val="335458CF"/>
    <w:rsid w:val="33FD6911"/>
    <w:rsid w:val="34F52332"/>
    <w:rsid w:val="356C60B7"/>
    <w:rsid w:val="360F5977"/>
    <w:rsid w:val="372B9DD0"/>
    <w:rsid w:val="37450DB1"/>
    <w:rsid w:val="37635F92"/>
    <w:rsid w:val="38046B49"/>
    <w:rsid w:val="39902D77"/>
    <w:rsid w:val="3A681039"/>
    <w:rsid w:val="3C6329C5"/>
    <w:rsid w:val="3D1ED833"/>
    <w:rsid w:val="3D5440BC"/>
    <w:rsid w:val="3F443A4E"/>
    <w:rsid w:val="40722674"/>
    <w:rsid w:val="40EC0E9C"/>
    <w:rsid w:val="41D63C39"/>
    <w:rsid w:val="43C93139"/>
    <w:rsid w:val="43D8451F"/>
    <w:rsid w:val="43FF7802"/>
    <w:rsid w:val="44B15EA6"/>
    <w:rsid w:val="457C69BC"/>
    <w:rsid w:val="45857501"/>
    <w:rsid w:val="4A180348"/>
    <w:rsid w:val="4A6E4541"/>
    <w:rsid w:val="4C660281"/>
    <w:rsid w:val="4E6606DF"/>
    <w:rsid w:val="4EAF1A9A"/>
    <w:rsid w:val="4EBFC4AA"/>
    <w:rsid w:val="4EE7B330"/>
    <w:rsid w:val="4EFBCB88"/>
    <w:rsid w:val="4F82475E"/>
    <w:rsid w:val="502E5634"/>
    <w:rsid w:val="51BA020E"/>
    <w:rsid w:val="526A0C2F"/>
    <w:rsid w:val="54660878"/>
    <w:rsid w:val="55AC0AE1"/>
    <w:rsid w:val="55C4407D"/>
    <w:rsid w:val="55FF50D1"/>
    <w:rsid w:val="56486A5C"/>
    <w:rsid w:val="5789772D"/>
    <w:rsid w:val="581E32F5"/>
    <w:rsid w:val="585F4E0B"/>
    <w:rsid w:val="58BD7871"/>
    <w:rsid w:val="58E8573E"/>
    <w:rsid w:val="5A826CB1"/>
    <w:rsid w:val="5AF87465"/>
    <w:rsid w:val="5BD95464"/>
    <w:rsid w:val="5CD921EB"/>
    <w:rsid w:val="5CFFB109"/>
    <w:rsid w:val="5CFFCC9A"/>
    <w:rsid w:val="5D99FBAB"/>
    <w:rsid w:val="5EFFCE4B"/>
    <w:rsid w:val="625D5412"/>
    <w:rsid w:val="64DB4EA9"/>
    <w:rsid w:val="6557D574"/>
    <w:rsid w:val="66997DED"/>
    <w:rsid w:val="67667E72"/>
    <w:rsid w:val="67E44849"/>
    <w:rsid w:val="67F0485E"/>
    <w:rsid w:val="683B769B"/>
    <w:rsid w:val="69902B36"/>
    <w:rsid w:val="6A20023D"/>
    <w:rsid w:val="6E7E56B7"/>
    <w:rsid w:val="6E9F5809"/>
    <w:rsid w:val="6F5778B8"/>
    <w:rsid w:val="70495B48"/>
    <w:rsid w:val="708B5A6B"/>
    <w:rsid w:val="70E94540"/>
    <w:rsid w:val="716B626A"/>
    <w:rsid w:val="71724D1D"/>
    <w:rsid w:val="740A3A87"/>
    <w:rsid w:val="741515C3"/>
    <w:rsid w:val="754B3A1B"/>
    <w:rsid w:val="757FCCC7"/>
    <w:rsid w:val="75E128B4"/>
    <w:rsid w:val="76122EC4"/>
    <w:rsid w:val="766928B2"/>
    <w:rsid w:val="76EF7101"/>
    <w:rsid w:val="776963DA"/>
    <w:rsid w:val="78F16107"/>
    <w:rsid w:val="7ACA5C0F"/>
    <w:rsid w:val="7B2F5FF7"/>
    <w:rsid w:val="7B7F5FE0"/>
    <w:rsid w:val="7BD326AE"/>
    <w:rsid w:val="7BEB386F"/>
    <w:rsid w:val="7DC7D3CC"/>
    <w:rsid w:val="7DF77AF3"/>
    <w:rsid w:val="7E8EA01A"/>
    <w:rsid w:val="7F781466"/>
    <w:rsid w:val="7FCB7B83"/>
    <w:rsid w:val="7FF7B213"/>
    <w:rsid w:val="AF5B0C46"/>
    <w:rsid w:val="BF6F3E1C"/>
    <w:rsid w:val="BF7D2F1B"/>
    <w:rsid w:val="BFF61E78"/>
    <w:rsid w:val="CA4F462B"/>
    <w:rsid w:val="DEBB448F"/>
    <w:rsid w:val="DEBE04FD"/>
    <w:rsid w:val="DFDE46DD"/>
    <w:rsid w:val="DFDE806A"/>
    <w:rsid w:val="DFFEC2D6"/>
    <w:rsid w:val="F67F63DB"/>
    <w:rsid w:val="F7698331"/>
    <w:rsid w:val="FABE38E9"/>
    <w:rsid w:val="FB5BEE46"/>
    <w:rsid w:val="FB6FDD79"/>
    <w:rsid w:val="FF7C77C0"/>
    <w:rsid w:val="FFD73DB9"/>
    <w:rsid w:val="FFFF60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sz w:val="32"/>
      <w:szCs w:val="32"/>
      <w:lang w:val="en-US" w:eastAsia="zh-CN" w:bidi="ar-SA"/>
    </w:rPr>
  </w:style>
  <w:style w:type="paragraph" w:styleId="3">
    <w:name w:val="heading 5"/>
    <w:basedOn w:val="1"/>
    <w:next w:val="1"/>
    <w:qFormat/>
    <w:uiPriority w:val="0"/>
    <w:pPr>
      <w:keepLines/>
      <w:numPr>
        <w:ilvl w:val="4"/>
        <w:numId w:val="1"/>
      </w:numPr>
      <w:spacing w:before="163" w:after="163" w:line="377" w:lineRule="auto"/>
      <w:ind w:left="480" w:leftChars="200"/>
      <w:outlineLvl w:val="4"/>
    </w:pPr>
    <w:rPr>
      <w:b/>
      <w:bCs/>
      <w:color w:val="000000" w:themeColor="text1"/>
      <w:sz w:val="28"/>
      <w:szCs w:val="28"/>
      <w14:textFill>
        <w14:solidFill>
          <w14:schemeClr w14:val="tx1"/>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List 3"/>
    <w:basedOn w:val="1"/>
    <w:unhideWhenUsed/>
    <w:qFormat/>
    <w:uiPriority w:val="99"/>
    <w:pPr>
      <w:ind w:left="1260" w:hanging="420"/>
    </w:pPr>
    <w:rPr>
      <w:rFonts w:ascii="Calibri" w:hAnsi="Calibri"/>
    </w:rPr>
  </w:style>
  <w:style w:type="paragraph" w:styleId="5">
    <w:name w:val="annotation text"/>
    <w:basedOn w:val="1"/>
    <w:link w:val="26"/>
    <w:qFormat/>
    <w:uiPriority w:val="0"/>
    <w:pPr>
      <w:jc w:val="left"/>
    </w:pPr>
  </w:style>
  <w:style w:type="paragraph" w:styleId="6">
    <w:name w:val="Body Text"/>
    <w:basedOn w:val="1"/>
    <w:semiHidden/>
    <w:unhideWhenUsed/>
    <w:qFormat/>
    <w:uiPriority w:val="99"/>
    <w:pPr>
      <w:spacing w:after="120"/>
    </w:p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Calibri" w:hAnsi="Calibri" w:cs="Calibri"/>
      <w:szCs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annotation subject"/>
    <w:basedOn w:val="5"/>
    <w:next w:val="5"/>
    <w:link w:val="27"/>
    <w:qFormat/>
    <w:uiPriority w:val="0"/>
    <w:rPr>
      <w:b/>
      <w:bCs/>
    </w:rPr>
  </w:style>
  <w:style w:type="paragraph" w:styleId="12">
    <w:name w:val="Body Text First Indent"/>
    <w:basedOn w:val="6"/>
    <w:semiHidden/>
    <w:unhideWhenUsed/>
    <w:qFormat/>
    <w:uiPriority w:val="99"/>
    <w:pPr>
      <w:spacing w:line="360" w:lineRule="auto"/>
      <w:ind w:firstLine="88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l-btn-left"/>
    <w:basedOn w:val="15"/>
    <w:qFormat/>
    <w:uiPriority w:val="0"/>
  </w:style>
  <w:style w:type="character" w:customStyle="1" w:styleId="18">
    <w:name w:val="l-btn-left1"/>
    <w:basedOn w:val="15"/>
    <w:qFormat/>
    <w:uiPriority w:val="0"/>
  </w:style>
  <w:style w:type="character" w:customStyle="1" w:styleId="19">
    <w:name w:val="l-btn-left2"/>
    <w:basedOn w:val="15"/>
    <w:qFormat/>
    <w:uiPriority w:val="0"/>
  </w:style>
  <w:style w:type="character" w:customStyle="1" w:styleId="20">
    <w:name w:val="l-btn-left3"/>
    <w:basedOn w:val="15"/>
    <w:qFormat/>
    <w:uiPriority w:val="0"/>
  </w:style>
  <w:style w:type="character" w:customStyle="1" w:styleId="21">
    <w:name w:val="l-btn-empty"/>
    <w:basedOn w:val="15"/>
    <w:qFormat/>
    <w:uiPriority w:val="0"/>
  </w:style>
  <w:style w:type="character" w:customStyle="1" w:styleId="22">
    <w:name w:val="l-btn-text"/>
    <w:basedOn w:val="15"/>
    <w:qFormat/>
    <w:uiPriority w:val="0"/>
  </w:style>
  <w:style w:type="paragraph" w:styleId="23">
    <w:name w:val="List Paragraph"/>
    <w:basedOn w:val="1"/>
    <w:qFormat/>
    <w:uiPriority w:val="99"/>
    <w:pPr>
      <w:ind w:firstLine="420" w:firstLineChars="200"/>
    </w:pPr>
  </w:style>
  <w:style w:type="character" w:customStyle="1" w:styleId="24">
    <w:name w:val="页眉 字符"/>
    <w:basedOn w:val="15"/>
    <w:link w:val="8"/>
    <w:qFormat/>
    <w:uiPriority w:val="0"/>
    <w:rPr>
      <w:kern w:val="2"/>
      <w:sz w:val="18"/>
      <w:szCs w:val="18"/>
    </w:rPr>
  </w:style>
  <w:style w:type="character" w:customStyle="1" w:styleId="25">
    <w:name w:val="页脚 字符"/>
    <w:basedOn w:val="15"/>
    <w:link w:val="7"/>
    <w:qFormat/>
    <w:uiPriority w:val="0"/>
    <w:rPr>
      <w:kern w:val="2"/>
      <w:sz w:val="18"/>
      <w:szCs w:val="18"/>
    </w:rPr>
  </w:style>
  <w:style w:type="character" w:customStyle="1" w:styleId="26">
    <w:name w:val="批注文字 字符"/>
    <w:basedOn w:val="15"/>
    <w:link w:val="5"/>
    <w:qFormat/>
    <w:uiPriority w:val="0"/>
    <w:rPr>
      <w:kern w:val="2"/>
      <w:sz w:val="21"/>
    </w:rPr>
  </w:style>
  <w:style w:type="character" w:customStyle="1" w:styleId="27">
    <w:name w:val="批注主题 字符"/>
    <w:basedOn w:val="26"/>
    <w:link w:val="11"/>
    <w:qFormat/>
    <w:uiPriority w:val="0"/>
    <w:rPr>
      <w:b/>
      <w:bCs/>
      <w:kern w:val="2"/>
      <w:sz w:val="21"/>
    </w:rPr>
  </w:style>
  <w:style w:type="paragraph" w:customStyle="1" w:styleId="28">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Szmedi</Company>
  <Pages>6</Pages>
  <Words>3882</Words>
  <Characters>4243</Characters>
  <Lines>39</Lines>
  <Paragraphs>11</Paragraphs>
  <TotalTime>6</TotalTime>
  <ScaleCrop>false</ScaleCrop>
  <LinksUpToDate>false</LinksUpToDate>
  <CharactersWithSpaces>4264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2022-05-22T17:21:00Z</dcterms:created>
  <dc:creator>姚尧</dc:creator>
  <cp:lastModifiedBy>卡卡</cp:lastModifiedBy>
  <cp:lastPrinted>2022-07-27T19:38:00Z</cp:lastPrinted>
  <dcterms:modified xsi:type="dcterms:W3CDTF">2022-12-29T05:23:20Z</dcterms:modified>
  <dc:title>附件2</dc:title>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D68CBE0FD3EF498A8FB549EA8E8F4170</vt:lpwstr>
  </property>
</Properties>
</file>